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48F8F" w14:textId="2416420D" w:rsidR="00C16B62" w:rsidRDefault="003934D9" w:rsidP="00591258">
      <w:pPr>
        <w:jc w:val="center"/>
        <w:rPr>
          <w:b/>
        </w:rPr>
      </w:pPr>
      <w:r>
        <w:rPr>
          <w:noProof/>
          <w:lang w:eastAsia="en-AU"/>
        </w:rPr>
        <w:drawing>
          <wp:anchor distT="0" distB="0" distL="114300" distR="114300" simplePos="0" relativeHeight="251666432" behindDoc="0" locked="0" layoutInCell="1" allowOverlap="1" wp14:anchorId="3F24911D" wp14:editId="04F0B1E3">
            <wp:simplePos x="0" y="0"/>
            <wp:positionH relativeFrom="margin">
              <wp:align>center</wp:align>
            </wp:positionH>
            <wp:positionV relativeFrom="margin">
              <wp:posOffset>-129540</wp:posOffset>
            </wp:positionV>
            <wp:extent cx="3422650" cy="1638300"/>
            <wp:effectExtent l="0" t="0" r="6350" b="0"/>
            <wp:wrapSquare wrapText="bothSides"/>
            <wp:docPr id="3" name="Picture 3" title="Aged Care Financing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265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248F90" w14:textId="77777777" w:rsidR="00C16B62" w:rsidRDefault="00C16B62" w:rsidP="00591258">
      <w:pPr>
        <w:jc w:val="center"/>
        <w:rPr>
          <w:b/>
        </w:rPr>
      </w:pPr>
    </w:p>
    <w:p w14:paraId="3F248F91" w14:textId="77777777" w:rsidR="00C16B62" w:rsidRDefault="00C16B62" w:rsidP="00591258">
      <w:pPr>
        <w:jc w:val="center"/>
        <w:rPr>
          <w:b/>
        </w:rPr>
      </w:pPr>
    </w:p>
    <w:p w14:paraId="3F248F92" w14:textId="77777777" w:rsidR="00C16B62" w:rsidRDefault="00C16B62" w:rsidP="00591258">
      <w:pPr>
        <w:jc w:val="center"/>
        <w:rPr>
          <w:b/>
        </w:rPr>
      </w:pPr>
    </w:p>
    <w:p w14:paraId="3F248F93" w14:textId="77777777" w:rsidR="00C16B62" w:rsidRDefault="00C16B62" w:rsidP="00591258">
      <w:pPr>
        <w:jc w:val="center"/>
        <w:rPr>
          <w:b/>
          <w:sz w:val="36"/>
          <w:szCs w:val="36"/>
        </w:rPr>
      </w:pPr>
    </w:p>
    <w:p w14:paraId="3F248F94" w14:textId="77777777" w:rsidR="003934D9" w:rsidRPr="00C16B62" w:rsidRDefault="003934D9" w:rsidP="00591258">
      <w:pPr>
        <w:jc w:val="center"/>
        <w:rPr>
          <w:b/>
          <w:sz w:val="36"/>
          <w:szCs w:val="36"/>
        </w:rPr>
      </w:pPr>
    </w:p>
    <w:p w14:paraId="3F248F95" w14:textId="77777777" w:rsidR="00C16B62" w:rsidRPr="003934D9" w:rsidRDefault="00C16B62" w:rsidP="003934D9">
      <w:pPr>
        <w:keepNext/>
        <w:spacing w:after="1600" w:line="240" w:lineRule="auto"/>
        <w:jc w:val="center"/>
        <w:rPr>
          <w:rFonts w:eastAsia="Times New Roman" w:cs="Times New Roman"/>
          <w:color w:val="002776"/>
          <w:kern w:val="28"/>
          <w:sz w:val="56"/>
          <w:szCs w:val="20"/>
        </w:rPr>
      </w:pPr>
      <w:r w:rsidRPr="003934D9">
        <w:rPr>
          <w:rFonts w:eastAsia="Times New Roman" w:cs="Times New Roman"/>
          <w:color w:val="002776"/>
          <w:kern w:val="28"/>
          <w:sz w:val="56"/>
          <w:szCs w:val="20"/>
        </w:rPr>
        <w:t>U</w:t>
      </w:r>
      <w:r w:rsidR="003934D9">
        <w:rPr>
          <w:rFonts w:eastAsia="Times New Roman" w:cs="Times New Roman"/>
          <w:color w:val="002776"/>
          <w:kern w:val="28"/>
          <w:sz w:val="56"/>
          <w:szCs w:val="20"/>
        </w:rPr>
        <w:t>pdate</w:t>
      </w:r>
      <w:r w:rsidRPr="003934D9">
        <w:rPr>
          <w:rFonts w:eastAsia="Times New Roman" w:cs="Times New Roman"/>
          <w:color w:val="002776"/>
          <w:kern w:val="28"/>
          <w:sz w:val="56"/>
          <w:szCs w:val="20"/>
        </w:rPr>
        <w:t xml:space="preserve"> </w:t>
      </w:r>
      <w:r w:rsidR="003934D9">
        <w:rPr>
          <w:rFonts w:eastAsia="Times New Roman" w:cs="Times New Roman"/>
          <w:color w:val="002776"/>
          <w:kern w:val="28"/>
          <w:sz w:val="56"/>
          <w:szCs w:val="20"/>
        </w:rPr>
        <w:t>on</w:t>
      </w:r>
      <w:r w:rsidRPr="003934D9">
        <w:rPr>
          <w:rFonts w:eastAsia="Times New Roman" w:cs="Times New Roman"/>
          <w:color w:val="002776"/>
          <w:kern w:val="28"/>
          <w:sz w:val="56"/>
          <w:szCs w:val="20"/>
        </w:rPr>
        <w:t xml:space="preserve"> </w:t>
      </w:r>
      <w:r w:rsidR="003934D9">
        <w:rPr>
          <w:rFonts w:eastAsia="Times New Roman" w:cs="Times New Roman"/>
          <w:color w:val="002776"/>
          <w:kern w:val="28"/>
          <w:sz w:val="56"/>
          <w:szCs w:val="20"/>
        </w:rPr>
        <w:t>funding and financing issues in the residential aged care industry</w:t>
      </w:r>
    </w:p>
    <w:p w14:paraId="3F248F96" w14:textId="77777777" w:rsidR="00C16B62" w:rsidRPr="003934D9" w:rsidRDefault="00C16B62" w:rsidP="003934D9">
      <w:pPr>
        <w:keepNext/>
        <w:spacing w:after="1600" w:line="240" w:lineRule="auto"/>
        <w:rPr>
          <w:rFonts w:eastAsia="Times New Roman" w:cs="Times New Roman"/>
          <w:color w:val="002776"/>
          <w:kern w:val="28"/>
          <w:sz w:val="56"/>
          <w:szCs w:val="20"/>
        </w:rPr>
      </w:pPr>
    </w:p>
    <w:p w14:paraId="3F248F97" w14:textId="77777777" w:rsidR="0005086E" w:rsidRPr="003934D9" w:rsidRDefault="00C16B62" w:rsidP="003934D9">
      <w:pPr>
        <w:keepNext/>
        <w:spacing w:after="1600" w:line="240" w:lineRule="auto"/>
        <w:jc w:val="center"/>
        <w:rPr>
          <w:rFonts w:eastAsia="Times New Roman" w:cs="Times New Roman"/>
          <w:color w:val="002776"/>
          <w:kern w:val="28"/>
          <w:sz w:val="56"/>
          <w:szCs w:val="20"/>
        </w:rPr>
      </w:pPr>
      <w:r w:rsidRPr="003934D9">
        <w:rPr>
          <w:rFonts w:eastAsia="Times New Roman" w:cs="Times New Roman"/>
          <w:color w:val="002776"/>
          <w:kern w:val="28"/>
          <w:sz w:val="56"/>
          <w:szCs w:val="20"/>
        </w:rPr>
        <w:t>S</w:t>
      </w:r>
      <w:r w:rsidR="003934D9">
        <w:rPr>
          <w:rFonts w:eastAsia="Times New Roman" w:cs="Times New Roman"/>
          <w:color w:val="002776"/>
          <w:kern w:val="28"/>
          <w:sz w:val="56"/>
          <w:szCs w:val="20"/>
        </w:rPr>
        <w:t>eptember</w:t>
      </w:r>
      <w:r w:rsidRPr="003934D9">
        <w:rPr>
          <w:rFonts w:eastAsia="Times New Roman" w:cs="Times New Roman"/>
          <w:color w:val="002776"/>
          <w:kern w:val="28"/>
          <w:sz w:val="56"/>
          <w:szCs w:val="20"/>
        </w:rPr>
        <w:t xml:space="preserve"> 2018</w:t>
      </w:r>
    </w:p>
    <w:p w14:paraId="3F248F98" w14:textId="77777777" w:rsidR="003934D9" w:rsidRDefault="003934D9">
      <w:pPr>
        <w:rPr>
          <w:b/>
          <w:sz w:val="36"/>
          <w:szCs w:val="36"/>
        </w:rPr>
      </w:pPr>
    </w:p>
    <w:p w14:paraId="3F248F99" w14:textId="77777777" w:rsidR="003934D9" w:rsidRDefault="003934D9">
      <w:pPr>
        <w:rPr>
          <w:b/>
          <w:sz w:val="36"/>
          <w:szCs w:val="36"/>
        </w:rPr>
        <w:sectPr w:rsidR="003934D9" w:rsidSect="00E47C55">
          <w:headerReference w:type="default" r:id="rId13"/>
          <w:pgSz w:w="11906" w:h="16838"/>
          <w:pgMar w:top="1440" w:right="1440" w:bottom="1440" w:left="1440" w:header="708" w:footer="708" w:gutter="0"/>
          <w:pgNumType w:start="1"/>
          <w:cols w:space="708"/>
          <w:docGrid w:linePitch="360"/>
        </w:sectPr>
      </w:pPr>
    </w:p>
    <w:p w14:paraId="3F248F9A" w14:textId="77777777" w:rsidR="00C16B62" w:rsidRDefault="0005086E" w:rsidP="0056559B">
      <w:pPr>
        <w:pStyle w:val="Heading1"/>
      </w:pPr>
      <w:bookmarkStart w:id="0" w:name="_Toc525127618"/>
      <w:r w:rsidRPr="0056559B">
        <w:lastRenderedPageBreak/>
        <w:t>Foreword</w:t>
      </w:r>
      <w:bookmarkEnd w:id="0"/>
    </w:p>
    <w:p w14:paraId="3F248F9B" w14:textId="77777777" w:rsidR="00471091" w:rsidRPr="00E5035E" w:rsidRDefault="00471091" w:rsidP="0005086E">
      <w:pPr>
        <w:rPr>
          <w:sz w:val="24"/>
          <w:szCs w:val="24"/>
        </w:rPr>
      </w:pPr>
      <w:r w:rsidRPr="00E5035E">
        <w:rPr>
          <w:sz w:val="24"/>
          <w:szCs w:val="24"/>
        </w:rPr>
        <w:t xml:space="preserve">I am pleased to present the Aged Care Financing Authority’s (ACFA) Update on financial developments in the aged care residential </w:t>
      </w:r>
      <w:r w:rsidR="001E1927">
        <w:rPr>
          <w:sz w:val="24"/>
          <w:szCs w:val="24"/>
        </w:rPr>
        <w:t>industry</w:t>
      </w:r>
      <w:r w:rsidRPr="00E5035E">
        <w:rPr>
          <w:sz w:val="24"/>
          <w:szCs w:val="24"/>
        </w:rPr>
        <w:t>. This update is based on ACFA consultations with a cross section of aged care provide</w:t>
      </w:r>
      <w:r w:rsidR="001648C3" w:rsidRPr="00E5035E">
        <w:rPr>
          <w:sz w:val="24"/>
          <w:szCs w:val="24"/>
        </w:rPr>
        <w:t>r</w:t>
      </w:r>
      <w:r w:rsidRPr="00E5035E">
        <w:rPr>
          <w:sz w:val="24"/>
          <w:szCs w:val="24"/>
        </w:rPr>
        <w:t>s along with financial institutions and analysts undertaken in August and September</w:t>
      </w:r>
      <w:r w:rsidR="001B184C">
        <w:rPr>
          <w:sz w:val="24"/>
          <w:szCs w:val="24"/>
        </w:rPr>
        <w:t xml:space="preserve"> </w:t>
      </w:r>
      <w:r w:rsidRPr="00E5035E">
        <w:rPr>
          <w:sz w:val="24"/>
          <w:szCs w:val="24"/>
        </w:rPr>
        <w:t>2018. The objective of the Update is to identify the key funding and financing issues currently impacting on residential aged care providers.</w:t>
      </w:r>
    </w:p>
    <w:p w14:paraId="3F248F9C" w14:textId="77777777" w:rsidR="001B184C" w:rsidRDefault="001B184C" w:rsidP="001B184C">
      <w:pPr>
        <w:spacing w:line="240" w:lineRule="auto"/>
      </w:pPr>
      <w:r>
        <w:rPr>
          <w:noProof/>
          <w:lang w:eastAsia="en-AU"/>
        </w:rPr>
        <w:drawing>
          <wp:inline distT="0" distB="0" distL="0" distR="0" wp14:anchorId="3F24911F" wp14:editId="6ED429D3">
            <wp:extent cx="1718201" cy="523875"/>
            <wp:effectExtent l="0" t="0" r="0" b="0"/>
            <wp:docPr id="1" name="Picture 1" descr="Mike Callaghan's signature" title="Mike Callagha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ke signatur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20250" cy="524500"/>
                    </a:xfrm>
                    <a:prstGeom prst="rect">
                      <a:avLst/>
                    </a:prstGeom>
                  </pic:spPr>
                </pic:pic>
              </a:graphicData>
            </a:graphic>
          </wp:inline>
        </w:drawing>
      </w:r>
    </w:p>
    <w:p w14:paraId="3F248F9D" w14:textId="77777777" w:rsidR="00471091" w:rsidRDefault="00471091" w:rsidP="0005086E">
      <w:pPr>
        <w:rPr>
          <w:sz w:val="24"/>
          <w:szCs w:val="24"/>
        </w:rPr>
      </w:pPr>
      <w:r w:rsidRPr="00E5035E">
        <w:rPr>
          <w:sz w:val="24"/>
          <w:szCs w:val="24"/>
        </w:rPr>
        <w:t>Mike Callaghan AM PSM</w:t>
      </w:r>
      <w:r w:rsidR="001A2A43">
        <w:rPr>
          <w:sz w:val="24"/>
          <w:szCs w:val="24"/>
        </w:rPr>
        <w:br/>
      </w:r>
      <w:r w:rsidR="00E5035E">
        <w:rPr>
          <w:sz w:val="24"/>
          <w:szCs w:val="24"/>
        </w:rPr>
        <w:t>Chair</w:t>
      </w:r>
      <w:r w:rsidR="00501E21">
        <w:rPr>
          <w:sz w:val="24"/>
          <w:szCs w:val="24"/>
        </w:rPr>
        <w:t>man</w:t>
      </w:r>
      <w:r w:rsidR="001A2A43">
        <w:rPr>
          <w:sz w:val="24"/>
          <w:szCs w:val="24"/>
        </w:rPr>
        <w:br/>
      </w:r>
      <w:r w:rsidR="00501E21" w:rsidRPr="00E5035E">
        <w:rPr>
          <w:sz w:val="24"/>
          <w:szCs w:val="24"/>
        </w:rPr>
        <w:t>Aged Care Financing Authority</w:t>
      </w:r>
      <w:r w:rsidR="001A2A43">
        <w:rPr>
          <w:sz w:val="24"/>
          <w:szCs w:val="24"/>
        </w:rPr>
        <w:br/>
      </w:r>
      <w:r w:rsidR="00501E21">
        <w:rPr>
          <w:sz w:val="24"/>
          <w:szCs w:val="24"/>
        </w:rPr>
        <w:t>September 2018</w:t>
      </w:r>
    </w:p>
    <w:p w14:paraId="3F248F9E" w14:textId="77777777" w:rsidR="003B4196" w:rsidRPr="00E5035E" w:rsidRDefault="003B4196" w:rsidP="0005086E">
      <w:pPr>
        <w:rPr>
          <w:sz w:val="24"/>
          <w:szCs w:val="24"/>
        </w:rPr>
      </w:pPr>
    </w:p>
    <w:p w14:paraId="3F248F9F" w14:textId="77777777" w:rsidR="003B4196" w:rsidRDefault="003B4196" w:rsidP="0005086E">
      <w:pPr>
        <w:rPr>
          <w:sz w:val="24"/>
          <w:szCs w:val="24"/>
        </w:rPr>
        <w:sectPr w:rsidR="003B4196" w:rsidSect="008C174D">
          <w:headerReference w:type="default" r:id="rId15"/>
          <w:footerReference w:type="default" r:id="rId16"/>
          <w:pgSz w:w="11906" w:h="16838"/>
          <w:pgMar w:top="1440" w:right="1440" w:bottom="1440" w:left="1440" w:header="708" w:footer="708" w:gutter="0"/>
          <w:pgNumType w:fmt="lowerRoman" w:start="1"/>
          <w:cols w:space="708"/>
          <w:docGrid w:linePitch="360"/>
        </w:sectPr>
      </w:pPr>
    </w:p>
    <w:sdt>
      <w:sdtPr>
        <w:rPr>
          <w:rFonts w:asciiTheme="minorHAnsi" w:eastAsiaTheme="minorHAnsi" w:hAnsiTheme="minorHAnsi" w:cstheme="minorBidi"/>
          <w:b w:val="0"/>
          <w:bCs w:val="0"/>
          <w:color w:val="auto"/>
          <w:sz w:val="22"/>
          <w:szCs w:val="22"/>
          <w:lang w:val="en-AU" w:eastAsia="en-US"/>
        </w:rPr>
        <w:id w:val="1251234826"/>
        <w:docPartObj>
          <w:docPartGallery w:val="Table of Contents"/>
          <w:docPartUnique/>
        </w:docPartObj>
      </w:sdtPr>
      <w:sdtEndPr>
        <w:rPr>
          <w:noProof/>
        </w:rPr>
      </w:sdtEndPr>
      <w:sdtContent>
        <w:p w14:paraId="3F248FA0" w14:textId="77777777" w:rsidR="00CB25A6" w:rsidRDefault="00CB25A6">
          <w:pPr>
            <w:pStyle w:val="TOCHeading"/>
          </w:pPr>
          <w:r>
            <w:t>Contents</w:t>
          </w:r>
        </w:p>
        <w:p w14:paraId="3F248FA1" w14:textId="77777777" w:rsidR="00CB25A6" w:rsidRDefault="00CB25A6">
          <w:pPr>
            <w:pStyle w:val="TOC1"/>
            <w:tabs>
              <w:tab w:val="right" w:leader="dot" w:pos="9016"/>
            </w:tabs>
            <w:rPr>
              <w:noProof/>
              <w:lang w:val="en-AU" w:eastAsia="en-AU"/>
            </w:rPr>
          </w:pPr>
          <w:r>
            <w:fldChar w:fldCharType="begin"/>
          </w:r>
          <w:r>
            <w:instrText xml:space="preserve"> TOC \o "1-3" \h \z \u </w:instrText>
          </w:r>
          <w:r>
            <w:fldChar w:fldCharType="separate"/>
          </w:r>
          <w:hyperlink w:anchor="_Toc525127619" w:history="1">
            <w:r w:rsidRPr="00403A0C">
              <w:rPr>
                <w:rStyle w:val="Hyperlink"/>
                <w:noProof/>
              </w:rPr>
              <w:t>Introduction</w:t>
            </w:r>
            <w:r>
              <w:rPr>
                <w:noProof/>
                <w:webHidden/>
              </w:rPr>
              <w:tab/>
            </w:r>
            <w:r>
              <w:rPr>
                <w:noProof/>
                <w:webHidden/>
              </w:rPr>
              <w:fldChar w:fldCharType="begin"/>
            </w:r>
            <w:r>
              <w:rPr>
                <w:noProof/>
                <w:webHidden/>
              </w:rPr>
              <w:instrText xml:space="preserve"> PAGEREF _Toc525127619 \h </w:instrText>
            </w:r>
            <w:r>
              <w:rPr>
                <w:noProof/>
                <w:webHidden/>
              </w:rPr>
            </w:r>
            <w:r>
              <w:rPr>
                <w:noProof/>
                <w:webHidden/>
              </w:rPr>
              <w:fldChar w:fldCharType="separate"/>
            </w:r>
            <w:r w:rsidR="00CB5E3E">
              <w:rPr>
                <w:noProof/>
                <w:webHidden/>
              </w:rPr>
              <w:t>ii</w:t>
            </w:r>
            <w:r>
              <w:rPr>
                <w:noProof/>
                <w:webHidden/>
              </w:rPr>
              <w:fldChar w:fldCharType="end"/>
            </w:r>
          </w:hyperlink>
        </w:p>
        <w:p w14:paraId="3F248FA2" w14:textId="77777777" w:rsidR="00CB25A6" w:rsidRDefault="009723A0">
          <w:pPr>
            <w:pStyle w:val="TOC2"/>
            <w:tabs>
              <w:tab w:val="right" w:leader="dot" w:pos="9016"/>
            </w:tabs>
            <w:rPr>
              <w:noProof/>
              <w:lang w:val="en-AU" w:eastAsia="en-AU"/>
            </w:rPr>
          </w:pPr>
          <w:hyperlink w:anchor="_Toc525127620" w:history="1">
            <w:r w:rsidR="00CB25A6" w:rsidRPr="00403A0C">
              <w:rPr>
                <w:rStyle w:val="Hyperlink"/>
                <w:noProof/>
              </w:rPr>
              <w:t>Structure of the Update</w:t>
            </w:r>
            <w:r w:rsidR="00CB25A6">
              <w:rPr>
                <w:noProof/>
                <w:webHidden/>
              </w:rPr>
              <w:tab/>
            </w:r>
            <w:r w:rsidR="00CB25A6">
              <w:rPr>
                <w:noProof/>
                <w:webHidden/>
              </w:rPr>
              <w:fldChar w:fldCharType="begin"/>
            </w:r>
            <w:r w:rsidR="00CB25A6">
              <w:rPr>
                <w:noProof/>
                <w:webHidden/>
              </w:rPr>
              <w:instrText xml:space="preserve"> PAGEREF _Toc525127620 \h </w:instrText>
            </w:r>
            <w:r w:rsidR="00CB25A6">
              <w:rPr>
                <w:noProof/>
                <w:webHidden/>
              </w:rPr>
            </w:r>
            <w:r w:rsidR="00CB25A6">
              <w:rPr>
                <w:noProof/>
                <w:webHidden/>
              </w:rPr>
              <w:fldChar w:fldCharType="separate"/>
            </w:r>
            <w:r w:rsidR="00CB5E3E">
              <w:rPr>
                <w:noProof/>
                <w:webHidden/>
              </w:rPr>
              <w:t>iii</w:t>
            </w:r>
            <w:r w:rsidR="00CB25A6">
              <w:rPr>
                <w:noProof/>
                <w:webHidden/>
              </w:rPr>
              <w:fldChar w:fldCharType="end"/>
            </w:r>
          </w:hyperlink>
        </w:p>
        <w:p w14:paraId="3F248FA3" w14:textId="77777777" w:rsidR="00CB25A6" w:rsidRDefault="009723A0">
          <w:pPr>
            <w:pStyle w:val="TOC1"/>
            <w:tabs>
              <w:tab w:val="right" w:leader="dot" w:pos="9016"/>
            </w:tabs>
            <w:rPr>
              <w:noProof/>
              <w:lang w:val="en-AU" w:eastAsia="en-AU"/>
            </w:rPr>
          </w:pPr>
          <w:hyperlink w:anchor="_Toc525127621" w:history="1">
            <w:r w:rsidR="00CB25A6" w:rsidRPr="00403A0C">
              <w:rPr>
                <w:rStyle w:val="Hyperlink"/>
                <w:noProof/>
              </w:rPr>
              <w:t>Executive Summary</w:t>
            </w:r>
            <w:r w:rsidR="00CB25A6">
              <w:rPr>
                <w:noProof/>
                <w:webHidden/>
              </w:rPr>
              <w:tab/>
            </w:r>
            <w:r w:rsidR="00CB25A6">
              <w:rPr>
                <w:noProof/>
                <w:webHidden/>
              </w:rPr>
              <w:fldChar w:fldCharType="begin"/>
            </w:r>
            <w:r w:rsidR="00CB25A6">
              <w:rPr>
                <w:noProof/>
                <w:webHidden/>
              </w:rPr>
              <w:instrText xml:space="preserve"> PAGEREF _Toc525127621 \h </w:instrText>
            </w:r>
            <w:r w:rsidR="00CB25A6">
              <w:rPr>
                <w:noProof/>
                <w:webHidden/>
              </w:rPr>
            </w:r>
            <w:r w:rsidR="00CB25A6">
              <w:rPr>
                <w:noProof/>
                <w:webHidden/>
              </w:rPr>
              <w:fldChar w:fldCharType="separate"/>
            </w:r>
            <w:r w:rsidR="00CB5E3E">
              <w:rPr>
                <w:noProof/>
                <w:webHidden/>
              </w:rPr>
              <w:t>iv</w:t>
            </w:r>
            <w:r w:rsidR="00CB25A6">
              <w:rPr>
                <w:noProof/>
                <w:webHidden/>
              </w:rPr>
              <w:fldChar w:fldCharType="end"/>
            </w:r>
          </w:hyperlink>
        </w:p>
        <w:p w14:paraId="3F248FA4" w14:textId="77777777" w:rsidR="00CB25A6" w:rsidRDefault="009723A0">
          <w:pPr>
            <w:pStyle w:val="TOC1"/>
            <w:tabs>
              <w:tab w:val="right" w:leader="dot" w:pos="9016"/>
            </w:tabs>
            <w:rPr>
              <w:noProof/>
              <w:lang w:val="en-AU" w:eastAsia="en-AU"/>
            </w:rPr>
          </w:pPr>
          <w:hyperlink w:anchor="_Toc525127622" w:history="1">
            <w:r w:rsidR="00CB25A6" w:rsidRPr="00403A0C">
              <w:rPr>
                <w:rStyle w:val="Hyperlink"/>
                <w:noProof/>
              </w:rPr>
              <w:t>PART A</w:t>
            </w:r>
            <w:r w:rsidR="00CB25A6">
              <w:rPr>
                <w:noProof/>
                <w:webHidden/>
              </w:rPr>
              <w:tab/>
            </w:r>
            <w:r w:rsidR="00CB25A6">
              <w:rPr>
                <w:noProof/>
                <w:webHidden/>
              </w:rPr>
              <w:fldChar w:fldCharType="begin"/>
            </w:r>
            <w:r w:rsidR="00CB25A6">
              <w:rPr>
                <w:noProof/>
                <w:webHidden/>
              </w:rPr>
              <w:instrText xml:space="preserve"> PAGEREF _Toc525127622 \h </w:instrText>
            </w:r>
            <w:r w:rsidR="00CB25A6">
              <w:rPr>
                <w:noProof/>
                <w:webHidden/>
              </w:rPr>
            </w:r>
            <w:r w:rsidR="00CB25A6">
              <w:rPr>
                <w:noProof/>
                <w:webHidden/>
              </w:rPr>
              <w:fldChar w:fldCharType="separate"/>
            </w:r>
            <w:r w:rsidR="00CB5E3E">
              <w:rPr>
                <w:noProof/>
                <w:webHidden/>
              </w:rPr>
              <w:t>1</w:t>
            </w:r>
            <w:r w:rsidR="00CB25A6">
              <w:rPr>
                <w:noProof/>
                <w:webHidden/>
              </w:rPr>
              <w:fldChar w:fldCharType="end"/>
            </w:r>
          </w:hyperlink>
        </w:p>
        <w:p w14:paraId="3F248FA5" w14:textId="77777777" w:rsidR="00CB25A6" w:rsidRDefault="009723A0">
          <w:pPr>
            <w:pStyle w:val="TOC2"/>
            <w:tabs>
              <w:tab w:val="right" w:leader="dot" w:pos="9016"/>
            </w:tabs>
            <w:rPr>
              <w:noProof/>
              <w:lang w:val="en-AU" w:eastAsia="en-AU"/>
            </w:rPr>
          </w:pPr>
          <w:hyperlink w:anchor="_Toc525127623" w:history="1">
            <w:r w:rsidR="00CB25A6" w:rsidRPr="00403A0C">
              <w:rPr>
                <w:rStyle w:val="Hyperlink"/>
                <w:noProof/>
              </w:rPr>
              <w:t>Residential Aged Care:  Financial Performance in recent years</w:t>
            </w:r>
            <w:r w:rsidR="00CB25A6">
              <w:rPr>
                <w:noProof/>
                <w:webHidden/>
              </w:rPr>
              <w:tab/>
            </w:r>
            <w:r w:rsidR="00CB25A6">
              <w:rPr>
                <w:noProof/>
                <w:webHidden/>
              </w:rPr>
              <w:fldChar w:fldCharType="begin"/>
            </w:r>
            <w:r w:rsidR="00CB25A6">
              <w:rPr>
                <w:noProof/>
                <w:webHidden/>
              </w:rPr>
              <w:instrText xml:space="preserve"> PAGEREF _Toc525127623 \h </w:instrText>
            </w:r>
            <w:r w:rsidR="00CB25A6">
              <w:rPr>
                <w:noProof/>
                <w:webHidden/>
              </w:rPr>
            </w:r>
            <w:r w:rsidR="00CB25A6">
              <w:rPr>
                <w:noProof/>
                <w:webHidden/>
              </w:rPr>
              <w:fldChar w:fldCharType="separate"/>
            </w:r>
            <w:r w:rsidR="00CB5E3E">
              <w:rPr>
                <w:noProof/>
                <w:webHidden/>
              </w:rPr>
              <w:t>1</w:t>
            </w:r>
            <w:r w:rsidR="00CB25A6">
              <w:rPr>
                <w:noProof/>
                <w:webHidden/>
              </w:rPr>
              <w:fldChar w:fldCharType="end"/>
            </w:r>
          </w:hyperlink>
        </w:p>
        <w:p w14:paraId="3F248FA6" w14:textId="77777777" w:rsidR="00CB25A6" w:rsidRDefault="009723A0">
          <w:pPr>
            <w:pStyle w:val="TOC2"/>
            <w:tabs>
              <w:tab w:val="right" w:leader="dot" w:pos="9016"/>
            </w:tabs>
            <w:rPr>
              <w:noProof/>
              <w:lang w:val="en-AU" w:eastAsia="en-AU"/>
            </w:rPr>
          </w:pPr>
          <w:hyperlink w:anchor="_Toc525127624" w:history="1">
            <w:r w:rsidR="00CB25A6" w:rsidRPr="00403A0C">
              <w:rPr>
                <w:rStyle w:val="Hyperlink"/>
                <w:noProof/>
              </w:rPr>
              <w:t>Residential aged care financial performance – survey results for 2017-18</w:t>
            </w:r>
            <w:r w:rsidR="00CB25A6">
              <w:rPr>
                <w:noProof/>
                <w:webHidden/>
              </w:rPr>
              <w:tab/>
            </w:r>
            <w:r w:rsidR="00CB25A6">
              <w:rPr>
                <w:noProof/>
                <w:webHidden/>
              </w:rPr>
              <w:fldChar w:fldCharType="begin"/>
            </w:r>
            <w:r w:rsidR="00CB25A6">
              <w:rPr>
                <w:noProof/>
                <w:webHidden/>
              </w:rPr>
              <w:instrText xml:space="preserve"> PAGEREF _Toc525127624 \h </w:instrText>
            </w:r>
            <w:r w:rsidR="00CB25A6">
              <w:rPr>
                <w:noProof/>
                <w:webHidden/>
              </w:rPr>
            </w:r>
            <w:r w:rsidR="00CB25A6">
              <w:rPr>
                <w:noProof/>
                <w:webHidden/>
              </w:rPr>
              <w:fldChar w:fldCharType="separate"/>
            </w:r>
            <w:r w:rsidR="00CB5E3E">
              <w:rPr>
                <w:noProof/>
                <w:webHidden/>
              </w:rPr>
              <w:t>4</w:t>
            </w:r>
            <w:r w:rsidR="00CB25A6">
              <w:rPr>
                <w:noProof/>
                <w:webHidden/>
              </w:rPr>
              <w:fldChar w:fldCharType="end"/>
            </w:r>
          </w:hyperlink>
        </w:p>
        <w:p w14:paraId="3F248FA7" w14:textId="77777777" w:rsidR="00CB25A6" w:rsidRDefault="009723A0">
          <w:pPr>
            <w:pStyle w:val="TOC2"/>
            <w:tabs>
              <w:tab w:val="right" w:leader="dot" w:pos="9016"/>
            </w:tabs>
            <w:rPr>
              <w:noProof/>
              <w:lang w:val="en-AU" w:eastAsia="en-AU"/>
            </w:rPr>
          </w:pPr>
          <w:hyperlink w:anchor="_Toc525127625" w:history="1">
            <w:r w:rsidR="00CB25A6" w:rsidRPr="00403A0C">
              <w:rPr>
                <w:rStyle w:val="Hyperlink"/>
                <w:noProof/>
              </w:rPr>
              <w:t>Factors influencing the financial performance of residential care providers</w:t>
            </w:r>
            <w:r w:rsidR="00CB25A6">
              <w:rPr>
                <w:noProof/>
                <w:webHidden/>
              </w:rPr>
              <w:tab/>
            </w:r>
            <w:r w:rsidR="00CB25A6">
              <w:rPr>
                <w:noProof/>
                <w:webHidden/>
              </w:rPr>
              <w:fldChar w:fldCharType="begin"/>
            </w:r>
            <w:r w:rsidR="00CB25A6">
              <w:rPr>
                <w:noProof/>
                <w:webHidden/>
              </w:rPr>
              <w:instrText xml:space="preserve"> PAGEREF _Toc525127625 \h </w:instrText>
            </w:r>
            <w:r w:rsidR="00CB25A6">
              <w:rPr>
                <w:noProof/>
                <w:webHidden/>
              </w:rPr>
            </w:r>
            <w:r w:rsidR="00CB25A6">
              <w:rPr>
                <w:noProof/>
                <w:webHidden/>
              </w:rPr>
              <w:fldChar w:fldCharType="separate"/>
            </w:r>
            <w:r w:rsidR="00CB5E3E">
              <w:rPr>
                <w:noProof/>
                <w:webHidden/>
              </w:rPr>
              <w:t>4</w:t>
            </w:r>
            <w:r w:rsidR="00CB25A6">
              <w:rPr>
                <w:noProof/>
                <w:webHidden/>
              </w:rPr>
              <w:fldChar w:fldCharType="end"/>
            </w:r>
          </w:hyperlink>
        </w:p>
        <w:p w14:paraId="3F248FA8" w14:textId="77777777" w:rsidR="00CB25A6" w:rsidRDefault="009723A0">
          <w:pPr>
            <w:pStyle w:val="TOC1"/>
            <w:tabs>
              <w:tab w:val="right" w:leader="dot" w:pos="9016"/>
            </w:tabs>
            <w:rPr>
              <w:noProof/>
              <w:lang w:val="en-AU" w:eastAsia="en-AU"/>
            </w:rPr>
          </w:pPr>
          <w:hyperlink w:anchor="_Toc525127626" w:history="1">
            <w:r w:rsidR="00CB25A6" w:rsidRPr="00403A0C">
              <w:rPr>
                <w:rStyle w:val="Hyperlink"/>
                <w:noProof/>
              </w:rPr>
              <w:t>PART B</w:t>
            </w:r>
            <w:r w:rsidR="00CB25A6">
              <w:rPr>
                <w:noProof/>
                <w:webHidden/>
              </w:rPr>
              <w:tab/>
            </w:r>
            <w:r w:rsidR="00CB25A6">
              <w:rPr>
                <w:noProof/>
                <w:webHidden/>
              </w:rPr>
              <w:fldChar w:fldCharType="begin"/>
            </w:r>
            <w:r w:rsidR="00CB25A6">
              <w:rPr>
                <w:noProof/>
                <w:webHidden/>
              </w:rPr>
              <w:instrText xml:space="preserve"> PAGEREF _Toc525127626 \h </w:instrText>
            </w:r>
            <w:r w:rsidR="00CB25A6">
              <w:rPr>
                <w:noProof/>
                <w:webHidden/>
              </w:rPr>
            </w:r>
            <w:r w:rsidR="00CB25A6">
              <w:rPr>
                <w:noProof/>
                <w:webHidden/>
              </w:rPr>
              <w:fldChar w:fldCharType="separate"/>
            </w:r>
            <w:r w:rsidR="00CB5E3E">
              <w:rPr>
                <w:noProof/>
                <w:webHidden/>
              </w:rPr>
              <w:t>10</w:t>
            </w:r>
            <w:r w:rsidR="00CB25A6">
              <w:rPr>
                <w:noProof/>
                <w:webHidden/>
              </w:rPr>
              <w:fldChar w:fldCharType="end"/>
            </w:r>
          </w:hyperlink>
        </w:p>
        <w:p w14:paraId="3F248FA9" w14:textId="77777777" w:rsidR="00CB25A6" w:rsidRDefault="009723A0">
          <w:pPr>
            <w:pStyle w:val="TOC2"/>
            <w:tabs>
              <w:tab w:val="right" w:leader="dot" w:pos="9016"/>
            </w:tabs>
            <w:rPr>
              <w:noProof/>
              <w:lang w:val="en-AU" w:eastAsia="en-AU"/>
            </w:rPr>
          </w:pPr>
          <w:hyperlink w:anchor="_Toc525127627" w:history="1">
            <w:r w:rsidR="00CB25A6" w:rsidRPr="00403A0C">
              <w:rPr>
                <w:rStyle w:val="Hyperlink"/>
                <w:noProof/>
              </w:rPr>
              <w:t>Feedback from consultations</w:t>
            </w:r>
            <w:r w:rsidR="00CB25A6">
              <w:rPr>
                <w:noProof/>
                <w:webHidden/>
              </w:rPr>
              <w:tab/>
            </w:r>
            <w:r w:rsidR="00CB25A6">
              <w:rPr>
                <w:noProof/>
                <w:webHidden/>
              </w:rPr>
              <w:fldChar w:fldCharType="begin"/>
            </w:r>
            <w:r w:rsidR="00CB25A6">
              <w:rPr>
                <w:noProof/>
                <w:webHidden/>
              </w:rPr>
              <w:instrText xml:space="preserve"> PAGEREF _Toc525127627 \h </w:instrText>
            </w:r>
            <w:r w:rsidR="00CB25A6">
              <w:rPr>
                <w:noProof/>
                <w:webHidden/>
              </w:rPr>
            </w:r>
            <w:r w:rsidR="00CB25A6">
              <w:rPr>
                <w:noProof/>
                <w:webHidden/>
              </w:rPr>
              <w:fldChar w:fldCharType="separate"/>
            </w:r>
            <w:r w:rsidR="00CB5E3E">
              <w:rPr>
                <w:noProof/>
                <w:webHidden/>
              </w:rPr>
              <w:t>10</w:t>
            </w:r>
            <w:r w:rsidR="00CB25A6">
              <w:rPr>
                <w:noProof/>
                <w:webHidden/>
              </w:rPr>
              <w:fldChar w:fldCharType="end"/>
            </w:r>
          </w:hyperlink>
        </w:p>
        <w:p w14:paraId="3F248FAA" w14:textId="77777777" w:rsidR="00CB25A6" w:rsidRDefault="009723A0">
          <w:pPr>
            <w:pStyle w:val="TOC3"/>
            <w:tabs>
              <w:tab w:val="right" w:leader="dot" w:pos="9016"/>
            </w:tabs>
            <w:rPr>
              <w:noProof/>
              <w:lang w:val="en-AU" w:eastAsia="en-AU"/>
            </w:rPr>
          </w:pPr>
          <w:hyperlink w:anchor="_Toc525127628" w:history="1">
            <w:r w:rsidR="00CB25A6" w:rsidRPr="00403A0C">
              <w:rPr>
                <w:rStyle w:val="Hyperlink"/>
                <w:noProof/>
              </w:rPr>
              <w:t>Overview of financial performance in 2017-18</w:t>
            </w:r>
            <w:r w:rsidR="00CB25A6">
              <w:rPr>
                <w:noProof/>
                <w:webHidden/>
              </w:rPr>
              <w:tab/>
            </w:r>
            <w:r w:rsidR="00CB25A6">
              <w:rPr>
                <w:noProof/>
                <w:webHidden/>
              </w:rPr>
              <w:fldChar w:fldCharType="begin"/>
            </w:r>
            <w:r w:rsidR="00CB25A6">
              <w:rPr>
                <w:noProof/>
                <w:webHidden/>
              </w:rPr>
              <w:instrText xml:space="preserve"> PAGEREF _Toc525127628 \h </w:instrText>
            </w:r>
            <w:r w:rsidR="00CB25A6">
              <w:rPr>
                <w:noProof/>
                <w:webHidden/>
              </w:rPr>
            </w:r>
            <w:r w:rsidR="00CB25A6">
              <w:rPr>
                <w:noProof/>
                <w:webHidden/>
              </w:rPr>
              <w:fldChar w:fldCharType="separate"/>
            </w:r>
            <w:r w:rsidR="00CB5E3E">
              <w:rPr>
                <w:noProof/>
                <w:webHidden/>
              </w:rPr>
              <w:t>10</w:t>
            </w:r>
            <w:r w:rsidR="00CB25A6">
              <w:rPr>
                <w:noProof/>
                <w:webHidden/>
              </w:rPr>
              <w:fldChar w:fldCharType="end"/>
            </w:r>
          </w:hyperlink>
        </w:p>
        <w:p w14:paraId="3F248FAB" w14:textId="77777777" w:rsidR="00CB25A6" w:rsidRDefault="009723A0">
          <w:pPr>
            <w:pStyle w:val="TOC3"/>
            <w:tabs>
              <w:tab w:val="right" w:leader="dot" w:pos="9016"/>
            </w:tabs>
            <w:rPr>
              <w:noProof/>
              <w:lang w:val="en-AU" w:eastAsia="en-AU"/>
            </w:rPr>
          </w:pPr>
          <w:hyperlink w:anchor="_Toc525127629" w:history="1">
            <w:r w:rsidR="00CB25A6" w:rsidRPr="00403A0C">
              <w:rPr>
                <w:rStyle w:val="Hyperlink"/>
                <w:noProof/>
              </w:rPr>
              <w:t>Level of concern over financial developments in 2017-18</w:t>
            </w:r>
            <w:r w:rsidR="00CB25A6">
              <w:rPr>
                <w:noProof/>
                <w:webHidden/>
              </w:rPr>
              <w:tab/>
            </w:r>
            <w:r w:rsidR="00CB25A6">
              <w:rPr>
                <w:noProof/>
                <w:webHidden/>
              </w:rPr>
              <w:fldChar w:fldCharType="begin"/>
            </w:r>
            <w:r w:rsidR="00CB25A6">
              <w:rPr>
                <w:noProof/>
                <w:webHidden/>
              </w:rPr>
              <w:instrText xml:space="preserve"> PAGEREF _Toc525127629 \h </w:instrText>
            </w:r>
            <w:r w:rsidR="00CB25A6">
              <w:rPr>
                <w:noProof/>
                <w:webHidden/>
              </w:rPr>
            </w:r>
            <w:r w:rsidR="00CB25A6">
              <w:rPr>
                <w:noProof/>
                <w:webHidden/>
              </w:rPr>
              <w:fldChar w:fldCharType="separate"/>
            </w:r>
            <w:r w:rsidR="00CB5E3E">
              <w:rPr>
                <w:noProof/>
                <w:webHidden/>
              </w:rPr>
              <w:t>11</w:t>
            </w:r>
            <w:r w:rsidR="00CB25A6">
              <w:rPr>
                <w:noProof/>
                <w:webHidden/>
              </w:rPr>
              <w:fldChar w:fldCharType="end"/>
            </w:r>
          </w:hyperlink>
        </w:p>
        <w:p w14:paraId="3F248FAC" w14:textId="77777777" w:rsidR="00CB25A6" w:rsidRDefault="009723A0">
          <w:pPr>
            <w:pStyle w:val="TOC3"/>
            <w:tabs>
              <w:tab w:val="right" w:leader="dot" w:pos="9016"/>
            </w:tabs>
            <w:rPr>
              <w:noProof/>
              <w:lang w:val="en-AU" w:eastAsia="en-AU"/>
            </w:rPr>
          </w:pPr>
          <w:hyperlink w:anchor="_Toc525127630" w:history="1">
            <w:r w:rsidR="00CB25A6" w:rsidRPr="00403A0C">
              <w:rPr>
                <w:rStyle w:val="Hyperlink"/>
                <w:noProof/>
              </w:rPr>
              <w:t>Implications of changes to ACFI</w:t>
            </w:r>
            <w:r w:rsidR="00CB25A6">
              <w:rPr>
                <w:noProof/>
                <w:webHidden/>
              </w:rPr>
              <w:tab/>
            </w:r>
            <w:r w:rsidR="00CB25A6">
              <w:rPr>
                <w:noProof/>
                <w:webHidden/>
              </w:rPr>
              <w:fldChar w:fldCharType="begin"/>
            </w:r>
            <w:r w:rsidR="00CB25A6">
              <w:rPr>
                <w:noProof/>
                <w:webHidden/>
              </w:rPr>
              <w:instrText xml:space="preserve"> PAGEREF _Toc525127630 \h </w:instrText>
            </w:r>
            <w:r w:rsidR="00CB25A6">
              <w:rPr>
                <w:noProof/>
                <w:webHidden/>
              </w:rPr>
            </w:r>
            <w:r w:rsidR="00CB25A6">
              <w:rPr>
                <w:noProof/>
                <w:webHidden/>
              </w:rPr>
              <w:fldChar w:fldCharType="separate"/>
            </w:r>
            <w:r w:rsidR="00CB5E3E">
              <w:rPr>
                <w:noProof/>
                <w:webHidden/>
              </w:rPr>
              <w:t>11</w:t>
            </w:r>
            <w:r w:rsidR="00CB25A6">
              <w:rPr>
                <w:noProof/>
                <w:webHidden/>
              </w:rPr>
              <w:fldChar w:fldCharType="end"/>
            </w:r>
          </w:hyperlink>
        </w:p>
        <w:p w14:paraId="3F248FAD" w14:textId="77777777" w:rsidR="00CB25A6" w:rsidRDefault="009723A0">
          <w:pPr>
            <w:pStyle w:val="TOC3"/>
            <w:tabs>
              <w:tab w:val="right" w:leader="dot" w:pos="9016"/>
            </w:tabs>
            <w:rPr>
              <w:noProof/>
              <w:lang w:val="en-AU" w:eastAsia="en-AU"/>
            </w:rPr>
          </w:pPr>
          <w:hyperlink w:anchor="_Toc525127631" w:history="1">
            <w:r w:rsidR="00CB25A6" w:rsidRPr="00403A0C">
              <w:rPr>
                <w:rStyle w:val="Hyperlink"/>
                <w:noProof/>
              </w:rPr>
              <w:t>Efforts to curtail costs</w:t>
            </w:r>
            <w:r w:rsidR="00CB25A6">
              <w:rPr>
                <w:noProof/>
                <w:webHidden/>
              </w:rPr>
              <w:tab/>
            </w:r>
            <w:r w:rsidR="00CB25A6">
              <w:rPr>
                <w:noProof/>
                <w:webHidden/>
              </w:rPr>
              <w:fldChar w:fldCharType="begin"/>
            </w:r>
            <w:r w:rsidR="00CB25A6">
              <w:rPr>
                <w:noProof/>
                <w:webHidden/>
              </w:rPr>
              <w:instrText xml:space="preserve"> PAGEREF _Toc525127631 \h </w:instrText>
            </w:r>
            <w:r w:rsidR="00CB25A6">
              <w:rPr>
                <w:noProof/>
                <w:webHidden/>
              </w:rPr>
            </w:r>
            <w:r w:rsidR="00CB25A6">
              <w:rPr>
                <w:noProof/>
                <w:webHidden/>
              </w:rPr>
              <w:fldChar w:fldCharType="separate"/>
            </w:r>
            <w:r w:rsidR="00CB5E3E">
              <w:rPr>
                <w:noProof/>
                <w:webHidden/>
              </w:rPr>
              <w:t>13</w:t>
            </w:r>
            <w:r w:rsidR="00CB25A6">
              <w:rPr>
                <w:noProof/>
                <w:webHidden/>
              </w:rPr>
              <w:fldChar w:fldCharType="end"/>
            </w:r>
          </w:hyperlink>
        </w:p>
        <w:p w14:paraId="3F248FAE" w14:textId="77777777" w:rsidR="00CB25A6" w:rsidRDefault="009723A0">
          <w:pPr>
            <w:pStyle w:val="TOC3"/>
            <w:tabs>
              <w:tab w:val="right" w:leader="dot" w:pos="9016"/>
            </w:tabs>
            <w:rPr>
              <w:noProof/>
              <w:lang w:val="en-AU" w:eastAsia="en-AU"/>
            </w:rPr>
          </w:pPr>
          <w:hyperlink w:anchor="_Toc525127632" w:history="1">
            <w:r w:rsidR="00CB25A6" w:rsidRPr="00403A0C">
              <w:rPr>
                <w:rStyle w:val="Hyperlink"/>
                <w:noProof/>
              </w:rPr>
              <w:t>Additional services</w:t>
            </w:r>
            <w:r w:rsidR="00CB25A6">
              <w:rPr>
                <w:noProof/>
                <w:webHidden/>
              </w:rPr>
              <w:tab/>
            </w:r>
            <w:r w:rsidR="00CB25A6">
              <w:rPr>
                <w:noProof/>
                <w:webHidden/>
              </w:rPr>
              <w:fldChar w:fldCharType="begin"/>
            </w:r>
            <w:r w:rsidR="00CB25A6">
              <w:rPr>
                <w:noProof/>
                <w:webHidden/>
              </w:rPr>
              <w:instrText xml:space="preserve"> PAGEREF _Toc525127632 \h </w:instrText>
            </w:r>
            <w:r w:rsidR="00CB25A6">
              <w:rPr>
                <w:noProof/>
                <w:webHidden/>
              </w:rPr>
            </w:r>
            <w:r w:rsidR="00CB25A6">
              <w:rPr>
                <w:noProof/>
                <w:webHidden/>
              </w:rPr>
              <w:fldChar w:fldCharType="separate"/>
            </w:r>
            <w:r w:rsidR="00CB5E3E">
              <w:rPr>
                <w:noProof/>
                <w:webHidden/>
              </w:rPr>
              <w:t>14</w:t>
            </w:r>
            <w:r w:rsidR="00CB25A6">
              <w:rPr>
                <w:noProof/>
                <w:webHidden/>
              </w:rPr>
              <w:fldChar w:fldCharType="end"/>
            </w:r>
          </w:hyperlink>
        </w:p>
        <w:p w14:paraId="3F248FAF" w14:textId="77777777" w:rsidR="00CB25A6" w:rsidRDefault="009723A0">
          <w:pPr>
            <w:pStyle w:val="TOC3"/>
            <w:tabs>
              <w:tab w:val="right" w:leader="dot" w:pos="9016"/>
            </w:tabs>
            <w:rPr>
              <w:noProof/>
              <w:lang w:val="en-AU" w:eastAsia="en-AU"/>
            </w:rPr>
          </w:pPr>
          <w:hyperlink w:anchor="_Toc525127633" w:history="1">
            <w:r w:rsidR="00CB25A6" w:rsidRPr="00403A0C">
              <w:rPr>
                <w:rStyle w:val="Hyperlink"/>
                <w:noProof/>
              </w:rPr>
              <w:t>Accommodation supplements.</w:t>
            </w:r>
            <w:r w:rsidR="00CB25A6">
              <w:rPr>
                <w:noProof/>
                <w:webHidden/>
              </w:rPr>
              <w:tab/>
            </w:r>
            <w:r w:rsidR="00CB25A6">
              <w:rPr>
                <w:noProof/>
                <w:webHidden/>
              </w:rPr>
              <w:fldChar w:fldCharType="begin"/>
            </w:r>
            <w:r w:rsidR="00CB25A6">
              <w:rPr>
                <w:noProof/>
                <w:webHidden/>
              </w:rPr>
              <w:instrText xml:space="preserve"> PAGEREF _Toc525127633 \h </w:instrText>
            </w:r>
            <w:r w:rsidR="00CB25A6">
              <w:rPr>
                <w:noProof/>
                <w:webHidden/>
              </w:rPr>
            </w:r>
            <w:r w:rsidR="00CB25A6">
              <w:rPr>
                <w:noProof/>
                <w:webHidden/>
              </w:rPr>
              <w:fldChar w:fldCharType="separate"/>
            </w:r>
            <w:r w:rsidR="00CB5E3E">
              <w:rPr>
                <w:noProof/>
                <w:webHidden/>
              </w:rPr>
              <w:t>15</w:t>
            </w:r>
            <w:r w:rsidR="00CB25A6">
              <w:rPr>
                <w:noProof/>
                <w:webHidden/>
              </w:rPr>
              <w:fldChar w:fldCharType="end"/>
            </w:r>
          </w:hyperlink>
        </w:p>
        <w:p w14:paraId="3F248FB0" w14:textId="77777777" w:rsidR="00CB25A6" w:rsidRDefault="009723A0">
          <w:pPr>
            <w:pStyle w:val="TOC3"/>
            <w:tabs>
              <w:tab w:val="right" w:leader="dot" w:pos="9016"/>
            </w:tabs>
            <w:rPr>
              <w:noProof/>
              <w:lang w:val="en-AU" w:eastAsia="en-AU"/>
            </w:rPr>
          </w:pPr>
          <w:hyperlink w:anchor="_Toc525127634" w:history="1">
            <w:r w:rsidR="00CB25A6" w:rsidRPr="00403A0C">
              <w:rPr>
                <w:rStyle w:val="Hyperlink"/>
                <w:noProof/>
              </w:rPr>
              <w:t>Quality considerations</w:t>
            </w:r>
            <w:r w:rsidR="00CB25A6">
              <w:rPr>
                <w:noProof/>
                <w:webHidden/>
              </w:rPr>
              <w:tab/>
            </w:r>
            <w:r w:rsidR="00CB25A6">
              <w:rPr>
                <w:noProof/>
                <w:webHidden/>
              </w:rPr>
              <w:fldChar w:fldCharType="begin"/>
            </w:r>
            <w:r w:rsidR="00CB25A6">
              <w:rPr>
                <w:noProof/>
                <w:webHidden/>
              </w:rPr>
              <w:instrText xml:space="preserve"> PAGEREF _Toc525127634 \h </w:instrText>
            </w:r>
            <w:r w:rsidR="00CB25A6">
              <w:rPr>
                <w:noProof/>
                <w:webHidden/>
              </w:rPr>
            </w:r>
            <w:r w:rsidR="00CB25A6">
              <w:rPr>
                <w:noProof/>
                <w:webHidden/>
              </w:rPr>
              <w:fldChar w:fldCharType="separate"/>
            </w:r>
            <w:r w:rsidR="00CB5E3E">
              <w:rPr>
                <w:noProof/>
                <w:webHidden/>
              </w:rPr>
              <w:t>16</w:t>
            </w:r>
            <w:r w:rsidR="00CB25A6">
              <w:rPr>
                <w:noProof/>
                <w:webHidden/>
              </w:rPr>
              <w:fldChar w:fldCharType="end"/>
            </w:r>
          </w:hyperlink>
        </w:p>
        <w:p w14:paraId="3F248FB1" w14:textId="77777777" w:rsidR="00CB25A6" w:rsidRDefault="009723A0">
          <w:pPr>
            <w:pStyle w:val="TOC3"/>
            <w:tabs>
              <w:tab w:val="right" w:leader="dot" w:pos="9016"/>
            </w:tabs>
            <w:rPr>
              <w:noProof/>
              <w:lang w:val="en-AU" w:eastAsia="en-AU"/>
            </w:rPr>
          </w:pPr>
          <w:hyperlink w:anchor="_Toc525127635" w:history="1">
            <w:r w:rsidR="00CB25A6" w:rsidRPr="00403A0C">
              <w:rPr>
                <w:rStyle w:val="Hyperlink"/>
                <w:noProof/>
              </w:rPr>
              <w:t>Future investment plans</w:t>
            </w:r>
            <w:r w:rsidR="00CB25A6">
              <w:rPr>
                <w:noProof/>
                <w:webHidden/>
              </w:rPr>
              <w:tab/>
            </w:r>
            <w:r w:rsidR="00CB25A6">
              <w:rPr>
                <w:noProof/>
                <w:webHidden/>
              </w:rPr>
              <w:fldChar w:fldCharType="begin"/>
            </w:r>
            <w:r w:rsidR="00CB25A6">
              <w:rPr>
                <w:noProof/>
                <w:webHidden/>
              </w:rPr>
              <w:instrText xml:space="preserve"> PAGEREF _Toc525127635 \h </w:instrText>
            </w:r>
            <w:r w:rsidR="00CB25A6">
              <w:rPr>
                <w:noProof/>
                <w:webHidden/>
              </w:rPr>
            </w:r>
            <w:r w:rsidR="00CB25A6">
              <w:rPr>
                <w:noProof/>
                <w:webHidden/>
              </w:rPr>
              <w:fldChar w:fldCharType="separate"/>
            </w:r>
            <w:r w:rsidR="00CB5E3E">
              <w:rPr>
                <w:noProof/>
                <w:webHidden/>
              </w:rPr>
              <w:t>16</w:t>
            </w:r>
            <w:r w:rsidR="00CB25A6">
              <w:rPr>
                <w:noProof/>
                <w:webHidden/>
              </w:rPr>
              <w:fldChar w:fldCharType="end"/>
            </w:r>
          </w:hyperlink>
        </w:p>
        <w:p w14:paraId="3F248FB2" w14:textId="77777777" w:rsidR="00CB25A6" w:rsidRDefault="009723A0">
          <w:pPr>
            <w:pStyle w:val="TOC3"/>
            <w:tabs>
              <w:tab w:val="right" w:leader="dot" w:pos="9016"/>
            </w:tabs>
            <w:rPr>
              <w:noProof/>
              <w:lang w:val="en-AU" w:eastAsia="en-AU"/>
            </w:rPr>
          </w:pPr>
          <w:hyperlink w:anchor="_Toc525127636" w:history="1">
            <w:r w:rsidR="00CB25A6" w:rsidRPr="00403A0C">
              <w:rPr>
                <w:rStyle w:val="Hyperlink"/>
                <w:noProof/>
              </w:rPr>
              <w:t>Viability of aged care providers.</w:t>
            </w:r>
            <w:r w:rsidR="00CB25A6">
              <w:rPr>
                <w:noProof/>
                <w:webHidden/>
              </w:rPr>
              <w:tab/>
            </w:r>
            <w:r w:rsidR="00CB25A6">
              <w:rPr>
                <w:noProof/>
                <w:webHidden/>
              </w:rPr>
              <w:fldChar w:fldCharType="begin"/>
            </w:r>
            <w:r w:rsidR="00CB25A6">
              <w:rPr>
                <w:noProof/>
                <w:webHidden/>
              </w:rPr>
              <w:instrText xml:space="preserve"> PAGEREF _Toc525127636 \h </w:instrText>
            </w:r>
            <w:r w:rsidR="00CB25A6">
              <w:rPr>
                <w:noProof/>
                <w:webHidden/>
              </w:rPr>
            </w:r>
            <w:r w:rsidR="00CB25A6">
              <w:rPr>
                <w:noProof/>
                <w:webHidden/>
              </w:rPr>
              <w:fldChar w:fldCharType="separate"/>
            </w:r>
            <w:r w:rsidR="00CB5E3E">
              <w:rPr>
                <w:noProof/>
                <w:webHidden/>
              </w:rPr>
              <w:t>18</w:t>
            </w:r>
            <w:r w:rsidR="00CB25A6">
              <w:rPr>
                <w:noProof/>
                <w:webHidden/>
              </w:rPr>
              <w:fldChar w:fldCharType="end"/>
            </w:r>
          </w:hyperlink>
        </w:p>
        <w:p w14:paraId="3F248FB3" w14:textId="77777777" w:rsidR="00CB25A6" w:rsidRDefault="009723A0">
          <w:pPr>
            <w:pStyle w:val="TOC3"/>
            <w:tabs>
              <w:tab w:val="right" w:leader="dot" w:pos="9016"/>
            </w:tabs>
            <w:rPr>
              <w:noProof/>
              <w:lang w:val="en-AU" w:eastAsia="en-AU"/>
            </w:rPr>
          </w:pPr>
          <w:hyperlink w:anchor="_Toc525127637" w:history="1">
            <w:r w:rsidR="00CB25A6" w:rsidRPr="00403A0C">
              <w:rPr>
                <w:rStyle w:val="Hyperlink"/>
                <w:noProof/>
              </w:rPr>
              <w:t>The challenge of providing aged care to the homeless</w:t>
            </w:r>
            <w:r w:rsidR="00CB25A6">
              <w:rPr>
                <w:noProof/>
                <w:webHidden/>
              </w:rPr>
              <w:tab/>
            </w:r>
            <w:r w:rsidR="00CB25A6">
              <w:rPr>
                <w:noProof/>
                <w:webHidden/>
              </w:rPr>
              <w:fldChar w:fldCharType="begin"/>
            </w:r>
            <w:r w:rsidR="00CB25A6">
              <w:rPr>
                <w:noProof/>
                <w:webHidden/>
              </w:rPr>
              <w:instrText xml:space="preserve"> PAGEREF _Toc525127637 \h </w:instrText>
            </w:r>
            <w:r w:rsidR="00CB25A6">
              <w:rPr>
                <w:noProof/>
                <w:webHidden/>
              </w:rPr>
            </w:r>
            <w:r w:rsidR="00CB25A6">
              <w:rPr>
                <w:noProof/>
                <w:webHidden/>
              </w:rPr>
              <w:fldChar w:fldCharType="separate"/>
            </w:r>
            <w:r w:rsidR="00CB5E3E">
              <w:rPr>
                <w:noProof/>
                <w:webHidden/>
              </w:rPr>
              <w:t>19</w:t>
            </w:r>
            <w:r w:rsidR="00CB25A6">
              <w:rPr>
                <w:noProof/>
                <w:webHidden/>
              </w:rPr>
              <w:fldChar w:fldCharType="end"/>
            </w:r>
          </w:hyperlink>
        </w:p>
        <w:p w14:paraId="3F248FB4" w14:textId="77777777" w:rsidR="00CB25A6" w:rsidRDefault="009723A0">
          <w:pPr>
            <w:pStyle w:val="TOC1"/>
            <w:tabs>
              <w:tab w:val="right" w:leader="dot" w:pos="9016"/>
            </w:tabs>
            <w:rPr>
              <w:noProof/>
              <w:lang w:val="en-AU" w:eastAsia="en-AU"/>
            </w:rPr>
          </w:pPr>
          <w:hyperlink w:anchor="_Toc525127638" w:history="1">
            <w:r w:rsidR="00CB25A6" w:rsidRPr="00403A0C">
              <w:rPr>
                <w:rStyle w:val="Hyperlink"/>
                <w:noProof/>
              </w:rPr>
              <w:t>Conclusions</w:t>
            </w:r>
            <w:r w:rsidR="00CB25A6">
              <w:rPr>
                <w:noProof/>
                <w:webHidden/>
              </w:rPr>
              <w:tab/>
            </w:r>
            <w:r w:rsidR="00CB25A6">
              <w:rPr>
                <w:noProof/>
                <w:webHidden/>
              </w:rPr>
              <w:fldChar w:fldCharType="begin"/>
            </w:r>
            <w:r w:rsidR="00CB25A6">
              <w:rPr>
                <w:noProof/>
                <w:webHidden/>
              </w:rPr>
              <w:instrText xml:space="preserve"> PAGEREF _Toc525127638 \h </w:instrText>
            </w:r>
            <w:r w:rsidR="00CB25A6">
              <w:rPr>
                <w:noProof/>
                <w:webHidden/>
              </w:rPr>
            </w:r>
            <w:r w:rsidR="00CB25A6">
              <w:rPr>
                <w:noProof/>
                <w:webHidden/>
              </w:rPr>
              <w:fldChar w:fldCharType="separate"/>
            </w:r>
            <w:r w:rsidR="00CB5E3E">
              <w:rPr>
                <w:noProof/>
                <w:webHidden/>
              </w:rPr>
              <w:t>21</w:t>
            </w:r>
            <w:r w:rsidR="00CB25A6">
              <w:rPr>
                <w:noProof/>
                <w:webHidden/>
              </w:rPr>
              <w:fldChar w:fldCharType="end"/>
            </w:r>
          </w:hyperlink>
        </w:p>
        <w:p w14:paraId="3F248FB5" w14:textId="77777777" w:rsidR="00CB25A6" w:rsidRDefault="009723A0">
          <w:pPr>
            <w:pStyle w:val="TOC1"/>
            <w:tabs>
              <w:tab w:val="right" w:leader="dot" w:pos="9016"/>
            </w:tabs>
            <w:rPr>
              <w:noProof/>
              <w:lang w:val="en-AU" w:eastAsia="en-AU"/>
            </w:rPr>
          </w:pPr>
          <w:hyperlink w:anchor="_Toc525127639" w:history="1">
            <w:r w:rsidR="00CB25A6" w:rsidRPr="00403A0C">
              <w:rPr>
                <w:rStyle w:val="Hyperlink"/>
                <w:noProof/>
              </w:rPr>
              <w:t>Attachment A</w:t>
            </w:r>
            <w:r w:rsidR="00CB25A6">
              <w:rPr>
                <w:noProof/>
                <w:webHidden/>
              </w:rPr>
              <w:tab/>
            </w:r>
            <w:r w:rsidR="00CB25A6">
              <w:rPr>
                <w:noProof/>
                <w:webHidden/>
              </w:rPr>
              <w:fldChar w:fldCharType="begin"/>
            </w:r>
            <w:r w:rsidR="00CB25A6">
              <w:rPr>
                <w:noProof/>
                <w:webHidden/>
              </w:rPr>
              <w:instrText xml:space="preserve"> PAGEREF _Toc525127639 \h </w:instrText>
            </w:r>
            <w:r w:rsidR="00CB25A6">
              <w:rPr>
                <w:noProof/>
                <w:webHidden/>
              </w:rPr>
            </w:r>
            <w:r w:rsidR="00CB25A6">
              <w:rPr>
                <w:noProof/>
                <w:webHidden/>
              </w:rPr>
              <w:fldChar w:fldCharType="separate"/>
            </w:r>
            <w:r w:rsidR="00CB5E3E">
              <w:rPr>
                <w:noProof/>
                <w:webHidden/>
              </w:rPr>
              <w:t>23</w:t>
            </w:r>
            <w:r w:rsidR="00CB25A6">
              <w:rPr>
                <w:noProof/>
                <w:webHidden/>
              </w:rPr>
              <w:fldChar w:fldCharType="end"/>
            </w:r>
          </w:hyperlink>
        </w:p>
        <w:p w14:paraId="3F248FB6" w14:textId="77777777" w:rsidR="00CB25A6" w:rsidRDefault="00CB25A6">
          <w:r>
            <w:rPr>
              <w:b/>
              <w:bCs/>
              <w:noProof/>
            </w:rPr>
            <w:fldChar w:fldCharType="end"/>
          </w:r>
        </w:p>
      </w:sdtContent>
    </w:sdt>
    <w:p w14:paraId="3F248FB7" w14:textId="77777777" w:rsidR="00471091" w:rsidRPr="00E5035E" w:rsidRDefault="00471091" w:rsidP="0005086E">
      <w:pPr>
        <w:rPr>
          <w:sz w:val="24"/>
          <w:szCs w:val="24"/>
        </w:rPr>
      </w:pPr>
    </w:p>
    <w:p w14:paraId="3F248FB8" w14:textId="77777777" w:rsidR="00E47C55" w:rsidRDefault="00E47C55">
      <w:pPr>
        <w:rPr>
          <w:b/>
        </w:rPr>
        <w:sectPr w:rsidR="00E47C55" w:rsidSect="008C174D">
          <w:pgSz w:w="11906" w:h="16838"/>
          <w:pgMar w:top="1440" w:right="1440" w:bottom="1440" w:left="1440" w:header="708" w:footer="708" w:gutter="0"/>
          <w:pgNumType w:fmt="lowerRoman" w:start="1"/>
          <w:cols w:space="708"/>
          <w:docGrid w:linePitch="360"/>
        </w:sectPr>
      </w:pPr>
    </w:p>
    <w:p w14:paraId="3F248FB9" w14:textId="77777777" w:rsidR="006D6217" w:rsidRPr="003C2AD3" w:rsidRDefault="003C2AD3" w:rsidP="00CB25A6">
      <w:pPr>
        <w:pStyle w:val="Heading1"/>
      </w:pPr>
      <w:bookmarkStart w:id="1" w:name="_Toc525127619"/>
      <w:r w:rsidRPr="00CB25A6">
        <w:lastRenderedPageBreak/>
        <w:t>Introduction</w:t>
      </w:r>
      <w:bookmarkEnd w:id="1"/>
    </w:p>
    <w:p w14:paraId="3F248FBA" w14:textId="77777777" w:rsidR="00591258" w:rsidRPr="00C60BAD" w:rsidRDefault="00591258" w:rsidP="00591258">
      <w:pPr>
        <w:rPr>
          <w:sz w:val="24"/>
          <w:szCs w:val="24"/>
        </w:rPr>
      </w:pPr>
      <w:r w:rsidRPr="00C60BAD">
        <w:rPr>
          <w:sz w:val="24"/>
          <w:szCs w:val="24"/>
        </w:rPr>
        <w:t>The Aged Care Financin</w:t>
      </w:r>
      <w:r w:rsidR="003F3C78" w:rsidRPr="00C60BAD">
        <w:rPr>
          <w:sz w:val="24"/>
          <w:szCs w:val="24"/>
        </w:rPr>
        <w:t>g Authority (ACFA</w:t>
      </w:r>
      <w:r w:rsidR="00E74CF6" w:rsidRPr="00C60BAD">
        <w:rPr>
          <w:sz w:val="24"/>
          <w:szCs w:val="24"/>
        </w:rPr>
        <w:t>) sixth</w:t>
      </w:r>
      <w:r w:rsidRPr="00C60BAD">
        <w:rPr>
          <w:sz w:val="24"/>
          <w:szCs w:val="24"/>
        </w:rPr>
        <w:t xml:space="preserve"> Annual Report </w:t>
      </w:r>
      <w:r w:rsidR="003F3C78" w:rsidRPr="00C60BAD">
        <w:rPr>
          <w:sz w:val="24"/>
          <w:szCs w:val="24"/>
        </w:rPr>
        <w:t xml:space="preserve">on the Funding and Financing of the Aged Care Sector was published on </w:t>
      </w:r>
      <w:r w:rsidR="00E74CF6" w:rsidRPr="00C60BAD">
        <w:rPr>
          <w:sz w:val="24"/>
          <w:szCs w:val="24"/>
        </w:rPr>
        <w:t>28 August</w:t>
      </w:r>
      <w:r w:rsidRPr="00C60BAD">
        <w:rPr>
          <w:sz w:val="24"/>
          <w:szCs w:val="24"/>
        </w:rPr>
        <w:t xml:space="preserve"> 2018.</w:t>
      </w:r>
      <w:r w:rsidR="003F3C78" w:rsidRPr="00C60BAD">
        <w:rPr>
          <w:sz w:val="24"/>
          <w:szCs w:val="24"/>
        </w:rPr>
        <w:t xml:space="preserve"> The </w:t>
      </w:r>
      <w:r w:rsidR="001648C3" w:rsidRPr="00C60BAD">
        <w:rPr>
          <w:sz w:val="24"/>
          <w:szCs w:val="24"/>
        </w:rPr>
        <w:t>R</w:t>
      </w:r>
      <w:r w:rsidR="003F3C78" w:rsidRPr="00C60BAD">
        <w:rPr>
          <w:sz w:val="24"/>
          <w:szCs w:val="24"/>
        </w:rPr>
        <w:t>eport</w:t>
      </w:r>
      <w:r w:rsidR="00C16B62" w:rsidRPr="00C60BAD">
        <w:rPr>
          <w:sz w:val="24"/>
          <w:szCs w:val="24"/>
        </w:rPr>
        <w:t xml:space="preserve"> was</w:t>
      </w:r>
      <w:r w:rsidR="003F3C78" w:rsidRPr="00C60BAD">
        <w:rPr>
          <w:sz w:val="24"/>
          <w:szCs w:val="24"/>
        </w:rPr>
        <w:t xml:space="preserve"> based </w:t>
      </w:r>
      <w:r w:rsidR="00FF1BE9" w:rsidRPr="00C60BAD">
        <w:rPr>
          <w:sz w:val="24"/>
          <w:szCs w:val="24"/>
        </w:rPr>
        <w:t>on data</w:t>
      </w:r>
      <w:r w:rsidR="00C16B62" w:rsidRPr="00C60BAD">
        <w:rPr>
          <w:sz w:val="24"/>
          <w:szCs w:val="24"/>
        </w:rPr>
        <w:t xml:space="preserve"> supplied by aged care providers</w:t>
      </w:r>
      <w:r w:rsidR="001648C3" w:rsidRPr="00C60BAD">
        <w:rPr>
          <w:sz w:val="24"/>
          <w:szCs w:val="24"/>
        </w:rPr>
        <w:t xml:space="preserve"> in their 2016-17 </w:t>
      </w:r>
      <w:r w:rsidR="00B976F9" w:rsidRPr="00C60BAD">
        <w:rPr>
          <w:sz w:val="24"/>
          <w:szCs w:val="24"/>
        </w:rPr>
        <w:t xml:space="preserve">Aged Care </w:t>
      </w:r>
      <w:r w:rsidR="001648C3" w:rsidRPr="00C60BAD">
        <w:rPr>
          <w:sz w:val="24"/>
          <w:szCs w:val="24"/>
        </w:rPr>
        <w:t>Financial Reports</w:t>
      </w:r>
      <w:r w:rsidR="00C16B62" w:rsidRPr="00C60BAD">
        <w:rPr>
          <w:sz w:val="24"/>
          <w:szCs w:val="24"/>
        </w:rPr>
        <w:t xml:space="preserve">. This was the most comprehensive data available. </w:t>
      </w:r>
      <w:r w:rsidR="003F3C78" w:rsidRPr="00C60BAD">
        <w:rPr>
          <w:sz w:val="24"/>
          <w:szCs w:val="24"/>
        </w:rPr>
        <w:t>T</w:t>
      </w:r>
      <w:r w:rsidR="00743664" w:rsidRPr="00C60BAD">
        <w:rPr>
          <w:sz w:val="24"/>
          <w:szCs w:val="24"/>
        </w:rPr>
        <w:t xml:space="preserve">he majority of the </w:t>
      </w:r>
      <w:proofErr w:type="gramStart"/>
      <w:r w:rsidR="001E1927" w:rsidRPr="00C60BAD">
        <w:rPr>
          <w:sz w:val="24"/>
          <w:szCs w:val="24"/>
        </w:rPr>
        <w:t>industry</w:t>
      </w:r>
      <w:proofErr w:type="gramEnd"/>
      <w:r w:rsidR="00743664" w:rsidRPr="00C60BAD">
        <w:rPr>
          <w:sz w:val="24"/>
          <w:szCs w:val="24"/>
        </w:rPr>
        <w:t xml:space="preserve"> who report on the</w:t>
      </w:r>
      <w:r w:rsidR="003F3C78" w:rsidRPr="00C60BAD">
        <w:rPr>
          <w:sz w:val="24"/>
          <w:szCs w:val="24"/>
        </w:rPr>
        <w:t xml:space="preserve"> financial year ended 30</w:t>
      </w:r>
      <w:r w:rsidR="001C4FCE" w:rsidRPr="00C60BAD">
        <w:rPr>
          <w:sz w:val="24"/>
          <w:szCs w:val="24"/>
        </w:rPr>
        <w:t> </w:t>
      </w:r>
      <w:r w:rsidR="003F3C78" w:rsidRPr="00C60BAD">
        <w:rPr>
          <w:sz w:val="24"/>
          <w:szCs w:val="24"/>
        </w:rPr>
        <w:t xml:space="preserve">June </w:t>
      </w:r>
      <w:r w:rsidR="00743664" w:rsidRPr="00C60BAD">
        <w:rPr>
          <w:sz w:val="24"/>
          <w:szCs w:val="24"/>
        </w:rPr>
        <w:t>submit the data required by ACFA by 31 Octobe</w:t>
      </w:r>
      <w:r w:rsidR="003F3C78" w:rsidRPr="00C60BAD">
        <w:rPr>
          <w:sz w:val="24"/>
          <w:szCs w:val="24"/>
        </w:rPr>
        <w:t xml:space="preserve">r of the same year. </w:t>
      </w:r>
      <w:proofErr w:type="gramStart"/>
      <w:r w:rsidR="003F3C78" w:rsidRPr="00C60BAD">
        <w:rPr>
          <w:sz w:val="24"/>
          <w:szCs w:val="24"/>
        </w:rPr>
        <w:t>P</w:t>
      </w:r>
      <w:r w:rsidR="00743664" w:rsidRPr="00C60BAD">
        <w:rPr>
          <w:sz w:val="24"/>
          <w:szCs w:val="24"/>
        </w:rPr>
        <w:t>roviders</w:t>
      </w:r>
      <w:proofErr w:type="gramEnd"/>
      <w:r w:rsidR="00743664" w:rsidRPr="00C60BAD">
        <w:rPr>
          <w:sz w:val="24"/>
          <w:szCs w:val="24"/>
        </w:rPr>
        <w:t xml:space="preserve"> who report on an end December basis, s</w:t>
      </w:r>
      <w:r w:rsidR="003F3C78" w:rsidRPr="00C60BAD">
        <w:rPr>
          <w:sz w:val="24"/>
          <w:szCs w:val="24"/>
        </w:rPr>
        <w:t>ubmit their required data by</w:t>
      </w:r>
      <w:r w:rsidR="00743664" w:rsidRPr="00C60BAD">
        <w:rPr>
          <w:sz w:val="24"/>
          <w:szCs w:val="24"/>
        </w:rPr>
        <w:t xml:space="preserve"> 3</w:t>
      </w:r>
      <w:r w:rsidR="006D6217" w:rsidRPr="00C60BAD">
        <w:rPr>
          <w:sz w:val="24"/>
          <w:szCs w:val="24"/>
        </w:rPr>
        <w:t xml:space="preserve">0 </w:t>
      </w:r>
      <w:r w:rsidR="00E27DD5" w:rsidRPr="00C60BAD">
        <w:rPr>
          <w:sz w:val="24"/>
          <w:szCs w:val="24"/>
        </w:rPr>
        <w:t>April the</w:t>
      </w:r>
      <w:r w:rsidR="00743664" w:rsidRPr="00C60BAD">
        <w:rPr>
          <w:sz w:val="24"/>
          <w:szCs w:val="24"/>
        </w:rPr>
        <w:t xml:space="preserve"> following year</w:t>
      </w:r>
      <w:r w:rsidR="0005086E" w:rsidRPr="00C60BAD">
        <w:rPr>
          <w:sz w:val="24"/>
          <w:szCs w:val="24"/>
        </w:rPr>
        <w:t xml:space="preserve">. Consequently ACFA’s Annual Reports are </w:t>
      </w:r>
      <w:r w:rsidR="00E035A8" w:rsidRPr="00C60BAD">
        <w:rPr>
          <w:sz w:val="24"/>
          <w:szCs w:val="24"/>
        </w:rPr>
        <w:t>based on</w:t>
      </w:r>
      <w:r w:rsidR="00743664" w:rsidRPr="00C60BAD">
        <w:rPr>
          <w:sz w:val="24"/>
          <w:szCs w:val="24"/>
        </w:rPr>
        <w:t xml:space="preserve"> data which, in the majority of cases, is over a year old at the time of publication.</w:t>
      </w:r>
    </w:p>
    <w:p w14:paraId="3F248FBB" w14:textId="77777777" w:rsidR="001648C3" w:rsidRPr="00C60BAD" w:rsidRDefault="00743664" w:rsidP="00591258">
      <w:pPr>
        <w:rPr>
          <w:sz w:val="24"/>
          <w:szCs w:val="24"/>
        </w:rPr>
      </w:pPr>
      <w:r w:rsidRPr="00C60BAD">
        <w:rPr>
          <w:sz w:val="24"/>
          <w:szCs w:val="24"/>
        </w:rPr>
        <w:t xml:space="preserve">It was noted in the 2018 Report </w:t>
      </w:r>
      <w:r w:rsidR="003F3C78" w:rsidRPr="00C60BAD">
        <w:rPr>
          <w:sz w:val="24"/>
          <w:szCs w:val="24"/>
        </w:rPr>
        <w:t xml:space="preserve">that a number of </w:t>
      </w:r>
      <w:r w:rsidR="006C0E79" w:rsidRPr="00C60BAD">
        <w:rPr>
          <w:sz w:val="24"/>
          <w:szCs w:val="24"/>
        </w:rPr>
        <w:t xml:space="preserve">policy changes, particularly those involving changes to the Aged Care </w:t>
      </w:r>
      <w:r w:rsidR="00CA6489" w:rsidRPr="00C60BAD">
        <w:rPr>
          <w:sz w:val="24"/>
          <w:szCs w:val="24"/>
        </w:rPr>
        <w:t>Funding Instrument (ACFI)</w:t>
      </w:r>
      <w:r w:rsidR="003F3C78" w:rsidRPr="00C60BAD">
        <w:rPr>
          <w:sz w:val="24"/>
          <w:szCs w:val="24"/>
        </w:rPr>
        <w:t>,</w:t>
      </w:r>
      <w:r w:rsidR="00CA6489" w:rsidRPr="00C60BAD">
        <w:rPr>
          <w:sz w:val="24"/>
          <w:szCs w:val="24"/>
        </w:rPr>
        <w:t xml:space="preserve"> that took effect in 2016 and</w:t>
      </w:r>
      <w:r w:rsidR="003F3C78" w:rsidRPr="00C60BAD">
        <w:rPr>
          <w:sz w:val="24"/>
          <w:szCs w:val="24"/>
        </w:rPr>
        <w:t xml:space="preserve"> 2017</w:t>
      </w:r>
      <w:r w:rsidR="003B7DD9" w:rsidRPr="00C60BAD">
        <w:rPr>
          <w:sz w:val="24"/>
          <w:szCs w:val="24"/>
        </w:rPr>
        <w:t xml:space="preserve"> will only be </w:t>
      </w:r>
      <w:r w:rsidR="00E74CF6" w:rsidRPr="00C60BAD">
        <w:rPr>
          <w:sz w:val="24"/>
          <w:szCs w:val="24"/>
        </w:rPr>
        <w:t>partially impacting</w:t>
      </w:r>
      <w:r w:rsidR="00CA6489" w:rsidRPr="00C60BAD">
        <w:rPr>
          <w:sz w:val="24"/>
          <w:szCs w:val="24"/>
        </w:rPr>
        <w:t xml:space="preserve"> on the 2016-17 financial results</w:t>
      </w:r>
      <w:r w:rsidR="003B7DD9" w:rsidRPr="00C60BAD">
        <w:rPr>
          <w:sz w:val="24"/>
          <w:szCs w:val="24"/>
        </w:rPr>
        <w:t xml:space="preserve"> of providers</w:t>
      </w:r>
      <w:r w:rsidR="00CA6489" w:rsidRPr="00C60BAD">
        <w:rPr>
          <w:sz w:val="24"/>
          <w:szCs w:val="24"/>
        </w:rPr>
        <w:t xml:space="preserve">. </w:t>
      </w:r>
      <w:r w:rsidR="00931D06" w:rsidRPr="00C60BAD">
        <w:rPr>
          <w:sz w:val="24"/>
          <w:szCs w:val="24"/>
        </w:rPr>
        <w:t xml:space="preserve">The Report observed, however, that </w:t>
      </w:r>
      <w:r w:rsidR="001E1927" w:rsidRPr="00C60BAD">
        <w:rPr>
          <w:sz w:val="24"/>
          <w:szCs w:val="24"/>
        </w:rPr>
        <w:t>the</w:t>
      </w:r>
      <w:r w:rsidR="00931D06" w:rsidRPr="00C60BAD">
        <w:rPr>
          <w:sz w:val="24"/>
          <w:szCs w:val="24"/>
        </w:rPr>
        <w:t xml:space="preserve"> Aged Care Financial Performance Survey published by </w:t>
      </w:r>
      <w:proofErr w:type="spellStart"/>
      <w:r w:rsidR="00931D06" w:rsidRPr="00C60BAD">
        <w:rPr>
          <w:sz w:val="24"/>
          <w:szCs w:val="24"/>
        </w:rPr>
        <w:t>StewartBrown</w:t>
      </w:r>
      <w:proofErr w:type="spellEnd"/>
      <w:r w:rsidR="00931D06" w:rsidRPr="00C60BAD">
        <w:rPr>
          <w:sz w:val="24"/>
          <w:szCs w:val="24"/>
        </w:rPr>
        <w:t xml:space="preserve"> indicated a sizeable decline in the financial performance of </w:t>
      </w:r>
      <w:r w:rsidR="00135F1A" w:rsidRPr="00C60BAD">
        <w:rPr>
          <w:sz w:val="24"/>
          <w:szCs w:val="24"/>
        </w:rPr>
        <w:t xml:space="preserve">residential aged care </w:t>
      </w:r>
      <w:r w:rsidR="00FF1BE9" w:rsidRPr="00C60BAD">
        <w:rPr>
          <w:sz w:val="24"/>
          <w:szCs w:val="24"/>
        </w:rPr>
        <w:t>facilities in</w:t>
      </w:r>
      <w:r w:rsidR="00135F1A" w:rsidRPr="00C60BAD">
        <w:rPr>
          <w:sz w:val="24"/>
          <w:szCs w:val="24"/>
        </w:rPr>
        <w:t xml:space="preserve"> the nine months to March 2018. ACFA has also received representations from providers and the peak groups who represent the sector, expressing concern over t</w:t>
      </w:r>
      <w:r w:rsidR="003B7DD9" w:rsidRPr="00C60BAD">
        <w:rPr>
          <w:sz w:val="24"/>
          <w:szCs w:val="24"/>
        </w:rPr>
        <w:t xml:space="preserve">he financial </w:t>
      </w:r>
      <w:r w:rsidR="00E74CF6" w:rsidRPr="00C60BAD">
        <w:rPr>
          <w:sz w:val="24"/>
          <w:szCs w:val="24"/>
        </w:rPr>
        <w:t>pressures impacting</w:t>
      </w:r>
      <w:r w:rsidR="00135F1A" w:rsidRPr="00C60BAD">
        <w:rPr>
          <w:sz w:val="24"/>
          <w:szCs w:val="24"/>
        </w:rPr>
        <w:t xml:space="preserve"> on providers.</w:t>
      </w:r>
    </w:p>
    <w:p w14:paraId="3F248FBC" w14:textId="77777777" w:rsidR="00743664" w:rsidRPr="00C60BAD" w:rsidRDefault="00135F1A" w:rsidP="00591258">
      <w:pPr>
        <w:rPr>
          <w:sz w:val="24"/>
          <w:szCs w:val="24"/>
        </w:rPr>
      </w:pPr>
      <w:r w:rsidRPr="00C60BAD">
        <w:rPr>
          <w:sz w:val="24"/>
          <w:szCs w:val="24"/>
        </w:rPr>
        <w:t xml:space="preserve">Since </w:t>
      </w:r>
      <w:r w:rsidR="003F22F3" w:rsidRPr="00C60BAD">
        <w:rPr>
          <w:sz w:val="24"/>
          <w:szCs w:val="24"/>
        </w:rPr>
        <w:t>finalising</w:t>
      </w:r>
      <w:r w:rsidRPr="00C60BAD">
        <w:rPr>
          <w:sz w:val="24"/>
          <w:szCs w:val="24"/>
        </w:rPr>
        <w:t xml:space="preserve"> the 2018 ACFA Annual Report, </w:t>
      </w:r>
      <w:proofErr w:type="spellStart"/>
      <w:r w:rsidRPr="00C60BAD">
        <w:rPr>
          <w:sz w:val="24"/>
          <w:szCs w:val="24"/>
        </w:rPr>
        <w:t>St</w:t>
      </w:r>
      <w:r w:rsidR="001648C3" w:rsidRPr="00C60BAD">
        <w:rPr>
          <w:sz w:val="24"/>
          <w:szCs w:val="24"/>
        </w:rPr>
        <w:t>e</w:t>
      </w:r>
      <w:r w:rsidRPr="00C60BAD">
        <w:rPr>
          <w:sz w:val="24"/>
          <w:szCs w:val="24"/>
        </w:rPr>
        <w:t>w</w:t>
      </w:r>
      <w:r w:rsidR="001648C3" w:rsidRPr="00C60BAD">
        <w:rPr>
          <w:sz w:val="24"/>
          <w:szCs w:val="24"/>
        </w:rPr>
        <w:t>a</w:t>
      </w:r>
      <w:r w:rsidRPr="00C60BAD">
        <w:rPr>
          <w:sz w:val="24"/>
          <w:szCs w:val="24"/>
        </w:rPr>
        <w:t>rtBrown</w:t>
      </w:r>
      <w:proofErr w:type="spellEnd"/>
      <w:r w:rsidRPr="00C60BAD">
        <w:rPr>
          <w:sz w:val="24"/>
          <w:szCs w:val="24"/>
        </w:rPr>
        <w:t xml:space="preserve"> </w:t>
      </w:r>
      <w:r w:rsidR="00DD6E72" w:rsidRPr="00C60BAD">
        <w:rPr>
          <w:sz w:val="24"/>
          <w:szCs w:val="24"/>
        </w:rPr>
        <w:t>has completed</w:t>
      </w:r>
      <w:r w:rsidR="003F22F3" w:rsidRPr="00C60BAD">
        <w:rPr>
          <w:sz w:val="24"/>
          <w:szCs w:val="24"/>
        </w:rPr>
        <w:t xml:space="preserve"> </w:t>
      </w:r>
      <w:r w:rsidRPr="00C60BAD">
        <w:rPr>
          <w:sz w:val="24"/>
          <w:szCs w:val="24"/>
        </w:rPr>
        <w:t xml:space="preserve">its survey results for the twelve months to June 2018 which </w:t>
      </w:r>
      <w:r w:rsidR="00FF1BE9" w:rsidRPr="00C60BAD">
        <w:rPr>
          <w:sz w:val="24"/>
          <w:szCs w:val="24"/>
        </w:rPr>
        <w:t>indicates that</w:t>
      </w:r>
      <w:r w:rsidRPr="00C60BAD">
        <w:rPr>
          <w:sz w:val="24"/>
          <w:szCs w:val="24"/>
        </w:rPr>
        <w:t xml:space="preserve"> the overall financial </w:t>
      </w:r>
      <w:r w:rsidR="001163EF" w:rsidRPr="00C60BAD">
        <w:rPr>
          <w:sz w:val="24"/>
          <w:szCs w:val="24"/>
        </w:rPr>
        <w:t>performance of</w:t>
      </w:r>
      <w:r w:rsidR="00D92C1E" w:rsidRPr="00C60BAD">
        <w:rPr>
          <w:sz w:val="24"/>
          <w:szCs w:val="24"/>
        </w:rPr>
        <w:t xml:space="preserve"> the r</w:t>
      </w:r>
      <w:r w:rsidR="00E035A8" w:rsidRPr="00C60BAD">
        <w:rPr>
          <w:sz w:val="24"/>
          <w:szCs w:val="24"/>
        </w:rPr>
        <w:t xml:space="preserve">esidential aged care </w:t>
      </w:r>
      <w:r w:rsidR="001648C3" w:rsidRPr="00C60BAD">
        <w:rPr>
          <w:sz w:val="24"/>
          <w:szCs w:val="24"/>
        </w:rPr>
        <w:t xml:space="preserve">facilities participating in the </w:t>
      </w:r>
      <w:r w:rsidR="00FF1BE9" w:rsidRPr="00C60BAD">
        <w:rPr>
          <w:sz w:val="24"/>
          <w:szCs w:val="24"/>
        </w:rPr>
        <w:t>survey has</w:t>
      </w:r>
      <w:r w:rsidR="00D92C1E" w:rsidRPr="00C60BAD">
        <w:rPr>
          <w:sz w:val="24"/>
          <w:szCs w:val="24"/>
        </w:rPr>
        <w:t xml:space="preserve"> declined further compared with the nine months to March 2018.</w:t>
      </w:r>
      <w:r w:rsidR="004C5F8C" w:rsidRPr="00C60BAD">
        <w:rPr>
          <w:sz w:val="24"/>
          <w:szCs w:val="24"/>
        </w:rPr>
        <w:t xml:space="preserve"> </w:t>
      </w:r>
      <w:r w:rsidR="00E72918" w:rsidRPr="00C60BAD">
        <w:rPr>
          <w:sz w:val="24"/>
          <w:szCs w:val="24"/>
        </w:rPr>
        <w:t>While th</w:t>
      </w:r>
      <w:r w:rsidR="003B7DD9" w:rsidRPr="00C60BAD">
        <w:rPr>
          <w:sz w:val="24"/>
          <w:szCs w:val="24"/>
        </w:rPr>
        <w:t xml:space="preserve">e </w:t>
      </w:r>
      <w:proofErr w:type="spellStart"/>
      <w:r w:rsidR="003B7DD9" w:rsidRPr="00C60BAD">
        <w:rPr>
          <w:sz w:val="24"/>
          <w:szCs w:val="24"/>
        </w:rPr>
        <w:t>St</w:t>
      </w:r>
      <w:r w:rsidR="001648C3" w:rsidRPr="00C60BAD">
        <w:rPr>
          <w:sz w:val="24"/>
          <w:szCs w:val="24"/>
        </w:rPr>
        <w:t>e</w:t>
      </w:r>
      <w:r w:rsidR="003B7DD9" w:rsidRPr="00C60BAD">
        <w:rPr>
          <w:sz w:val="24"/>
          <w:szCs w:val="24"/>
        </w:rPr>
        <w:t>w</w:t>
      </w:r>
      <w:r w:rsidR="001648C3" w:rsidRPr="00C60BAD">
        <w:rPr>
          <w:sz w:val="24"/>
          <w:szCs w:val="24"/>
        </w:rPr>
        <w:t>a</w:t>
      </w:r>
      <w:r w:rsidR="003B7DD9" w:rsidRPr="00C60BAD">
        <w:rPr>
          <w:sz w:val="24"/>
          <w:szCs w:val="24"/>
        </w:rPr>
        <w:t>rtBrown</w:t>
      </w:r>
      <w:proofErr w:type="spellEnd"/>
      <w:r w:rsidR="003B7DD9" w:rsidRPr="00C60BAD">
        <w:rPr>
          <w:sz w:val="24"/>
          <w:szCs w:val="24"/>
        </w:rPr>
        <w:t xml:space="preserve"> survey results are</w:t>
      </w:r>
      <w:r w:rsidR="00E72918" w:rsidRPr="00C60BAD">
        <w:rPr>
          <w:sz w:val="24"/>
          <w:szCs w:val="24"/>
        </w:rPr>
        <w:t xml:space="preserve"> not directly comparable with the comprehensive data underlying ACFA’s </w:t>
      </w:r>
      <w:r w:rsidR="00CF1637" w:rsidRPr="00C60BAD">
        <w:rPr>
          <w:sz w:val="24"/>
          <w:szCs w:val="24"/>
        </w:rPr>
        <w:t>A</w:t>
      </w:r>
      <w:r w:rsidR="00E72918" w:rsidRPr="00C60BAD">
        <w:rPr>
          <w:sz w:val="24"/>
          <w:szCs w:val="24"/>
        </w:rPr>
        <w:t xml:space="preserve">nnual </w:t>
      </w:r>
      <w:r w:rsidR="00CF1637" w:rsidRPr="00C60BAD">
        <w:rPr>
          <w:sz w:val="24"/>
          <w:szCs w:val="24"/>
        </w:rPr>
        <w:t>R</w:t>
      </w:r>
      <w:r w:rsidR="00E72918" w:rsidRPr="00C60BAD">
        <w:rPr>
          <w:sz w:val="24"/>
          <w:szCs w:val="24"/>
        </w:rPr>
        <w:t xml:space="preserve">eports on funding and financing issues, they are </w:t>
      </w:r>
      <w:r w:rsidR="00E035A8" w:rsidRPr="00C60BAD">
        <w:rPr>
          <w:sz w:val="24"/>
          <w:szCs w:val="24"/>
        </w:rPr>
        <w:t>likely</w:t>
      </w:r>
      <w:r w:rsidR="00E72918" w:rsidRPr="00C60BAD">
        <w:rPr>
          <w:sz w:val="24"/>
          <w:szCs w:val="24"/>
        </w:rPr>
        <w:t xml:space="preserve"> to broadly reflect developments in the residential aged care sector.</w:t>
      </w:r>
    </w:p>
    <w:p w14:paraId="3F248FBD" w14:textId="77777777" w:rsidR="00D92C1E" w:rsidRPr="00C60BAD" w:rsidRDefault="00D92C1E" w:rsidP="00591258">
      <w:pPr>
        <w:rPr>
          <w:sz w:val="24"/>
          <w:szCs w:val="24"/>
        </w:rPr>
      </w:pPr>
      <w:r w:rsidRPr="00C60BAD">
        <w:rPr>
          <w:sz w:val="24"/>
          <w:szCs w:val="24"/>
        </w:rPr>
        <w:t>Given these developments, ACFA undertook to provide the Minister for Aged Care with an update of its assessment of the funding and financing issues currently impacting on the res</w:t>
      </w:r>
      <w:r w:rsidR="000A5C51" w:rsidRPr="00C60BAD">
        <w:rPr>
          <w:sz w:val="24"/>
          <w:szCs w:val="24"/>
        </w:rPr>
        <w:t xml:space="preserve">idential aged care sector. </w:t>
      </w:r>
      <w:r w:rsidRPr="00C60BAD">
        <w:rPr>
          <w:sz w:val="24"/>
          <w:szCs w:val="24"/>
        </w:rPr>
        <w:t xml:space="preserve">ACFA acknowledges and thanks </w:t>
      </w:r>
      <w:proofErr w:type="spellStart"/>
      <w:r w:rsidRPr="00C60BAD">
        <w:rPr>
          <w:sz w:val="24"/>
          <w:szCs w:val="24"/>
        </w:rPr>
        <w:t>Stew</w:t>
      </w:r>
      <w:r w:rsidR="001648C3" w:rsidRPr="00C60BAD">
        <w:rPr>
          <w:sz w:val="24"/>
          <w:szCs w:val="24"/>
        </w:rPr>
        <w:t>a</w:t>
      </w:r>
      <w:r w:rsidRPr="00C60BAD">
        <w:rPr>
          <w:sz w:val="24"/>
          <w:szCs w:val="24"/>
        </w:rPr>
        <w:t>rtBrown</w:t>
      </w:r>
      <w:proofErr w:type="spellEnd"/>
      <w:r w:rsidRPr="00C60BAD">
        <w:rPr>
          <w:sz w:val="24"/>
          <w:szCs w:val="24"/>
        </w:rPr>
        <w:t xml:space="preserve"> who facilita</w:t>
      </w:r>
      <w:r w:rsidR="000A5C51" w:rsidRPr="00C60BAD">
        <w:rPr>
          <w:sz w:val="24"/>
          <w:szCs w:val="24"/>
        </w:rPr>
        <w:t>ted an examination of the results of its survey for the 12 months</w:t>
      </w:r>
      <w:r w:rsidR="0005086E" w:rsidRPr="00C60BAD">
        <w:rPr>
          <w:sz w:val="24"/>
          <w:szCs w:val="24"/>
        </w:rPr>
        <w:t xml:space="preserve"> to June </w:t>
      </w:r>
      <w:r w:rsidR="00432473" w:rsidRPr="00C60BAD">
        <w:rPr>
          <w:sz w:val="24"/>
          <w:szCs w:val="24"/>
        </w:rPr>
        <w:t>2018</w:t>
      </w:r>
      <w:r w:rsidR="000A5C51" w:rsidRPr="00C60BAD">
        <w:rPr>
          <w:sz w:val="24"/>
          <w:szCs w:val="24"/>
        </w:rPr>
        <w:t xml:space="preserve">. However, in the absence of </w:t>
      </w:r>
      <w:r w:rsidR="00E035A8" w:rsidRPr="00C60BAD">
        <w:rPr>
          <w:sz w:val="24"/>
          <w:szCs w:val="24"/>
        </w:rPr>
        <w:t>comprehensive</w:t>
      </w:r>
      <w:r w:rsidR="009169A8" w:rsidRPr="00C60BAD">
        <w:rPr>
          <w:sz w:val="24"/>
          <w:szCs w:val="24"/>
        </w:rPr>
        <w:t xml:space="preserve"> </w:t>
      </w:r>
      <w:r w:rsidRPr="00C60BAD">
        <w:rPr>
          <w:sz w:val="24"/>
          <w:szCs w:val="24"/>
        </w:rPr>
        <w:t xml:space="preserve">data </w:t>
      </w:r>
      <w:r w:rsidR="00097588" w:rsidRPr="00C60BAD">
        <w:rPr>
          <w:sz w:val="24"/>
          <w:szCs w:val="24"/>
        </w:rPr>
        <w:t xml:space="preserve">at the provider level </w:t>
      </w:r>
      <w:r w:rsidR="009169A8" w:rsidRPr="00C60BAD">
        <w:rPr>
          <w:sz w:val="24"/>
          <w:szCs w:val="24"/>
        </w:rPr>
        <w:t xml:space="preserve">for 2017-18, </w:t>
      </w:r>
      <w:r w:rsidRPr="00C60BAD">
        <w:rPr>
          <w:sz w:val="24"/>
          <w:szCs w:val="24"/>
        </w:rPr>
        <w:t xml:space="preserve">this update is largely </w:t>
      </w:r>
      <w:r w:rsidR="00B311F0" w:rsidRPr="00C60BAD">
        <w:rPr>
          <w:sz w:val="24"/>
          <w:szCs w:val="24"/>
        </w:rPr>
        <w:t>qualitative</w:t>
      </w:r>
      <w:r w:rsidR="005655B4" w:rsidRPr="00C60BAD">
        <w:rPr>
          <w:sz w:val="24"/>
          <w:szCs w:val="24"/>
        </w:rPr>
        <w:t xml:space="preserve">. It </w:t>
      </w:r>
      <w:r w:rsidR="00E035A8" w:rsidRPr="00C60BAD">
        <w:rPr>
          <w:sz w:val="24"/>
          <w:szCs w:val="24"/>
        </w:rPr>
        <w:t>is mainly based</w:t>
      </w:r>
      <w:r w:rsidRPr="00C60BAD">
        <w:rPr>
          <w:sz w:val="24"/>
          <w:szCs w:val="24"/>
        </w:rPr>
        <w:t xml:space="preserve"> on </w:t>
      </w:r>
      <w:r w:rsidR="005655B4" w:rsidRPr="00C60BAD">
        <w:rPr>
          <w:sz w:val="24"/>
          <w:szCs w:val="24"/>
        </w:rPr>
        <w:t xml:space="preserve">feedback from </w:t>
      </w:r>
      <w:r w:rsidRPr="00C60BAD">
        <w:rPr>
          <w:sz w:val="24"/>
          <w:szCs w:val="24"/>
        </w:rPr>
        <w:t>consultations with a cross section of providers</w:t>
      </w:r>
      <w:r w:rsidR="00B311F0" w:rsidRPr="00C60BAD">
        <w:rPr>
          <w:sz w:val="24"/>
          <w:szCs w:val="24"/>
        </w:rPr>
        <w:t>, financial institutions and analysts</w:t>
      </w:r>
      <w:r w:rsidR="009169A8" w:rsidRPr="00C60BAD">
        <w:rPr>
          <w:sz w:val="24"/>
          <w:szCs w:val="24"/>
        </w:rPr>
        <w:t xml:space="preserve">, along with reflections by ACFA on the factors </w:t>
      </w:r>
      <w:r w:rsidR="00E035A8" w:rsidRPr="00C60BAD">
        <w:rPr>
          <w:sz w:val="24"/>
          <w:szCs w:val="24"/>
        </w:rPr>
        <w:t>that may</w:t>
      </w:r>
      <w:r w:rsidR="009169A8" w:rsidRPr="00C60BAD">
        <w:rPr>
          <w:sz w:val="24"/>
          <w:szCs w:val="24"/>
        </w:rPr>
        <w:t xml:space="preserve"> be influencing the current financial position and the implications of these developments</w:t>
      </w:r>
      <w:r w:rsidR="00B311F0" w:rsidRPr="00C60BAD">
        <w:rPr>
          <w:sz w:val="24"/>
          <w:szCs w:val="24"/>
        </w:rPr>
        <w:t>. The providers consulted include</w:t>
      </w:r>
      <w:r w:rsidR="0076076C" w:rsidRPr="00C60BAD">
        <w:rPr>
          <w:sz w:val="24"/>
          <w:szCs w:val="24"/>
        </w:rPr>
        <w:t>:</w:t>
      </w:r>
      <w:r w:rsidR="008F49FB" w:rsidRPr="00C60BAD">
        <w:rPr>
          <w:sz w:val="24"/>
          <w:szCs w:val="24"/>
        </w:rPr>
        <w:t xml:space="preserve"> profit and not-for-profit</w:t>
      </w:r>
      <w:r w:rsidR="0076076C" w:rsidRPr="00C60BAD">
        <w:rPr>
          <w:sz w:val="24"/>
          <w:szCs w:val="24"/>
        </w:rPr>
        <w:t>;</w:t>
      </w:r>
      <w:r w:rsidR="00B311F0" w:rsidRPr="00C60BAD">
        <w:rPr>
          <w:sz w:val="24"/>
          <w:szCs w:val="24"/>
        </w:rPr>
        <w:t xml:space="preserve"> metropolitan, regional and remote</w:t>
      </w:r>
      <w:r w:rsidR="00E035A8" w:rsidRPr="00C60BAD">
        <w:rPr>
          <w:sz w:val="24"/>
          <w:szCs w:val="24"/>
        </w:rPr>
        <w:t>; and</w:t>
      </w:r>
      <w:r w:rsidR="008F49FB" w:rsidRPr="00C60BAD">
        <w:rPr>
          <w:sz w:val="24"/>
          <w:szCs w:val="24"/>
        </w:rPr>
        <w:t xml:space="preserve"> those operating one or a few facilities along with those operating a </w:t>
      </w:r>
      <w:r w:rsidR="0076076C" w:rsidRPr="00C60BAD">
        <w:rPr>
          <w:sz w:val="24"/>
          <w:szCs w:val="24"/>
        </w:rPr>
        <w:t xml:space="preserve">very </w:t>
      </w:r>
      <w:r w:rsidR="008F49FB" w:rsidRPr="00C60BAD">
        <w:rPr>
          <w:sz w:val="24"/>
          <w:szCs w:val="24"/>
        </w:rPr>
        <w:t xml:space="preserve">large number of facilities. </w:t>
      </w:r>
    </w:p>
    <w:p w14:paraId="3F248FBE" w14:textId="77777777" w:rsidR="006446E7" w:rsidRPr="00C60BAD" w:rsidRDefault="00B31B3D" w:rsidP="00591258">
      <w:pPr>
        <w:rPr>
          <w:sz w:val="24"/>
          <w:szCs w:val="24"/>
        </w:rPr>
      </w:pPr>
      <w:r w:rsidRPr="00C60BAD">
        <w:rPr>
          <w:sz w:val="24"/>
          <w:szCs w:val="24"/>
        </w:rPr>
        <w:t xml:space="preserve">The issues discussed with providers included: </w:t>
      </w:r>
      <w:r w:rsidR="009169A8" w:rsidRPr="00C60BAD">
        <w:rPr>
          <w:sz w:val="24"/>
          <w:szCs w:val="24"/>
        </w:rPr>
        <w:t xml:space="preserve">trends and </w:t>
      </w:r>
      <w:r w:rsidRPr="00C60BAD">
        <w:rPr>
          <w:sz w:val="24"/>
          <w:szCs w:val="24"/>
        </w:rPr>
        <w:t xml:space="preserve">influences on revenue performance, including ACFI payments, other revenue sources and any steps taken to increase revenue; trends and influences on expenses along with any measures to reduce costs and increase efficiency; the impact of </w:t>
      </w:r>
      <w:r w:rsidR="004C5F8C" w:rsidRPr="00C60BAD">
        <w:rPr>
          <w:sz w:val="24"/>
          <w:szCs w:val="24"/>
        </w:rPr>
        <w:t xml:space="preserve">revenue and expenditure developments on care </w:t>
      </w:r>
      <w:r w:rsidR="004C5F8C" w:rsidRPr="00C60BAD">
        <w:rPr>
          <w:sz w:val="24"/>
          <w:szCs w:val="24"/>
        </w:rPr>
        <w:lastRenderedPageBreak/>
        <w:t xml:space="preserve">quality; assumptions underlying projections for future financial performance; </w:t>
      </w:r>
      <w:r w:rsidR="009169A8" w:rsidRPr="00C60BAD">
        <w:rPr>
          <w:sz w:val="24"/>
          <w:szCs w:val="24"/>
        </w:rPr>
        <w:t>and the potential impact of</w:t>
      </w:r>
      <w:r w:rsidR="004C5F8C" w:rsidRPr="00C60BAD">
        <w:rPr>
          <w:sz w:val="24"/>
          <w:szCs w:val="24"/>
        </w:rPr>
        <w:t xml:space="preserve"> recent dev</w:t>
      </w:r>
      <w:r w:rsidR="009169A8" w:rsidRPr="00C60BAD">
        <w:rPr>
          <w:sz w:val="24"/>
          <w:szCs w:val="24"/>
        </w:rPr>
        <w:t>elopments on</w:t>
      </w:r>
      <w:r w:rsidR="004C5F8C" w:rsidRPr="00C60BAD">
        <w:rPr>
          <w:sz w:val="24"/>
          <w:szCs w:val="24"/>
        </w:rPr>
        <w:t xml:space="preserve"> investment </w:t>
      </w:r>
      <w:r w:rsidR="00E035A8" w:rsidRPr="00C60BAD">
        <w:rPr>
          <w:sz w:val="24"/>
          <w:szCs w:val="24"/>
        </w:rPr>
        <w:t>intentions. The</w:t>
      </w:r>
      <w:r w:rsidR="004C5F8C" w:rsidRPr="00C60BAD">
        <w:rPr>
          <w:sz w:val="24"/>
          <w:szCs w:val="24"/>
        </w:rPr>
        <w:t xml:space="preserve"> providers consulted were targeted with the objective of gaining a </w:t>
      </w:r>
      <w:r w:rsidR="00707B64" w:rsidRPr="00C60BAD">
        <w:rPr>
          <w:sz w:val="24"/>
          <w:szCs w:val="24"/>
        </w:rPr>
        <w:t xml:space="preserve">representative overview of developments in the </w:t>
      </w:r>
      <w:proofErr w:type="gramStart"/>
      <w:r w:rsidR="001E1927" w:rsidRPr="00C60BAD">
        <w:rPr>
          <w:sz w:val="24"/>
          <w:szCs w:val="24"/>
        </w:rPr>
        <w:t>industry</w:t>
      </w:r>
      <w:r w:rsidR="00707B64" w:rsidRPr="00C60BAD">
        <w:rPr>
          <w:sz w:val="24"/>
          <w:szCs w:val="24"/>
        </w:rPr>
        <w:t>,</w:t>
      </w:r>
      <w:proofErr w:type="gramEnd"/>
      <w:r w:rsidR="00707B64" w:rsidRPr="00C60BAD">
        <w:rPr>
          <w:sz w:val="24"/>
          <w:szCs w:val="24"/>
        </w:rPr>
        <w:t xml:space="preserve"> however care is required in drawing broad conclusions from a limited sample base. </w:t>
      </w:r>
      <w:r w:rsidR="00E035A8" w:rsidRPr="00C60BAD">
        <w:rPr>
          <w:sz w:val="24"/>
          <w:szCs w:val="24"/>
        </w:rPr>
        <w:t>Nevertheless</w:t>
      </w:r>
      <w:r w:rsidR="00707B64" w:rsidRPr="00C60BAD">
        <w:rPr>
          <w:sz w:val="24"/>
          <w:szCs w:val="24"/>
        </w:rPr>
        <w:t xml:space="preserve"> ACFA believes the consultations have provided a useful insight on</w:t>
      </w:r>
      <w:r w:rsidR="00E035A8" w:rsidRPr="00C60BAD">
        <w:rPr>
          <w:sz w:val="24"/>
          <w:szCs w:val="24"/>
        </w:rPr>
        <w:t xml:space="preserve"> </w:t>
      </w:r>
      <w:r w:rsidR="001163EF" w:rsidRPr="00C60BAD">
        <w:rPr>
          <w:sz w:val="24"/>
          <w:szCs w:val="24"/>
        </w:rPr>
        <w:t>developments</w:t>
      </w:r>
      <w:r w:rsidR="00E035A8" w:rsidRPr="00C60BAD">
        <w:rPr>
          <w:sz w:val="24"/>
          <w:szCs w:val="24"/>
        </w:rPr>
        <w:t xml:space="preserve">. </w:t>
      </w:r>
      <w:r w:rsidR="00707B64" w:rsidRPr="00C60BAD">
        <w:rPr>
          <w:sz w:val="24"/>
          <w:szCs w:val="24"/>
        </w:rPr>
        <w:t xml:space="preserve">On the basis of feedback from these consultations, ACFA provides some observations on implications for the outlook for the </w:t>
      </w:r>
      <w:r w:rsidR="001E1927" w:rsidRPr="00C60BAD">
        <w:rPr>
          <w:sz w:val="24"/>
          <w:szCs w:val="24"/>
        </w:rPr>
        <w:t>industry</w:t>
      </w:r>
      <w:r w:rsidR="00707B64" w:rsidRPr="00C60BAD">
        <w:rPr>
          <w:sz w:val="24"/>
          <w:szCs w:val="24"/>
        </w:rPr>
        <w:t>.</w:t>
      </w:r>
    </w:p>
    <w:p w14:paraId="3F248FBF" w14:textId="77777777" w:rsidR="006446E7" w:rsidRDefault="006446E7" w:rsidP="00CB25A6">
      <w:pPr>
        <w:pStyle w:val="Heading2"/>
      </w:pPr>
      <w:bookmarkStart w:id="2" w:name="_Toc525127620"/>
      <w:r w:rsidRPr="002E2B85">
        <w:t>Structure of the Update</w:t>
      </w:r>
      <w:bookmarkEnd w:id="2"/>
    </w:p>
    <w:p w14:paraId="3F248FC0" w14:textId="77777777" w:rsidR="006446E7" w:rsidRPr="00C60BAD" w:rsidRDefault="006446E7">
      <w:pPr>
        <w:rPr>
          <w:sz w:val="24"/>
          <w:szCs w:val="24"/>
        </w:rPr>
      </w:pPr>
      <w:r w:rsidRPr="00C60BAD">
        <w:rPr>
          <w:sz w:val="24"/>
          <w:szCs w:val="24"/>
        </w:rPr>
        <w:t>The Update is in two parts.</w:t>
      </w:r>
    </w:p>
    <w:p w14:paraId="3F248FC1" w14:textId="77777777" w:rsidR="00501E21" w:rsidRPr="00C60BAD" w:rsidRDefault="006446E7">
      <w:pPr>
        <w:rPr>
          <w:sz w:val="24"/>
          <w:szCs w:val="24"/>
        </w:rPr>
      </w:pPr>
      <w:r w:rsidRPr="00C60BAD">
        <w:rPr>
          <w:b/>
          <w:sz w:val="24"/>
          <w:szCs w:val="24"/>
        </w:rPr>
        <w:t>Part A</w:t>
      </w:r>
      <w:r w:rsidRPr="00C60BAD">
        <w:rPr>
          <w:sz w:val="24"/>
          <w:szCs w:val="24"/>
        </w:rPr>
        <w:t xml:space="preserve"> </w:t>
      </w:r>
    </w:p>
    <w:p w14:paraId="3F248FC2" w14:textId="77777777" w:rsidR="006446E7" w:rsidRPr="00C60BAD" w:rsidRDefault="00501E21">
      <w:pPr>
        <w:rPr>
          <w:sz w:val="24"/>
          <w:szCs w:val="24"/>
        </w:rPr>
      </w:pPr>
      <w:r w:rsidRPr="00C60BAD">
        <w:rPr>
          <w:sz w:val="24"/>
          <w:szCs w:val="24"/>
        </w:rPr>
        <w:t xml:space="preserve">Part A </w:t>
      </w:r>
      <w:r w:rsidR="001C4FCE" w:rsidRPr="00C60BAD">
        <w:rPr>
          <w:sz w:val="24"/>
          <w:szCs w:val="24"/>
        </w:rPr>
        <w:t>c</w:t>
      </w:r>
      <w:r w:rsidR="006446E7" w:rsidRPr="00C60BAD">
        <w:rPr>
          <w:sz w:val="24"/>
          <w:szCs w:val="24"/>
        </w:rPr>
        <w:t>overs</w:t>
      </w:r>
      <w:r w:rsidRPr="00C60BAD">
        <w:rPr>
          <w:sz w:val="24"/>
          <w:szCs w:val="24"/>
        </w:rPr>
        <w:t xml:space="preserve"> background on</w:t>
      </w:r>
      <w:r w:rsidR="006446E7" w:rsidRPr="00C60BAD">
        <w:rPr>
          <w:sz w:val="24"/>
          <w:szCs w:val="24"/>
        </w:rPr>
        <w:t>:</w:t>
      </w:r>
    </w:p>
    <w:p w14:paraId="3F248FC3" w14:textId="77777777" w:rsidR="006446E7" w:rsidRPr="00C60BAD" w:rsidRDefault="00501E21" w:rsidP="00501E21">
      <w:pPr>
        <w:pStyle w:val="ListParagraph"/>
        <w:numPr>
          <w:ilvl w:val="0"/>
          <w:numId w:val="5"/>
        </w:numPr>
        <w:rPr>
          <w:sz w:val="24"/>
          <w:szCs w:val="24"/>
        </w:rPr>
      </w:pPr>
      <w:r w:rsidRPr="00C60BAD">
        <w:rPr>
          <w:sz w:val="24"/>
          <w:szCs w:val="24"/>
        </w:rPr>
        <w:t>T</w:t>
      </w:r>
      <w:r w:rsidR="006446E7" w:rsidRPr="00C60BAD">
        <w:rPr>
          <w:sz w:val="24"/>
          <w:szCs w:val="24"/>
        </w:rPr>
        <w:t xml:space="preserve">he financial performance of the aged care residential </w:t>
      </w:r>
      <w:r w:rsidR="001E1927" w:rsidRPr="00C60BAD">
        <w:rPr>
          <w:sz w:val="24"/>
          <w:szCs w:val="24"/>
        </w:rPr>
        <w:t>industry</w:t>
      </w:r>
      <w:r w:rsidR="006446E7" w:rsidRPr="00C60BAD">
        <w:rPr>
          <w:sz w:val="24"/>
          <w:szCs w:val="24"/>
        </w:rPr>
        <w:t xml:space="preserve"> in recent years</w:t>
      </w:r>
    </w:p>
    <w:p w14:paraId="3F248FC4" w14:textId="77777777" w:rsidR="006446E7" w:rsidRPr="00C60BAD" w:rsidRDefault="006446E7" w:rsidP="00501E21">
      <w:pPr>
        <w:pStyle w:val="ListParagraph"/>
        <w:numPr>
          <w:ilvl w:val="0"/>
          <w:numId w:val="5"/>
        </w:numPr>
        <w:rPr>
          <w:sz w:val="24"/>
          <w:szCs w:val="24"/>
        </w:rPr>
      </w:pPr>
      <w:r w:rsidRPr="00C60BAD">
        <w:rPr>
          <w:sz w:val="24"/>
          <w:szCs w:val="24"/>
        </w:rPr>
        <w:t>A summary of survey results of the perfo</w:t>
      </w:r>
      <w:r w:rsidR="001C4FCE" w:rsidRPr="00C60BAD">
        <w:rPr>
          <w:sz w:val="24"/>
          <w:szCs w:val="24"/>
        </w:rPr>
        <w:t xml:space="preserve">rmance of the </w:t>
      </w:r>
      <w:r w:rsidR="001E1927" w:rsidRPr="00C60BAD">
        <w:rPr>
          <w:sz w:val="24"/>
          <w:szCs w:val="24"/>
        </w:rPr>
        <w:t>industry</w:t>
      </w:r>
      <w:r w:rsidR="001C4FCE" w:rsidRPr="00C60BAD">
        <w:rPr>
          <w:sz w:val="24"/>
          <w:szCs w:val="24"/>
        </w:rPr>
        <w:t xml:space="preserve"> in 2017-18</w:t>
      </w:r>
    </w:p>
    <w:p w14:paraId="3F248FC5" w14:textId="77777777" w:rsidR="006446E7" w:rsidRPr="00C60BAD" w:rsidRDefault="006446E7" w:rsidP="00501E21">
      <w:pPr>
        <w:pStyle w:val="ListParagraph"/>
        <w:numPr>
          <w:ilvl w:val="0"/>
          <w:numId w:val="5"/>
        </w:numPr>
        <w:rPr>
          <w:sz w:val="24"/>
          <w:szCs w:val="24"/>
        </w:rPr>
      </w:pPr>
      <w:r w:rsidRPr="00C60BAD">
        <w:rPr>
          <w:sz w:val="24"/>
          <w:szCs w:val="24"/>
        </w:rPr>
        <w:t>A breakdown of residential pro</w:t>
      </w:r>
      <w:r w:rsidR="001C4FCE" w:rsidRPr="00C60BAD">
        <w:rPr>
          <w:sz w:val="24"/>
          <w:szCs w:val="24"/>
        </w:rPr>
        <w:t>vider revenue and main expenses</w:t>
      </w:r>
    </w:p>
    <w:p w14:paraId="3F248FC6" w14:textId="77777777" w:rsidR="006446E7" w:rsidRPr="00C60BAD" w:rsidRDefault="006446E7" w:rsidP="00501E21">
      <w:pPr>
        <w:pStyle w:val="ListParagraph"/>
        <w:numPr>
          <w:ilvl w:val="0"/>
          <w:numId w:val="5"/>
        </w:numPr>
        <w:rPr>
          <w:sz w:val="24"/>
          <w:szCs w:val="24"/>
        </w:rPr>
      </w:pPr>
      <w:r w:rsidRPr="00C60BAD">
        <w:rPr>
          <w:sz w:val="24"/>
          <w:szCs w:val="24"/>
        </w:rPr>
        <w:t>Changes to ACFI.</w:t>
      </w:r>
    </w:p>
    <w:p w14:paraId="3F248FC7" w14:textId="77777777" w:rsidR="00501E21" w:rsidRPr="00C60BAD" w:rsidRDefault="00501E21">
      <w:pPr>
        <w:rPr>
          <w:b/>
          <w:sz w:val="24"/>
          <w:szCs w:val="24"/>
        </w:rPr>
      </w:pPr>
      <w:r w:rsidRPr="00C60BAD">
        <w:rPr>
          <w:b/>
          <w:sz w:val="24"/>
          <w:szCs w:val="24"/>
        </w:rPr>
        <w:t>Part B</w:t>
      </w:r>
    </w:p>
    <w:p w14:paraId="3F248FC8" w14:textId="77777777" w:rsidR="006446E7" w:rsidRPr="00C60BAD" w:rsidRDefault="006446E7">
      <w:pPr>
        <w:rPr>
          <w:sz w:val="24"/>
          <w:szCs w:val="24"/>
        </w:rPr>
      </w:pPr>
      <w:r w:rsidRPr="00C60BAD">
        <w:rPr>
          <w:sz w:val="24"/>
          <w:szCs w:val="24"/>
        </w:rPr>
        <w:t>Part B provides a summary of the feedback from ACFA consu</w:t>
      </w:r>
      <w:r w:rsidR="00501E21" w:rsidRPr="00C60BAD">
        <w:rPr>
          <w:sz w:val="24"/>
          <w:szCs w:val="24"/>
        </w:rPr>
        <w:t xml:space="preserve">ltations with providers </w:t>
      </w:r>
      <w:r w:rsidRPr="00C60BAD">
        <w:rPr>
          <w:sz w:val="24"/>
          <w:szCs w:val="24"/>
        </w:rPr>
        <w:t>and financial institutions and covers:</w:t>
      </w:r>
    </w:p>
    <w:p w14:paraId="3F248FC9" w14:textId="77777777" w:rsidR="006446E7" w:rsidRPr="00C60BAD" w:rsidRDefault="006446E7" w:rsidP="00501E21">
      <w:pPr>
        <w:pStyle w:val="ListParagraph"/>
        <w:numPr>
          <w:ilvl w:val="0"/>
          <w:numId w:val="6"/>
        </w:numPr>
        <w:rPr>
          <w:sz w:val="24"/>
          <w:szCs w:val="24"/>
        </w:rPr>
      </w:pPr>
      <w:r w:rsidRPr="00C60BAD">
        <w:rPr>
          <w:sz w:val="24"/>
          <w:szCs w:val="24"/>
        </w:rPr>
        <w:t>Overview of financial performance in 2017-18</w:t>
      </w:r>
    </w:p>
    <w:p w14:paraId="3F248FCA" w14:textId="77777777" w:rsidR="006446E7" w:rsidRPr="00C60BAD" w:rsidRDefault="006446E7" w:rsidP="00501E21">
      <w:pPr>
        <w:pStyle w:val="ListParagraph"/>
        <w:numPr>
          <w:ilvl w:val="0"/>
          <w:numId w:val="6"/>
        </w:numPr>
        <w:rPr>
          <w:sz w:val="24"/>
          <w:szCs w:val="24"/>
        </w:rPr>
      </w:pPr>
      <w:r w:rsidRPr="00C60BAD">
        <w:rPr>
          <w:sz w:val="24"/>
          <w:szCs w:val="24"/>
        </w:rPr>
        <w:t>Level of concern over financial developments</w:t>
      </w:r>
    </w:p>
    <w:p w14:paraId="3F248FCB" w14:textId="77777777" w:rsidR="006446E7" w:rsidRPr="00C60BAD" w:rsidRDefault="006446E7" w:rsidP="00501E21">
      <w:pPr>
        <w:pStyle w:val="ListParagraph"/>
        <w:numPr>
          <w:ilvl w:val="0"/>
          <w:numId w:val="6"/>
        </w:numPr>
        <w:rPr>
          <w:sz w:val="24"/>
          <w:szCs w:val="24"/>
        </w:rPr>
      </w:pPr>
      <w:r w:rsidRPr="00C60BAD">
        <w:rPr>
          <w:sz w:val="24"/>
          <w:szCs w:val="24"/>
        </w:rPr>
        <w:t>Impact of changes to ACFI</w:t>
      </w:r>
    </w:p>
    <w:p w14:paraId="3F248FCC" w14:textId="77777777" w:rsidR="006446E7" w:rsidRPr="00C60BAD" w:rsidRDefault="006446E7" w:rsidP="00501E21">
      <w:pPr>
        <w:pStyle w:val="ListParagraph"/>
        <w:numPr>
          <w:ilvl w:val="0"/>
          <w:numId w:val="6"/>
        </w:numPr>
        <w:rPr>
          <w:sz w:val="24"/>
          <w:szCs w:val="24"/>
        </w:rPr>
      </w:pPr>
      <w:r w:rsidRPr="00C60BAD">
        <w:rPr>
          <w:sz w:val="24"/>
          <w:szCs w:val="24"/>
        </w:rPr>
        <w:t>Efforts to curtail costs</w:t>
      </w:r>
    </w:p>
    <w:p w14:paraId="3F248FCD" w14:textId="77777777" w:rsidR="006446E7" w:rsidRPr="00C60BAD" w:rsidRDefault="006446E7" w:rsidP="00501E21">
      <w:pPr>
        <w:pStyle w:val="ListParagraph"/>
        <w:numPr>
          <w:ilvl w:val="0"/>
          <w:numId w:val="6"/>
        </w:numPr>
        <w:rPr>
          <w:sz w:val="24"/>
          <w:szCs w:val="24"/>
        </w:rPr>
      </w:pPr>
      <w:r w:rsidRPr="00C60BAD">
        <w:rPr>
          <w:sz w:val="24"/>
          <w:szCs w:val="24"/>
        </w:rPr>
        <w:t>Accommodation supplement</w:t>
      </w:r>
    </w:p>
    <w:p w14:paraId="3F248FCE" w14:textId="77777777" w:rsidR="006446E7" w:rsidRPr="00C60BAD" w:rsidRDefault="006446E7" w:rsidP="00501E21">
      <w:pPr>
        <w:pStyle w:val="ListParagraph"/>
        <w:numPr>
          <w:ilvl w:val="0"/>
          <w:numId w:val="6"/>
        </w:numPr>
        <w:rPr>
          <w:sz w:val="24"/>
          <w:szCs w:val="24"/>
        </w:rPr>
      </w:pPr>
      <w:r w:rsidRPr="00C60BAD">
        <w:rPr>
          <w:sz w:val="24"/>
          <w:szCs w:val="24"/>
        </w:rPr>
        <w:t>Quality considerations</w:t>
      </w:r>
    </w:p>
    <w:p w14:paraId="3F248FCF" w14:textId="77777777" w:rsidR="006446E7" w:rsidRPr="00C60BAD" w:rsidRDefault="006446E7" w:rsidP="00501E21">
      <w:pPr>
        <w:pStyle w:val="ListParagraph"/>
        <w:numPr>
          <w:ilvl w:val="0"/>
          <w:numId w:val="6"/>
        </w:numPr>
        <w:rPr>
          <w:sz w:val="24"/>
          <w:szCs w:val="24"/>
        </w:rPr>
      </w:pPr>
      <w:r w:rsidRPr="00C60BAD">
        <w:rPr>
          <w:sz w:val="24"/>
          <w:szCs w:val="24"/>
        </w:rPr>
        <w:t>Future investment plans</w:t>
      </w:r>
    </w:p>
    <w:p w14:paraId="3F248FD0" w14:textId="77777777" w:rsidR="006446E7" w:rsidRPr="00C60BAD" w:rsidRDefault="006446E7" w:rsidP="00501E21">
      <w:pPr>
        <w:pStyle w:val="ListParagraph"/>
        <w:numPr>
          <w:ilvl w:val="0"/>
          <w:numId w:val="6"/>
        </w:numPr>
        <w:rPr>
          <w:sz w:val="24"/>
          <w:szCs w:val="24"/>
        </w:rPr>
      </w:pPr>
      <w:r w:rsidRPr="00C60BAD">
        <w:rPr>
          <w:sz w:val="24"/>
          <w:szCs w:val="24"/>
        </w:rPr>
        <w:t>Viability of aged care residential providers</w:t>
      </w:r>
    </w:p>
    <w:p w14:paraId="3F248FD1" w14:textId="77777777" w:rsidR="002E2B85" w:rsidRPr="00C60BAD" w:rsidRDefault="006446E7" w:rsidP="00501E21">
      <w:pPr>
        <w:pStyle w:val="ListParagraph"/>
        <w:numPr>
          <w:ilvl w:val="0"/>
          <w:numId w:val="6"/>
        </w:numPr>
        <w:rPr>
          <w:sz w:val="24"/>
          <w:szCs w:val="24"/>
        </w:rPr>
      </w:pPr>
      <w:r w:rsidRPr="00C60BAD">
        <w:rPr>
          <w:sz w:val="24"/>
          <w:szCs w:val="24"/>
        </w:rPr>
        <w:t>Aged care to the homeless.</w:t>
      </w:r>
    </w:p>
    <w:p w14:paraId="3F248FD2" w14:textId="77777777" w:rsidR="002E2B85" w:rsidRDefault="002E2B85"/>
    <w:p w14:paraId="3F248FD3" w14:textId="77777777" w:rsidR="00CB25A6" w:rsidRDefault="00CB25A6">
      <w:pPr>
        <w:sectPr w:rsidR="00CB25A6" w:rsidSect="008C174D">
          <w:headerReference w:type="default" r:id="rId17"/>
          <w:footerReference w:type="default" r:id="rId18"/>
          <w:pgSz w:w="11906" w:h="16838"/>
          <w:pgMar w:top="1440" w:right="1440" w:bottom="1440" w:left="1440" w:header="708" w:footer="708" w:gutter="0"/>
          <w:pgNumType w:fmt="lowerRoman"/>
          <w:cols w:space="708"/>
          <w:docGrid w:linePitch="360"/>
        </w:sectPr>
      </w:pPr>
    </w:p>
    <w:p w14:paraId="3F248FD4" w14:textId="77777777" w:rsidR="002E2B85" w:rsidRDefault="002E2B85" w:rsidP="00CB25A6">
      <w:pPr>
        <w:pStyle w:val="Heading1"/>
      </w:pPr>
      <w:bookmarkStart w:id="3" w:name="_Toc525127621"/>
      <w:r w:rsidRPr="002E2B85">
        <w:lastRenderedPageBreak/>
        <w:t>Executive Summary</w:t>
      </w:r>
      <w:bookmarkEnd w:id="3"/>
    </w:p>
    <w:p w14:paraId="3F248FD5" w14:textId="77777777" w:rsidR="002E2B85" w:rsidRPr="0035453E" w:rsidRDefault="00E800A9" w:rsidP="002E2B85">
      <w:pPr>
        <w:pStyle w:val="ListParagraph"/>
        <w:numPr>
          <w:ilvl w:val="0"/>
          <w:numId w:val="7"/>
        </w:numPr>
        <w:rPr>
          <w:b/>
          <w:sz w:val="24"/>
          <w:szCs w:val="24"/>
        </w:rPr>
      </w:pPr>
      <w:r>
        <w:rPr>
          <w:sz w:val="24"/>
          <w:szCs w:val="24"/>
        </w:rPr>
        <w:t xml:space="preserve">The </w:t>
      </w:r>
      <w:r w:rsidR="007F3A40">
        <w:rPr>
          <w:sz w:val="24"/>
          <w:szCs w:val="24"/>
        </w:rPr>
        <w:t xml:space="preserve">measures taken in 2016 and 2017 to </w:t>
      </w:r>
      <w:r w:rsidR="00EE0E99">
        <w:rPr>
          <w:sz w:val="24"/>
          <w:szCs w:val="24"/>
        </w:rPr>
        <w:t>address Government concerns that ACFI claiming practices were leading to higher than expected claims growth have slowed the growth</w:t>
      </w:r>
      <w:r w:rsidR="007F3A40">
        <w:rPr>
          <w:sz w:val="24"/>
          <w:szCs w:val="24"/>
        </w:rPr>
        <w:t xml:space="preserve"> in ACFI payments </w:t>
      </w:r>
      <w:r w:rsidR="00EE0E99">
        <w:rPr>
          <w:sz w:val="24"/>
          <w:szCs w:val="24"/>
        </w:rPr>
        <w:t xml:space="preserve">which has </w:t>
      </w:r>
      <w:r>
        <w:rPr>
          <w:sz w:val="24"/>
          <w:szCs w:val="24"/>
        </w:rPr>
        <w:t>had a si</w:t>
      </w:r>
      <w:r w:rsidR="00004711">
        <w:rPr>
          <w:sz w:val="24"/>
          <w:szCs w:val="24"/>
        </w:rPr>
        <w:t>zeable</w:t>
      </w:r>
      <w:r>
        <w:rPr>
          <w:sz w:val="24"/>
          <w:szCs w:val="24"/>
        </w:rPr>
        <w:t xml:space="preserve"> impact on the financial </w:t>
      </w:r>
      <w:r w:rsidR="0035453E">
        <w:rPr>
          <w:sz w:val="24"/>
          <w:szCs w:val="24"/>
        </w:rPr>
        <w:t>performance of resident</w:t>
      </w:r>
      <w:r w:rsidR="00C60BAD">
        <w:rPr>
          <w:sz w:val="24"/>
          <w:szCs w:val="24"/>
        </w:rPr>
        <w:t>ial aged care providers in 2017</w:t>
      </w:r>
      <w:r w:rsidR="00C60BAD">
        <w:rPr>
          <w:sz w:val="24"/>
          <w:szCs w:val="24"/>
        </w:rPr>
        <w:noBreakHyphen/>
      </w:r>
      <w:r w:rsidR="0035453E">
        <w:rPr>
          <w:sz w:val="24"/>
          <w:szCs w:val="24"/>
        </w:rPr>
        <w:t>18. This should have been expected given that ACFI payments account for nearly 61 per cent of providers’ revenue.</w:t>
      </w:r>
    </w:p>
    <w:p w14:paraId="3F248FD6" w14:textId="77777777" w:rsidR="0035453E" w:rsidRPr="0035453E" w:rsidRDefault="0035453E" w:rsidP="002E2B85">
      <w:pPr>
        <w:pStyle w:val="ListParagraph"/>
        <w:numPr>
          <w:ilvl w:val="0"/>
          <w:numId w:val="7"/>
        </w:numPr>
        <w:rPr>
          <w:b/>
          <w:sz w:val="24"/>
          <w:szCs w:val="24"/>
        </w:rPr>
      </w:pPr>
      <w:r>
        <w:rPr>
          <w:sz w:val="24"/>
          <w:szCs w:val="24"/>
        </w:rPr>
        <w:t xml:space="preserve">The </w:t>
      </w:r>
      <w:r w:rsidR="00EE0E99">
        <w:rPr>
          <w:sz w:val="24"/>
          <w:szCs w:val="24"/>
        </w:rPr>
        <w:t>impact of the slower rate of revenue growth</w:t>
      </w:r>
      <w:r>
        <w:rPr>
          <w:sz w:val="24"/>
          <w:szCs w:val="24"/>
        </w:rPr>
        <w:t xml:space="preserve"> came at a time when the rate of growth of wages, which accounts for the bulk of expenses, is increasing.</w:t>
      </w:r>
    </w:p>
    <w:p w14:paraId="3F248FD7" w14:textId="77777777" w:rsidR="0035453E" w:rsidRPr="0035453E" w:rsidRDefault="00EE0E99" w:rsidP="002E2B85">
      <w:pPr>
        <w:pStyle w:val="ListParagraph"/>
        <w:numPr>
          <w:ilvl w:val="0"/>
          <w:numId w:val="7"/>
        </w:numPr>
        <w:rPr>
          <w:b/>
          <w:sz w:val="24"/>
          <w:szCs w:val="24"/>
        </w:rPr>
      </w:pPr>
      <w:r>
        <w:rPr>
          <w:sz w:val="24"/>
          <w:szCs w:val="24"/>
        </w:rPr>
        <w:t xml:space="preserve">Some providers also considered </w:t>
      </w:r>
      <w:r w:rsidR="0035453E">
        <w:rPr>
          <w:sz w:val="24"/>
          <w:szCs w:val="24"/>
        </w:rPr>
        <w:t>increased activity of the Aged Care Quality Agency</w:t>
      </w:r>
      <w:r>
        <w:rPr>
          <w:sz w:val="24"/>
          <w:szCs w:val="24"/>
        </w:rPr>
        <w:t xml:space="preserve"> was adding to cost pressures</w:t>
      </w:r>
      <w:r w:rsidR="0035453E">
        <w:rPr>
          <w:sz w:val="24"/>
          <w:szCs w:val="24"/>
        </w:rPr>
        <w:t>.</w:t>
      </w:r>
    </w:p>
    <w:p w14:paraId="3F248FD8" w14:textId="77777777" w:rsidR="0035453E" w:rsidRPr="0035453E" w:rsidRDefault="0035453E" w:rsidP="002E2B85">
      <w:pPr>
        <w:pStyle w:val="ListParagraph"/>
        <w:numPr>
          <w:ilvl w:val="0"/>
          <w:numId w:val="7"/>
        </w:numPr>
        <w:rPr>
          <w:b/>
          <w:sz w:val="24"/>
          <w:szCs w:val="24"/>
        </w:rPr>
      </w:pPr>
      <w:r>
        <w:rPr>
          <w:sz w:val="24"/>
          <w:szCs w:val="24"/>
        </w:rPr>
        <w:t>While all providers are concerned about financial developments, the intensity of the ‘level’ of concern varies depending on the</w:t>
      </w:r>
      <w:r w:rsidR="00951988">
        <w:rPr>
          <w:sz w:val="24"/>
          <w:szCs w:val="24"/>
        </w:rPr>
        <w:t xml:space="preserve"> </w:t>
      </w:r>
      <w:r w:rsidR="007F3A40">
        <w:rPr>
          <w:sz w:val="24"/>
          <w:szCs w:val="24"/>
        </w:rPr>
        <w:t>providers’</w:t>
      </w:r>
      <w:r>
        <w:rPr>
          <w:sz w:val="24"/>
          <w:szCs w:val="24"/>
        </w:rPr>
        <w:t xml:space="preserve"> ownership structure and degree of exposure to residential aged care.</w:t>
      </w:r>
    </w:p>
    <w:p w14:paraId="3F248FD9" w14:textId="77777777" w:rsidR="0035453E" w:rsidRPr="0035453E" w:rsidRDefault="0035453E" w:rsidP="002E2B85">
      <w:pPr>
        <w:pStyle w:val="ListParagraph"/>
        <w:numPr>
          <w:ilvl w:val="0"/>
          <w:numId w:val="7"/>
        </w:numPr>
        <w:rPr>
          <w:b/>
          <w:sz w:val="24"/>
          <w:szCs w:val="24"/>
        </w:rPr>
      </w:pPr>
      <w:r>
        <w:rPr>
          <w:sz w:val="24"/>
          <w:szCs w:val="24"/>
        </w:rPr>
        <w:t>Problems with the ACFI funding tool was raised throughout the consultations</w:t>
      </w:r>
      <w:r w:rsidR="00F56378">
        <w:rPr>
          <w:sz w:val="24"/>
          <w:szCs w:val="24"/>
        </w:rPr>
        <w:t xml:space="preserve"> and the need for a more stable, more contemporary, more efficient and more effective funding tool is pressing.</w:t>
      </w:r>
    </w:p>
    <w:p w14:paraId="3F248FDA" w14:textId="77777777" w:rsidR="0035453E" w:rsidRPr="00F56378" w:rsidRDefault="00004711" w:rsidP="002E2B85">
      <w:pPr>
        <w:pStyle w:val="ListParagraph"/>
        <w:numPr>
          <w:ilvl w:val="0"/>
          <w:numId w:val="7"/>
        </w:numPr>
        <w:rPr>
          <w:b/>
          <w:sz w:val="24"/>
          <w:szCs w:val="24"/>
        </w:rPr>
      </w:pPr>
      <w:r>
        <w:rPr>
          <w:sz w:val="24"/>
          <w:szCs w:val="24"/>
        </w:rPr>
        <w:t>Many p</w:t>
      </w:r>
      <w:r w:rsidR="0035453E">
        <w:rPr>
          <w:sz w:val="24"/>
          <w:szCs w:val="24"/>
        </w:rPr>
        <w:t xml:space="preserve">roviders are seeking to increase revenue through the provision of additional </w:t>
      </w:r>
      <w:proofErr w:type="gramStart"/>
      <w:r w:rsidR="0035453E">
        <w:rPr>
          <w:sz w:val="24"/>
          <w:szCs w:val="24"/>
        </w:rPr>
        <w:t>services,</w:t>
      </w:r>
      <w:proofErr w:type="gramEnd"/>
      <w:r w:rsidR="0035453E">
        <w:rPr>
          <w:sz w:val="24"/>
          <w:szCs w:val="24"/>
        </w:rPr>
        <w:t xml:space="preserve"> although there remains </w:t>
      </w:r>
      <w:r w:rsidR="007F3A40">
        <w:rPr>
          <w:sz w:val="24"/>
          <w:szCs w:val="24"/>
        </w:rPr>
        <w:t>uncertainty</w:t>
      </w:r>
      <w:r w:rsidR="0035453E">
        <w:rPr>
          <w:sz w:val="24"/>
          <w:szCs w:val="24"/>
        </w:rPr>
        <w:t xml:space="preserve"> over what services can be offered.</w:t>
      </w:r>
      <w:r w:rsidR="007F3A40">
        <w:rPr>
          <w:sz w:val="24"/>
          <w:szCs w:val="24"/>
        </w:rPr>
        <w:t xml:space="preserve"> </w:t>
      </w:r>
    </w:p>
    <w:p w14:paraId="3F248FDB" w14:textId="77777777" w:rsidR="00F56378" w:rsidRPr="00F56378" w:rsidRDefault="00F56378" w:rsidP="002E2B85">
      <w:pPr>
        <w:pStyle w:val="ListParagraph"/>
        <w:numPr>
          <w:ilvl w:val="0"/>
          <w:numId w:val="7"/>
        </w:numPr>
        <w:rPr>
          <w:b/>
          <w:sz w:val="24"/>
          <w:szCs w:val="24"/>
        </w:rPr>
      </w:pPr>
      <w:r>
        <w:rPr>
          <w:sz w:val="24"/>
          <w:szCs w:val="24"/>
        </w:rPr>
        <w:t xml:space="preserve">All </w:t>
      </w:r>
      <w:r w:rsidR="00163EF6">
        <w:rPr>
          <w:sz w:val="24"/>
          <w:szCs w:val="24"/>
        </w:rPr>
        <w:t>providers were</w:t>
      </w:r>
      <w:r>
        <w:rPr>
          <w:sz w:val="24"/>
          <w:szCs w:val="24"/>
        </w:rPr>
        <w:t xml:space="preserve"> seeking to constrain the growth in costs, particularly staff costs</w:t>
      </w:r>
      <w:r w:rsidR="00163EF6">
        <w:rPr>
          <w:sz w:val="24"/>
          <w:szCs w:val="24"/>
        </w:rPr>
        <w:t>, in response to the pressure on revenue.</w:t>
      </w:r>
      <w:r w:rsidR="00951988">
        <w:rPr>
          <w:sz w:val="24"/>
          <w:szCs w:val="24"/>
        </w:rPr>
        <w:t xml:space="preserve"> </w:t>
      </w:r>
    </w:p>
    <w:p w14:paraId="3F248FDC" w14:textId="77777777" w:rsidR="00F56378" w:rsidRPr="00C951E1" w:rsidRDefault="00F56378" w:rsidP="002E2B85">
      <w:pPr>
        <w:pStyle w:val="ListParagraph"/>
        <w:numPr>
          <w:ilvl w:val="0"/>
          <w:numId w:val="7"/>
        </w:numPr>
        <w:rPr>
          <w:b/>
          <w:sz w:val="24"/>
          <w:szCs w:val="24"/>
        </w:rPr>
      </w:pPr>
      <w:r>
        <w:rPr>
          <w:sz w:val="24"/>
          <w:szCs w:val="24"/>
        </w:rPr>
        <w:t>M</w:t>
      </w:r>
      <w:r w:rsidR="00004711">
        <w:rPr>
          <w:sz w:val="24"/>
          <w:szCs w:val="24"/>
        </w:rPr>
        <w:t>any</w:t>
      </w:r>
      <w:r>
        <w:rPr>
          <w:sz w:val="24"/>
          <w:szCs w:val="24"/>
        </w:rPr>
        <w:t xml:space="preserve"> providers are putting investment plans on hold, the result of financial pressures and uncertainty over future policy settings.</w:t>
      </w:r>
    </w:p>
    <w:p w14:paraId="3F248FDD" w14:textId="77777777" w:rsidR="00C951E1" w:rsidRPr="00C951E1" w:rsidRDefault="00C951E1" w:rsidP="00C951E1">
      <w:pPr>
        <w:pStyle w:val="ListParagraph"/>
        <w:numPr>
          <w:ilvl w:val="0"/>
          <w:numId w:val="7"/>
        </w:numPr>
        <w:rPr>
          <w:sz w:val="24"/>
          <w:szCs w:val="24"/>
        </w:rPr>
      </w:pPr>
      <w:r w:rsidRPr="00C951E1">
        <w:rPr>
          <w:sz w:val="24"/>
          <w:szCs w:val="24"/>
        </w:rPr>
        <w:t>A major issue when considering the overall financial outlook for aged care residential providers is whether and to what extent the average AC</w:t>
      </w:r>
      <w:r w:rsidR="003F22F3">
        <w:rPr>
          <w:sz w:val="24"/>
          <w:szCs w:val="24"/>
        </w:rPr>
        <w:t xml:space="preserve">FI claim per resident per day </w:t>
      </w:r>
      <w:r w:rsidRPr="00C951E1">
        <w:rPr>
          <w:sz w:val="24"/>
          <w:szCs w:val="24"/>
        </w:rPr>
        <w:t>increases in the short to medium term. If after the return of indexation in 2018-19 the rate of growth in average ACFI claims remains significantly b</w:t>
      </w:r>
      <w:r w:rsidR="00951988">
        <w:rPr>
          <w:sz w:val="24"/>
          <w:szCs w:val="24"/>
        </w:rPr>
        <w:t>elow the rate of growth in costs</w:t>
      </w:r>
      <w:r w:rsidRPr="00C951E1">
        <w:rPr>
          <w:sz w:val="24"/>
          <w:szCs w:val="24"/>
        </w:rPr>
        <w:t>, providers will be faci</w:t>
      </w:r>
      <w:r w:rsidR="000729FB">
        <w:rPr>
          <w:sz w:val="24"/>
          <w:szCs w:val="24"/>
        </w:rPr>
        <w:t>ng growing financial pressures. In addition to the need</w:t>
      </w:r>
      <w:r w:rsidR="007F3A40">
        <w:rPr>
          <w:sz w:val="24"/>
          <w:szCs w:val="24"/>
        </w:rPr>
        <w:t xml:space="preserve"> to introduce a</w:t>
      </w:r>
      <w:r w:rsidR="00951988">
        <w:rPr>
          <w:sz w:val="24"/>
          <w:szCs w:val="24"/>
        </w:rPr>
        <w:t xml:space="preserve"> more effective and efficient funding to</w:t>
      </w:r>
      <w:r w:rsidR="000729FB">
        <w:rPr>
          <w:sz w:val="24"/>
          <w:szCs w:val="24"/>
        </w:rPr>
        <w:t>ol, it</w:t>
      </w:r>
      <w:r w:rsidR="00951988">
        <w:rPr>
          <w:sz w:val="24"/>
          <w:szCs w:val="24"/>
        </w:rPr>
        <w:t xml:space="preserve"> will </w:t>
      </w:r>
      <w:r w:rsidR="000729FB">
        <w:rPr>
          <w:sz w:val="24"/>
          <w:szCs w:val="24"/>
        </w:rPr>
        <w:t>be important</w:t>
      </w:r>
      <w:r w:rsidR="00951988">
        <w:rPr>
          <w:sz w:val="24"/>
          <w:szCs w:val="24"/>
        </w:rPr>
        <w:t xml:space="preserve"> to ensure that the rate of indexation and forecast growth in acuity underlying the Budget projectio</w:t>
      </w:r>
      <w:r w:rsidR="007F3A40">
        <w:rPr>
          <w:sz w:val="24"/>
          <w:szCs w:val="24"/>
        </w:rPr>
        <w:t>ns are</w:t>
      </w:r>
      <w:r w:rsidR="00951988">
        <w:rPr>
          <w:sz w:val="24"/>
          <w:szCs w:val="24"/>
        </w:rPr>
        <w:t xml:space="preserve"> appropriate.</w:t>
      </w:r>
    </w:p>
    <w:p w14:paraId="3F248FDE" w14:textId="77777777" w:rsidR="00F56378" w:rsidRPr="00C951E1" w:rsidRDefault="00C951E1" w:rsidP="002E2B85">
      <w:pPr>
        <w:pStyle w:val="ListParagraph"/>
        <w:numPr>
          <w:ilvl w:val="0"/>
          <w:numId w:val="7"/>
        </w:numPr>
        <w:rPr>
          <w:b/>
          <w:sz w:val="24"/>
          <w:szCs w:val="24"/>
        </w:rPr>
      </w:pPr>
      <w:r>
        <w:rPr>
          <w:sz w:val="24"/>
          <w:szCs w:val="24"/>
        </w:rPr>
        <w:t>While there would appear to be no immediate concern over the viability of the bulk of the residential aged care sector, the continuation of the combination of slower growth in ACFI f</w:t>
      </w:r>
      <w:r w:rsidR="001B184C">
        <w:rPr>
          <w:sz w:val="24"/>
          <w:szCs w:val="24"/>
        </w:rPr>
        <w:t xml:space="preserve">unding, rising staff costs and </w:t>
      </w:r>
      <w:r>
        <w:rPr>
          <w:sz w:val="24"/>
          <w:szCs w:val="24"/>
        </w:rPr>
        <w:t>greater focus o</w:t>
      </w:r>
      <w:r w:rsidR="003F22F3">
        <w:rPr>
          <w:sz w:val="24"/>
          <w:szCs w:val="24"/>
        </w:rPr>
        <w:t xml:space="preserve">n quality will put increasing </w:t>
      </w:r>
      <w:r>
        <w:rPr>
          <w:sz w:val="24"/>
          <w:szCs w:val="24"/>
        </w:rPr>
        <w:t xml:space="preserve">pressure on providers and the viability of some will come into question. </w:t>
      </w:r>
    </w:p>
    <w:p w14:paraId="3F248FDF" w14:textId="77777777" w:rsidR="00C951E1" w:rsidRPr="0035453E" w:rsidRDefault="000427A4" w:rsidP="002E2B85">
      <w:pPr>
        <w:pStyle w:val="ListParagraph"/>
        <w:numPr>
          <w:ilvl w:val="0"/>
          <w:numId w:val="7"/>
        </w:numPr>
        <w:rPr>
          <w:b/>
          <w:sz w:val="24"/>
          <w:szCs w:val="24"/>
        </w:rPr>
      </w:pPr>
      <w:r>
        <w:rPr>
          <w:sz w:val="24"/>
          <w:szCs w:val="24"/>
        </w:rPr>
        <w:t>Of immediate concern</w:t>
      </w:r>
      <w:r w:rsidR="00951988">
        <w:rPr>
          <w:sz w:val="24"/>
          <w:szCs w:val="24"/>
        </w:rPr>
        <w:t xml:space="preserve"> is the</w:t>
      </w:r>
      <w:r>
        <w:rPr>
          <w:sz w:val="24"/>
          <w:szCs w:val="24"/>
        </w:rPr>
        <w:t xml:space="preserve"> number of smaller facilities, particularly in remote and regional areas, that are experiencing significant financial difficulties and are likely to be forced to sell or merge with a larger facility. It will be important for the Department of Health to </w:t>
      </w:r>
      <w:r w:rsidR="00163EF6">
        <w:rPr>
          <w:sz w:val="24"/>
          <w:szCs w:val="24"/>
        </w:rPr>
        <w:t>proactively monitor</w:t>
      </w:r>
      <w:r>
        <w:rPr>
          <w:sz w:val="24"/>
          <w:szCs w:val="24"/>
        </w:rPr>
        <w:t xml:space="preserve"> the financial position of providers and consideration should be given to formalising the range of measures available to a provider in financial difficulties, </w:t>
      </w:r>
      <w:r w:rsidR="00163EF6">
        <w:rPr>
          <w:sz w:val="24"/>
          <w:szCs w:val="24"/>
        </w:rPr>
        <w:t>including facilitating</w:t>
      </w:r>
      <w:r>
        <w:rPr>
          <w:sz w:val="24"/>
          <w:szCs w:val="24"/>
        </w:rPr>
        <w:t xml:space="preserve"> the sale or </w:t>
      </w:r>
      <w:r w:rsidR="00163EF6">
        <w:rPr>
          <w:sz w:val="24"/>
          <w:szCs w:val="24"/>
        </w:rPr>
        <w:t>transfer to</w:t>
      </w:r>
      <w:r>
        <w:rPr>
          <w:sz w:val="24"/>
          <w:szCs w:val="24"/>
        </w:rPr>
        <w:t xml:space="preserve"> another provider.</w:t>
      </w:r>
    </w:p>
    <w:p w14:paraId="3F248FE0" w14:textId="77777777" w:rsidR="0035453E" w:rsidRPr="002E2B85" w:rsidRDefault="0035453E" w:rsidP="0035453E">
      <w:pPr>
        <w:pStyle w:val="ListParagraph"/>
        <w:rPr>
          <w:b/>
          <w:sz w:val="24"/>
          <w:szCs w:val="24"/>
        </w:rPr>
      </w:pPr>
    </w:p>
    <w:p w14:paraId="3F248FE1" w14:textId="77777777" w:rsidR="008C174D" w:rsidRDefault="008C174D" w:rsidP="008C174D">
      <w:pPr>
        <w:sectPr w:rsidR="008C174D" w:rsidSect="008C174D">
          <w:pgSz w:w="11906" w:h="16838"/>
          <w:pgMar w:top="1440" w:right="1440" w:bottom="1440" w:left="1440" w:header="708" w:footer="708" w:gutter="0"/>
          <w:pgNumType w:fmt="lowerRoman"/>
          <w:cols w:space="708"/>
          <w:docGrid w:linePitch="360"/>
        </w:sectPr>
      </w:pPr>
    </w:p>
    <w:p w14:paraId="3F248FE2" w14:textId="77777777" w:rsidR="00501E21" w:rsidRDefault="00501E21" w:rsidP="00CB25A6">
      <w:pPr>
        <w:pStyle w:val="Heading1"/>
      </w:pPr>
      <w:bookmarkStart w:id="4" w:name="_Toc525127622"/>
      <w:r>
        <w:lastRenderedPageBreak/>
        <w:t>PART A</w:t>
      </w:r>
      <w:bookmarkEnd w:id="4"/>
    </w:p>
    <w:p w14:paraId="3F248FE3" w14:textId="77777777" w:rsidR="00201D74" w:rsidRPr="00FE3F61" w:rsidRDefault="00CA45A8" w:rsidP="00CB25A6">
      <w:pPr>
        <w:pStyle w:val="Heading2"/>
      </w:pPr>
      <w:bookmarkStart w:id="5" w:name="_Toc525127623"/>
      <w:r w:rsidRPr="00FE3F61">
        <w:t>Residential Aged Care:  Financial Performance in recent years</w:t>
      </w:r>
      <w:bookmarkEnd w:id="5"/>
    </w:p>
    <w:p w14:paraId="3F248FE4" w14:textId="77777777" w:rsidR="004D64D3" w:rsidRPr="00C60BAD" w:rsidRDefault="004D64D3" w:rsidP="00591258">
      <w:pPr>
        <w:rPr>
          <w:sz w:val="24"/>
          <w:szCs w:val="24"/>
        </w:rPr>
      </w:pPr>
      <w:r w:rsidRPr="00C60BAD">
        <w:rPr>
          <w:sz w:val="24"/>
          <w:szCs w:val="24"/>
        </w:rPr>
        <w:t xml:space="preserve">The </w:t>
      </w:r>
      <w:r w:rsidR="0076076C" w:rsidRPr="00C60BAD">
        <w:rPr>
          <w:sz w:val="24"/>
          <w:szCs w:val="24"/>
        </w:rPr>
        <w:t xml:space="preserve">current </w:t>
      </w:r>
      <w:r w:rsidRPr="00C60BAD">
        <w:rPr>
          <w:sz w:val="24"/>
          <w:szCs w:val="24"/>
        </w:rPr>
        <w:t xml:space="preserve">financial performance of the residential aged care </w:t>
      </w:r>
      <w:r w:rsidR="00B5013C" w:rsidRPr="00C60BAD">
        <w:rPr>
          <w:sz w:val="24"/>
          <w:szCs w:val="24"/>
        </w:rPr>
        <w:t>industry</w:t>
      </w:r>
      <w:r w:rsidRPr="00C60BAD">
        <w:rPr>
          <w:sz w:val="24"/>
          <w:szCs w:val="24"/>
        </w:rPr>
        <w:t xml:space="preserve"> should be considered in the context of the performance of the </w:t>
      </w:r>
      <w:r w:rsidR="00B5013C" w:rsidRPr="00C60BAD">
        <w:rPr>
          <w:sz w:val="24"/>
          <w:szCs w:val="24"/>
        </w:rPr>
        <w:t>industry</w:t>
      </w:r>
      <w:r w:rsidRPr="00C60BAD">
        <w:rPr>
          <w:sz w:val="24"/>
          <w:szCs w:val="24"/>
        </w:rPr>
        <w:t xml:space="preserve"> in previous years along with factors that may have been impacting on that performance.</w:t>
      </w:r>
    </w:p>
    <w:p w14:paraId="3F248FE5" w14:textId="77777777" w:rsidR="00CA45A8" w:rsidRPr="00C60BAD" w:rsidRDefault="00CA45A8" w:rsidP="00591258">
      <w:pPr>
        <w:rPr>
          <w:sz w:val="24"/>
          <w:szCs w:val="24"/>
        </w:rPr>
      </w:pPr>
      <w:r w:rsidRPr="00C60BAD">
        <w:rPr>
          <w:sz w:val="24"/>
          <w:szCs w:val="24"/>
        </w:rPr>
        <w:t xml:space="preserve">ACFA’s 2018 Annual Report noted that the financial performance of residential aged care providers </w:t>
      </w:r>
      <w:r w:rsidR="0037736B" w:rsidRPr="00C60BAD">
        <w:rPr>
          <w:sz w:val="24"/>
          <w:szCs w:val="24"/>
        </w:rPr>
        <w:t xml:space="preserve">in aggregate </w:t>
      </w:r>
      <w:r w:rsidRPr="00C60BAD">
        <w:rPr>
          <w:sz w:val="24"/>
          <w:szCs w:val="24"/>
        </w:rPr>
        <w:t>in 2016-17 was broadly stable</w:t>
      </w:r>
      <w:r w:rsidR="0037736B" w:rsidRPr="00C60BAD">
        <w:rPr>
          <w:sz w:val="24"/>
          <w:szCs w:val="24"/>
        </w:rPr>
        <w:t xml:space="preserve"> though with somewhat mixed results in performance measures with Earnings </w:t>
      </w:r>
      <w:proofErr w:type="gramStart"/>
      <w:r w:rsidR="00053B9C" w:rsidRPr="00C60BAD">
        <w:rPr>
          <w:sz w:val="24"/>
          <w:szCs w:val="24"/>
        </w:rPr>
        <w:t>B</w:t>
      </w:r>
      <w:r w:rsidR="0037736B" w:rsidRPr="00C60BAD">
        <w:rPr>
          <w:sz w:val="24"/>
          <w:szCs w:val="24"/>
        </w:rPr>
        <w:t>efore</w:t>
      </w:r>
      <w:proofErr w:type="gramEnd"/>
      <w:r w:rsidR="0037736B" w:rsidRPr="00C60BAD">
        <w:rPr>
          <w:sz w:val="24"/>
          <w:szCs w:val="24"/>
        </w:rPr>
        <w:t xml:space="preserve"> Interest, Tax, Depreciation and Amortisation (EBITDA) up</w:t>
      </w:r>
      <w:r w:rsidR="00B5013C" w:rsidRPr="00C60BAD">
        <w:rPr>
          <w:sz w:val="24"/>
          <w:szCs w:val="24"/>
        </w:rPr>
        <w:t>,</w:t>
      </w:r>
      <w:r w:rsidR="0037736B" w:rsidRPr="00C60BAD">
        <w:rPr>
          <w:sz w:val="24"/>
          <w:szCs w:val="24"/>
        </w:rPr>
        <w:t xml:space="preserve"> but Net Profit Before Tax (NPBT) down </w:t>
      </w:r>
      <w:r w:rsidR="00E035A8" w:rsidRPr="00C60BAD">
        <w:rPr>
          <w:sz w:val="24"/>
          <w:szCs w:val="24"/>
        </w:rPr>
        <w:t>(Table</w:t>
      </w:r>
      <w:r w:rsidR="00053B9C" w:rsidRPr="00C60BAD">
        <w:rPr>
          <w:sz w:val="24"/>
          <w:szCs w:val="24"/>
        </w:rPr>
        <w:t xml:space="preserve"> 1</w:t>
      </w:r>
      <w:r w:rsidR="00E035A8" w:rsidRPr="00C60BAD">
        <w:rPr>
          <w:sz w:val="24"/>
          <w:szCs w:val="24"/>
        </w:rPr>
        <w:t>)</w:t>
      </w:r>
    </w:p>
    <w:p w14:paraId="3F248FE6" w14:textId="77777777" w:rsidR="00CF4475" w:rsidRPr="0076076C" w:rsidRDefault="0076076C" w:rsidP="00CB5E3E">
      <w:pPr>
        <w:pStyle w:val="CaptionTable"/>
        <w:numPr>
          <w:ilvl w:val="0"/>
          <w:numId w:val="0"/>
        </w:numPr>
        <w:rPr>
          <w:rFonts w:ascii="Segoe UI" w:hAnsi="Segoe UI" w:cs="Segoe UI"/>
          <w:color w:val="000000" w:themeColor="text1"/>
          <w:szCs w:val="22"/>
          <w:lang w:eastAsia="en-AU"/>
        </w:rPr>
      </w:pPr>
      <w:r w:rsidRPr="0076076C">
        <w:rPr>
          <w:rFonts w:ascii="Segoe UI" w:hAnsi="Segoe UI" w:cs="Segoe UI"/>
          <w:color w:val="000000" w:themeColor="text1"/>
          <w:szCs w:val="22"/>
          <w:lang w:eastAsia="en-AU"/>
        </w:rPr>
        <w:t>Table 1</w:t>
      </w:r>
      <w:r w:rsidR="00CF4475" w:rsidRPr="0076076C">
        <w:rPr>
          <w:rFonts w:ascii="Segoe UI" w:hAnsi="Segoe UI" w:cs="Segoe UI"/>
          <w:color w:val="000000" w:themeColor="text1"/>
          <w:szCs w:val="22"/>
          <w:lang w:eastAsia="en-AU"/>
        </w:rPr>
        <w:t>: Overview of financial position of residential care providers 2015</w:t>
      </w:r>
      <w:r w:rsidR="00CF4475" w:rsidRPr="0076076C">
        <w:rPr>
          <w:rFonts w:ascii="Segoe UI" w:hAnsi="Segoe UI" w:cs="Segoe UI"/>
          <w:color w:val="000000" w:themeColor="text1"/>
          <w:szCs w:val="22"/>
          <w:lang w:eastAsia="en-AU"/>
        </w:rPr>
        <w:noBreakHyphen/>
        <w:t>16 and 2016</w:t>
      </w:r>
      <w:r w:rsidR="00CF4475" w:rsidRPr="0076076C">
        <w:rPr>
          <w:rFonts w:ascii="Segoe UI" w:hAnsi="Segoe UI" w:cs="Segoe UI"/>
          <w:color w:val="000000" w:themeColor="text1"/>
          <w:szCs w:val="22"/>
          <w:lang w:eastAsia="en-AU"/>
        </w:rPr>
        <w:noBreakHyphen/>
        <w:t>17</w:t>
      </w:r>
    </w:p>
    <w:tbl>
      <w:tblPr>
        <w:tblStyle w:val="TableAEGreyTotals"/>
        <w:tblW w:w="4727" w:type="pct"/>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Caption w:val="Table 2.3: 2015 ACAR results summary"/>
        <w:tblDescription w:val="This table provides the 2015 ACAR results summary for residential places, home care places, by state and territory. It also reports on the estimated annual recurrent funding and capital grants in millions."/>
      </w:tblPr>
      <w:tblGrid>
        <w:gridCol w:w="1757"/>
        <w:gridCol w:w="1747"/>
        <w:gridCol w:w="1747"/>
        <w:gridCol w:w="1747"/>
        <w:gridCol w:w="1739"/>
      </w:tblGrid>
      <w:tr w:rsidR="00CF4475" w:rsidRPr="000A0457" w14:paraId="3F248FEC" w14:textId="77777777" w:rsidTr="00CB5E3E">
        <w:trPr>
          <w:cnfStyle w:val="100000000000" w:firstRow="1" w:lastRow="0" w:firstColumn="0" w:lastColumn="0" w:oddVBand="0" w:evenVBand="0" w:oddHBand="0" w:evenHBand="0" w:firstRowFirstColumn="0" w:firstRowLastColumn="0" w:lastRowFirstColumn="0" w:lastRowLastColumn="0"/>
          <w:trHeight w:val="296"/>
          <w:tblHeader/>
        </w:trPr>
        <w:tc>
          <w:tcPr>
            <w:tcW w:w="1005" w:type="pct"/>
            <w:shd w:val="clear" w:color="auto" w:fill="002060"/>
            <w:vAlign w:val="center"/>
            <w:hideMark/>
          </w:tcPr>
          <w:p w14:paraId="3F248FE7" w14:textId="77777777" w:rsidR="00CF4475" w:rsidRPr="0019295B" w:rsidRDefault="00CF4475" w:rsidP="006D6217">
            <w:pPr>
              <w:keepNext/>
              <w:spacing w:after="225"/>
              <w:jc w:val="center"/>
              <w:rPr>
                <w:rFonts w:ascii="Segoe UI" w:hAnsi="Segoe UI" w:cs="Segoe UI"/>
                <w:b/>
                <w:bCs/>
                <w:color w:val="FFFFFF" w:themeColor="background1"/>
              </w:rPr>
            </w:pPr>
            <w:r w:rsidRPr="0019295B">
              <w:rPr>
                <w:rFonts w:ascii="Segoe UI" w:hAnsi="Segoe UI" w:cs="Segoe UI"/>
                <w:b/>
                <w:bCs/>
                <w:color w:val="FFFFFF" w:themeColor="background1"/>
              </w:rPr>
              <w:t xml:space="preserve"> </w:t>
            </w:r>
          </w:p>
        </w:tc>
        <w:tc>
          <w:tcPr>
            <w:tcW w:w="1000" w:type="pct"/>
            <w:shd w:val="clear" w:color="auto" w:fill="002060"/>
            <w:vAlign w:val="center"/>
          </w:tcPr>
          <w:p w14:paraId="3F248FE8" w14:textId="77777777" w:rsidR="00CF4475" w:rsidRPr="0019295B" w:rsidRDefault="00CF4475" w:rsidP="006D6217">
            <w:pPr>
              <w:keepNext/>
              <w:spacing w:after="225"/>
              <w:jc w:val="center"/>
              <w:rPr>
                <w:rFonts w:ascii="Segoe UI" w:hAnsi="Segoe UI" w:cs="Segoe UI"/>
                <w:b/>
                <w:bCs/>
                <w:color w:val="FFFFFF" w:themeColor="background1"/>
              </w:rPr>
            </w:pPr>
            <w:r w:rsidRPr="0019295B">
              <w:rPr>
                <w:rFonts w:ascii="Segoe UI" w:hAnsi="Segoe UI" w:cs="Segoe UI"/>
                <w:b/>
                <w:bCs/>
                <w:color w:val="FFFFFF" w:themeColor="background1"/>
              </w:rPr>
              <w:t>2015-16</w:t>
            </w:r>
          </w:p>
        </w:tc>
        <w:tc>
          <w:tcPr>
            <w:tcW w:w="1000" w:type="pct"/>
            <w:shd w:val="clear" w:color="auto" w:fill="002060"/>
            <w:vAlign w:val="center"/>
          </w:tcPr>
          <w:p w14:paraId="3F248FE9" w14:textId="77777777" w:rsidR="00CF4475" w:rsidRPr="0019295B" w:rsidRDefault="00CF4475" w:rsidP="006D6217">
            <w:pPr>
              <w:keepNext/>
              <w:spacing w:after="225"/>
              <w:jc w:val="center"/>
              <w:rPr>
                <w:rFonts w:ascii="Segoe UI" w:hAnsi="Segoe UI" w:cs="Segoe UI"/>
                <w:b/>
                <w:bCs/>
                <w:color w:val="FFFFFF" w:themeColor="background1"/>
              </w:rPr>
            </w:pPr>
            <w:r w:rsidRPr="0019295B">
              <w:rPr>
                <w:rFonts w:ascii="Segoe UI" w:hAnsi="Segoe UI" w:cs="Segoe UI"/>
                <w:b/>
                <w:bCs/>
                <w:color w:val="FFFFFF" w:themeColor="background1"/>
              </w:rPr>
              <w:t>2016-17</w:t>
            </w:r>
          </w:p>
        </w:tc>
        <w:tc>
          <w:tcPr>
            <w:tcW w:w="1000" w:type="pct"/>
            <w:shd w:val="clear" w:color="auto" w:fill="002060"/>
            <w:vAlign w:val="center"/>
          </w:tcPr>
          <w:p w14:paraId="3F248FEA" w14:textId="77777777" w:rsidR="00CF4475" w:rsidRPr="0019295B" w:rsidRDefault="00CF4475" w:rsidP="006D6217">
            <w:pPr>
              <w:keepNext/>
              <w:spacing w:after="225"/>
              <w:jc w:val="center"/>
              <w:rPr>
                <w:rFonts w:ascii="Segoe UI" w:hAnsi="Segoe UI" w:cs="Segoe UI"/>
                <w:b/>
                <w:bCs/>
                <w:color w:val="FFFFFF" w:themeColor="background1"/>
              </w:rPr>
            </w:pPr>
            <w:r w:rsidRPr="0019295B">
              <w:rPr>
                <w:rFonts w:ascii="Segoe UI" w:hAnsi="Segoe UI" w:cs="Segoe UI"/>
                <w:b/>
                <w:bCs/>
                <w:color w:val="FFFFFF" w:themeColor="background1"/>
              </w:rPr>
              <w:t>Change ($m)</w:t>
            </w:r>
          </w:p>
        </w:tc>
        <w:tc>
          <w:tcPr>
            <w:tcW w:w="995" w:type="pct"/>
            <w:shd w:val="clear" w:color="auto" w:fill="002060"/>
          </w:tcPr>
          <w:p w14:paraId="3F248FEB" w14:textId="77777777" w:rsidR="00CF4475" w:rsidRPr="0019295B" w:rsidRDefault="00CF4475" w:rsidP="006D6217">
            <w:pPr>
              <w:keepNext/>
              <w:spacing w:after="225"/>
              <w:jc w:val="center"/>
              <w:rPr>
                <w:rFonts w:ascii="Segoe UI" w:hAnsi="Segoe UI" w:cs="Segoe UI"/>
                <w:b/>
                <w:bCs/>
                <w:color w:val="FFFFFF" w:themeColor="background1"/>
              </w:rPr>
            </w:pPr>
            <w:r w:rsidRPr="0019295B">
              <w:rPr>
                <w:rFonts w:ascii="Segoe UI" w:hAnsi="Segoe UI" w:cs="Segoe UI"/>
                <w:b/>
                <w:bCs/>
                <w:color w:val="FFFFFF" w:themeColor="background1"/>
              </w:rPr>
              <w:t>Change (%)</w:t>
            </w:r>
          </w:p>
        </w:tc>
      </w:tr>
      <w:tr w:rsidR="00CF4475" w:rsidRPr="00F3678E" w14:paraId="3F248FF2" w14:textId="77777777" w:rsidTr="00CB5E3E">
        <w:trPr>
          <w:trHeight w:val="288"/>
        </w:trPr>
        <w:tc>
          <w:tcPr>
            <w:tcW w:w="1005" w:type="pct"/>
            <w:vAlign w:val="center"/>
          </w:tcPr>
          <w:p w14:paraId="3F248FED" w14:textId="77777777" w:rsidR="00CF4475" w:rsidRPr="0019295B" w:rsidRDefault="00CF4475" w:rsidP="006D6217">
            <w:pPr>
              <w:keepNext/>
              <w:rPr>
                <w:rFonts w:ascii="Segoe UI" w:hAnsi="Segoe UI" w:cs="Segoe UI"/>
                <w:color w:val="000000"/>
              </w:rPr>
            </w:pPr>
            <w:r w:rsidRPr="0019295B">
              <w:rPr>
                <w:rFonts w:ascii="Segoe UI" w:hAnsi="Segoe UI" w:cs="Segoe UI"/>
                <w:color w:val="000000"/>
              </w:rPr>
              <w:t>Revenue</w:t>
            </w:r>
          </w:p>
        </w:tc>
        <w:tc>
          <w:tcPr>
            <w:tcW w:w="1000" w:type="pct"/>
            <w:vAlign w:val="center"/>
          </w:tcPr>
          <w:p w14:paraId="3F248FEE"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$17,172m</w:t>
            </w:r>
          </w:p>
        </w:tc>
        <w:tc>
          <w:tcPr>
            <w:tcW w:w="1000" w:type="pct"/>
            <w:vAlign w:val="center"/>
          </w:tcPr>
          <w:p w14:paraId="3F248FEF"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$17,756m</w:t>
            </w:r>
          </w:p>
        </w:tc>
        <w:tc>
          <w:tcPr>
            <w:tcW w:w="1000" w:type="pct"/>
            <w:vAlign w:val="center"/>
          </w:tcPr>
          <w:p w14:paraId="3F248FF0"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$584m</w:t>
            </w:r>
          </w:p>
        </w:tc>
        <w:tc>
          <w:tcPr>
            <w:tcW w:w="995" w:type="pct"/>
            <w:vAlign w:val="center"/>
          </w:tcPr>
          <w:p w14:paraId="3F248FF1"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3.4%</w:t>
            </w:r>
          </w:p>
        </w:tc>
      </w:tr>
      <w:tr w:rsidR="00CF4475" w:rsidRPr="00F3678E" w14:paraId="3F248FF8" w14:textId="77777777" w:rsidTr="00CB5E3E">
        <w:trPr>
          <w:trHeight w:val="325"/>
        </w:trPr>
        <w:tc>
          <w:tcPr>
            <w:tcW w:w="1005" w:type="pct"/>
            <w:vAlign w:val="center"/>
          </w:tcPr>
          <w:p w14:paraId="3F248FF3" w14:textId="77777777" w:rsidR="00CF4475" w:rsidRPr="0019295B" w:rsidRDefault="00CF4475" w:rsidP="006D6217">
            <w:pPr>
              <w:keepNext/>
              <w:rPr>
                <w:rFonts w:ascii="Segoe UI" w:hAnsi="Segoe UI" w:cs="Segoe UI"/>
                <w:color w:val="000000"/>
              </w:rPr>
            </w:pPr>
            <w:r w:rsidRPr="0019295B">
              <w:rPr>
                <w:rFonts w:ascii="Segoe UI" w:hAnsi="Segoe UI" w:cs="Segoe UI"/>
                <w:color w:val="000000"/>
              </w:rPr>
              <w:t>Expenditure</w:t>
            </w:r>
          </w:p>
        </w:tc>
        <w:tc>
          <w:tcPr>
            <w:tcW w:w="1000" w:type="pct"/>
            <w:vAlign w:val="center"/>
          </w:tcPr>
          <w:p w14:paraId="3F248FF4"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$16,109m</w:t>
            </w:r>
          </w:p>
        </w:tc>
        <w:tc>
          <w:tcPr>
            <w:tcW w:w="1000" w:type="pct"/>
            <w:vAlign w:val="center"/>
          </w:tcPr>
          <w:p w14:paraId="3F248FF5"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$16,751m</w:t>
            </w:r>
          </w:p>
        </w:tc>
        <w:tc>
          <w:tcPr>
            <w:tcW w:w="1000" w:type="pct"/>
            <w:vAlign w:val="center"/>
          </w:tcPr>
          <w:p w14:paraId="3F248FF6"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$642m</w:t>
            </w:r>
          </w:p>
        </w:tc>
        <w:tc>
          <w:tcPr>
            <w:tcW w:w="995" w:type="pct"/>
            <w:vAlign w:val="center"/>
          </w:tcPr>
          <w:p w14:paraId="3F248FF7"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4.0%</w:t>
            </w:r>
          </w:p>
        </w:tc>
      </w:tr>
      <w:tr w:rsidR="00CF4475" w:rsidRPr="00F3678E" w14:paraId="3F248FFE" w14:textId="77777777" w:rsidTr="00CB5E3E">
        <w:trPr>
          <w:trHeight w:val="296"/>
        </w:trPr>
        <w:tc>
          <w:tcPr>
            <w:tcW w:w="1005" w:type="pct"/>
            <w:vAlign w:val="center"/>
          </w:tcPr>
          <w:p w14:paraId="3F248FF9" w14:textId="77777777" w:rsidR="00CF4475" w:rsidRPr="0019295B" w:rsidRDefault="00CF4475" w:rsidP="006D6217">
            <w:pPr>
              <w:keepNext/>
              <w:rPr>
                <w:rFonts w:ascii="Segoe UI" w:hAnsi="Segoe UI" w:cs="Segoe UI"/>
                <w:b/>
                <w:color w:val="000000"/>
              </w:rPr>
            </w:pPr>
            <w:r w:rsidRPr="0019295B">
              <w:rPr>
                <w:rFonts w:ascii="Segoe UI" w:hAnsi="Segoe UI" w:cs="Segoe UI"/>
                <w:b/>
                <w:color w:val="000000"/>
              </w:rPr>
              <w:t>Total EBITDA</w:t>
            </w:r>
          </w:p>
        </w:tc>
        <w:tc>
          <w:tcPr>
            <w:tcW w:w="1000" w:type="pct"/>
            <w:vAlign w:val="center"/>
          </w:tcPr>
          <w:p w14:paraId="3F248FFA" w14:textId="77777777" w:rsidR="00CF4475" w:rsidRPr="0019295B" w:rsidRDefault="00CF4475" w:rsidP="006D6217">
            <w:pPr>
              <w:keepNext/>
              <w:jc w:val="center"/>
              <w:rPr>
                <w:rFonts w:ascii="Segoe UI" w:hAnsi="Segoe UI" w:cs="Segoe UI"/>
                <w:b/>
                <w:color w:val="000000"/>
              </w:rPr>
            </w:pPr>
            <w:r w:rsidRPr="0019295B">
              <w:rPr>
                <w:rFonts w:ascii="Segoe UI" w:hAnsi="Segoe UI" w:cs="Segoe UI"/>
                <w:b/>
                <w:color w:val="000000"/>
              </w:rPr>
              <w:t>$1,985m</w:t>
            </w:r>
          </w:p>
        </w:tc>
        <w:tc>
          <w:tcPr>
            <w:tcW w:w="1000" w:type="pct"/>
            <w:vAlign w:val="center"/>
          </w:tcPr>
          <w:p w14:paraId="3F248FFB" w14:textId="77777777" w:rsidR="00CF4475" w:rsidRPr="0019295B" w:rsidRDefault="00CF4475" w:rsidP="006D6217">
            <w:pPr>
              <w:keepNext/>
              <w:jc w:val="center"/>
              <w:rPr>
                <w:rFonts w:ascii="Segoe UI" w:hAnsi="Segoe UI" w:cs="Segoe UI"/>
                <w:b/>
                <w:color w:val="000000"/>
              </w:rPr>
            </w:pPr>
            <w:r w:rsidRPr="0019295B">
              <w:rPr>
                <w:rFonts w:ascii="Segoe UI" w:hAnsi="Segoe UI" w:cs="Segoe UI"/>
                <w:b/>
                <w:color w:val="000000"/>
              </w:rPr>
              <w:t>$2,072m</w:t>
            </w:r>
          </w:p>
        </w:tc>
        <w:tc>
          <w:tcPr>
            <w:tcW w:w="1000" w:type="pct"/>
            <w:vAlign w:val="center"/>
          </w:tcPr>
          <w:p w14:paraId="3F248FFC"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$87m</w:t>
            </w:r>
          </w:p>
        </w:tc>
        <w:tc>
          <w:tcPr>
            <w:tcW w:w="995" w:type="pct"/>
            <w:vAlign w:val="center"/>
          </w:tcPr>
          <w:p w14:paraId="3F248FFD"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4.4%</w:t>
            </w:r>
          </w:p>
        </w:tc>
      </w:tr>
      <w:tr w:rsidR="00CF4475" w:rsidRPr="00F3678E" w14:paraId="3F249004" w14:textId="77777777" w:rsidTr="00CB5E3E">
        <w:trPr>
          <w:trHeight w:val="296"/>
        </w:trPr>
        <w:tc>
          <w:tcPr>
            <w:tcW w:w="1005" w:type="pct"/>
            <w:vAlign w:val="center"/>
          </w:tcPr>
          <w:p w14:paraId="3F248FFF" w14:textId="77777777" w:rsidR="00CF4475" w:rsidRPr="0019295B" w:rsidRDefault="00CF4475" w:rsidP="006D6217">
            <w:pPr>
              <w:keepNext/>
              <w:rPr>
                <w:rFonts w:ascii="Segoe UI" w:hAnsi="Segoe UI" w:cs="Segoe UI"/>
                <w:b/>
                <w:color w:val="000000"/>
              </w:rPr>
            </w:pPr>
            <w:r w:rsidRPr="0019295B">
              <w:rPr>
                <w:rFonts w:ascii="Segoe UI" w:hAnsi="Segoe UI" w:cs="Segoe UI"/>
                <w:b/>
                <w:color w:val="000000"/>
              </w:rPr>
              <w:t>Total NPBT</w:t>
            </w:r>
          </w:p>
        </w:tc>
        <w:tc>
          <w:tcPr>
            <w:tcW w:w="1000" w:type="pct"/>
            <w:vAlign w:val="center"/>
          </w:tcPr>
          <w:p w14:paraId="3F249000" w14:textId="77777777" w:rsidR="00CF4475" w:rsidRPr="0019295B" w:rsidRDefault="00CF4475" w:rsidP="006D6217">
            <w:pPr>
              <w:keepNext/>
              <w:jc w:val="center"/>
              <w:rPr>
                <w:rFonts w:ascii="Segoe UI" w:hAnsi="Segoe UI" w:cs="Segoe UI"/>
                <w:b/>
                <w:color w:val="000000"/>
              </w:rPr>
            </w:pPr>
            <w:r w:rsidRPr="0019295B">
              <w:rPr>
                <w:rFonts w:ascii="Segoe UI" w:hAnsi="Segoe UI" w:cs="Segoe UI"/>
                <w:b/>
                <w:color w:val="000000"/>
              </w:rPr>
              <w:t>$1,063m</w:t>
            </w:r>
          </w:p>
        </w:tc>
        <w:tc>
          <w:tcPr>
            <w:tcW w:w="1000" w:type="pct"/>
            <w:vAlign w:val="center"/>
          </w:tcPr>
          <w:p w14:paraId="3F249001" w14:textId="77777777" w:rsidR="00CF4475" w:rsidRPr="0019295B" w:rsidRDefault="00CF4475" w:rsidP="006D6217">
            <w:pPr>
              <w:keepNext/>
              <w:jc w:val="center"/>
              <w:rPr>
                <w:rFonts w:ascii="Segoe UI" w:hAnsi="Segoe UI" w:cs="Segoe UI"/>
                <w:b/>
                <w:color w:val="000000"/>
              </w:rPr>
            </w:pPr>
            <w:r w:rsidRPr="0019295B">
              <w:rPr>
                <w:rFonts w:ascii="Segoe UI" w:hAnsi="Segoe UI" w:cs="Segoe UI"/>
                <w:b/>
                <w:color w:val="000000"/>
              </w:rPr>
              <w:t>$1,006m</w:t>
            </w:r>
          </w:p>
        </w:tc>
        <w:tc>
          <w:tcPr>
            <w:tcW w:w="1000" w:type="pct"/>
            <w:vAlign w:val="center"/>
          </w:tcPr>
          <w:p w14:paraId="3F249002"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-$57m</w:t>
            </w:r>
          </w:p>
        </w:tc>
        <w:tc>
          <w:tcPr>
            <w:tcW w:w="995" w:type="pct"/>
            <w:vAlign w:val="center"/>
          </w:tcPr>
          <w:p w14:paraId="3F249003"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-5.4%</w:t>
            </w:r>
          </w:p>
        </w:tc>
      </w:tr>
      <w:tr w:rsidR="00CF4475" w:rsidRPr="00F3678E" w14:paraId="3F24900A" w14:textId="77777777" w:rsidTr="00CB5E3E">
        <w:trPr>
          <w:trHeight w:val="296"/>
        </w:trPr>
        <w:tc>
          <w:tcPr>
            <w:tcW w:w="1005" w:type="pct"/>
            <w:vAlign w:val="center"/>
          </w:tcPr>
          <w:p w14:paraId="3F249005" w14:textId="77777777" w:rsidR="00CF4475" w:rsidRPr="0019295B" w:rsidRDefault="00CF4475" w:rsidP="006D6217">
            <w:pPr>
              <w:keepNext/>
              <w:rPr>
                <w:rFonts w:ascii="Segoe UI" w:hAnsi="Segoe UI" w:cs="Segoe UI"/>
                <w:color w:val="000000"/>
              </w:rPr>
            </w:pPr>
            <w:r w:rsidRPr="0019295B">
              <w:rPr>
                <w:rFonts w:ascii="Segoe UI" w:hAnsi="Segoe UI" w:cs="Segoe UI"/>
                <w:color w:val="000000"/>
              </w:rPr>
              <w:t>EBI</w:t>
            </w:r>
            <w:r>
              <w:rPr>
                <w:rFonts w:ascii="Segoe UI" w:hAnsi="Segoe UI" w:cs="Segoe UI"/>
                <w:color w:val="000000"/>
              </w:rPr>
              <w:t>TD</w:t>
            </w:r>
            <w:r w:rsidRPr="0019295B">
              <w:rPr>
                <w:rFonts w:ascii="Segoe UI" w:hAnsi="Segoe UI" w:cs="Segoe UI"/>
                <w:color w:val="000000"/>
              </w:rPr>
              <w:t xml:space="preserve">A </w:t>
            </w:r>
            <w:proofErr w:type="spellStart"/>
            <w:r w:rsidRPr="0019295B">
              <w:rPr>
                <w:rFonts w:ascii="Segoe UI" w:hAnsi="Segoe UI" w:cs="Segoe UI"/>
                <w:color w:val="000000"/>
              </w:rPr>
              <w:t>p.r.p.d</w:t>
            </w:r>
            <w:proofErr w:type="spellEnd"/>
          </w:p>
        </w:tc>
        <w:tc>
          <w:tcPr>
            <w:tcW w:w="1000" w:type="pct"/>
            <w:vAlign w:val="center"/>
          </w:tcPr>
          <w:p w14:paraId="3F249006"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$11,134</w:t>
            </w:r>
          </w:p>
        </w:tc>
        <w:tc>
          <w:tcPr>
            <w:tcW w:w="1000" w:type="pct"/>
            <w:vAlign w:val="center"/>
          </w:tcPr>
          <w:p w14:paraId="3F249007"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$11,481</w:t>
            </w:r>
          </w:p>
        </w:tc>
        <w:tc>
          <w:tcPr>
            <w:tcW w:w="1000" w:type="pct"/>
            <w:vAlign w:val="center"/>
          </w:tcPr>
          <w:p w14:paraId="3F249008" w14:textId="77777777" w:rsidR="00CF4475" w:rsidRPr="0019295B" w:rsidRDefault="001B184C" w:rsidP="006D6217">
            <w:pPr>
              <w:keepNext/>
              <w:jc w:val="center"/>
              <w:rPr>
                <w:rFonts w:ascii="Segoe UI" w:hAnsi="Segoe UI" w:cs="Segoe UI"/>
                <w:color w:val="000000"/>
              </w:rPr>
            </w:pPr>
            <w:r>
              <w:rPr>
                <w:rFonts w:ascii="Segoe UI" w:hAnsi="Segoe UI" w:cs="Segoe UI"/>
                <w:color w:val="000000"/>
              </w:rPr>
              <w:t>$347</w:t>
            </w:r>
          </w:p>
        </w:tc>
        <w:tc>
          <w:tcPr>
            <w:tcW w:w="995" w:type="pct"/>
            <w:vAlign w:val="center"/>
          </w:tcPr>
          <w:p w14:paraId="3F249009"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3.1%</w:t>
            </w:r>
          </w:p>
        </w:tc>
      </w:tr>
      <w:tr w:rsidR="00CF4475" w:rsidRPr="00F3678E" w14:paraId="3F249010" w14:textId="77777777" w:rsidTr="00CB5E3E">
        <w:trPr>
          <w:trHeight w:val="296"/>
        </w:trPr>
        <w:tc>
          <w:tcPr>
            <w:tcW w:w="1005" w:type="pct"/>
            <w:vAlign w:val="center"/>
          </w:tcPr>
          <w:p w14:paraId="3F24900B" w14:textId="77777777" w:rsidR="00CF4475" w:rsidRPr="0019295B" w:rsidRDefault="00CF4475" w:rsidP="006D6217">
            <w:pPr>
              <w:keepNext/>
              <w:rPr>
                <w:rFonts w:ascii="Segoe UI" w:hAnsi="Segoe UI" w:cs="Segoe UI"/>
                <w:color w:val="000000"/>
              </w:rPr>
            </w:pPr>
            <w:r w:rsidRPr="0019295B">
              <w:rPr>
                <w:rFonts w:ascii="Segoe UI" w:hAnsi="Segoe UI" w:cs="Segoe UI"/>
                <w:color w:val="000000"/>
              </w:rPr>
              <w:t xml:space="preserve">NPBT </w:t>
            </w:r>
            <w:proofErr w:type="spellStart"/>
            <w:r w:rsidRPr="0019295B">
              <w:rPr>
                <w:rFonts w:ascii="Segoe UI" w:hAnsi="Segoe UI" w:cs="Segoe UI"/>
                <w:color w:val="000000"/>
              </w:rPr>
              <w:t>p.r.p.d</w:t>
            </w:r>
            <w:proofErr w:type="spellEnd"/>
          </w:p>
        </w:tc>
        <w:tc>
          <w:tcPr>
            <w:tcW w:w="1000" w:type="pct"/>
            <w:vAlign w:val="center"/>
          </w:tcPr>
          <w:p w14:paraId="3F24900C"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$5,962</w:t>
            </w:r>
          </w:p>
        </w:tc>
        <w:tc>
          <w:tcPr>
            <w:tcW w:w="1000" w:type="pct"/>
            <w:vAlign w:val="center"/>
          </w:tcPr>
          <w:p w14:paraId="3F24900D"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$5,572</w:t>
            </w:r>
          </w:p>
        </w:tc>
        <w:tc>
          <w:tcPr>
            <w:tcW w:w="1000" w:type="pct"/>
            <w:vAlign w:val="center"/>
          </w:tcPr>
          <w:p w14:paraId="3F24900E"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-$390</w:t>
            </w:r>
          </w:p>
        </w:tc>
        <w:tc>
          <w:tcPr>
            <w:tcW w:w="995" w:type="pct"/>
            <w:vAlign w:val="center"/>
          </w:tcPr>
          <w:p w14:paraId="3F24900F" w14:textId="77777777" w:rsidR="00CF4475" w:rsidRPr="0019295B" w:rsidRDefault="00CF4475" w:rsidP="006D6217">
            <w:pPr>
              <w:keepNext/>
              <w:jc w:val="center"/>
              <w:rPr>
                <w:rFonts w:ascii="Segoe UI" w:hAnsi="Segoe UI" w:cs="Segoe UI"/>
                <w:color w:val="000000"/>
              </w:rPr>
            </w:pPr>
            <w:r w:rsidRPr="0019295B">
              <w:rPr>
                <w:rFonts w:ascii="Segoe UI" w:hAnsi="Segoe UI" w:cs="Segoe UI"/>
                <w:color w:val="000000"/>
              </w:rPr>
              <w:t>-6.5%</w:t>
            </w:r>
          </w:p>
        </w:tc>
      </w:tr>
    </w:tbl>
    <w:p w14:paraId="3F249011" w14:textId="77777777" w:rsidR="00CF4475" w:rsidRPr="00CA45A8" w:rsidRDefault="00CF4475" w:rsidP="00591258"/>
    <w:p w14:paraId="3F249012" w14:textId="77777777" w:rsidR="00CA45A8" w:rsidRPr="00C60BAD" w:rsidRDefault="00CF4475" w:rsidP="00591258">
      <w:pPr>
        <w:rPr>
          <w:sz w:val="24"/>
          <w:szCs w:val="24"/>
        </w:rPr>
      </w:pPr>
      <w:r w:rsidRPr="00C60BAD">
        <w:rPr>
          <w:sz w:val="24"/>
          <w:szCs w:val="24"/>
        </w:rPr>
        <w:t>In 2016-17:</w:t>
      </w:r>
    </w:p>
    <w:p w14:paraId="3F249013" w14:textId="77777777" w:rsidR="00CF4475" w:rsidRPr="00C60BAD" w:rsidRDefault="00CF4475" w:rsidP="00CF4475">
      <w:pPr>
        <w:pStyle w:val="ListParagraph"/>
        <w:numPr>
          <w:ilvl w:val="0"/>
          <w:numId w:val="2"/>
        </w:numPr>
        <w:rPr>
          <w:sz w:val="24"/>
          <w:szCs w:val="24"/>
        </w:rPr>
      </w:pPr>
      <w:r w:rsidRPr="00C60BAD">
        <w:rPr>
          <w:sz w:val="24"/>
          <w:szCs w:val="24"/>
        </w:rPr>
        <w:t>68 per cent of residential providers achieved a net profit</w:t>
      </w:r>
      <w:r w:rsidR="000902E0" w:rsidRPr="00C60BAD">
        <w:rPr>
          <w:sz w:val="24"/>
          <w:szCs w:val="24"/>
        </w:rPr>
        <w:t xml:space="preserve"> compared with 69 per cent in 201</w:t>
      </w:r>
      <w:r w:rsidR="0056559B">
        <w:rPr>
          <w:sz w:val="24"/>
          <w:szCs w:val="24"/>
        </w:rPr>
        <w:t>5-16 and 68 per cent in 2014-15;</w:t>
      </w:r>
    </w:p>
    <w:p w14:paraId="3F249014" w14:textId="77777777" w:rsidR="000902E0" w:rsidRPr="00C60BAD" w:rsidRDefault="000902E0" w:rsidP="00CF4475">
      <w:pPr>
        <w:pStyle w:val="ListParagraph"/>
        <w:numPr>
          <w:ilvl w:val="0"/>
          <w:numId w:val="2"/>
        </w:numPr>
        <w:rPr>
          <w:sz w:val="24"/>
          <w:szCs w:val="24"/>
        </w:rPr>
      </w:pPr>
      <w:r w:rsidRPr="00C60BAD">
        <w:rPr>
          <w:sz w:val="24"/>
          <w:szCs w:val="24"/>
        </w:rPr>
        <w:t>Average EBITDA per resident per annum increased from $11,134 to $11,48</w:t>
      </w:r>
      <w:r w:rsidR="0056559B">
        <w:rPr>
          <w:sz w:val="24"/>
          <w:szCs w:val="24"/>
        </w:rPr>
        <w:t>1, an increase of 3.1 per cent;</w:t>
      </w:r>
      <w:r w:rsidRPr="00C60BAD">
        <w:rPr>
          <w:sz w:val="24"/>
          <w:szCs w:val="24"/>
        </w:rPr>
        <w:t xml:space="preserve"> and</w:t>
      </w:r>
    </w:p>
    <w:p w14:paraId="3F249015" w14:textId="77777777" w:rsidR="000902E0" w:rsidRPr="00C60BAD" w:rsidRDefault="000902E0" w:rsidP="00CF4475">
      <w:pPr>
        <w:pStyle w:val="ListParagraph"/>
        <w:numPr>
          <w:ilvl w:val="0"/>
          <w:numId w:val="2"/>
        </w:numPr>
        <w:rPr>
          <w:sz w:val="24"/>
          <w:szCs w:val="24"/>
        </w:rPr>
      </w:pPr>
      <w:r w:rsidRPr="00C60BAD">
        <w:rPr>
          <w:sz w:val="24"/>
          <w:szCs w:val="24"/>
        </w:rPr>
        <w:t>Total profit for the sector was $1,006 million, a 5.4 per cent decrease compared with 2015-16.</w:t>
      </w:r>
    </w:p>
    <w:p w14:paraId="3F249016" w14:textId="77777777" w:rsidR="003C2AD3" w:rsidRPr="00C60BAD" w:rsidRDefault="000902E0" w:rsidP="000902E0">
      <w:pPr>
        <w:rPr>
          <w:sz w:val="24"/>
          <w:szCs w:val="24"/>
        </w:rPr>
      </w:pPr>
      <w:r w:rsidRPr="00C60BAD">
        <w:rPr>
          <w:sz w:val="24"/>
          <w:szCs w:val="24"/>
        </w:rPr>
        <w:t>Over a longer period, there has been a trend improvement in the financial performance of the residential aged care sector</w:t>
      </w:r>
      <w:r w:rsidR="0095678C" w:rsidRPr="00C60BAD">
        <w:rPr>
          <w:sz w:val="24"/>
          <w:szCs w:val="24"/>
        </w:rPr>
        <w:t xml:space="preserve">, although it has </w:t>
      </w:r>
      <w:r w:rsidR="00E035A8" w:rsidRPr="00C60BAD">
        <w:rPr>
          <w:sz w:val="24"/>
          <w:szCs w:val="24"/>
        </w:rPr>
        <w:t>varied with</w:t>
      </w:r>
      <w:r w:rsidR="0095678C" w:rsidRPr="00C60BAD">
        <w:rPr>
          <w:sz w:val="24"/>
          <w:szCs w:val="24"/>
        </w:rPr>
        <w:t xml:space="preserve"> an improved performance in some years followed by a lower performance in others</w:t>
      </w:r>
      <w:r w:rsidR="003C2AD3" w:rsidRPr="00C60BAD">
        <w:rPr>
          <w:sz w:val="24"/>
          <w:szCs w:val="24"/>
        </w:rPr>
        <w:t xml:space="preserve"> </w:t>
      </w:r>
      <w:r w:rsidR="00E035A8" w:rsidRPr="00C60BAD">
        <w:rPr>
          <w:sz w:val="24"/>
          <w:szCs w:val="24"/>
        </w:rPr>
        <w:t>(Chart</w:t>
      </w:r>
      <w:r w:rsidR="003C2AD3" w:rsidRPr="00C60BAD">
        <w:rPr>
          <w:sz w:val="24"/>
          <w:szCs w:val="24"/>
        </w:rPr>
        <w:t xml:space="preserve"> 1)</w:t>
      </w:r>
      <w:r w:rsidR="0095678C" w:rsidRPr="00C60BAD">
        <w:rPr>
          <w:sz w:val="24"/>
          <w:szCs w:val="24"/>
        </w:rPr>
        <w:t xml:space="preserve">. </w:t>
      </w:r>
    </w:p>
    <w:p w14:paraId="3F249017" w14:textId="77777777" w:rsidR="008D6A2C" w:rsidRPr="00C60BAD" w:rsidRDefault="008D6A2C" w:rsidP="008D6A2C">
      <w:pPr>
        <w:rPr>
          <w:sz w:val="24"/>
          <w:szCs w:val="24"/>
        </w:rPr>
      </w:pPr>
      <w:r w:rsidRPr="00C60BAD">
        <w:rPr>
          <w:sz w:val="24"/>
          <w:szCs w:val="24"/>
        </w:rPr>
        <w:t xml:space="preserve">As noted in ACFA’s 2018 Report, the downturn in the </w:t>
      </w:r>
      <w:r w:rsidR="00A55185" w:rsidRPr="00C60BAD">
        <w:rPr>
          <w:sz w:val="24"/>
          <w:szCs w:val="24"/>
        </w:rPr>
        <w:t>industry</w:t>
      </w:r>
      <w:r w:rsidRPr="00C60BAD">
        <w:rPr>
          <w:sz w:val="24"/>
          <w:szCs w:val="24"/>
        </w:rPr>
        <w:t xml:space="preserve">’s financial performance in 2012-13 followed a pause in ACFI indexation and adjustments to the ACFI tool. The financial performance of the </w:t>
      </w:r>
      <w:r w:rsidR="00A55185" w:rsidRPr="00C60BAD">
        <w:rPr>
          <w:sz w:val="24"/>
          <w:szCs w:val="24"/>
        </w:rPr>
        <w:t>industry</w:t>
      </w:r>
      <w:r w:rsidRPr="00C60BAD">
        <w:rPr>
          <w:sz w:val="24"/>
          <w:szCs w:val="24"/>
        </w:rPr>
        <w:t xml:space="preserve"> recovered after the 2012-13 indexation pause was </w:t>
      </w:r>
      <w:r w:rsidR="00E035A8" w:rsidRPr="00C60BAD">
        <w:rPr>
          <w:sz w:val="24"/>
          <w:szCs w:val="24"/>
        </w:rPr>
        <w:t>lifted</w:t>
      </w:r>
      <w:r w:rsidR="00FF1BE9" w:rsidRPr="00C60BAD">
        <w:rPr>
          <w:sz w:val="24"/>
          <w:szCs w:val="24"/>
        </w:rPr>
        <w:t>, helped</w:t>
      </w:r>
      <w:r w:rsidRPr="00C60BAD">
        <w:rPr>
          <w:sz w:val="24"/>
          <w:szCs w:val="24"/>
        </w:rPr>
        <w:t xml:space="preserve"> by </w:t>
      </w:r>
      <w:r w:rsidR="00CF1637" w:rsidRPr="00C60BAD">
        <w:rPr>
          <w:sz w:val="24"/>
          <w:szCs w:val="24"/>
        </w:rPr>
        <w:t>a significant increase in ACFI claim per resi</w:t>
      </w:r>
      <w:r w:rsidR="003D288D" w:rsidRPr="00C60BAD">
        <w:rPr>
          <w:sz w:val="24"/>
          <w:szCs w:val="24"/>
        </w:rPr>
        <w:t xml:space="preserve">dent per day made by providers and an increase in the accommodation supplement for new and refurbished </w:t>
      </w:r>
      <w:r w:rsidR="00FF1BE9" w:rsidRPr="00C60BAD">
        <w:rPr>
          <w:sz w:val="24"/>
          <w:szCs w:val="24"/>
        </w:rPr>
        <w:t>facilities</w:t>
      </w:r>
      <w:r w:rsidR="00E035A8" w:rsidRPr="00C60BAD">
        <w:rPr>
          <w:sz w:val="24"/>
          <w:szCs w:val="24"/>
        </w:rPr>
        <w:t xml:space="preserve">. </w:t>
      </w:r>
      <w:r w:rsidRPr="00C60BAD">
        <w:rPr>
          <w:sz w:val="24"/>
          <w:szCs w:val="24"/>
        </w:rPr>
        <w:t xml:space="preserve">In addition in 2013 the Government folded the $1.2 billion Aged Care Workforce Supplement into ACFI </w:t>
      </w:r>
      <w:r w:rsidRPr="00C60BAD">
        <w:rPr>
          <w:sz w:val="24"/>
          <w:szCs w:val="24"/>
        </w:rPr>
        <w:lastRenderedPageBreak/>
        <w:t xml:space="preserve">with a </w:t>
      </w:r>
      <w:r w:rsidR="003D288D" w:rsidRPr="00C60BAD">
        <w:rPr>
          <w:sz w:val="24"/>
          <w:szCs w:val="24"/>
        </w:rPr>
        <w:t xml:space="preserve">one-off </w:t>
      </w:r>
      <w:r w:rsidRPr="00C60BAD">
        <w:rPr>
          <w:sz w:val="24"/>
          <w:szCs w:val="24"/>
        </w:rPr>
        <w:t>2.4 per cent increase in the basic subsidy</w:t>
      </w:r>
      <w:r w:rsidR="003D288D" w:rsidRPr="00C60BAD">
        <w:rPr>
          <w:sz w:val="24"/>
          <w:szCs w:val="24"/>
        </w:rPr>
        <w:t>, which largely offset the impact of the indexation pause</w:t>
      </w:r>
      <w:r w:rsidR="001B184C">
        <w:rPr>
          <w:sz w:val="24"/>
          <w:szCs w:val="24"/>
        </w:rPr>
        <w:t>.</w:t>
      </w:r>
    </w:p>
    <w:p w14:paraId="3F249018" w14:textId="77777777" w:rsidR="0095678C" w:rsidRDefault="0095678C" w:rsidP="00CB5E3E">
      <w:pPr>
        <w:jc w:val="center"/>
        <w:rPr>
          <w:rFonts w:ascii="Segoe UI" w:hAnsi="Segoe UI" w:cs="Segoe UI"/>
          <w:b/>
        </w:rPr>
      </w:pPr>
      <w:proofErr w:type="gramStart"/>
      <w:r w:rsidRPr="0095678C">
        <w:rPr>
          <w:rFonts w:ascii="Segoe UI" w:hAnsi="Segoe UI" w:cs="Segoe UI"/>
          <w:b/>
        </w:rPr>
        <w:t>Chart 1.</w:t>
      </w:r>
      <w:proofErr w:type="gramEnd"/>
      <w:r w:rsidRPr="0095678C">
        <w:rPr>
          <w:rFonts w:ascii="Segoe UI" w:hAnsi="Segoe UI" w:cs="Segoe UI"/>
          <w:b/>
        </w:rPr>
        <w:t xml:space="preserve"> EBITDA and NPBT per resident per annum, residential care providers, 2009</w:t>
      </w:r>
      <w:r w:rsidRPr="0095678C">
        <w:rPr>
          <w:rFonts w:ascii="Segoe UI" w:hAnsi="Segoe UI" w:cs="Segoe UI"/>
          <w:b/>
        </w:rPr>
        <w:noBreakHyphen/>
        <w:t>10 to 2016-17</w:t>
      </w:r>
    </w:p>
    <w:p w14:paraId="3F249019" w14:textId="77777777" w:rsidR="00CA3E1A" w:rsidRPr="00CA3E1A" w:rsidRDefault="00CA3E1A" w:rsidP="00CA3E1A"/>
    <w:p w14:paraId="3F24901A" w14:textId="77777777" w:rsidR="0095678C" w:rsidRPr="00CF4475" w:rsidRDefault="0095678C" w:rsidP="00C60BAD">
      <w:pPr>
        <w:jc w:val="center"/>
      </w:pPr>
      <w:r>
        <w:rPr>
          <w:noProof/>
          <w:lang w:eastAsia="en-AU"/>
        </w:rPr>
        <w:drawing>
          <wp:inline distT="0" distB="0" distL="0" distR="0" wp14:anchorId="3F249121" wp14:editId="5A9AE1E6">
            <wp:extent cx="5433060" cy="3086100"/>
            <wp:effectExtent l="0" t="0" r="15240" b="19050"/>
            <wp:docPr id="4" name="Chart 4" descr="The chart shows Earnings Before Interest, Tax, Depreciation and Amortisation per resident per annum for residential care providers increasing from just over $6,000 in 2009-10 to $11,481 in 2016-17. &#10;&#10;The chart also shows the Net Profit before Tax per resident per annum for residential care providers increasing from just under $2,000 in 2009-10 to $5,572 in 2016-17." title="Chart 1. EBITDA and NPBT per resident per annum, residential care providers, 2009 10 to 2016-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F24901B" w14:textId="77777777" w:rsidR="00707B64" w:rsidRDefault="00707B64" w:rsidP="00591258"/>
    <w:p w14:paraId="3F24901C" w14:textId="59E932E8" w:rsidR="00707B64" w:rsidRPr="00C60BAD" w:rsidRDefault="00201D74" w:rsidP="00591258">
      <w:pPr>
        <w:rPr>
          <w:sz w:val="24"/>
          <w:szCs w:val="24"/>
        </w:rPr>
      </w:pPr>
      <w:r w:rsidRPr="00C60BAD">
        <w:rPr>
          <w:sz w:val="24"/>
          <w:szCs w:val="24"/>
        </w:rPr>
        <w:t xml:space="preserve">While overall there has been a trend increase in the financial performance </w:t>
      </w:r>
      <w:r w:rsidR="005F2AE8" w:rsidRPr="00C60BAD">
        <w:rPr>
          <w:sz w:val="24"/>
          <w:szCs w:val="24"/>
        </w:rPr>
        <w:t xml:space="preserve">of the residential </w:t>
      </w:r>
      <w:r w:rsidR="00605884" w:rsidRPr="00C60BAD">
        <w:rPr>
          <w:sz w:val="24"/>
          <w:szCs w:val="24"/>
        </w:rPr>
        <w:t xml:space="preserve">age care </w:t>
      </w:r>
      <w:r w:rsidR="00E035A8" w:rsidRPr="00C60BAD">
        <w:rPr>
          <w:sz w:val="24"/>
          <w:szCs w:val="24"/>
        </w:rPr>
        <w:t>providers in</w:t>
      </w:r>
      <w:r w:rsidR="00605884" w:rsidRPr="00C60BAD">
        <w:rPr>
          <w:sz w:val="24"/>
          <w:szCs w:val="24"/>
        </w:rPr>
        <w:t xml:space="preserve"> the </w:t>
      </w:r>
      <w:r w:rsidR="00E035A8" w:rsidRPr="00C60BAD">
        <w:rPr>
          <w:sz w:val="24"/>
          <w:szCs w:val="24"/>
        </w:rPr>
        <w:t>period to</w:t>
      </w:r>
      <w:r w:rsidR="005F2AE8" w:rsidRPr="00C60BAD">
        <w:rPr>
          <w:sz w:val="24"/>
          <w:szCs w:val="24"/>
        </w:rPr>
        <w:t xml:space="preserve"> 20</w:t>
      </w:r>
      <w:r w:rsidR="00605884" w:rsidRPr="00C60BAD">
        <w:rPr>
          <w:sz w:val="24"/>
          <w:szCs w:val="24"/>
        </w:rPr>
        <w:t xml:space="preserve">16-17, there remained significant </w:t>
      </w:r>
      <w:r w:rsidR="003D288D" w:rsidRPr="00C60BAD">
        <w:rPr>
          <w:sz w:val="24"/>
          <w:szCs w:val="24"/>
        </w:rPr>
        <w:t xml:space="preserve">and long standing </w:t>
      </w:r>
      <w:r w:rsidR="00605884" w:rsidRPr="00C60BAD">
        <w:rPr>
          <w:sz w:val="24"/>
          <w:szCs w:val="24"/>
        </w:rPr>
        <w:t xml:space="preserve">variance in performance across </w:t>
      </w:r>
      <w:r w:rsidR="00E27DD5" w:rsidRPr="00C60BAD">
        <w:rPr>
          <w:sz w:val="24"/>
          <w:szCs w:val="24"/>
        </w:rPr>
        <w:t>providers (</w:t>
      </w:r>
      <w:r w:rsidR="004F462C" w:rsidRPr="00C60BAD">
        <w:rPr>
          <w:sz w:val="24"/>
          <w:szCs w:val="24"/>
        </w:rPr>
        <w:t>Chart 2)</w:t>
      </w:r>
      <w:r w:rsidR="00605884" w:rsidRPr="00C60BAD">
        <w:rPr>
          <w:sz w:val="24"/>
          <w:szCs w:val="24"/>
        </w:rPr>
        <w:t xml:space="preserve">. For example, while the average EBITDA per resident per annum in 2016-17 was </w:t>
      </w:r>
      <w:r w:rsidR="00B63CEB" w:rsidRPr="00C60BAD">
        <w:rPr>
          <w:sz w:val="24"/>
          <w:szCs w:val="24"/>
        </w:rPr>
        <w:t>$11,481, it was $24,751 for the top quartile of providers while the bottom quartile had on average a negative $5</w:t>
      </w:r>
      <w:r w:rsidR="001B184C">
        <w:rPr>
          <w:sz w:val="24"/>
          <w:szCs w:val="24"/>
        </w:rPr>
        <w:t>,</w:t>
      </w:r>
      <w:r w:rsidR="00B63CEB" w:rsidRPr="00C60BAD">
        <w:rPr>
          <w:sz w:val="24"/>
          <w:szCs w:val="24"/>
        </w:rPr>
        <w:t xml:space="preserve">344 EBITDA per resident per </w:t>
      </w:r>
      <w:r w:rsidR="00D4107F">
        <w:rPr>
          <w:sz w:val="24"/>
          <w:szCs w:val="24"/>
        </w:rPr>
        <w:t>annum</w:t>
      </w:r>
      <w:r w:rsidR="00B63CEB" w:rsidRPr="00C60BAD">
        <w:rPr>
          <w:sz w:val="24"/>
          <w:szCs w:val="24"/>
        </w:rPr>
        <w:t>.</w:t>
      </w:r>
    </w:p>
    <w:p w14:paraId="3F24901D" w14:textId="004A69E6" w:rsidR="00B63CEB" w:rsidRPr="00CA3E1A" w:rsidRDefault="00E74CF6" w:rsidP="00CB5E3E">
      <w:pPr>
        <w:jc w:val="center"/>
        <w:rPr>
          <w:rFonts w:ascii="Segoe UI" w:hAnsi="Segoe UI" w:cs="Segoe UI"/>
          <w:b/>
        </w:rPr>
      </w:pPr>
      <w:r w:rsidRPr="00CA3E1A">
        <w:rPr>
          <w:rFonts w:ascii="Segoe UI" w:hAnsi="Segoe UI" w:cs="Segoe UI"/>
          <w:b/>
        </w:rPr>
        <w:t>Chart 2:</w:t>
      </w:r>
      <w:r w:rsidR="00B63CEB" w:rsidRPr="00CA3E1A">
        <w:rPr>
          <w:rFonts w:ascii="Segoe UI" w:hAnsi="Segoe UI" w:cs="Segoe UI"/>
          <w:b/>
        </w:rPr>
        <w:t xml:space="preserve"> Comparative EBITDA per resident per </w:t>
      </w:r>
      <w:r w:rsidR="00D4107F">
        <w:rPr>
          <w:rFonts w:ascii="Segoe UI" w:hAnsi="Segoe UI" w:cs="Segoe UI"/>
          <w:b/>
        </w:rPr>
        <w:t>annum</w:t>
      </w:r>
      <w:r w:rsidR="00B63CEB" w:rsidRPr="00CA3E1A">
        <w:rPr>
          <w:rFonts w:ascii="Segoe UI" w:hAnsi="Segoe UI" w:cs="Segoe UI"/>
          <w:b/>
        </w:rPr>
        <w:t>, 2015-16 and 2016-17</w:t>
      </w:r>
    </w:p>
    <w:p w14:paraId="3F24901E" w14:textId="77777777" w:rsidR="00B63CEB" w:rsidRDefault="00B63CEB" w:rsidP="00591258"/>
    <w:p w14:paraId="3F24901F" w14:textId="77777777" w:rsidR="00B63CEB" w:rsidRDefault="00B63CEB" w:rsidP="00C60BAD">
      <w:pPr>
        <w:jc w:val="center"/>
      </w:pPr>
      <w:r>
        <w:rPr>
          <w:noProof/>
          <w:lang w:eastAsia="en-AU"/>
        </w:rPr>
        <w:drawing>
          <wp:inline distT="0" distB="0" distL="0" distR="0" wp14:anchorId="3F249123" wp14:editId="1C2C25D1">
            <wp:extent cx="4953000" cy="1828800"/>
            <wp:effectExtent l="0" t="0" r="0" b="0"/>
            <wp:docPr id="36" name="Picture 36" descr="This chart shows by quartile the comparative Earnings Before Interest, Tax, Depreciation and Amortisation between 2015-16 and 2016-17.&#10;&#10;Overall Earnings Before Interest, Tax, Depreciation and Amortisation increased from $11.134 in 2015-16 to $11,481 in 2016-17&#10;&#10;The top quartile decreased from $25,254 in 2015-16 to %24,751 in 2016-17.&#10;&#10;The next top quartile decreased from $11,909 in 2015-16 to $11,887 in 2016-17&#10;&#10;The next bottom quartile increased from $5,850 in 2015-16 to $6,077 in 2016-17.&#10;&#10;The bottom quartile decreased from -$3,613 in 2015-16 to -$5,344 in 2016-17." title="Chart 2: Comparative EBITDA per resident per annum, 2015-16 and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Users\zc0004\AppData\Local\Microsoft\Windows\Temporary Internet Files\Content.Outlook\6DIYYC82\Chart_9.7 (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53000" cy="1828800"/>
                    </a:xfrm>
                    <a:prstGeom prst="rect">
                      <a:avLst/>
                    </a:prstGeom>
                    <a:noFill/>
                    <a:ln>
                      <a:noFill/>
                    </a:ln>
                  </pic:spPr>
                </pic:pic>
              </a:graphicData>
            </a:graphic>
          </wp:inline>
        </w:drawing>
      </w:r>
    </w:p>
    <w:p w14:paraId="3F249020" w14:textId="77777777" w:rsidR="00B63CEB" w:rsidRDefault="00B63CEB" w:rsidP="00591258"/>
    <w:p w14:paraId="3F249021" w14:textId="77777777" w:rsidR="004D64D3" w:rsidRPr="00C60BAD" w:rsidRDefault="00B63CEB" w:rsidP="00591258">
      <w:pPr>
        <w:rPr>
          <w:sz w:val="24"/>
          <w:szCs w:val="24"/>
        </w:rPr>
      </w:pPr>
      <w:r w:rsidRPr="00C60BAD">
        <w:rPr>
          <w:sz w:val="24"/>
          <w:szCs w:val="24"/>
        </w:rPr>
        <w:lastRenderedPageBreak/>
        <w:t>Overall, for-profit providers have outperformed the not-for-profit and government providers in terms of EBITDA margin and Net Profit margin</w:t>
      </w:r>
      <w:r w:rsidR="004F462C" w:rsidRPr="00C60BAD">
        <w:rPr>
          <w:sz w:val="24"/>
          <w:szCs w:val="24"/>
        </w:rPr>
        <w:t xml:space="preserve"> (Chart 3)</w:t>
      </w:r>
      <w:r w:rsidRPr="00C60BAD">
        <w:rPr>
          <w:sz w:val="24"/>
          <w:szCs w:val="24"/>
        </w:rPr>
        <w:t>.</w:t>
      </w:r>
      <w:r w:rsidR="004D64D3" w:rsidRPr="00C60BAD">
        <w:rPr>
          <w:sz w:val="24"/>
          <w:szCs w:val="24"/>
        </w:rPr>
        <w:t xml:space="preserve"> However as regularly noted in ACFA reports, care has to be taken in making such </w:t>
      </w:r>
      <w:r w:rsidR="00E035A8" w:rsidRPr="00C60BAD">
        <w:rPr>
          <w:sz w:val="24"/>
          <w:szCs w:val="24"/>
        </w:rPr>
        <w:t>comparisons</w:t>
      </w:r>
      <w:r w:rsidR="001A2A43">
        <w:rPr>
          <w:sz w:val="24"/>
          <w:szCs w:val="24"/>
        </w:rPr>
        <w:t xml:space="preserve"> because the not</w:t>
      </w:r>
      <w:r w:rsidR="001A2A43">
        <w:rPr>
          <w:sz w:val="24"/>
          <w:szCs w:val="24"/>
        </w:rPr>
        <w:noBreakHyphen/>
        <w:t>for</w:t>
      </w:r>
      <w:r w:rsidR="001A2A43">
        <w:rPr>
          <w:sz w:val="24"/>
          <w:szCs w:val="24"/>
        </w:rPr>
        <w:noBreakHyphen/>
      </w:r>
      <w:r w:rsidR="004D64D3" w:rsidRPr="00C60BAD">
        <w:rPr>
          <w:sz w:val="24"/>
          <w:szCs w:val="24"/>
        </w:rPr>
        <w:t>profit and government sectors often have different business motives, business models</w:t>
      </w:r>
      <w:r w:rsidR="000B75BC" w:rsidRPr="00C60BAD">
        <w:rPr>
          <w:sz w:val="24"/>
          <w:szCs w:val="24"/>
        </w:rPr>
        <w:t xml:space="preserve">, </w:t>
      </w:r>
      <w:r w:rsidR="004D64D3" w:rsidRPr="00C60BAD">
        <w:rPr>
          <w:sz w:val="24"/>
          <w:szCs w:val="24"/>
        </w:rPr>
        <w:t xml:space="preserve">funding sources </w:t>
      </w:r>
      <w:r w:rsidR="000B75BC" w:rsidRPr="00C60BAD">
        <w:rPr>
          <w:sz w:val="24"/>
          <w:szCs w:val="24"/>
        </w:rPr>
        <w:t>and</w:t>
      </w:r>
      <w:r w:rsidR="004D64D3" w:rsidRPr="00C60BAD">
        <w:rPr>
          <w:sz w:val="24"/>
          <w:szCs w:val="24"/>
        </w:rPr>
        <w:t xml:space="preserve"> objectives including the delivery of community and social benefits to those in need and </w:t>
      </w:r>
      <w:r w:rsidR="0076076C" w:rsidRPr="00C60BAD">
        <w:rPr>
          <w:sz w:val="24"/>
          <w:szCs w:val="24"/>
        </w:rPr>
        <w:t xml:space="preserve">many </w:t>
      </w:r>
      <w:r w:rsidR="004D64D3" w:rsidRPr="00C60BAD">
        <w:rPr>
          <w:sz w:val="24"/>
          <w:szCs w:val="24"/>
        </w:rPr>
        <w:t>operate in rural and remote areas.</w:t>
      </w:r>
    </w:p>
    <w:p w14:paraId="3F249022" w14:textId="525760FE" w:rsidR="00CA15D7" w:rsidRPr="00CA3E1A" w:rsidRDefault="00CA15D7" w:rsidP="00CB5E3E">
      <w:pPr>
        <w:jc w:val="center"/>
        <w:rPr>
          <w:rFonts w:ascii="Segoe UI" w:hAnsi="Segoe UI" w:cs="Segoe UI"/>
          <w:b/>
        </w:rPr>
      </w:pPr>
      <w:r w:rsidRPr="00CA3E1A">
        <w:rPr>
          <w:rFonts w:ascii="Segoe UI" w:hAnsi="Segoe UI" w:cs="Segoe UI"/>
          <w:b/>
        </w:rPr>
        <w:t>Chart</w:t>
      </w:r>
      <w:r w:rsidR="0076076C" w:rsidRPr="00CA3E1A">
        <w:rPr>
          <w:rFonts w:ascii="Segoe UI" w:hAnsi="Segoe UI" w:cs="Segoe UI"/>
          <w:b/>
        </w:rPr>
        <w:t xml:space="preserve"> </w:t>
      </w:r>
      <w:r w:rsidR="00E74CF6" w:rsidRPr="00CA3E1A">
        <w:rPr>
          <w:rFonts w:ascii="Segoe UI" w:hAnsi="Segoe UI" w:cs="Segoe UI"/>
          <w:b/>
        </w:rPr>
        <w:t>3:</w:t>
      </w:r>
      <w:r w:rsidRPr="00CA3E1A">
        <w:rPr>
          <w:rFonts w:ascii="Segoe UI" w:hAnsi="Segoe UI" w:cs="Segoe UI"/>
          <w:b/>
        </w:rPr>
        <w:t xml:space="preserve"> Residential care provider </w:t>
      </w:r>
      <w:r w:rsidR="00F02777">
        <w:rPr>
          <w:rFonts w:ascii="Segoe UI" w:hAnsi="Segoe UI" w:cs="Segoe UI"/>
          <w:b/>
        </w:rPr>
        <w:t>interest coverage, Net profit margin and EBITDA margin by</w:t>
      </w:r>
      <w:r w:rsidRPr="00CA3E1A">
        <w:rPr>
          <w:rFonts w:ascii="Segoe UI" w:hAnsi="Segoe UI" w:cs="Segoe UI"/>
          <w:b/>
        </w:rPr>
        <w:t xml:space="preserve"> ownership type</w:t>
      </w:r>
    </w:p>
    <w:p w14:paraId="3F249023" w14:textId="77777777" w:rsidR="00CA15D7" w:rsidRDefault="00CA15D7" w:rsidP="00591258"/>
    <w:p w14:paraId="3F249024" w14:textId="77777777" w:rsidR="00CA15D7" w:rsidRDefault="00CA15D7" w:rsidP="00C60BAD">
      <w:pPr>
        <w:jc w:val="center"/>
      </w:pPr>
      <w:r>
        <w:rPr>
          <w:rFonts w:ascii="Segoe UI" w:hAnsi="Segoe UI" w:cs="Segoe UI"/>
          <w:noProof/>
          <w:lang w:eastAsia="en-AU"/>
        </w:rPr>
        <w:drawing>
          <wp:inline distT="0" distB="0" distL="0" distR="0" wp14:anchorId="3F249125" wp14:editId="540388EF">
            <wp:extent cx="4962525" cy="1857375"/>
            <wp:effectExtent l="0" t="0" r="9525" b="9525"/>
            <wp:docPr id="38" name="Picture 38" descr="This chart shows the interest coverage, Net profit margin and EBITDA margin by ownership type - Not-for-profit, For-profit and Government owners." title="Chart 3: Residential care provider interest coverage, Net profit margin and EBITDA margin by ownership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Users\zc0004\AppData\Local\Microsoft\Windows\Temporary Internet Files\Content.Outlook\6DIYYC82\Chart_9.9 (1).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2525" cy="1857375"/>
                    </a:xfrm>
                    <a:prstGeom prst="rect">
                      <a:avLst/>
                    </a:prstGeom>
                    <a:noFill/>
                    <a:ln>
                      <a:noFill/>
                    </a:ln>
                  </pic:spPr>
                </pic:pic>
              </a:graphicData>
            </a:graphic>
          </wp:inline>
        </w:drawing>
      </w:r>
    </w:p>
    <w:p w14:paraId="3F249025" w14:textId="77777777" w:rsidR="00CA3E1A" w:rsidRDefault="00CA3E1A" w:rsidP="00591258"/>
    <w:p w14:paraId="3F249026" w14:textId="77777777" w:rsidR="008D6A2C" w:rsidRPr="00C60BAD" w:rsidRDefault="008D6A2C" w:rsidP="00591258">
      <w:pPr>
        <w:rPr>
          <w:sz w:val="24"/>
          <w:szCs w:val="24"/>
        </w:rPr>
      </w:pPr>
      <w:r w:rsidRPr="00C60BAD">
        <w:rPr>
          <w:sz w:val="24"/>
          <w:szCs w:val="24"/>
        </w:rPr>
        <w:t xml:space="preserve">A higher proportion of providers operating in metropolitan areas were in the top quartile of providers ranked by EBITDA per resident in 2016-17 </w:t>
      </w:r>
      <w:r w:rsidR="00E035A8" w:rsidRPr="00C60BAD">
        <w:rPr>
          <w:sz w:val="24"/>
          <w:szCs w:val="24"/>
        </w:rPr>
        <w:t>(31</w:t>
      </w:r>
      <w:r w:rsidRPr="00C60BAD">
        <w:rPr>
          <w:sz w:val="24"/>
          <w:szCs w:val="24"/>
        </w:rPr>
        <w:t xml:space="preserve"> per cent), compared </w:t>
      </w:r>
      <w:r w:rsidR="0076076C" w:rsidRPr="00C60BAD">
        <w:rPr>
          <w:sz w:val="24"/>
          <w:szCs w:val="24"/>
        </w:rPr>
        <w:t>with those operating in regional areas</w:t>
      </w:r>
      <w:r w:rsidRPr="00C60BAD">
        <w:rPr>
          <w:sz w:val="24"/>
          <w:szCs w:val="24"/>
        </w:rPr>
        <w:t xml:space="preserve"> (17 per cent). Conversely, a higher proportion of providers operating in regional areas were represented in the bottom </w:t>
      </w:r>
      <w:r w:rsidR="00E035A8" w:rsidRPr="00C60BAD">
        <w:rPr>
          <w:sz w:val="24"/>
          <w:szCs w:val="24"/>
        </w:rPr>
        <w:t>quartile (Chart</w:t>
      </w:r>
      <w:r w:rsidRPr="00C60BAD">
        <w:rPr>
          <w:sz w:val="24"/>
          <w:szCs w:val="24"/>
        </w:rPr>
        <w:t xml:space="preserve"> </w:t>
      </w:r>
      <w:r w:rsidR="0076076C" w:rsidRPr="00C60BAD">
        <w:rPr>
          <w:sz w:val="24"/>
          <w:szCs w:val="24"/>
        </w:rPr>
        <w:t>4</w:t>
      </w:r>
      <w:r w:rsidRPr="00C60BAD">
        <w:rPr>
          <w:sz w:val="24"/>
          <w:szCs w:val="24"/>
        </w:rPr>
        <w:t>). However, there were regional providers in the top quartile of providers with an EBITDA per resident that was almost double that of metropolitan providers in the top quartile.</w:t>
      </w:r>
    </w:p>
    <w:p w14:paraId="3F249027" w14:textId="77777777" w:rsidR="004F462C" w:rsidRDefault="004F462C" w:rsidP="00CB5E3E">
      <w:pPr>
        <w:jc w:val="center"/>
        <w:rPr>
          <w:rFonts w:ascii="Segoe UI" w:hAnsi="Segoe UI" w:cs="Segoe UI"/>
          <w:b/>
        </w:rPr>
      </w:pPr>
      <w:r w:rsidRPr="00CA3E1A">
        <w:rPr>
          <w:rFonts w:ascii="Segoe UI" w:hAnsi="Segoe UI" w:cs="Segoe UI"/>
          <w:b/>
        </w:rPr>
        <w:t>Chart 4: Residential care provider average EBI</w:t>
      </w:r>
      <w:r w:rsidR="00CA3E1A">
        <w:rPr>
          <w:rFonts w:ascii="Segoe UI" w:hAnsi="Segoe UI" w:cs="Segoe UI"/>
          <w:b/>
        </w:rPr>
        <w:t>TDA per resident per annum 2016</w:t>
      </w:r>
      <w:r w:rsidR="00CA3E1A">
        <w:rPr>
          <w:rFonts w:ascii="Segoe UI" w:hAnsi="Segoe UI" w:cs="Segoe UI"/>
          <w:b/>
        </w:rPr>
        <w:noBreakHyphen/>
      </w:r>
      <w:r w:rsidRPr="00CA3E1A">
        <w:rPr>
          <w:rFonts w:ascii="Segoe UI" w:hAnsi="Segoe UI" w:cs="Segoe UI"/>
          <w:b/>
        </w:rPr>
        <w:t>17 by quartile and location</w:t>
      </w:r>
    </w:p>
    <w:p w14:paraId="3F249028" w14:textId="77777777" w:rsidR="00CA3E1A" w:rsidRPr="00CA3E1A" w:rsidRDefault="00CA3E1A" w:rsidP="00CA3E1A"/>
    <w:p w14:paraId="3F249029" w14:textId="77777777" w:rsidR="002C0A82" w:rsidRDefault="000746ED" w:rsidP="0076076C">
      <w:pPr>
        <w:jc w:val="center"/>
        <w:rPr>
          <w:b/>
          <w:sz w:val="24"/>
          <w:szCs w:val="24"/>
        </w:rPr>
      </w:pPr>
      <w:r>
        <w:rPr>
          <w:noProof/>
          <w:lang w:eastAsia="en-AU"/>
        </w:rPr>
        <w:drawing>
          <wp:inline distT="0" distB="0" distL="0" distR="0" wp14:anchorId="3F249127" wp14:editId="44FB4ABE">
            <wp:extent cx="4933950" cy="1762125"/>
            <wp:effectExtent l="0" t="0" r="0" b="9525"/>
            <wp:docPr id="46" name="Picture 46" descr="This chart compares the Earnings Before Interest, Tax, Depreciation and Amortisation per resident per annum for providers by quartiles across metropolitan and regional locations." title="Chart 4: Residential care provider average EBITDA per resident per annum 2016 17 by quartile and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zc0004\AppData\Local\Microsoft\Windows\Temporary Internet Files\Content.Outlook\6DIYYC82\Chart_9.7.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33950" cy="1762125"/>
                    </a:xfrm>
                    <a:prstGeom prst="rect">
                      <a:avLst/>
                    </a:prstGeom>
                    <a:noFill/>
                    <a:ln>
                      <a:noFill/>
                    </a:ln>
                  </pic:spPr>
                </pic:pic>
              </a:graphicData>
            </a:graphic>
          </wp:inline>
        </w:drawing>
      </w:r>
    </w:p>
    <w:p w14:paraId="3F24902A" w14:textId="77777777" w:rsidR="004D64D3" w:rsidRDefault="004D64D3" w:rsidP="00591258"/>
    <w:p w14:paraId="3F24902B" w14:textId="77777777" w:rsidR="00B734F5" w:rsidRPr="00FE3F61" w:rsidRDefault="00CA15D7" w:rsidP="00CB25A6">
      <w:pPr>
        <w:pStyle w:val="Heading2"/>
      </w:pPr>
      <w:bookmarkStart w:id="6" w:name="_Toc525127624"/>
      <w:r w:rsidRPr="00FE3F61">
        <w:lastRenderedPageBreak/>
        <w:t>Residential aged care financial performance – survey results for 2017-18</w:t>
      </w:r>
      <w:bookmarkEnd w:id="6"/>
    </w:p>
    <w:p w14:paraId="3F24902C" w14:textId="77777777" w:rsidR="00706D4B" w:rsidRDefault="00706D4B" w:rsidP="00706D4B">
      <w:pPr>
        <w:rPr>
          <w:sz w:val="24"/>
          <w:szCs w:val="24"/>
        </w:rPr>
      </w:pPr>
      <w:r>
        <w:rPr>
          <w:sz w:val="24"/>
          <w:szCs w:val="24"/>
        </w:rPr>
        <w:t xml:space="preserve">The quarterly Aged Care Financial Surveys published by </w:t>
      </w:r>
      <w:proofErr w:type="spellStart"/>
      <w:r>
        <w:rPr>
          <w:sz w:val="24"/>
          <w:szCs w:val="24"/>
        </w:rPr>
        <w:t>StewartBrown</w:t>
      </w:r>
      <w:proofErr w:type="spellEnd"/>
      <w:r>
        <w:rPr>
          <w:sz w:val="24"/>
          <w:szCs w:val="24"/>
        </w:rPr>
        <w:t xml:space="preserve"> have indicated that over 2017-18 there has been a progressive overall deterioration in the financial performance of the residential aged care facilities surveyed. </w:t>
      </w:r>
    </w:p>
    <w:p w14:paraId="3F24902D" w14:textId="77777777" w:rsidR="00706D4B" w:rsidRDefault="00706D4B" w:rsidP="00706D4B">
      <w:pPr>
        <w:rPr>
          <w:sz w:val="24"/>
          <w:szCs w:val="24"/>
        </w:rPr>
      </w:pPr>
      <w:r>
        <w:rPr>
          <w:sz w:val="24"/>
          <w:szCs w:val="24"/>
        </w:rPr>
        <w:t xml:space="preserve">It is not possible to directly compare the results of the </w:t>
      </w:r>
      <w:proofErr w:type="spellStart"/>
      <w:r>
        <w:rPr>
          <w:sz w:val="24"/>
          <w:szCs w:val="24"/>
        </w:rPr>
        <w:t>StewartBrown</w:t>
      </w:r>
      <w:proofErr w:type="spellEnd"/>
      <w:r>
        <w:rPr>
          <w:sz w:val="24"/>
          <w:szCs w:val="24"/>
        </w:rPr>
        <w:t xml:space="preserve"> survey with those in ACFA’s annual reports because collection methods and coverage vary considerably. The survey is largely focused on not-for-profit facilities. Nevertheless, the survey covers 38</w:t>
      </w:r>
      <w:r w:rsidR="007316DD">
        <w:rPr>
          <w:sz w:val="24"/>
          <w:szCs w:val="24"/>
        </w:rPr>
        <w:t> per </w:t>
      </w:r>
      <w:r>
        <w:rPr>
          <w:sz w:val="24"/>
          <w:szCs w:val="24"/>
        </w:rPr>
        <w:t>cent of aged care facilities and is likely to broadly reflect developments in the sector as a whole.</w:t>
      </w:r>
    </w:p>
    <w:p w14:paraId="3F24902E" w14:textId="77777777" w:rsidR="00706D4B" w:rsidRDefault="00706D4B" w:rsidP="00706D4B">
      <w:pPr>
        <w:rPr>
          <w:sz w:val="24"/>
          <w:szCs w:val="24"/>
        </w:rPr>
      </w:pPr>
      <w:r>
        <w:rPr>
          <w:sz w:val="24"/>
          <w:szCs w:val="24"/>
        </w:rPr>
        <w:t xml:space="preserve">The </w:t>
      </w:r>
      <w:proofErr w:type="spellStart"/>
      <w:r>
        <w:rPr>
          <w:sz w:val="24"/>
          <w:szCs w:val="24"/>
        </w:rPr>
        <w:t>StewartBrown</w:t>
      </w:r>
      <w:proofErr w:type="spellEnd"/>
      <w:r>
        <w:rPr>
          <w:sz w:val="24"/>
          <w:szCs w:val="24"/>
        </w:rPr>
        <w:t xml:space="preserve"> results for the 12 months to June 2018 indicated 45</w:t>
      </w:r>
      <w:r w:rsidR="007316DD">
        <w:rPr>
          <w:sz w:val="24"/>
          <w:szCs w:val="24"/>
        </w:rPr>
        <w:t> </w:t>
      </w:r>
      <w:r>
        <w:rPr>
          <w:sz w:val="24"/>
          <w:szCs w:val="24"/>
        </w:rPr>
        <w:t>per</w:t>
      </w:r>
      <w:r w:rsidR="007316DD">
        <w:rPr>
          <w:sz w:val="24"/>
          <w:szCs w:val="24"/>
        </w:rPr>
        <w:t> </w:t>
      </w:r>
      <w:r>
        <w:rPr>
          <w:sz w:val="24"/>
          <w:szCs w:val="24"/>
        </w:rPr>
        <w:t>cent of facilities reported a negative EBT (E</w:t>
      </w:r>
      <w:r w:rsidR="007316DD">
        <w:rPr>
          <w:sz w:val="24"/>
          <w:szCs w:val="24"/>
        </w:rPr>
        <w:t>arnings Before Tax), up from 34 per </w:t>
      </w:r>
      <w:r>
        <w:rPr>
          <w:sz w:val="24"/>
          <w:szCs w:val="24"/>
        </w:rPr>
        <w:t>cent as at June 2017, an</w:t>
      </w:r>
      <w:r w:rsidR="007316DD">
        <w:rPr>
          <w:sz w:val="24"/>
          <w:szCs w:val="24"/>
        </w:rPr>
        <w:t>d 21 </w:t>
      </w:r>
      <w:r>
        <w:rPr>
          <w:sz w:val="24"/>
          <w:szCs w:val="24"/>
        </w:rPr>
        <w:t>per</w:t>
      </w:r>
      <w:r w:rsidR="007316DD">
        <w:rPr>
          <w:sz w:val="24"/>
          <w:szCs w:val="24"/>
        </w:rPr>
        <w:t> </w:t>
      </w:r>
      <w:r>
        <w:rPr>
          <w:sz w:val="24"/>
          <w:szCs w:val="24"/>
        </w:rPr>
        <w:t>cent of facilities had a negative EBITDA in t</w:t>
      </w:r>
      <w:r w:rsidR="007316DD">
        <w:rPr>
          <w:sz w:val="24"/>
          <w:szCs w:val="24"/>
        </w:rPr>
        <w:t>he June 2018 survey, up from 14 per </w:t>
      </w:r>
      <w:r>
        <w:rPr>
          <w:sz w:val="24"/>
          <w:szCs w:val="24"/>
        </w:rPr>
        <w:t>cent as at June 2017.</w:t>
      </w:r>
    </w:p>
    <w:p w14:paraId="3F24902F" w14:textId="77777777" w:rsidR="00706D4B" w:rsidRDefault="00706D4B" w:rsidP="00706D4B">
      <w:pPr>
        <w:rPr>
          <w:sz w:val="24"/>
          <w:szCs w:val="24"/>
        </w:rPr>
      </w:pPr>
      <w:r>
        <w:rPr>
          <w:sz w:val="24"/>
          <w:szCs w:val="24"/>
        </w:rPr>
        <w:t xml:space="preserve">There were significant declines in average facility EBT </w:t>
      </w:r>
      <w:r w:rsidR="007316DD">
        <w:rPr>
          <w:sz w:val="24"/>
          <w:szCs w:val="24"/>
        </w:rPr>
        <w:t>and EBITDA reported in the June </w:t>
      </w:r>
      <w:r>
        <w:rPr>
          <w:sz w:val="24"/>
          <w:szCs w:val="24"/>
        </w:rPr>
        <w:t>2018 survey, with average EBT of $810 per bed per annum (</w:t>
      </w:r>
      <w:proofErr w:type="spellStart"/>
      <w:r>
        <w:rPr>
          <w:sz w:val="24"/>
          <w:szCs w:val="24"/>
        </w:rPr>
        <w:t>pbpa</w:t>
      </w:r>
      <w:proofErr w:type="spellEnd"/>
      <w:r>
        <w:rPr>
          <w:sz w:val="24"/>
          <w:szCs w:val="24"/>
        </w:rPr>
        <w:t>) in June 2018 compared with $3,236 in June 2017 and average EBITDA of $6,745 in June 2018 compared with $8,821 in June 2017. While the largest proportion of facilities recording losses were in outer regional and remote and very remote areas, significant declines occurred in inner regional and metropolitan areas.</w:t>
      </w:r>
    </w:p>
    <w:p w14:paraId="3F249030" w14:textId="77777777" w:rsidR="00706D4B" w:rsidRDefault="00706D4B" w:rsidP="00706D4B">
      <w:pPr>
        <w:rPr>
          <w:sz w:val="24"/>
          <w:szCs w:val="24"/>
        </w:rPr>
      </w:pPr>
      <w:r>
        <w:rPr>
          <w:sz w:val="24"/>
          <w:szCs w:val="24"/>
        </w:rPr>
        <w:t>Based on the survey results for the twelve months to Jun</w:t>
      </w:r>
      <w:r w:rsidR="007316DD">
        <w:rPr>
          <w:sz w:val="24"/>
          <w:szCs w:val="24"/>
        </w:rPr>
        <w:t>e 2018 compared with the 12 </w:t>
      </w:r>
      <w:r>
        <w:rPr>
          <w:sz w:val="24"/>
          <w:szCs w:val="24"/>
        </w:rPr>
        <w:t>months to June 2017, among the main factors influencing the overall financial performance of facilitie</w:t>
      </w:r>
      <w:r w:rsidR="007316DD">
        <w:rPr>
          <w:sz w:val="24"/>
          <w:szCs w:val="24"/>
        </w:rPr>
        <w:t xml:space="preserve">s </w:t>
      </w:r>
      <w:r>
        <w:rPr>
          <w:sz w:val="24"/>
          <w:szCs w:val="24"/>
        </w:rPr>
        <w:t>included:</w:t>
      </w:r>
    </w:p>
    <w:p w14:paraId="3F249031" w14:textId="77777777" w:rsidR="00706D4B" w:rsidRPr="00B66CB2" w:rsidRDefault="00706D4B" w:rsidP="00706D4B">
      <w:pPr>
        <w:pStyle w:val="ListParagraph"/>
        <w:numPr>
          <w:ilvl w:val="0"/>
          <w:numId w:val="8"/>
        </w:numPr>
        <w:rPr>
          <w:sz w:val="24"/>
          <w:szCs w:val="24"/>
        </w:rPr>
      </w:pPr>
      <w:r w:rsidRPr="00B66CB2">
        <w:rPr>
          <w:sz w:val="24"/>
          <w:szCs w:val="24"/>
        </w:rPr>
        <w:t xml:space="preserve">Average ACFI per bed per day was largely </w:t>
      </w:r>
      <w:r w:rsidR="007316DD">
        <w:rPr>
          <w:sz w:val="24"/>
          <w:szCs w:val="24"/>
        </w:rPr>
        <w:t xml:space="preserve">unchanged ($172.57 </w:t>
      </w:r>
      <w:proofErr w:type="spellStart"/>
      <w:r w:rsidR="007316DD">
        <w:rPr>
          <w:sz w:val="24"/>
          <w:szCs w:val="24"/>
        </w:rPr>
        <w:t>pbpd</w:t>
      </w:r>
      <w:proofErr w:type="spellEnd"/>
      <w:r w:rsidR="007316DD">
        <w:rPr>
          <w:sz w:val="24"/>
          <w:szCs w:val="24"/>
        </w:rPr>
        <w:t xml:space="preserve"> in June </w:t>
      </w:r>
      <w:r w:rsidRPr="00B66CB2">
        <w:rPr>
          <w:sz w:val="24"/>
          <w:szCs w:val="24"/>
        </w:rPr>
        <w:t xml:space="preserve">2018 compared with $172.08 </w:t>
      </w:r>
      <w:proofErr w:type="spellStart"/>
      <w:r w:rsidRPr="00B66CB2">
        <w:rPr>
          <w:sz w:val="24"/>
          <w:szCs w:val="24"/>
        </w:rPr>
        <w:t>pbpd</w:t>
      </w:r>
      <w:proofErr w:type="spellEnd"/>
      <w:r w:rsidRPr="00B66CB2">
        <w:rPr>
          <w:sz w:val="24"/>
          <w:szCs w:val="24"/>
        </w:rPr>
        <w:t xml:space="preserve"> in June 2017)</w:t>
      </w:r>
      <w:r w:rsidR="007316DD">
        <w:rPr>
          <w:sz w:val="24"/>
          <w:szCs w:val="24"/>
        </w:rPr>
        <w:t>.</w:t>
      </w:r>
    </w:p>
    <w:p w14:paraId="3F249032" w14:textId="77777777" w:rsidR="00706D4B" w:rsidRPr="00B66CB2" w:rsidRDefault="00706D4B" w:rsidP="00706D4B">
      <w:pPr>
        <w:pStyle w:val="ListParagraph"/>
        <w:numPr>
          <w:ilvl w:val="0"/>
          <w:numId w:val="8"/>
        </w:numPr>
        <w:rPr>
          <w:sz w:val="24"/>
          <w:szCs w:val="24"/>
        </w:rPr>
      </w:pPr>
      <w:r w:rsidRPr="00B66CB2">
        <w:rPr>
          <w:sz w:val="24"/>
          <w:szCs w:val="24"/>
        </w:rPr>
        <w:t>Direct care costs increased by 4.6 per cent in June</w:t>
      </w:r>
      <w:r w:rsidR="007316DD">
        <w:rPr>
          <w:sz w:val="24"/>
          <w:szCs w:val="24"/>
        </w:rPr>
        <w:t xml:space="preserve"> 2018 survey compared with June </w:t>
      </w:r>
      <w:r w:rsidRPr="00B66CB2">
        <w:rPr>
          <w:sz w:val="24"/>
          <w:szCs w:val="24"/>
        </w:rPr>
        <w:t>2017.</w:t>
      </w:r>
    </w:p>
    <w:p w14:paraId="3F249033" w14:textId="77777777" w:rsidR="00706D4B" w:rsidRPr="00B66CB2" w:rsidRDefault="00706D4B" w:rsidP="00706D4B">
      <w:pPr>
        <w:pStyle w:val="ListParagraph"/>
        <w:numPr>
          <w:ilvl w:val="0"/>
          <w:numId w:val="8"/>
        </w:numPr>
        <w:rPr>
          <w:sz w:val="24"/>
          <w:szCs w:val="24"/>
        </w:rPr>
      </w:pPr>
      <w:r w:rsidRPr="00B66CB2">
        <w:rPr>
          <w:sz w:val="24"/>
          <w:szCs w:val="24"/>
        </w:rPr>
        <w:t>Care labour costs as a percentage of ACFI were 80.7 per cent in June 2018 compared with 77.5 per cent in June 2017</w:t>
      </w:r>
      <w:r w:rsidR="007316DD">
        <w:rPr>
          <w:sz w:val="24"/>
          <w:szCs w:val="24"/>
        </w:rPr>
        <w:t>.</w:t>
      </w:r>
    </w:p>
    <w:p w14:paraId="3F249034" w14:textId="77777777" w:rsidR="00706D4B" w:rsidRDefault="00706D4B" w:rsidP="00706D4B">
      <w:pPr>
        <w:pStyle w:val="ListParagraph"/>
        <w:numPr>
          <w:ilvl w:val="0"/>
          <w:numId w:val="8"/>
        </w:numPr>
        <w:rPr>
          <w:sz w:val="24"/>
          <w:szCs w:val="24"/>
        </w:rPr>
      </w:pPr>
      <w:r w:rsidRPr="00B66CB2">
        <w:rPr>
          <w:sz w:val="24"/>
          <w:szCs w:val="24"/>
        </w:rPr>
        <w:t>Direct care hours per resident per day were 3.06 in June 2018 compared with 2.91 in June 2017</w:t>
      </w:r>
      <w:r>
        <w:rPr>
          <w:sz w:val="24"/>
          <w:szCs w:val="24"/>
        </w:rPr>
        <w:t>.</w:t>
      </w:r>
    </w:p>
    <w:p w14:paraId="3F249035" w14:textId="77777777" w:rsidR="00706D4B" w:rsidRPr="00B66CB2" w:rsidRDefault="00706D4B" w:rsidP="00706D4B">
      <w:pPr>
        <w:pStyle w:val="ListParagraph"/>
        <w:numPr>
          <w:ilvl w:val="0"/>
          <w:numId w:val="8"/>
        </w:numPr>
        <w:rPr>
          <w:sz w:val="24"/>
          <w:szCs w:val="24"/>
        </w:rPr>
      </w:pPr>
      <w:r>
        <w:rPr>
          <w:sz w:val="24"/>
          <w:szCs w:val="24"/>
        </w:rPr>
        <w:t xml:space="preserve">The accommodation result of $11.18 </w:t>
      </w:r>
      <w:proofErr w:type="spellStart"/>
      <w:r>
        <w:rPr>
          <w:sz w:val="24"/>
          <w:szCs w:val="24"/>
        </w:rPr>
        <w:t>pbpd</w:t>
      </w:r>
      <w:proofErr w:type="spellEnd"/>
      <w:r>
        <w:rPr>
          <w:sz w:val="24"/>
          <w:szCs w:val="24"/>
        </w:rPr>
        <w:t xml:space="preserve"> i</w:t>
      </w:r>
      <w:r w:rsidR="007316DD">
        <w:rPr>
          <w:sz w:val="24"/>
          <w:szCs w:val="24"/>
        </w:rPr>
        <w:t>n June 2018 compared with $9.95 </w:t>
      </w:r>
      <w:proofErr w:type="spellStart"/>
      <w:r>
        <w:rPr>
          <w:sz w:val="24"/>
          <w:szCs w:val="24"/>
        </w:rPr>
        <w:t>pbpd</w:t>
      </w:r>
      <w:proofErr w:type="spellEnd"/>
      <w:r>
        <w:rPr>
          <w:sz w:val="24"/>
          <w:szCs w:val="24"/>
        </w:rPr>
        <w:t xml:space="preserve"> in June 2017.</w:t>
      </w:r>
    </w:p>
    <w:p w14:paraId="3F249036" w14:textId="77777777" w:rsidR="004D64D3" w:rsidRPr="00FE3F61" w:rsidRDefault="00B734F5" w:rsidP="00CB25A6">
      <w:pPr>
        <w:pStyle w:val="Heading2"/>
      </w:pPr>
      <w:bookmarkStart w:id="7" w:name="_Toc525127625"/>
      <w:r w:rsidRPr="00FE3F61">
        <w:t>Factors influencing the financial performance of residential care providers</w:t>
      </w:r>
      <w:bookmarkEnd w:id="7"/>
    </w:p>
    <w:p w14:paraId="3F249037" w14:textId="77777777" w:rsidR="00B734F5" w:rsidRDefault="00EE117B" w:rsidP="00591258">
      <w:pPr>
        <w:rPr>
          <w:sz w:val="24"/>
          <w:szCs w:val="24"/>
        </w:rPr>
      </w:pPr>
      <w:proofErr w:type="spellStart"/>
      <w:r>
        <w:rPr>
          <w:sz w:val="24"/>
          <w:szCs w:val="24"/>
        </w:rPr>
        <w:t>Stewart</w:t>
      </w:r>
      <w:r w:rsidR="00B734F5">
        <w:rPr>
          <w:sz w:val="24"/>
          <w:szCs w:val="24"/>
        </w:rPr>
        <w:t>Brown</w:t>
      </w:r>
      <w:proofErr w:type="spellEnd"/>
      <w:r w:rsidR="00B734F5">
        <w:rPr>
          <w:sz w:val="24"/>
          <w:szCs w:val="24"/>
        </w:rPr>
        <w:t xml:space="preserve"> </w:t>
      </w:r>
      <w:r w:rsidR="00FF1BE9">
        <w:rPr>
          <w:sz w:val="24"/>
          <w:szCs w:val="24"/>
        </w:rPr>
        <w:t>has observed</w:t>
      </w:r>
      <w:r w:rsidR="00B734F5">
        <w:rPr>
          <w:sz w:val="24"/>
          <w:szCs w:val="24"/>
        </w:rPr>
        <w:t xml:space="preserve"> that the significant overall deterioration in the financial performance of</w:t>
      </w:r>
      <w:r>
        <w:rPr>
          <w:sz w:val="24"/>
          <w:szCs w:val="24"/>
        </w:rPr>
        <w:t xml:space="preserve"> residential aged care facilities</w:t>
      </w:r>
      <w:r w:rsidR="00B734F5">
        <w:rPr>
          <w:sz w:val="24"/>
          <w:szCs w:val="24"/>
        </w:rPr>
        <w:t xml:space="preserve"> in 2017-18 </w:t>
      </w:r>
      <w:r w:rsidR="007A71CC">
        <w:rPr>
          <w:sz w:val="24"/>
          <w:szCs w:val="24"/>
        </w:rPr>
        <w:t xml:space="preserve">evident in the results of their survey </w:t>
      </w:r>
      <w:r w:rsidR="00B734F5">
        <w:rPr>
          <w:sz w:val="24"/>
          <w:szCs w:val="24"/>
        </w:rPr>
        <w:t xml:space="preserve">in large part </w:t>
      </w:r>
      <w:r w:rsidR="00FF1BE9">
        <w:rPr>
          <w:sz w:val="24"/>
          <w:szCs w:val="24"/>
        </w:rPr>
        <w:t>reflects the</w:t>
      </w:r>
      <w:r w:rsidR="00B734F5">
        <w:rPr>
          <w:sz w:val="24"/>
          <w:szCs w:val="24"/>
        </w:rPr>
        <w:t xml:space="preserve"> changes to ACFI</w:t>
      </w:r>
      <w:r w:rsidR="007A71CC">
        <w:rPr>
          <w:sz w:val="24"/>
          <w:szCs w:val="24"/>
        </w:rPr>
        <w:t xml:space="preserve"> in 2016 and 2017 and the pause in ACFI indexation in 2017-18, along with rising staff costs.</w:t>
      </w:r>
    </w:p>
    <w:p w14:paraId="3F249038" w14:textId="77777777" w:rsidR="007A71CC" w:rsidRDefault="008D295B" w:rsidP="00591258">
      <w:pPr>
        <w:rPr>
          <w:sz w:val="24"/>
          <w:szCs w:val="24"/>
        </w:rPr>
      </w:pPr>
      <w:r>
        <w:rPr>
          <w:sz w:val="24"/>
          <w:szCs w:val="24"/>
        </w:rPr>
        <w:lastRenderedPageBreak/>
        <w:t xml:space="preserve">Care related funding under ACFI is the main revenue source of aged care providers, accounting for 60.5 per cent of revenue in 2016-17. The next main source is the basic daily fee paid by residents for living expenses (18 per cent), followed by the Government accommodation supplement for supported residents (5 per cent) and daily accommodation payments from residents (4 per cent). </w:t>
      </w:r>
      <w:r w:rsidR="00097588">
        <w:rPr>
          <w:sz w:val="24"/>
          <w:szCs w:val="24"/>
        </w:rPr>
        <w:t xml:space="preserve">The </w:t>
      </w:r>
      <w:r w:rsidR="003D288D">
        <w:rPr>
          <w:sz w:val="24"/>
          <w:szCs w:val="24"/>
        </w:rPr>
        <w:t>Government fixes the basic daily fee and the accommodation supplement</w:t>
      </w:r>
      <w:r w:rsidR="00097588">
        <w:rPr>
          <w:sz w:val="24"/>
          <w:szCs w:val="24"/>
        </w:rPr>
        <w:t xml:space="preserve">. </w:t>
      </w:r>
      <w:r>
        <w:rPr>
          <w:sz w:val="24"/>
          <w:szCs w:val="24"/>
        </w:rPr>
        <w:t xml:space="preserve">Other revenue sources, including investment income from </w:t>
      </w:r>
      <w:r w:rsidR="00FD5D72">
        <w:rPr>
          <w:sz w:val="24"/>
          <w:szCs w:val="24"/>
        </w:rPr>
        <w:t>accommodation deposits, are relatively minor. In 2016-17</w:t>
      </w:r>
      <w:r w:rsidR="00FF1BE9">
        <w:rPr>
          <w:sz w:val="24"/>
          <w:szCs w:val="24"/>
        </w:rPr>
        <w:t>, the</w:t>
      </w:r>
      <w:r w:rsidR="00FD5D72">
        <w:rPr>
          <w:sz w:val="24"/>
          <w:szCs w:val="24"/>
        </w:rPr>
        <w:t xml:space="preserve"> Government provided approximately 68</w:t>
      </w:r>
      <w:r w:rsidR="007A38CA">
        <w:rPr>
          <w:sz w:val="24"/>
          <w:szCs w:val="24"/>
        </w:rPr>
        <w:t xml:space="preserve"> </w:t>
      </w:r>
      <w:r w:rsidR="002C0A82">
        <w:rPr>
          <w:sz w:val="24"/>
          <w:szCs w:val="24"/>
        </w:rPr>
        <w:t xml:space="preserve">per cent </w:t>
      </w:r>
      <w:r w:rsidR="007A38CA">
        <w:rPr>
          <w:sz w:val="24"/>
          <w:szCs w:val="24"/>
        </w:rPr>
        <w:t xml:space="preserve">of the revenue of providers, consumers 26 per cent </w:t>
      </w:r>
      <w:r w:rsidR="00FA49B2">
        <w:rPr>
          <w:sz w:val="24"/>
          <w:szCs w:val="24"/>
        </w:rPr>
        <w:t xml:space="preserve">(excluding refundable accommodation deposits) </w:t>
      </w:r>
      <w:r w:rsidR="007A38CA">
        <w:rPr>
          <w:sz w:val="24"/>
          <w:szCs w:val="24"/>
        </w:rPr>
        <w:t xml:space="preserve">and other income the </w:t>
      </w:r>
      <w:r w:rsidR="00E035A8">
        <w:rPr>
          <w:sz w:val="24"/>
          <w:szCs w:val="24"/>
        </w:rPr>
        <w:t>remainder (Chart</w:t>
      </w:r>
      <w:r w:rsidR="007A38CA">
        <w:rPr>
          <w:sz w:val="24"/>
          <w:szCs w:val="24"/>
        </w:rPr>
        <w:t xml:space="preserve"> </w:t>
      </w:r>
      <w:r w:rsidR="00E74CF6">
        <w:rPr>
          <w:sz w:val="24"/>
          <w:szCs w:val="24"/>
        </w:rPr>
        <w:t>5)</w:t>
      </w:r>
      <w:r w:rsidR="007A38CA">
        <w:rPr>
          <w:sz w:val="24"/>
          <w:szCs w:val="24"/>
        </w:rPr>
        <w:t>.</w:t>
      </w:r>
    </w:p>
    <w:p w14:paraId="3F249039" w14:textId="77777777" w:rsidR="007A38CA" w:rsidRPr="00C60BAD" w:rsidRDefault="007A38CA" w:rsidP="00CB5E3E">
      <w:pPr>
        <w:jc w:val="center"/>
        <w:rPr>
          <w:rFonts w:ascii="Segoe UI" w:hAnsi="Segoe UI" w:cs="Segoe UI"/>
          <w:b/>
        </w:rPr>
      </w:pPr>
      <w:r w:rsidRPr="00C60BAD">
        <w:rPr>
          <w:rFonts w:ascii="Segoe UI" w:hAnsi="Segoe UI" w:cs="Segoe UI"/>
          <w:b/>
        </w:rPr>
        <w:t xml:space="preserve">Chart </w:t>
      </w:r>
      <w:r w:rsidR="00EE117B" w:rsidRPr="00C60BAD">
        <w:rPr>
          <w:rFonts w:ascii="Segoe UI" w:hAnsi="Segoe UI" w:cs="Segoe UI"/>
          <w:b/>
        </w:rPr>
        <w:t>5</w:t>
      </w:r>
      <w:r w:rsidRPr="00C60BAD">
        <w:rPr>
          <w:rFonts w:ascii="Segoe UI" w:hAnsi="Segoe UI" w:cs="Segoe UI"/>
          <w:b/>
        </w:rPr>
        <w:t xml:space="preserve">: Breakdown </w:t>
      </w:r>
      <w:r w:rsidR="00896183" w:rsidRPr="00C60BAD">
        <w:rPr>
          <w:rFonts w:ascii="Segoe UI" w:hAnsi="Segoe UI" w:cs="Segoe UI"/>
          <w:b/>
        </w:rPr>
        <w:t>of residential provider revenue, 2016-17</w:t>
      </w:r>
    </w:p>
    <w:p w14:paraId="3F24903A" w14:textId="77777777" w:rsidR="007A38CA" w:rsidRPr="00C60BAD" w:rsidRDefault="007A38CA" w:rsidP="00C60BAD"/>
    <w:p w14:paraId="3F24903B" w14:textId="77777777" w:rsidR="007A38CA" w:rsidRDefault="007A38CA" w:rsidP="00C60BAD">
      <w:pPr>
        <w:jc w:val="center"/>
        <w:rPr>
          <w:sz w:val="24"/>
          <w:szCs w:val="24"/>
        </w:rPr>
      </w:pPr>
      <w:r>
        <w:rPr>
          <w:noProof/>
          <w:lang w:eastAsia="en-AU"/>
        </w:rPr>
        <w:drawing>
          <wp:inline distT="0" distB="0" distL="0" distR="0" wp14:anchorId="3F249129" wp14:editId="1DB90709">
            <wp:extent cx="3971925" cy="1838325"/>
            <wp:effectExtent l="0" t="0" r="9525" b="9525"/>
            <wp:docPr id="306" name="Picture 306" descr="This chart shows the break down of revenue received by residential care providers. Total revenue for residential care providers in 2016-17 was $17,346 million, made up of:&#10;&#10;$11,132.4 million (63% of total revenue) Commonwealth care subsidies and supplements&#10;$530.1 million (3%) Consumer care contribution and other resident care fees&#10;$991.4 million (6%) Accommodation supplements and capital grants&#10;$778.4 million (4%) Consumer accommodation payments&#10;$3,186.7 million (18%) Living expenses (Basic daily fee)&#10;$157.5 million (1%) Extra services fees&#10;$980.1 million (5%) Other revenue.&#10;" title="Chart 5: Breakdown of residential provider revenue,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s\zc0004\AppData\Local\Microsoft\Windows\Temporary Internet Files\Content.Outlook\6DIYYC82\Chart_9.2.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71925" cy="1838325"/>
                    </a:xfrm>
                    <a:prstGeom prst="rect">
                      <a:avLst/>
                    </a:prstGeom>
                    <a:noFill/>
                    <a:ln>
                      <a:noFill/>
                    </a:ln>
                  </pic:spPr>
                </pic:pic>
              </a:graphicData>
            </a:graphic>
          </wp:inline>
        </w:drawing>
      </w:r>
    </w:p>
    <w:p w14:paraId="3F24903C" w14:textId="77777777" w:rsidR="007A71CC" w:rsidRPr="00B734F5" w:rsidRDefault="007A71CC" w:rsidP="00591258">
      <w:pPr>
        <w:rPr>
          <w:sz w:val="24"/>
          <w:szCs w:val="24"/>
        </w:rPr>
      </w:pPr>
    </w:p>
    <w:p w14:paraId="3F24903D" w14:textId="77777777" w:rsidR="00EE117B" w:rsidRPr="00C60BAD" w:rsidRDefault="00896183" w:rsidP="00591258">
      <w:pPr>
        <w:rPr>
          <w:sz w:val="24"/>
          <w:szCs w:val="24"/>
        </w:rPr>
      </w:pPr>
      <w:r w:rsidRPr="00C60BAD">
        <w:rPr>
          <w:sz w:val="24"/>
          <w:szCs w:val="24"/>
        </w:rPr>
        <w:t>In 2016-17, the main expense item for residential providers was employee expenses, which accounted for 70.4 per cent of total expenses, with wages accounting for 67.5 per cent</w:t>
      </w:r>
      <w:r w:rsidR="00F375D1" w:rsidRPr="00C60BAD">
        <w:rPr>
          <w:sz w:val="24"/>
          <w:szCs w:val="24"/>
        </w:rPr>
        <w:t xml:space="preserve"> of total expenses</w:t>
      </w:r>
      <w:r w:rsidRPr="00C60BAD">
        <w:rPr>
          <w:sz w:val="24"/>
          <w:szCs w:val="24"/>
        </w:rPr>
        <w:t xml:space="preserve">. The other expense categories </w:t>
      </w:r>
      <w:r w:rsidR="00F375D1" w:rsidRPr="00C60BAD">
        <w:rPr>
          <w:sz w:val="24"/>
          <w:szCs w:val="24"/>
        </w:rPr>
        <w:t>were: accommodation (rent, repairs and maintenance, rates, utilities) at 7.6 per cent; hotel expenses (such as catering, cleaning, laundry) at 6.9 per cent</w:t>
      </w:r>
      <w:r w:rsidR="001B184C">
        <w:rPr>
          <w:sz w:val="24"/>
          <w:szCs w:val="24"/>
        </w:rPr>
        <w:t>;</w:t>
      </w:r>
      <w:r w:rsidR="00F375D1" w:rsidRPr="00C60BAD">
        <w:rPr>
          <w:sz w:val="24"/>
          <w:szCs w:val="24"/>
        </w:rPr>
        <w:t xml:space="preserve"> depreciation at 5.3 per cent; administration at 3.6 per cent; care expenses at 3.2 per cent; management fees 2.9 per cent; and, other expenses at 2 per cent </w:t>
      </w:r>
      <w:r w:rsidR="00E035A8" w:rsidRPr="00C60BAD">
        <w:rPr>
          <w:sz w:val="24"/>
          <w:szCs w:val="24"/>
        </w:rPr>
        <w:t>(Chart</w:t>
      </w:r>
      <w:r w:rsidR="00F375D1" w:rsidRPr="00C60BAD">
        <w:rPr>
          <w:sz w:val="24"/>
          <w:szCs w:val="24"/>
        </w:rPr>
        <w:t xml:space="preserve"> </w:t>
      </w:r>
      <w:r w:rsidR="00E74CF6" w:rsidRPr="00C60BAD">
        <w:rPr>
          <w:sz w:val="24"/>
          <w:szCs w:val="24"/>
        </w:rPr>
        <w:t>6)</w:t>
      </w:r>
      <w:r w:rsidR="00F375D1" w:rsidRPr="00C60BAD">
        <w:rPr>
          <w:sz w:val="24"/>
          <w:szCs w:val="24"/>
        </w:rPr>
        <w:t>.</w:t>
      </w:r>
    </w:p>
    <w:p w14:paraId="3F24903E" w14:textId="45706D6E" w:rsidR="00F375D1" w:rsidRPr="00F375D1" w:rsidRDefault="00F375D1" w:rsidP="00CB5E3E">
      <w:pPr>
        <w:jc w:val="center"/>
        <w:rPr>
          <w:rFonts w:ascii="Segoe UI" w:hAnsi="Segoe UI" w:cs="Segoe UI"/>
          <w:b/>
        </w:rPr>
      </w:pPr>
      <w:r>
        <w:rPr>
          <w:rFonts w:ascii="Segoe UI" w:hAnsi="Segoe UI" w:cs="Segoe UI"/>
          <w:b/>
        </w:rPr>
        <w:t xml:space="preserve">Chart </w:t>
      </w:r>
      <w:r w:rsidR="00A05F22">
        <w:rPr>
          <w:rFonts w:ascii="Segoe UI" w:hAnsi="Segoe UI" w:cs="Segoe UI"/>
          <w:b/>
        </w:rPr>
        <w:t>6</w:t>
      </w:r>
      <w:r>
        <w:rPr>
          <w:rFonts w:ascii="Segoe UI" w:hAnsi="Segoe UI" w:cs="Segoe UI"/>
          <w:b/>
        </w:rPr>
        <w:t>: Proportion of total expenses, residential care providers, 2016-17</w:t>
      </w:r>
    </w:p>
    <w:p w14:paraId="3F24903F" w14:textId="77777777" w:rsidR="00F375D1" w:rsidRPr="00C60BAD" w:rsidRDefault="00F375D1" w:rsidP="00591258"/>
    <w:p w14:paraId="3F249040" w14:textId="77777777" w:rsidR="000F44C5" w:rsidRDefault="00F375D1" w:rsidP="00C60BAD">
      <w:pPr>
        <w:jc w:val="center"/>
      </w:pPr>
      <w:r>
        <w:rPr>
          <w:rFonts w:ascii="Segoe UI" w:hAnsi="Segoe UI" w:cs="Segoe UI"/>
          <w:noProof/>
          <w:lang w:eastAsia="en-AU"/>
        </w:rPr>
        <w:drawing>
          <wp:inline distT="0" distB="0" distL="0" distR="0" wp14:anchorId="3F24912B" wp14:editId="04E7C1D5">
            <wp:extent cx="3790950" cy="1468755"/>
            <wp:effectExtent l="0" t="0" r="0" b="0"/>
            <wp:docPr id="296" name="Picture 296" descr="This chart shows the break down of expenses paid by residential care providers. Total expenses for residential care providers in 2016-17 was $16,361 million, made up of:&#10;&#10;$11,792.1 million (70% of total expenses) Employee expenses&#10;$895.3 million (5%) Depreciation expenses&#10;$171.1 million (1%) Interest expenses&#10;$3,892.3 million (23%) Other expenses&#10;" title="Chart 6: Proportion of total expenses, residential care providers, 201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sers\zc0004\AppData\Local\Microsoft\Windows\Temporary Internet Files\Content.Outlook\6DIYYC82\Chart_9.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3633" cy="1473669"/>
                    </a:xfrm>
                    <a:prstGeom prst="rect">
                      <a:avLst/>
                    </a:prstGeom>
                    <a:noFill/>
                    <a:ln>
                      <a:noFill/>
                    </a:ln>
                  </pic:spPr>
                </pic:pic>
              </a:graphicData>
            </a:graphic>
          </wp:inline>
        </w:drawing>
      </w:r>
    </w:p>
    <w:p w14:paraId="3F249041" w14:textId="77777777" w:rsidR="00680D62" w:rsidRDefault="00680D62"/>
    <w:p w14:paraId="3F249042" w14:textId="77777777" w:rsidR="003E7BD9" w:rsidRPr="00C60BAD" w:rsidRDefault="00EE117B" w:rsidP="003E7BD9">
      <w:pPr>
        <w:rPr>
          <w:sz w:val="24"/>
          <w:szCs w:val="24"/>
        </w:rPr>
      </w:pPr>
      <w:r w:rsidRPr="00C60BAD">
        <w:rPr>
          <w:sz w:val="24"/>
          <w:szCs w:val="24"/>
        </w:rPr>
        <w:lastRenderedPageBreak/>
        <w:t>With</w:t>
      </w:r>
      <w:r w:rsidR="00023008" w:rsidRPr="00C60BAD">
        <w:rPr>
          <w:sz w:val="24"/>
          <w:szCs w:val="24"/>
        </w:rPr>
        <w:t xml:space="preserve"> ACFI payments representing nearly 61 per cent of the revenue of </w:t>
      </w:r>
      <w:r w:rsidR="00680D62" w:rsidRPr="00C60BAD">
        <w:rPr>
          <w:sz w:val="24"/>
          <w:szCs w:val="24"/>
        </w:rPr>
        <w:t xml:space="preserve">aged care providers, any move by the Government to curb the growth in ACFI </w:t>
      </w:r>
      <w:r w:rsidRPr="00C60BAD">
        <w:rPr>
          <w:sz w:val="24"/>
          <w:szCs w:val="24"/>
        </w:rPr>
        <w:t xml:space="preserve">outlays </w:t>
      </w:r>
      <w:r w:rsidR="00680D62" w:rsidRPr="00C60BAD">
        <w:rPr>
          <w:sz w:val="24"/>
          <w:szCs w:val="24"/>
        </w:rPr>
        <w:t xml:space="preserve">will impact on the financial performance of providers. The changes to the ACFI scoring </w:t>
      </w:r>
      <w:r w:rsidR="00E035A8" w:rsidRPr="00C60BAD">
        <w:rPr>
          <w:sz w:val="24"/>
          <w:szCs w:val="24"/>
        </w:rPr>
        <w:t>system</w:t>
      </w:r>
      <w:r w:rsidR="00680D62" w:rsidRPr="00C60BAD">
        <w:rPr>
          <w:sz w:val="24"/>
          <w:szCs w:val="24"/>
        </w:rPr>
        <w:t xml:space="preserve"> and the pause in ACFI indexation also occurred when there was continuing growth in wages in the aged care sector, with many workers impacted by the </w:t>
      </w:r>
      <w:r w:rsidRPr="00C60BAD">
        <w:rPr>
          <w:sz w:val="24"/>
          <w:szCs w:val="24"/>
        </w:rPr>
        <w:t xml:space="preserve">decisions by the </w:t>
      </w:r>
      <w:r w:rsidR="00680D62" w:rsidRPr="00C60BAD">
        <w:rPr>
          <w:sz w:val="24"/>
          <w:szCs w:val="24"/>
        </w:rPr>
        <w:t>Fair Work Commission to grant a 3.3 percent increase in the minimum wage in June 2017</w:t>
      </w:r>
      <w:r w:rsidRPr="00C60BAD">
        <w:rPr>
          <w:sz w:val="24"/>
          <w:szCs w:val="24"/>
        </w:rPr>
        <w:t xml:space="preserve"> and a 3.5 per cent increase in June 2018</w:t>
      </w:r>
      <w:r w:rsidR="00680D62" w:rsidRPr="00C60BAD">
        <w:rPr>
          <w:sz w:val="24"/>
          <w:szCs w:val="24"/>
        </w:rPr>
        <w:t xml:space="preserve">. </w:t>
      </w:r>
      <w:r w:rsidR="003D288D" w:rsidRPr="00C60BAD">
        <w:rPr>
          <w:sz w:val="24"/>
          <w:szCs w:val="24"/>
        </w:rPr>
        <w:t xml:space="preserve">This compares with wage cost indexation </w:t>
      </w:r>
      <w:r w:rsidR="002C0A82" w:rsidRPr="00C60BAD">
        <w:rPr>
          <w:sz w:val="24"/>
          <w:szCs w:val="24"/>
        </w:rPr>
        <w:t xml:space="preserve">of subsidies </w:t>
      </w:r>
      <w:r w:rsidR="003D288D" w:rsidRPr="00C60BAD">
        <w:rPr>
          <w:sz w:val="24"/>
          <w:szCs w:val="24"/>
        </w:rPr>
        <w:t>of</w:t>
      </w:r>
      <w:r w:rsidR="001745EF" w:rsidRPr="00C60BAD">
        <w:rPr>
          <w:sz w:val="24"/>
          <w:szCs w:val="24"/>
        </w:rPr>
        <w:t xml:space="preserve"> </w:t>
      </w:r>
      <w:r w:rsidR="002C0A82" w:rsidRPr="00C60BAD">
        <w:rPr>
          <w:sz w:val="24"/>
          <w:szCs w:val="24"/>
        </w:rPr>
        <w:t>0 per cent in 2017-18 and 1.2 per cent in 2018-19</w:t>
      </w:r>
      <w:r w:rsidR="003D288D" w:rsidRPr="00C60BAD">
        <w:rPr>
          <w:sz w:val="24"/>
          <w:szCs w:val="24"/>
        </w:rPr>
        <w:t xml:space="preserve">. </w:t>
      </w:r>
      <w:r w:rsidR="00680D62" w:rsidRPr="00C60BAD">
        <w:rPr>
          <w:sz w:val="24"/>
          <w:szCs w:val="24"/>
        </w:rPr>
        <w:t>With wages accounting for 67.5 per</w:t>
      </w:r>
      <w:r w:rsidR="00E92588" w:rsidRPr="00C60BAD">
        <w:rPr>
          <w:sz w:val="24"/>
          <w:szCs w:val="24"/>
        </w:rPr>
        <w:t xml:space="preserve"> cent of provider</w:t>
      </w:r>
      <w:r w:rsidR="002C0A82" w:rsidRPr="00C60BAD">
        <w:rPr>
          <w:sz w:val="24"/>
          <w:szCs w:val="24"/>
        </w:rPr>
        <w:t>’</w:t>
      </w:r>
      <w:r w:rsidR="00E92588" w:rsidRPr="00C60BAD">
        <w:rPr>
          <w:sz w:val="24"/>
          <w:szCs w:val="24"/>
        </w:rPr>
        <w:t>s expenses, continued</w:t>
      </w:r>
      <w:r w:rsidR="00680D62" w:rsidRPr="00C60BAD">
        <w:rPr>
          <w:sz w:val="24"/>
          <w:szCs w:val="24"/>
        </w:rPr>
        <w:t xml:space="preserve"> growth in </w:t>
      </w:r>
      <w:r w:rsidR="00E92588" w:rsidRPr="00C60BAD">
        <w:rPr>
          <w:sz w:val="24"/>
          <w:szCs w:val="24"/>
        </w:rPr>
        <w:t xml:space="preserve">the largest expense item of </w:t>
      </w:r>
      <w:r w:rsidR="00E035A8" w:rsidRPr="00C60BAD">
        <w:rPr>
          <w:sz w:val="24"/>
          <w:szCs w:val="24"/>
        </w:rPr>
        <w:t>providers when</w:t>
      </w:r>
      <w:r w:rsidR="00680D62" w:rsidRPr="00C60BAD">
        <w:rPr>
          <w:sz w:val="24"/>
          <w:szCs w:val="24"/>
        </w:rPr>
        <w:t xml:space="preserve"> income is being constrained will put pressure on the financ</w:t>
      </w:r>
      <w:r w:rsidR="00E92588" w:rsidRPr="00C60BAD">
        <w:rPr>
          <w:sz w:val="24"/>
          <w:szCs w:val="24"/>
        </w:rPr>
        <w:t xml:space="preserve">ial performance of </w:t>
      </w:r>
      <w:r w:rsidR="00E035A8" w:rsidRPr="00C60BAD">
        <w:rPr>
          <w:sz w:val="24"/>
          <w:szCs w:val="24"/>
        </w:rPr>
        <w:t>the sector</w:t>
      </w:r>
      <w:r w:rsidR="00680D62" w:rsidRPr="00C60BAD">
        <w:rPr>
          <w:sz w:val="24"/>
          <w:szCs w:val="24"/>
        </w:rPr>
        <w:t xml:space="preserve">. </w:t>
      </w:r>
      <w:proofErr w:type="gramStart"/>
      <w:r w:rsidR="00680D62" w:rsidRPr="00C60BAD">
        <w:rPr>
          <w:sz w:val="24"/>
          <w:szCs w:val="24"/>
        </w:rPr>
        <w:t xml:space="preserve">The downturn in the </w:t>
      </w:r>
      <w:r w:rsidR="00E92588" w:rsidRPr="00C60BAD">
        <w:rPr>
          <w:sz w:val="24"/>
          <w:szCs w:val="24"/>
        </w:rPr>
        <w:t>sector</w:t>
      </w:r>
      <w:r w:rsidR="002C0A82" w:rsidRPr="00C60BAD">
        <w:rPr>
          <w:sz w:val="24"/>
          <w:szCs w:val="24"/>
        </w:rPr>
        <w:t>’</w:t>
      </w:r>
      <w:r w:rsidR="00E92588" w:rsidRPr="00C60BAD">
        <w:rPr>
          <w:sz w:val="24"/>
          <w:szCs w:val="24"/>
        </w:rPr>
        <w:t>s financial results in 2017-18 mirrors that which occurred in 2012-13 when on both occasions the Government made changes to ACFI and paused indexation in order to curb the growth in ACFI payments.</w:t>
      </w:r>
      <w:proofErr w:type="gramEnd"/>
    </w:p>
    <w:p w14:paraId="3F249043" w14:textId="77777777" w:rsidR="003E7BD9" w:rsidRPr="00C60BAD" w:rsidRDefault="00E035A8" w:rsidP="003E7BD9">
      <w:pPr>
        <w:rPr>
          <w:sz w:val="24"/>
          <w:szCs w:val="24"/>
        </w:rPr>
      </w:pPr>
      <w:r w:rsidRPr="00C60BAD">
        <w:rPr>
          <w:sz w:val="24"/>
          <w:szCs w:val="24"/>
        </w:rPr>
        <w:t>Conversely</w:t>
      </w:r>
      <w:r w:rsidR="003E7BD9" w:rsidRPr="00C60BAD">
        <w:rPr>
          <w:sz w:val="24"/>
          <w:szCs w:val="24"/>
        </w:rPr>
        <w:t xml:space="preserve">, the improvement in the overall financial performance of the </w:t>
      </w:r>
      <w:r w:rsidR="00155709" w:rsidRPr="00C60BAD">
        <w:rPr>
          <w:sz w:val="24"/>
          <w:szCs w:val="24"/>
        </w:rPr>
        <w:t>industry</w:t>
      </w:r>
      <w:r w:rsidR="003E7BD9" w:rsidRPr="00C60BAD">
        <w:rPr>
          <w:sz w:val="24"/>
          <w:szCs w:val="24"/>
        </w:rPr>
        <w:t xml:space="preserve"> in the years (as evident in chart 1) immediately</w:t>
      </w:r>
      <w:r w:rsidR="00064A84" w:rsidRPr="00C60BAD">
        <w:rPr>
          <w:sz w:val="24"/>
          <w:szCs w:val="24"/>
        </w:rPr>
        <w:t xml:space="preserve"> prior to 2012-13 and 2017-18 corresponds </w:t>
      </w:r>
      <w:r w:rsidRPr="00C60BAD">
        <w:rPr>
          <w:sz w:val="24"/>
          <w:szCs w:val="24"/>
        </w:rPr>
        <w:t>with growth</w:t>
      </w:r>
      <w:r w:rsidR="003E7BD9" w:rsidRPr="00C60BAD">
        <w:rPr>
          <w:sz w:val="24"/>
          <w:szCs w:val="24"/>
        </w:rPr>
        <w:t xml:space="preserve"> in ACFI payments, and in turn the income of providers, over this period (</w:t>
      </w:r>
      <w:r w:rsidRPr="00C60BAD">
        <w:rPr>
          <w:sz w:val="24"/>
          <w:szCs w:val="24"/>
        </w:rPr>
        <w:t>see table</w:t>
      </w:r>
      <w:r w:rsidR="003E7BD9" w:rsidRPr="00C60BAD">
        <w:rPr>
          <w:sz w:val="24"/>
          <w:szCs w:val="24"/>
        </w:rPr>
        <w:t xml:space="preserve"> </w:t>
      </w:r>
      <w:r w:rsidR="00EE117B" w:rsidRPr="00C60BAD">
        <w:rPr>
          <w:sz w:val="24"/>
          <w:szCs w:val="24"/>
        </w:rPr>
        <w:t>2</w:t>
      </w:r>
      <w:r w:rsidR="003E7BD9" w:rsidRPr="00C60BAD">
        <w:rPr>
          <w:sz w:val="24"/>
          <w:szCs w:val="24"/>
        </w:rPr>
        <w:t xml:space="preserve">). In the four years prior to the pause in indexation in 2012-13, growth </w:t>
      </w:r>
      <w:r w:rsidRPr="00C60BAD">
        <w:rPr>
          <w:sz w:val="24"/>
          <w:szCs w:val="24"/>
        </w:rPr>
        <w:t>in ACFI</w:t>
      </w:r>
      <w:r w:rsidR="001A2A43">
        <w:rPr>
          <w:sz w:val="24"/>
          <w:szCs w:val="24"/>
        </w:rPr>
        <w:t xml:space="preserve"> payment per </w:t>
      </w:r>
      <w:r w:rsidR="003E7BD9" w:rsidRPr="00C60BAD">
        <w:rPr>
          <w:sz w:val="24"/>
          <w:szCs w:val="24"/>
        </w:rPr>
        <w:t>resident averaged 8.6 per cent and ACFI growth per resident above indexation averaged 6.7</w:t>
      </w:r>
      <w:proofErr w:type="gramStart"/>
      <w:r w:rsidR="001A2A43">
        <w:rPr>
          <w:sz w:val="24"/>
          <w:szCs w:val="24"/>
        </w:rPr>
        <w:t> </w:t>
      </w:r>
      <w:r w:rsidR="003E7BD9" w:rsidRPr="00C60BAD">
        <w:rPr>
          <w:sz w:val="24"/>
          <w:szCs w:val="24"/>
        </w:rPr>
        <w:t xml:space="preserve"> percent</w:t>
      </w:r>
      <w:proofErr w:type="gramEnd"/>
      <w:r w:rsidR="003E7BD9" w:rsidRPr="00C60BAD">
        <w:rPr>
          <w:sz w:val="24"/>
          <w:szCs w:val="24"/>
        </w:rPr>
        <w:t>. In the four years prior to the pause in indexa</w:t>
      </w:r>
      <w:r w:rsidR="001A2A43">
        <w:rPr>
          <w:sz w:val="24"/>
          <w:szCs w:val="24"/>
        </w:rPr>
        <w:t>tion in 2017-18, growth in ACFI </w:t>
      </w:r>
      <w:r w:rsidR="003E7BD9" w:rsidRPr="00C60BAD">
        <w:rPr>
          <w:sz w:val="24"/>
          <w:szCs w:val="24"/>
        </w:rPr>
        <w:t>payment per reside</w:t>
      </w:r>
      <w:r w:rsidR="00064A84" w:rsidRPr="00C60BAD">
        <w:rPr>
          <w:sz w:val="24"/>
          <w:szCs w:val="24"/>
        </w:rPr>
        <w:t xml:space="preserve">nt averaged 6.3 per cent </w:t>
      </w:r>
      <w:r w:rsidRPr="00C60BAD">
        <w:rPr>
          <w:sz w:val="24"/>
          <w:szCs w:val="24"/>
        </w:rPr>
        <w:t>and growth</w:t>
      </w:r>
      <w:r w:rsidR="003E7BD9" w:rsidRPr="00C60BAD">
        <w:rPr>
          <w:sz w:val="24"/>
          <w:szCs w:val="24"/>
        </w:rPr>
        <w:t xml:space="preserve"> in ACFI per resident above indexation averaged 3.9 per cent.</w:t>
      </w:r>
    </w:p>
    <w:p w14:paraId="3F249044" w14:textId="77777777" w:rsidR="003F22F3" w:rsidRPr="00C60BAD" w:rsidRDefault="00E74CF6" w:rsidP="007540D5">
      <w:pPr>
        <w:rPr>
          <w:sz w:val="24"/>
          <w:szCs w:val="24"/>
        </w:rPr>
      </w:pPr>
      <w:r w:rsidRPr="00C60BAD">
        <w:rPr>
          <w:sz w:val="24"/>
          <w:szCs w:val="24"/>
        </w:rPr>
        <w:t>The Government</w:t>
      </w:r>
      <w:r w:rsidR="003E7BD9" w:rsidRPr="00C60BAD">
        <w:rPr>
          <w:sz w:val="24"/>
          <w:szCs w:val="24"/>
        </w:rPr>
        <w:t xml:space="preserve"> </w:t>
      </w:r>
      <w:r w:rsidR="00EE117B" w:rsidRPr="00C60BAD">
        <w:rPr>
          <w:sz w:val="24"/>
          <w:szCs w:val="24"/>
        </w:rPr>
        <w:t xml:space="preserve">said its decision </w:t>
      </w:r>
      <w:r w:rsidR="003E7BD9" w:rsidRPr="00C60BAD">
        <w:rPr>
          <w:sz w:val="24"/>
          <w:szCs w:val="24"/>
        </w:rPr>
        <w:t xml:space="preserve">to change ACFI </w:t>
      </w:r>
      <w:r w:rsidR="00EE117B" w:rsidRPr="00C60BAD">
        <w:rPr>
          <w:sz w:val="24"/>
          <w:szCs w:val="24"/>
        </w:rPr>
        <w:t xml:space="preserve">arrangements </w:t>
      </w:r>
      <w:r w:rsidR="003E7BD9" w:rsidRPr="00C60BAD">
        <w:rPr>
          <w:sz w:val="24"/>
          <w:szCs w:val="24"/>
        </w:rPr>
        <w:t xml:space="preserve">and pause indexation in 2017-18 was because real growth in ACFI expenditure per resident per day was higher than what had been </w:t>
      </w:r>
      <w:r w:rsidR="00E035A8" w:rsidRPr="00C60BAD">
        <w:rPr>
          <w:sz w:val="24"/>
          <w:szCs w:val="24"/>
        </w:rPr>
        <w:t>budgeted</w:t>
      </w:r>
      <w:r w:rsidR="003E7BD9" w:rsidRPr="00C60BAD">
        <w:rPr>
          <w:sz w:val="24"/>
          <w:szCs w:val="24"/>
        </w:rPr>
        <w:t xml:space="preserve"> for by the Government</w:t>
      </w:r>
      <w:r w:rsidR="00D36CBA" w:rsidRPr="00C60BAD">
        <w:rPr>
          <w:sz w:val="24"/>
          <w:szCs w:val="24"/>
        </w:rPr>
        <w:t xml:space="preserve"> and higher than</w:t>
      </w:r>
      <w:r w:rsidR="00385DFD" w:rsidRPr="00C60BAD">
        <w:rPr>
          <w:sz w:val="24"/>
          <w:szCs w:val="24"/>
        </w:rPr>
        <w:t xml:space="preserve"> frailty</w:t>
      </w:r>
      <w:r w:rsidR="00D36CBA" w:rsidRPr="00C60BAD">
        <w:rPr>
          <w:sz w:val="24"/>
          <w:szCs w:val="24"/>
        </w:rPr>
        <w:t xml:space="preserve"> </w:t>
      </w:r>
      <w:r w:rsidR="00385DFD" w:rsidRPr="00C60BAD">
        <w:rPr>
          <w:sz w:val="24"/>
          <w:szCs w:val="24"/>
        </w:rPr>
        <w:t xml:space="preserve">growth (with sudden sharp increases in claims in particular areas of the </w:t>
      </w:r>
      <w:r w:rsidR="00EB01A6" w:rsidRPr="00C60BAD">
        <w:rPr>
          <w:sz w:val="24"/>
          <w:szCs w:val="24"/>
        </w:rPr>
        <w:t xml:space="preserve">funding </w:t>
      </w:r>
      <w:r w:rsidR="00385DFD" w:rsidRPr="00C60BAD">
        <w:rPr>
          <w:sz w:val="24"/>
          <w:szCs w:val="24"/>
        </w:rPr>
        <w:t>tool suggesting changes in claiming behaviour</w:t>
      </w:r>
      <w:r w:rsidR="00F81EC4" w:rsidRPr="00C60BAD">
        <w:rPr>
          <w:sz w:val="24"/>
          <w:szCs w:val="24"/>
        </w:rPr>
        <w:t>)</w:t>
      </w:r>
      <w:r w:rsidR="003E7BD9" w:rsidRPr="00C60BAD">
        <w:rPr>
          <w:sz w:val="24"/>
          <w:szCs w:val="24"/>
        </w:rPr>
        <w:t>. For example during 2015-16, real growth of expenditure per resident per day through ACFI was 5.</w:t>
      </w:r>
      <w:r w:rsidR="002C0A82" w:rsidRPr="00C60BAD">
        <w:rPr>
          <w:sz w:val="24"/>
          <w:szCs w:val="24"/>
        </w:rPr>
        <w:t>5</w:t>
      </w:r>
      <w:r w:rsidR="003E7BD9" w:rsidRPr="00C60BAD">
        <w:rPr>
          <w:sz w:val="24"/>
          <w:szCs w:val="24"/>
        </w:rPr>
        <w:t xml:space="preserve"> per cent, compared with Government </w:t>
      </w:r>
      <w:r w:rsidR="00E035A8" w:rsidRPr="00C60BAD">
        <w:rPr>
          <w:sz w:val="24"/>
          <w:szCs w:val="24"/>
        </w:rPr>
        <w:t>budgeted</w:t>
      </w:r>
      <w:r w:rsidR="001A2A43">
        <w:rPr>
          <w:sz w:val="24"/>
          <w:szCs w:val="24"/>
        </w:rPr>
        <w:t xml:space="preserve"> growth of 3.2 </w:t>
      </w:r>
      <w:r w:rsidR="003E7BD9" w:rsidRPr="00C60BAD">
        <w:rPr>
          <w:sz w:val="24"/>
          <w:szCs w:val="24"/>
        </w:rPr>
        <w:t xml:space="preserve">per </w:t>
      </w:r>
      <w:proofErr w:type="gramStart"/>
      <w:r w:rsidR="003E7BD9" w:rsidRPr="00C60BAD">
        <w:rPr>
          <w:sz w:val="24"/>
          <w:szCs w:val="24"/>
        </w:rPr>
        <w:t>cent.</w:t>
      </w:r>
      <w:proofErr w:type="gramEnd"/>
      <w:r w:rsidR="003E7BD9" w:rsidRPr="00C60BAD">
        <w:rPr>
          <w:sz w:val="24"/>
          <w:szCs w:val="24"/>
        </w:rPr>
        <w:t xml:space="preserve"> The result was an increase to the Government’s forecast </w:t>
      </w:r>
      <w:r w:rsidR="00E035A8" w:rsidRPr="00C60BAD">
        <w:rPr>
          <w:sz w:val="24"/>
          <w:szCs w:val="24"/>
        </w:rPr>
        <w:t xml:space="preserve">expenditure. </w:t>
      </w:r>
      <w:r w:rsidR="003E7BD9" w:rsidRPr="00C60BAD">
        <w:rPr>
          <w:sz w:val="24"/>
          <w:szCs w:val="24"/>
        </w:rPr>
        <w:t xml:space="preserve">The changes to ACFI that took effect in 2016 and 2017 were </w:t>
      </w:r>
      <w:r w:rsidR="00E035A8" w:rsidRPr="00C60BAD">
        <w:rPr>
          <w:sz w:val="24"/>
          <w:szCs w:val="24"/>
        </w:rPr>
        <w:t>implemented in</w:t>
      </w:r>
      <w:r w:rsidR="003E7BD9" w:rsidRPr="00C60BAD">
        <w:rPr>
          <w:sz w:val="24"/>
          <w:szCs w:val="24"/>
        </w:rPr>
        <w:t xml:space="preserve"> order to reduce the growth in ACFI </w:t>
      </w:r>
      <w:r w:rsidR="00064A84" w:rsidRPr="00C60BAD">
        <w:rPr>
          <w:sz w:val="24"/>
          <w:szCs w:val="24"/>
        </w:rPr>
        <w:t xml:space="preserve">expenditure. </w:t>
      </w:r>
      <w:r w:rsidR="003E7BD9" w:rsidRPr="00C60BAD">
        <w:rPr>
          <w:sz w:val="24"/>
          <w:szCs w:val="24"/>
        </w:rPr>
        <w:t xml:space="preserve">It was for similar reasons that the Government adjusted the ACFI tool and </w:t>
      </w:r>
      <w:proofErr w:type="gramStart"/>
      <w:r w:rsidR="003E7BD9" w:rsidRPr="00C60BAD">
        <w:rPr>
          <w:sz w:val="24"/>
          <w:szCs w:val="24"/>
        </w:rPr>
        <w:t>paused</w:t>
      </w:r>
      <w:proofErr w:type="gramEnd"/>
      <w:r w:rsidR="003E7BD9" w:rsidRPr="00C60BAD">
        <w:rPr>
          <w:sz w:val="24"/>
          <w:szCs w:val="24"/>
        </w:rPr>
        <w:t xml:space="preserve"> indexation in 2012-13.</w:t>
      </w:r>
    </w:p>
    <w:p w14:paraId="3F249045" w14:textId="77777777" w:rsidR="003E7BD9" w:rsidRPr="00EE117B" w:rsidRDefault="003E7BD9" w:rsidP="00CB5E3E">
      <w:pPr>
        <w:keepNext/>
        <w:jc w:val="center"/>
        <w:rPr>
          <w:rFonts w:ascii="Segoe UI" w:hAnsi="Segoe UI" w:cs="Segoe UI"/>
          <w:b/>
        </w:rPr>
      </w:pPr>
      <w:r w:rsidRPr="00C60BAD">
        <w:rPr>
          <w:rFonts w:ascii="Segoe UI" w:hAnsi="Segoe UI" w:cs="Segoe UI"/>
          <w:b/>
        </w:rPr>
        <w:lastRenderedPageBreak/>
        <w:t xml:space="preserve">Table </w:t>
      </w:r>
      <w:r w:rsidR="00E74CF6" w:rsidRPr="00C60BAD">
        <w:rPr>
          <w:rFonts w:ascii="Segoe UI" w:hAnsi="Segoe UI" w:cs="Segoe UI"/>
          <w:b/>
        </w:rPr>
        <w:t>2:</w:t>
      </w:r>
      <w:r w:rsidRPr="00C60BAD">
        <w:rPr>
          <w:rFonts w:ascii="Segoe UI" w:hAnsi="Segoe UI" w:cs="Segoe UI"/>
          <w:b/>
        </w:rPr>
        <w:t xml:space="preserve"> Annual change in selected indexes, wages, and payment rates, 2008</w:t>
      </w:r>
      <w:r w:rsidRPr="00C60BAD">
        <w:rPr>
          <w:rFonts w:ascii="Segoe UI" w:hAnsi="Segoe UI" w:cs="Segoe UI"/>
          <w:b/>
        </w:rPr>
        <w:noBreakHyphen/>
        <w:t>09 to 2017</w:t>
      </w:r>
      <w:r w:rsidRPr="00C60BAD">
        <w:rPr>
          <w:rFonts w:ascii="Segoe UI" w:hAnsi="Segoe UI" w:cs="Segoe UI"/>
          <w:b/>
        </w:rPr>
        <w:noBreakHyphen/>
        <w:t>18</w:t>
      </w:r>
    </w:p>
    <w:tbl>
      <w:tblPr>
        <w:tblStyle w:val="TableGrid8"/>
        <w:tblW w:w="0" w:type="auto"/>
        <w:jc w:val="center"/>
        <w:tblLook w:val="04A0" w:firstRow="1" w:lastRow="0" w:firstColumn="1" w:lastColumn="0" w:noHBand="0" w:noVBand="1"/>
        <w:tblCaption w:val="Table 2: Annual change in selected indexes, wages, and payment rates, 2008-09 to 2017-18"/>
        <w:tblDescription w:val="Annual change in selected indexes, wages, and payment rates, 2008-09 to 2017-18"/>
      </w:tblPr>
      <w:tblGrid>
        <w:gridCol w:w="1308"/>
        <w:gridCol w:w="1202"/>
        <w:gridCol w:w="1367"/>
        <w:gridCol w:w="1035"/>
        <w:gridCol w:w="1104"/>
        <w:gridCol w:w="1183"/>
        <w:gridCol w:w="1323"/>
      </w:tblGrid>
      <w:tr w:rsidR="003E7BD9" w:rsidRPr="005153E0" w14:paraId="3F24904E" w14:textId="77777777" w:rsidTr="00905DE6">
        <w:trPr>
          <w:cnfStyle w:val="100000000000" w:firstRow="1" w:lastRow="0" w:firstColumn="0" w:lastColumn="0" w:oddVBand="0" w:evenVBand="0" w:oddHBand="0" w:evenHBand="0" w:firstRowFirstColumn="0" w:firstRowLastColumn="0" w:lastRowFirstColumn="0" w:lastRowLastColumn="0"/>
          <w:tblHeader/>
          <w:jc w:val="center"/>
        </w:trPr>
        <w:tc>
          <w:tcPr>
            <w:tcW w:w="1308" w:type="dxa"/>
            <w:tcBorders>
              <w:bottom w:val="single" w:sz="6" w:space="0" w:color="002060"/>
            </w:tcBorders>
            <w:shd w:val="clear" w:color="auto" w:fill="002060"/>
          </w:tcPr>
          <w:p w14:paraId="3F249046" w14:textId="77777777" w:rsidR="003E7BD9" w:rsidRPr="005153E0" w:rsidRDefault="003E7BD9" w:rsidP="006D6217">
            <w:pPr>
              <w:keepNext/>
              <w:rPr>
                <w:rFonts w:ascii="Segoe UI" w:hAnsi="Segoe UI" w:cs="Segoe UI"/>
                <w:color w:val="FFFFFF" w:themeColor="background1"/>
              </w:rPr>
            </w:pPr>
          </w:p>
        </w:tc>
        <w:tc>
          <w:tcPr>
            <w:tcW w:w="1202" w:type="dxa"/>
            <w:tcBorders>
              <w:bottom w:val="single" w:sz="6" w:space="0" w:color="002060"/>
            </w:tcBorders>
            <w:shd w:val="clear" w:color="auto" w:fill="002060"/>
            <w:vAlign w:val="center"/>
          </w:tcPr>
          <w:p w14:paraId="3F249047" w14:textId="77777777" w:rsidR="003E7BD9" w:rsidRPr="005153E0" w:rsidRDefault="003E7BD9" w:rsidP="006D6217">
            <w:pPr>
              <w:keepNext/>
              <w:jc w:val="center"/>
              <w:rPr>
                <w:rFonts w:ascii="Segoe UI" w:hAnsi="Segoe UI" w:cs="Segoe UI"/>
                <w:color w:val="FFFFFF" w:themeColor="background1"/>
              </w:rPr>
            </w:pPr>
            <w:r w:rsidRPr="005153E0">
              <w:rPr>
                <w:rFonts w:ascii="Segoe UI" w:hAnsi="Segoe UI" w:cs="Segoe UI"/>
                <w:color w:val="FFFFFF" w:themeColor="background1"/>
              </w:rPr>
              <w:t>CPI (change between March quarters)</w:t>
            </w:r>
          </w:p>
        </w:tc>
        <w:tc>
          <w:tcPr>
            <w:tcW w:w="1367" w:type="dxa"/>
            <w:tcBorders>
              <w:bottom w:val="single" w:sz="6" w:space="0" w:color="002060"/>
            </w:tcBorders>
            <w:shd w:val="clear" w:color="auto" w:fill="002060"/>
            <w:vAlign w:val="center"/>
          </w:tcPr>
          <w:p w14:paraId="3F249048" w14:textId="77777777" w:rsidR="003E7BD9" w:rsidRPr="005153E0" w:rsidRDefault="003E7BD9" w:rsidP="006D6217">
            <w:pPr>
              <w:keepNext/>
              <w:jc w:val="center"/>
              <w:rPr>
                <w:rFonts w:ascii="Segoe UI" w:hAnsi="Segoe UI" w:cs="Segoe UI"/>
                <w:color w:val="FFFFFF" w:themeColor="background1"/>
              </w:rPr>
            </w:pPr>
            <w:r w:rsidRPr="005153E0">
              <w:rPr>
                <w:rFonts w:ascii="Segoe UI" w:hAnsi="Segoe UI" w:cs="Segoe UI"/>
                <w:color w:val="FFFFFF" w:themeColor="background1"/>
              </w:rPr>
              <w:t>WPI (Health Care and Social Assistance)</w:t>
            </w:r>
          </w:p>
        </w:tc>
        <w:tc>
          <w:tcPr>
            <w:tcW w:w="1035" w:type="dxa"/>
            <w:tcBorders>
              <w:bottom w:val="single" w:sz="6" w:space="0" w:color="002060"/>
            </w:tcBorders>
            <w:shd w:val="clear" w:color="auto" w:fill="002060"/>
            <w:vAlign w:val="center"/>
          </w:tcPr>
          <w:p w14:paraId="3F249049" w14:textId="77777777" w:rsidR="003E7BD9" w:rsidRPr="005153E0" w:rsidRDefault="003E7BD9" w:rsidP="006D6217">
            <w:pPr>
              <w:keepNext/>
              <w:jc w:val="center"/>
              <w:rPr>
                <w:rFonts w:ascii="Segoe UI" w:hAnsi="Segoe UI" w:cs="Segoe UI"/>
                <w:color w:val="FFFFFF" w:themeColor="background1"/>
              </w:rPr>
            </w:pPr>
            <w:r w:rsidRPr="005153E0">
              <w:rPr>
                <w:rFonts w:ascii="Segoe UI" w:hAnsi="Segoe UI" w:cs="Segoe UI"/>
                <w:color w:val="FFFFFF" w:themeColor="background1"/>
              </w:rPr>
              <w:t>Age Care Award 20101</w:t>
            </w:r>
          </w:p>
        </w:tc>
        <w:tc>
          <w:tcPr>
            <w:tcW w:w="1104" w:type="dxa"/>
            <w:tcBorders>
              <w:bottom w:val="single" w:sz="6" w:space="0" w:color="002060"/>
            </w:tcBorders>
            <w:shd w:val="clear" w:color="auto" w:fill="002060"/>
            <w:vAlign w:val="center"/>
          </w:tcPr>
          <w:p w14:paraId="3F24904A" w14:textId="77777777" w:rsidR="003E7BD9" w:rsidRPr="005153E0" w:rsidRDefault="003E7BD9" w:rsidP="006D6217">
            <w:pPr>
              <w:keepNext/>
              <w:jc w:val="center"/>
              <w:rPr>
                <w:rFonts w:ascii="Segoe UI" w:hAnsi="Segoe UI" w:cs="Segoe UI"/>
                <w:color w:val="FFFFFF" w:themeColor="background1"/>
              </w:rPr>
            </w:pPr>
            <w:r w:rsidRPr="005153E0">
              <w:rPr>
                <w:rFonts w:ascii="Segoe UI" w:hAnsi="Segoe UI" w:cs="Segoe UI"/>
                <w:color w:val="FFFFFF" w:themeColor="background1"/>
              </w:rPr>
              <w:t>ACFI  subsidy</w:t>
            </w:r>
          </w:p>
          <w:p w14:paraId="3F24904B" w14:textId="77777777" w:rsidR="003E7BD9" w:rsidRPr="005153E0" w:rsidRDefault="003E7BD9" w:rsidP="006D6217">
            <w:pPr>
              <w:keepNext/>
              <w:jc w:val="center"/>
              <w:rPr>
                <w:rFonts w:ascii="Segoe UI" w:hAnsi="Segoe UI" w:cs="Segoe UI"/>
                <w:color w:val="FFFFFF" w:themeColor="background1"/>
              </w:rPr>
            </w:pPr>
            <w:r w:rsidRPr="005153E0">
              <w:rPr>
                <w:rFonts w:ascii="Segoe UI" w:hAnsi="Segoe UI" w:cs="Segoe UI"/>
                <w:color w:val="FFFFFF" w:themeColor="background1"/>
              </w:rPr>
              <w:t>rates</w:t>
            </w:r>
          </w:p>
        </w:tc>
        <w:tc>
          <w:tcPr>
            <w:tcW w:w="1183" w:type="dxa"/>
            <w:tcBorders>
              <w:bottom w:val="single" w:sz="6" w:space="0" w:color="002060"/>
            </w:tcBorders>
            <w:shd w:val="clear" w:color="auto" w:fill="002060"/>
            <w:vAlign w:val="center"/>
          </w:tcPr>
          <w:p w14:paraId="3F24904C" w14:textId="77777777" w:rsidR="003E7BD9" w:rsidRPr="005153E0" w:rsidRDefault="003E7BD9" w:rsidP="006D6217">
            <w:pPr>
              <w:keepNext/>
              <w:jc w:val="center"/>
              <w:rPr>
                <w:rFonts w:ascii="Segoe UI" w:hAnsi="Segoe UI" w:cs="Segoe UI"/>
                <w:color w:val="FFFFFF" w:themeColor="background1"/>
              </w:rPr>
            </w:pPr>
            <w:r w:rsidRPr="005153E0">
              <w:rPr>
                <w:rFonts w:ascii="Segoe UI" w:hAnsi="Segoe UI" w:cs="Segoe UI"/>
                <w:color w:val="FFFFFF" w:themeColor="background1"/>
              </w:rPr>
              <w:t>Average ACFI payment per resident</w:t>
            </w:r>
          </w:p>
        </w:tc>
        <w:tc>
          <w:tcPr>
            <w:tcW w:w="1323" w:type="dxa"/>
            <w:tcBorders>
              <w:bottom w:val="single" w:sz="6" w:space="0" w:color="002060"/>
            </w:tcBorders>
            <w:shd w:val="clear" w:color="auto" w:fill="002060"/>
            <w:vAlign w:val="center"/>
          </w:tcPr>
          <w:p w14:paraId="3F24904D" w14:textId="77777777" w:rsidR="003E7BD9" w:rsidRPr="005153E0" w:rsidRDefault="003E7BD9" w:rsidP="006D6217">
            <w:pPr>
              <w:keepNext/>
              <w:jc w:val="center"/>
              <w:rPr>
                <w:rFonts w:ascii="Segoe UI" w:hAnsi="Segoe UI" w:cs="Segoe UI"/>
                <w:color w:val="FFFFFF" w:themeColor="background1"/>
              </w:rPr>
            </w:pPr>
            <w:r w:rsidRPr="005153E0">
              <w:rPr>
                <w:rFonts w:ascii="Segoe UI" w:hAnsi="Segoe UI" w:cs="Segoe UI"/>
                <w:color w:val="FFFFFF" w:themeColor="background1"/>
              </w:rPr>
              <w:t>ACFI growth per resident above indexation</w:t>
            </w:r>
          </w:p>
        </w:tc>
      </w:tr>
      <w:tr w:rsidR="003E7BD9" w14:paraId="3F249056"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4F"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2008-09</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50"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2.4%</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51"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4.1%</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52"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53"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1.7%</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54"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7.4%</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55" w14:textId="77777777" w:rsidR="003E7BD9" w:rsidRPr="005153E0" w:rsidRDefault="003E7BD9" w:rsidP="006D6217">
            <w:pPr>
              <w:keepNext/>
              <w:jc w:val="right"/>
              <w:rPr>
                <w:rFonts w:ascii="Segoe UI" w:hAnsi="Segoe UI" w:cs="Segoe UI"/>
                <w:color w:val="000000"/>
              </w:rPr>
            </w:pPr>
            <w:r w:rsidRPr="005153E0">
              <w:rPr>
                <w:rFonts w:ascii="Segoe UI" w:hAnsi="Segoe UI" w:cs="Segoe UI"/>
                <w:noProof/>
                <w:color w:val="FFFFFF" w:themeColor="background1"/>
              </w:rPr>
              <w:drawing>
                <wp:anchor distT="0" distB="0" distL="114300" distR="114300" simplePos="0" relativeHeight="251660288" behindDoc="0" locked="0" layoutInCell="1" allowOverlap="1" wp14:anchorId="3F24912D" wp14:editId="6FFA6695">
                  <wp:simplePos x="0" y="0"/>
                  <wp:positionH relativeFrom="column">
                    <wp:posOffset>269240</wp:posOffset>
                  </wp:positionH>
                  <wp:positionV relativeFrom="paragraph">
                    <wp:posOffset>-13970</wp:posOffset>
                  </wp:positionV>
                  <wp:extent cx="552450" cy="838200"/>
                  <wp:effectExtent l="0" t="0" r="0" b="0"/>
                  <wp:wrapNone/>
                  <wp:docPr id="60" name="Picture 60" descr="Highlighting ACFI growth per resident above indexation figures between 2008-09 to 2011-12 (5.6% in 2008-09, 5.9% in 2009-10, 8.1% in 2010-11 and 7.3% in 2011-12) that lead to a zero ACFI subsidy rate change in 201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2450" cy="838200"/>
                          </a:xfrm>
                          <a:prstGeom prst="rect">
                            <a:avLst/>
                          </a:prstGeom>
                          <a:noFill/>
                        </pic:spPr>
                      </pic:pic>
                    </a:graphicData>
                  </a:graphic>
                  <wp14:sizeRelH relativeFrom="margin">
                    <wp14:pctWidth>0</wp14:pctWidth>
                  </wp14:sizeRelH>
                  <wp14:sizeRelV relativeFrom="margin">
                    <wp14:pctHeight>0</wp14:pctHeight>
                  </wp14:sizeRelV>
                </wp:anchor>
              </w:drawing>
            </w:r>
            <w:r w:rsidRPr="005153E0">
              <w:rPr>
                <w:rFonts w:ascii="Segoe UI" w:hAnsi="Segoe UI" w:cs="Segoe UI"/>
                <w:color w:val="000000"/>
              </w:rPr>
              <w:t>5.6%</w:t>
            </w:r>
          </w:p>
        </w:tc>
      </w:tr>
      <w:tr w:rsidR="003E7BD9" w14:paraId="3F24905E"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57"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2009-10</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58"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2.9%</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59"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3.8%</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5A"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5B"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1.7%</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5C"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7.7%</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5D"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5.9%</w:t>
            </w:r>
          </w:p>
        </w:tc>
      </w:tr>
      <w:tr w:rsidR="003E7BD9" w14:paraId="3F249066"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5F"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2010-11</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60"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3.3%</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61"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3.3%</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62"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3.4%</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63" w14:textId="77777777" w:rsidR="003E7BD9" w:rsidRPr="005153E0" w:rsidRDefault="003E7BD9" w:rsidP="006D6217">
            <w:pPr>
              <w:keepNext/>
              <w:jc w:val="right"/>
              <w:rPr>
                <w:rFonts w:ascii="Segoe UI" w:hAnsi="Segoe UI" w:cs="Segoe UI"/>
                <w:color w:val="000000"/>
              </w:rPr>
            </w:pPr>
            <w:r w:rsidRPr="005153E0">
              <w:rPr>
                <w:rFonts w:ascii="Segoe UI" w:hAnsi="Segoe UI" w:cs="Segoe UI"/>
                <w:noProof/>
                <w:color w:val="000000"/>
              </w:rPr>
              <w:drawing>
                <wp:anchor distT="0" distB="0" distL="114300" distR="114300" simplePos="0" relativeHeight="251661312" behindDoc="0" locked="0" layoutInCell="1" allowOverlap="1" wp14:anchorId="3F24912F" wp14:editId="586B3363">
                  <wp:simplePos x="0" y="0"/>
                  <wp:positionH relativeFrom="column">
                    <wp:posOffset>556260</wp:posOffset>
                  </wp:positionH>
                  <wp:positionV relativeFrom="paragraph">
                    <wp:posOffset>78105</wp:posOffset>
                  </wp:positionV>
                  <wp:extent cx="993140" cy="389890"/>
                  <wp:effectExtent l="0" t="0" r="0" b="0"/>
                  <wp:wrapNone/>
                  <wp:docPr id="61" name="Picture 61" descr="Arrow between ACFI growth per resident above indexation figures between 2008-09 to 2011-12 and zero ACFI subsidy rate change in 201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3140" cy="389890"/>
                          </a:xfrm>
                          <a:prstGeom prst="rect">
                            <a:avLst/>
                          </a:prstGeom>
                          <a:noFill/>
                        </pic:spPr>
                      </pic:pic>
                    </a:graphicData>
                  </a:graphic>
                  <wp14:sizeRelH relativeFrom="page">
                    <wp14:pctWidth>0</wp14:pctWidth>
                  </wp14:sizeRelH>
                  <wp14:sizeRelV relativeFrom="page">
                    <wp14:pctHeight>0</wp14:pctHeight>
                  </wp14:sizeRelV>
                </wp:anchor>
              </w:drawing>
            </w:r>
            <w:r w:rsidRPr="005153E0">
              <w:rPr>
                <w:rFonts w:ascii="Segoe UI" w:hAnsi="Segoe UI" w:cs="Segoe UI"/>
                <w:color w:val="000000"/>
              </w:rPr>
              <w:t>1.8%</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64"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10.0%</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65"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8.1%</w:t>
            </w:r>
          </w:p>
        </w:tc>
      </w:tr>
      <w:tr w:rsidR="003E7BD9" w14:paraId="3F24906E"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67"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2011-12</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68"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1.6%</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69"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3.0%</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6A"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2.9%</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6B" w14:textId="77777777" w:rsidR="003E7BD9" w:rsidRPr="005153E0" w:rsidRDefault="003E7BD9" w:rsidP="006D6217">
            <w:pPr>
              <w:keepNext/>
              <w:jc w:val="right"/>
              <w:rPr>
                <w:rFonts w:ascii="Segoe UI" w:hAnsi="Segoe UI" w:cs="Segoe UI"/>
                <w:color w:val="000000"/>
              </w:rPr>
            </w:pPr>
            <w:bookmarkStart w:id="8" w:name="_GoBack"/>
            <w:r w:rsidRPr="005153E0">
              <w:rPr>
                <w:rFonts w:ascii="Segoe UI" w:hAnsi="Segoe UI" w:cs="Segoe UI"/>
                <w:noProof/>
                <w:color w:val="000000"/>
              </w:rPr>
              <w:drawing>
                <wp:anchor distT="0" distB="0" distL="114300" distR="114300" simplePos="0" relativeHeight="251662336" behindDoc="0" locked="0" layoutInCell="1" allowOverlap="1" wp14:anchorId="3F249131" wp14:editId="00C8FBDB">
                  <wp:simplePos x="0" y="0"/>
                  <wp:positionH relativeFrom="column">
                    <wp:posOffset>235585</wp:posOffset>
                  </wp:positionH>
                  <wp:positionV relativeFrom="paragraph">
                    <wp:posOffset>148590</wp:posOffset>
                  </wp:positionV>
                  <wp:extent cx="371475" cy="323850"/>
                  <wp:effectExtent l="0" t="0" r="9525" b="0"/>
                  <wp:wrapNone/>
                  <wp:docPr id="63" name="Picture 63" descr="Highlighting zero ACFI subsidy rate change in 2012-13 following ACFI growth per resident above indexation figures between 2008-09 to 2011-12.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pic:spPr>
                      </pic:pic>
                    </a:graphicData>
                  </a:graphic>
                  <wp14:sizeRelH relativeFrom="page">
                    <wp14:pctWidth>0</wp14:pctWidth>
                  </wp14:sizeRelH>
                  <wp14:sizeRelV relativeFrom="page">
                    <wp14:pctHeight>0</wp14:pctHeight>
                  </wp14:sizeRelV>
                </wp:anchor>
              </w:drawing>
            </w:r>
            <w:bookmarkEnd w:id="8"/>
            <w:r w:rsidRPr="005153E0">
              <w:rPr>
                <w:rFonts w:ascii="Segoe UI" w:hAnsi="Segoe UI" w:cs="Segoe UI"/>
                <w:color w:val="000000"/>
              </w:rPr>
              <w:t>1.9%</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6C"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9.3%</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6D"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7.3%</w:t>
            </w:r>
          </w:p>
        </w:tc>
      </w:tr>
      <w:tr w:rsidR="003E7BD9" w14:paraId="3F249076"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6F"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2012-13</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70"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2.5%</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71"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3.3%</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72"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2.6%</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73"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0.0%</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74"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3.7%</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75"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3.7%</w:t>
            </w:r>
          </w:p>
        </w:tc>
      </w:tr>
      <w:tr w:rsidR="003E7BD9" w14:paraId="3F24907E"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77"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2013-14</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78"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2.9%</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79"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2.9%</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7A"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3.0%</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7B"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1.7%</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7C"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4.6%</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7D" w14:textId="77777777" w:rsidR="003E7BD9" w:rsidRPr="005153E0" w:rsidRDefault="003E7BD9" w:rsidP="006D6217">
            <w:pPr>
              <w:keepNext/>
              <w:jc w:val="right"/>
              <w:rPr>
                <w:rFonts w:ascii="Segoe UI" w:hAnsi="Segoe UI" w:cs="Segoe UI"/>
                <w:color w:val="000000"/>
              </w:rPr>
            </w:pPr>
            <w:r w:rsidRPr="005153E0">
              <w:rPr>
                <w:rFonts w:ascii="Segoe UI" w:hAnsi="Segoe UI" w:cs="Segoe UI"/>
                <w:noProof/>
                <w:color w:val="000000"/>
              </w:rPr>
              <w:drawing>
                <wp:anchor distT="0" distB="0" distL="114300" distR="114300" simplePos="0" relativeHeight="251663360" behindDoc="0" locked="0" layoutInCell="1" allowOverlap="1" wp14:anchorId="3F249133" wp14:editId="42667745">
                  <wp:simplePos x="0" y="0"/>
                  <wp:positionH relativeFrom="column">
                    <wp:posOffset>364490</wp:posOffset>
                  </wp:positionH>
                  <wp:positionV relativeFrom="paragraph">
                    <wp:posOffset>113030</wp:posOffset>
                  </wp:positionV>
                  <wp:extent cx="457200" cy="542925"/>
                  <wp:effectExtent l="0" t="0" r="0" b="9525"/>
                  <wp:wrapNone/>
                  <wp:docPr id="672" name="Picture 672" descr="Highlighting ACFI growth per resident above indexation figures in 2014-15 (5.2%) and 2015-16 (5.5%) that lead to a zero ACFI subsidy rate change in 201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pic:spPr>
                      </pic:pic>
                    </a:graphicData>
                  </a:graphic>
                  <wp14:sizeRelH relativeFrom="page">
                    <wp14:pctWidth>0</wp14:pctWidth>
                  </wp14:sizeRelH>
                  <wp14:sizeRelV relativeFrom="page">
                    <wp14:pctHeight>0</wp14:pctHeight>
                  </wp14:sizeRelV>
                </wp:anchor>
              </w:drawing>
            </w:r>
            <w:r w:rsidRPr="005153E0">
              <w:rPr>
                <w:rFonts w:ascii="Segoe UI" w:hAnsi="Segoe UI" w:cs="Segoe UI"/>
                <w:color w:val="000000"/>
              </w:rPr>
              <w:t>2.8%</w:t>
            </w:r>
          </w:p>
        </w:tc>
      </w:tr>
      <w:tr w:rsidR="003E7BD9" w14:paraId="3F249086"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7F"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2014-15</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80"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1.3%</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81"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2.6%</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82"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2.5%</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83"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4.3%</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84"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9.8%</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85"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5.2%</w:t>
            </w:r>
          </w:p>
        </w:tc>
      </w:tr>
      <w:tr w:rsidR="003E7BD9" w14:paraId="3F24908E"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87"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2015-16</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88"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1.3%</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89"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2.6%</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8A"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2.4%</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8B" w14:textId="77777777" w:rsidR="003E7BD9" w:rsidRPr="005153E0" w:rsidRDefault="003E7BD9" w:rsidP="006D6217">
            <w:pPr>
              <w:keepNext/>
              <w:jc w:val="right"/>
              <w:rPr>
                <w:rFonts w:ascii="Segoe UI" w:hAnsi="Segoe UI" w:cs="Segoe UI"/>
                <w:color w:val="000000"/>
              </w:rPr>
            </w:pPr>
            <w:r w:rsidRPr="005153E0">
              <w:rPr>
                <w:rFonts w:ascii="Segoe UI" w:hAnsi="Segoe UI" w:cs="Segoe UI"/>
                <w:noProof/>
                <w:color w:val="000000"/>
              </w:rPr>
              <w:drawing>
                <wp:anchor distT="0" distB="0" distL="114300" distR="114300" simplePos="0" relativeHeight="251664384" behindDoc="0" locked="0" layoutInCell="1" allowOverlap="1" wp14:anchorId="3F249135" wp14:editId="29DD2963">
                  <wp:simplePos x="0" y="0"/>
                  <wp:positionH relativeFrom="column">
                    <wp:posOffset>620395</wp:posOffset>
                  </wp:positionH>
                  <wp:positionV relativeFrom="paragraph">
                    <wp:posOffset>73660</wp:posOffset>
                  </wp:positionV>
                  <wp:extent cx="1115695" cy="234950"/>
                  <wp:effectExtent l="0" t="76200" r="27305" b="88900"/>
                  <wp:wrapNone/>
                  <wp:docPr id="673" name="Picture 673" descr="Arrow between ACFI growth per resident above indexation figures in 2014-15 and 2015-16 and zero ACFI subsidy rate change in 2017-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21157319">
                            <a:off x="0" y="0"/>
                            <a:ext cx="1115695" cy="234950"/>
                          </a:xfrm>
                          <a:prstGeom prst="rect">
                            <a:avLst/>
                          </a:prstGeom>
                          <a:noFill/>
                        </pic:spPr>
                      </pic:pic>
                    </a:graphicData>
                  </a:graphic>
                  <wp14:sizeRelH relativeFrom="page">
                    <wp14:pctWidth>0</wp14:pctWidth>
                  </wp14:sizeRelH>
                  <wp14:sizeRelV relativeFrom="page">
                    <wp14:pctHeight>0</wp14:pctHeight>
                  </wp14:sizeRelV>
                </wp:anchor>
              </w:drawing>
            </w:r>
            <w:r w:rsidRPr="005153E0">
              <w:rPr>
                <w:rFonts w:ascii="Segoe UI" w:hAnsi="Segoe UI" w:cs="Segoe UI"/>
                <w:color w:val="000000"/>
              </w:rPr>
              <w:t>1.3%</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8C"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6.9%</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8D"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5.5%</w:t>
            </w:r>
          </w:p>
        </w:tc>
      </w:tr>
      <w:tr w:rsidR="003E7BD9" w14:paraId="3F249096"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8F"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2016-17</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90"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2.1%</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91"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2.3%</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92"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3.3%</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93" w14:textId="77777777" w:rsidR="003E7BD9" w:rsidRPr="005153E0" w:rsidRDefault="003E7BD9" w:rsidP="006D6217">
            <w:pPr>
              <w:keepNext/>
              <w:jc w:val="right"/>
              <w:rPr>
                <w:rFonts w:ascii="Segoe UI" w:hAnsi="Segoe UI" w:cs="Segoe UI"/>
                <w:color w:val="000000"/>
              </w:rPr>
            </w:pPr>
            <w:r w:rsidRPr="005153E0">
              <w:rPr>
                <w:rFonts w:ascii="Segoe UI" w:hAnsi="Segoe UI" w:cs="Segoe UI"/>
                <w:noProof/>
                <w:color w:val="000000"/>
              </w:rPr>
              <w:drawing>
                <wp:anchor distT="0" distB="0" distL="114300" distR="114300" simplePos="0" relativeHeight="251659264" behindDoc="0" locked="0" layoutInCell="1" allowOverlap="1" wp14:anchorId="3F249137" wp14:editId="7B0B777A">
                  <wp:simplePos x="0" y="0"/>
                  <wp:positionH relativeFrom="column">
                    <wp:posOffset>220980</wp:posOffset>
                  </wp:positionH>
                  <wp:positionV relativeFrom="paragraph">
                    <wp:posOffset>132080</wp:posOffset>
                  </wp:positionV>
                  <wp:extent cx="371475" cy="323850"/>
                  <wp:effectExtent l="0" t="0" r="9525" b="0"/>
                  <wp:wrapNone/>
                  <wp:docPr id="674" name="Picture 674" descr="Highlighting zero ACFI subsidy rate change in 2017-18 following ACFI growth per resident above indexation figures in 2014-15 and 2015-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1475" cy="323850"/>
                          </a:xfrm>
                          <a:prstGeom prst="rect">
                            <a:avLst/>
                          </a:prstGeom>
                          <a:noFill/>
                        </pic:spPr>
                      </pic:pic>
                    </a:graphicData>
                  </a:graphic>
                  <wp14:sizeRelH relativeFrom="page">
                    <wp14:pctWidth>0</wp14:pctWidth>
                  </wp14:sizeRelH>
                  <wp14:sizeRelV relativeFrom="page">
                    <wp14:pctHeight>0</wp14:pctHeight>
                  </wp14:sizeRelV>
                </wp:anchor>
              </w:drawing>
            </w:r>
            <w:r w:rsidRPr="005153E0">
              <w:rPr>
                <w:rFonts w:ascii="Segoe UI" w:hAnsi="Segoe UI" w:cs="Segoe UI"/>
                <w:color w:val="000000"/>
              </w:rPr>
              <w:t>1.5%</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94"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3.7%</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95"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2.1%</w:t>
            </w:r>
          </w:p>
        </w:tc>
      </w:tr>
      <w:tr w:rsidR="003E7BD9" w14:paraId="3F24909E"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97" w14:textId="77777777" w:rsidR="003E7BD9" w:rsidRPr="005153E0" w:rsidRDefault="003E7BD9" w:rsidP="006D6217">
            <w:pPr>
              <w:keepNext/>
              <w:rPr>
                <w:rFonts w:ascii="Segoe UI" w:hAnsi="Segoe UI" w:cs="Segoe UI"/>
                <w:color w:val="000000"/>
              </w:rPr>
            </w:pPr>
            <w:r w:rsidRPr="005153E0">
              <w:rPr>
                <w:rFonts w:ascii="Segoe UI" w:hAnsi="Segoe UI" w:cs="Segoe UI"/>
                <w:color w:val="000000"/>
              </w:rPr>
              <w:t>2017-18</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98"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1.9%</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99"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2.7%</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9A"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3.5%</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9B"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0.0%</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9C"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N/A</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9D"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N/A</w:t>
            </w:r>
          </w:p>
        </w:tc>
      </w:tr>
      <w:tr w:rsidR="003E7BD9" w14:paraId="3F2490A6"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9F" w14:textId="77777777" w:rsidR="003E7BD9" w:rsidRPr="005153E0" w:rsidRDefault="003E7BD9" w:rsidP="006D6217">
            <w:pPr>
              <w:keepNext/>
              <w:rPr>
                <w:rFonts w:ascii="Segoe UI" w:hAnsi="Segoe UI" w:cs="Segoe UI"/>
                <w:i/>
                <w:color w:val="000000"/>
              </w:rPr>
            </w:pPr>
            <w:r w:rsidRPr="005153E0">
              <w:rPr>
                <w:rFonts w:ascii="Segoe UI" w:hAnsi="Segoe UI" w:cs="Segoe UI"/>
                <w:i/>
                <w:color w:val="000000"/>
              </w:rPr>
              <w:t>Average annual change</w:t>
            </w:r>
          </w:p>
        </w:tc>
        <w:tc>
          <w:tcPr>
            <w:tcW w:w="1202" w:type="dxa"/>
            <w:tcBorders>
              <w:top w:val="single" w:sz="6" w:space="0" w:color="002060"/>
              <w:left w:val="single" w:sz="6" w:space="0" w:color="002060"/>
              <w:bottom w:val="single" w:sz="6" w:space="0" w:color="002060"/>
              <w:right w:val="single" w:sz="6" w:space="0" w:color="002060"/>
            </w:tcBorders>
            <w:vAlign w:val="bottom"/>
          </w:tcPr>
          <w:p w14:paraId="3F2490A0"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2.2%</w:t>
            </w:r>
          </w:p>
        </w:tc>
        <w:tc>
          <w:tcPr>
            <w:tcW w:w="1367" w:type="dxa"/>
            <w:tcBorders>
              <w:top w:val="single" w:sz="6" w:space="0" w:color="002060"/>
              <w:left w:val="single" w:sz="6" w:space="0" w:color="002060"/>
              <w:bottom w:val="single" w:sz="6" w:space="0" w:color="002060"/>
              <w:right w:val="single" w:sz="6" w:space="0" w:color="002060"/>
            </w:tcBorders>
            <w:vAlign w:val="bottom"/>
          </w:tcPr>
          <w:p w14:paraId="3F2490A1"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3.1%</w:t>
            </w:r>
          </w:p>
        </w:tc>
        <w:tc>
          <w:tcPr>
            <w:tcW w:w="1035" w:type="dxa"/>
            <w:tcBorders>
              <w:top w:val="single" w:sz="6" w:space="0" w:color="002060"/>
              <w:left w:val="single" w:sz="6" w:space="0" w:color="002060"/>
              <w:bottom w:val="single" w:sz="6" w:space="0" w:color="002060"/>
              <w:right w:val="single" w:sz="6" w:space="0" w:color="002060"/>
            </w:tcBorders>
            <w:vAlign w:val="bottom"/>
          </w:tcPr>
          <w:p w14:paraId="3F2490A2"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3.0%</w:t>
            </w:r>
          </w:p>
        </w:tc>
        <w:tc>
          <w:tcPr>
            <w:tcW w:w="1104" w:type="dxa"/>
            <w:tcBorders>
              <w:top w:val="single" w:sz="6" w:space="0" w:color="002060"/>
              <w:left w:val="single" w:sz="6" w:space="0" w:color="002060"/>
              <w:bottom w:val="single" w:sz="6" w:space="0" w:color="002060"/>
              <w:right w:val="single" w:sz="6" w:space="0" w:color="002060"/>
            </w:tcBorders>
            <w:vAlign w:val="bottom"/>
          </w:tcPr>
          <w:p w14:paraId="3F2490A3"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1.6%</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A4" w14:textId="77777777" w:rsidR="003E7BD9" w:rsidRPr="005153E0" w:rsidRDefault="003E7BD9" w:rsidP="006D6217">
            <w:pPr>
              <w:jc w:val="right"/>
              <w:rPr>
                <w:rFonts w:ascii="Segoe UI" w:hAnsi="Segoe UI" w:cs="Segoe UI"/>
              </w:rPr>
            </w:pPr>
            <w:r w:rsidRPr="005153E0">
              <w:rPr>
                <w:rFonts w:ascii="Segoe UI" w:hAnsi="Segoe UI" w:cs="Segoe UI"/>
              </w:rPr>
              <w:t>7.0%</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A5" w14:textId="77777777" w:rsidR="003E7BD9" w:rsidRPr="005153E0" w:rsidRDefault="003E7BD9" w:rsidP="006D6217">
            <w:pPr>
              <w:jc w:val="right"/>
              <w:rPr>
                <w:rFonts w:ascii="Segoe UI" w:hAnsi="Segoe UI" w:cs="Segoe UI"/>
              </w:rPr>
            </w:pPr>
            <w:r w:rsidRPr="005153E0">
              <w:rPr>
                <w:rFonts w:ascii="Segoe UI" w:hAnsi="Segoe UI" w:cs="Segoe UI"/>
              </w:rPr>
              <w:t>5.1%</w:t>
            </w:r>
          </w:p>
        </w:tc>
      </w:tr>
      <w:tr w:rsidR="003E7BD9" w14:paraId="3F2490AE" w14:textId="77777777" w:rsidTr="001A2A43">
        <w:trPr>
          <w:jc w:val="center"/>
        </w:trPr>
        <w:tc>
          <w:tcPr>
            <w:tcW w:w="1308" w:type="dxa"/>
            <w:tcBorders>
              <w:top w:val="single" w:sz="6" w:space="0" w:color="002060"/>
              <w:left w:val="single" w:sz="6" w:space="0" w:color="002060"/>
              <w:bottom w:val="single" w:sz="6" w:space="0" w:color="002060"/>
              <w:right w:val="single" w:sz="6" w:space="0" w:color="002060"/>
            </w:tcBorders>
            <w:vAlign w:val="center"/>
          </w:tcPr>
          <w:p w14:paraId="3F2490A7" w14:textId="77777777" w:rsidR="003E7BD9" w:rsidRPr="005153E0" w:rsidRDefault="003E7BD9" w:rsidP="006D6217">
            <w:pPr>
              <w:keepNext/>
              <w:rPr>
                <w:rFonts w:ascii="Segoe UI" w:hAnsi="Segoe UI" w:cs="Segoe UI"/>
                <w:i/>
                <w:color w:val="000000"/>
              </w:rPr>
            </w:pPr>
            <w:r w:rsidRPr="005153E0">
              <w:rPr>
                <w:rFonts w:ascii="Segoe UI" w:hAnsi="Segoe UI" w:cs="Segoe UI"/>
                <w:i/>
                <w:color w:val="000000"/>
              </w:rPr>
              <w:t>Cumulative change</w:t>
            </w:r>
          </w:p>
        </w:tc>
        <w:tc>
          <w:tcPr>
            <w:tcW w:w="1202" w:type="dxa"/>
            <w:tcBorders>
              <w:top w:val="single" w:sz="6" w:space="0" w:color="002060"/>
              <w:left w:val="single" w:sz="6" w:space="0" w:color="002060"/>
              <w:bottom w:val="single" w:sz="6" w:space="0" w:color="002060"/>
              <w:right w:val="single" w:sz="6" w:space="0" w:color="002060"/>
            </w:tcBorders>
            <w:vAlign w:val="center"/>
          </w:tcPr>
          <w:p w14:paraId="3F2490A8"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24.7%</w:t>
            </w:r>
          </w:p>
        </w:tc>
        <w:tc>
          <w:tcPr>
            <w:tcW w:w="1367" w:type="dxa"/>
            <w:tcBorders>
              <w:top w:val="single" w:sz="6" w:space="0" w:color="002060"/>
              <w:left w:val="single" w:sz="6" w:space="0" w:color="002060"/>
              <w:bottom w:val="single" w:sz="6" w:space="0" w:color="002060"/>
              <w:right w:val="single" w:sz="6" w:space="0" w:color="002060"/>
            </w:tcBorders>
            <w:vAlign w:val="center"/>
          </w:tcPr>
          <w:p w14:paraId="3F2490A9"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35.2%</w:t>
            </w:r>
          </w:p>
        </w:tc>
        <w:tc>
          <w:tcPr>
            <w:tcW w:w="1035" w:type="dxa"/>
            <w:tcBorders>
              <w:top w:val="single" w:sz="6" w:space="0" w:color="002060"/>
              <w:left w:val="single" w:sz="6" w:space="0" w:color="002060"/>
              <w:bottom w:val="single" w:sz="6" w:space="0" w:color="002060"/>
              <w:right w:val="single" w:sz="6" w:space="0" w:color="002060"/>
            </w:tcBorders>
            <w:vAlign w:val="center"/>
          </w:tcPr>
          <w:p w14:paraId="3F2490AA"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_</w:t>
            </w:r>
          </w:p>
        </w:tc>
        <w:tc>
          <w:tcPr>
            <w:tcW w:w="1104" w:type="dxa"/>
            <w:tcBorders>
              <w:top w:val="single" w:sz="6" w:space="0" w:color="002060"/>
              <w:left w:val="single" w:sz="6" w:space="0" w:color="002060"/>
              <w:bottom w:val="single" w:sz="6" w:space="0" w:color="002060"/>
              <w:right w:val="single" w:sz="6" w:space="0" w:color="002060"/>
            </w:tcBorders>
            <w:vAlign w:val="center"/>
          </w:tcPr>
          <w:p w14:paraId="3F2490AB" w14:textId="77777777" w:rsidR="003E7BD9" w:rsidRPr="005153E0" w:rsidRDefault="003E7BD9" w:rsidP="006D6217">
            <w:pPr>
              <w:keepNext/>
              <w:jc w:val="right"/>
              <w:rPr>
                <w:rFonts w:ascii="Segoe UI" w:hAnsi="Segoe UI" w:cs="Segoe UI"/>
                <w:color w:val="000000"/>
              </w:rPr>
            </w:pPr>
            <w:r w:rsidRPr="005153E0">
              <w:rPr>
                <w:rFonts w:ascii="Segoe UI" w:hAnsi="Segoe UI" w:cs="Segoe UI"/>
                <w:color w:val="000000"/>
              </w:rPr>
              <w:t>17.1%</w:t>
            </w:r>
          </w:p>
        </w:tc>
        <w:tc>
          <w:tcPr>
            <w:tcW w:w="1183" w:type="dxa"/>
            <w:tcBorders>
              <w:top w:val="single" w:sz="6" w:space="0" w:color="002060"/>
              <w:left w:val="single" w:sz="6" w:space="0" w:color="002060"/>
              <w:bottom w:val="single" w:sz="6" w:space="0" w:color="002060"/>
              <w:right w:val="single" w:sz="6" w:space="0" w:color="002060"/>
            </w:tcBorders>
            <w:vAlign w:val="bottom"/>
          </w:tcPr>
          <w:p w14:paraId="3F2490AC" w14:textId="77777777" w:rsidR="003E7BD9" w:rsidRPr="005153E0" w:rsidRDefault="003E7BD9" w:rsidP="006D6217">
            <w:pPr>
              <w:jc w:val="right"/>
              <w:rPr>
                <w:rFonts w:ascii="Segoe UI" w:hAnsi="Segoe UI" w:cs="Segoe UI"/>
              </w:rPr>
            </w:pPr>
            <w:r w:rsidRPr="005153E0">
              <w:rPr>
                <w:rFonts w:ascii="Segoe UI" w:hAnsi="Segoe UI" w:cs="Segoe UI"/>
              </w:rPr>
              <w:t>83.4%</w:t>
            </w:r>
          </w:p>
        </w:tc>
        <w:tc>
          <w:tcPr>
            <w:tcW w:w="1323" w:type="dxa"/>
            <w:tcBorders>
              <w:top w:val="single" w:sz="6" w:space="0" w:color="002060"/>
              <w:left w:val="single" w:sz="6" w:space="0" w:color="002060"/>
              <w:bottom w:val="single" w:sz="6" w:space="0" w:color="002060"/>
              <w:right w:val="single" w:sz="6" w:space="0" w:color="002060"/>
            </w:tcBorders>
            <w:vAlign w:val="bottom"/>
          </w:tcPr>
          <w:p w14:paraId="3F2490AD" w14:textId="77777777" w:rsidR="003E7BD9" w:rsidRPr="005153E0" w:rsidRDefault="003E7BD9" w:rsidP="006D6217">
            <w:pPr>
              <w:jc w:val="right"/>
              <w:rPr>
                <w:rFonts w:ascii="Segoe UI" w:hAnsi="Segoe UI" w:cs="Segoe UI"/>
              </w:rPr>
            </w:pPr>
            <w:r w:rsidRPr="005153E0">
              <w:rPr>
                <w:rFonts w:ascii="Segoe UI" w:hAnsi="Segoe UI" w:cs="Segoe UI"/>
              </w:rPr>
              <w:t>56.7%</w:t>
            </w:r>
          </w:p>
        </w:tc>
      </w:tr>
    </w:tbl>
    <w:p w14:paraId="3F2490AF" w14:textId="77777777" w:rsidR="003E7BD9" w:rsidRDefault="003E7BD9" w:rsidP="003E7BD9">
      <w:pPr>
        <w:keepNext/>
        <w:rPr>
          <w:rFonts w:ascii="Arial" w:hAnsi="Arial" w:cs="Arial"/>
          <w:sz w:val="16"/>
          <w:szCs w:val="16"/>
        </w:rPr>
      </w:pPr>
      <w:r>
        <w:rPr>
          <w:rFonts w:ascii="Arial" w:hAnsi="Arial" w:cs="Arial"/>
          <w:sz w:val="16"/>
          <w:szCs w:val="16"/>
        </w:rPr>
        <w:t xml:space="preserve">Notes: </w:t>
      </w:r>
    </w:p>
    <w:p w14:paraId="3F2490B0" w14:textId="77777777" w:rsidR="003E7BD9" w:rsidRDefault="003E7BD9" w:rsidP="003E7BD9">
      <w:pPr>
        <w:keepNext/>
        <w:rPr>
          <w:rFonts w:ascii="Arial" w:hAnsi="Arial" w:cs="Arial"/>
          <w:sz w:val="16"/>
          <w:szCs w:val="16"/>
        </w:rPr>
      </w:pPr>
      <w:r>
        <w:rPr>
          <w:rFonts w:ascii="Arial" w:hAnsi="Arial" w:cs="Arial"/>
          <w:sz w:val="16"/>
          <w:szCs w:val="16"/>
        </w:rPr>
        <w:t>1. The Aged Care Award was not in effect in 2008-09 so growth can only be calculated over the period 2009-10 to 2017-18</w:t>
      </w:r>
    </w:p>
    <w:p w14:paraId="3F2490B1" w14:textId="77777777" w:rsidR="003E7BD9" w:rsidRDefault="003E7BD9" w:rsidP="003E7BD9">
      <w:pPr>
        <w:keepNext/>
        <w:rPr>
          <w:rFonts w:ascii="Arial" w:hAnsi="Arial" w:cs="Arial"/>
          <w:sz w:val="16"/>
          <w:szCs w:val="16"/>
        </w:rPr>
      </w:pPr>
      <w:r>
        <w:rPr>
          <w:rFonts w:ascii="Arial" w:hAnsi="Arial" w:cs="Arial"/>
          <w:sz w:val="16"/>
          <w:szCs w:val="16"/>
        </w:rPr>
        <w:t>2. ACFI subsidy rates have been adjusted to account for the Conditional Adjustment Payment that was rolled into ACFI subsidy rates in 2014-15</w:t>
      </w:r>
    </w:p>
    <w:p w14:paraId="3F2490B2" w14:textId="77777777" w:rsidR="003E7BD9" w:rsidRDefault="003E7BD9" w:rsidP="003E7BD9">
      <w:pPr>
        <w:keepNext/>
        <w:rPr>
          <w:rFonts w:ascii="Arial" w:hAnsi="Arial" w:cs="Arial"/>
          <w:sz w:val="16"/>
          <w:szCs w:val="16"/>
        </w:rPr>
      </w:pPr>
      <w:r>
        <w:rPr>
          <w:rFonts w:ascii="Arial" w:hAnsi="Arial" w:cs="Arial"/>
          <w:sz w:val="16"/>
          <w:szCs w:val="16"/>
        </w:rPr>
        <w:t xml:space="preserve">3. Average ACFI payment per resident includes all basic subsidy payments </w:t>
      </w:r>
    </w:p>
    <w:p w14:paraId="3F2490B3" w14:textId="77777777" w:rsidR="003E7BD9" w:rsidRDefault="003E7BD9" w:rsidP="003E7BD9">
      <w:pPr>
        <w:keepNext/>
        <w:rPr>
          <w:rFonts w:ascii="Arial" w:hAnsi="Arial" w:cs="Arial"/>
          <w:sz w:val="16"/>
          <w:szCs w:val="16"/>
        </w:rPr>
      </w:pPr>
      <w:r>
        <w:rPr>
          <w:rFonts w:ascii="Arial" w:hAnsi="Arial" w:cs="Arial"/>
          <w:sz w:val="16"/>
          <w:szCs w:val="16"/>
        </w:rPr>
        <w:t>4. The change to subsidies in 2016-17 did not apply across all domains of the ACFI – the CHC domain only received half indexation</w:t>
      </w:r>
    </w:p>
    <w:p w14:paraId="3F2490B4" w14:textId="77777777" w:rsidR="003E7BD9" w:rsidRPr="002F703B" w:rsidRDefault="003E7BD9" w:rsidP="003E7BD9">
      <w:pPr>
        <w:keepNext/>
        <w:rPr>
          <w:rFonts w:ascii="Arial" w:hAnsi="Arial" w:cs="Arial"/>
          <w:sz w:val="16"/>
          <w:szCs w:val="16"/>
        </w:rPr>
      </w:pPr>
      <w:r>
        <w:rPr>
          <w:rFonts w:ascii="Arial" w:hAnsi="Arial" w:cs="Arial"/>
          <w:sz w:val="16"/>
          <w:szCs w:val="16"/>
        </w:rPr>
        <w:t>5</w:t>
      </w:r>
      <w:r w:rsidRPr="002F703B">
        <w:rPr>
          <w:rFonts w:ascii="Arial" w:hAnsi="Arial" w:cs="Arial"/>
          <w:sz w:val="16"/>
          <w:szCs w:val="16"/>
        </w:rPr>
        <w:t xml:space="preserve">. Average ACFI payments per resident for 2017-18 are not available at the time of publication. The latest ACFI monitoring report is for </w:t>
      </w:r>
      <w:r w:rsidR="007C4214">
        <w:rPr>
          <w:rFonts w:ascii="Arial" w:hAnsi="Arial" w:cs="Arial"/>
          <w:sz w:val="16"/>
          <w:szCs w:val="16"/>
        </w:rPr>
        <w:t xml:space="preserve">April </w:t>
      </w:r>
      <w:r w:rsidRPr="002F703B">
        <w:rPr>
          <w:rFonts w:ascii="Arial" w:hAnsi="Arial" w:cs="Arial"/>
          <w:sz w:val="16"/>
          <w:szCs w:val="16"/>
        </w:rPr>
        <w:t xml:space="preserve">2018 and shows growth for the period 1 July 2017 to </w:t>
      </w:r>
      <w:r w:rsidR="007C4214">
        <w:rPr>
          <w:rFonts w:ascii="Arial" w:hAnsi="Arial" w:cs="Arial"/>
          <w:sz w:val="16"/>
          <w:szCs w:val="16"/>
        </w:rPr>
        <w:t xml:space="preserve">April </w:t>
      </w:r>
      <w:r w:rsidRPr="002F703B">
        <w:rPr>
          <w:rFonts w:ascii="Arial" w:hAnsi="Arial" w:cs="Arial"/>
          <w:sz w:val="16"/>
          <w:szCs w:val="16"/>
        </w:rPr>
        <w:t>2018 of negative 0.</w:t>
      </w:r>
      <w:r w:rsidR="007C4214">
        <w:rPr>
          <w:rFonts w:ascii="Arial" w:hAnsi="Arial" w:cs="Arial"/>
          <w:sz w:val="16"/>
          <w:szCs w:val="16"/>
        </w:rPr>
        <w:t>1</w:t>
      </w:r>
      <w:r w:rsidRPr="002F703B">
        <w:rPr>
          <w:rFonts w:ascii="Arial" w:hAnsi="Arial" w:cs="Arial"/>
          <w:sz w:val="16"/>
          <w:szCs w:val="16"/>
        </w:rPr>
        <w:t>%, compared with growth from 1 July 2016 to March 2017. Chart 9.1 in Chapter 9 provides more detailed tracking of ACFI growth rates.</w:t>
      </w:r>
    </w:p>
    <w:p w14:paraId="3F2490B5" w14:textId="77777777" w:rsidR="003E7BD9" w:rsidRDefault="003E7BD9" w:rsidP="003E7BD9">
      <w:pPr>
        <w:keepNext/>
        <w:rPr>
          <w:rFonts w:ascii="Arial" w:hAnsi="Arial" w:cs="Arial"/>
          <w:sz w:val="16"/>
          <w:szCs w:val="16"/>
        </w:rPr>
      </w:pPr>
      <w:r>
        <w:rPr>
          <w:rFonts w:ascii="Arial" w:hAnsi="Arial" w:cs="Arial"/>
          <w:sz w:val="16"/>
          <w:szCs w:val="16"/>
        </w:rPr>
        <w:t xml:space="preserve">6. </w:t>
      </w:r>
      <w:r w:rsidRPr="009B7520">
        <w:rPr>
          <w:rFonts w:ascii="Arial" w:hAnsi="Arial" w:cs="Arial"/>
          <w:sz w:val="16"/>
          <w:szCs w:val="16"/>
        </w:rPr>
        <w:t>The average annual and cumulative change in ACFI payments are calculated to the end of 2016-17.</w:t>
      </w:r>
    </w:p>
    <w:p w14:paraId="3F2490B6" w14:textId="77777777" w:rsidR="003E719D" w:rsidRPr="00C60BAD" w:rsidRDefault="003E719D">
      <w:pPr>
        <w:rPr>
          <w:sz w:val="24"/>
          <w:szCs w:val="24"/>
        </w:rPr>
      </w:pPr>
      <w:r w:rsidRPr="00C60BAD">
        <w:rPr>
          <w:sz w:val="24"/>
          <w:szCs w:val="24"/>
        </w:rPr>
        <w:t>Providers</w:t>
      </w:r>
      <w:r w:rsidR="00251192" w:rsidRPr="00C60BAD">
        <w:rPr>
          <w:sz w:val="24"/>
          <w:szCs w:val="24"/>
        </w:rPr>
        <w:t xml:space="preserve"> and the Government have differi</w:t>
      </w:r>
      <w:r w:rsidR="00A05F22" w:rsidRPr="00C60BAD">
        <w:rPr>
          <w:sz w:val="24"/>
          <w:szCs w:val="24"/>
        </w:rPr>
        <w:t>ng views about the reasons for</w:t>
      </w:r>
      <w:r w:rsidR="00251192" w:rsidRPr="00C60BAD">
        <w:rPr>
          <w:sz w:val="24"/>
          <w:szCs w:val="24"/>
        </w:rPr>
        <w:t xml:space="preserve"> the </w:t>
      </w:r>
      <w:r w:rsidR="00E035A8" w:rsidRPr="00C60BAD">
        <w:rPr>
          <w:sz w:val="24"/>
          <w:szCs w:val="24"/>
        </w:rPr>
        <w:t>increases</w:t>
      </w:r>
      <w:r w:rsidR="00251192" w:rsidRPr="00C60BAD">
        <w:rPr>
          <w:sz w:val="24"/>
          <w:szCs w:val="24"/>
        </w:rPr>
        <w:t xml:space="preserve"> in ACFI claims. </w:t>
      </w:r>
      <w:r w:rsidR="00CC405C" w:rsidRPr="00C60BAD">
        <w:rPr>
          <w:sz w:val="24"/>
          <w:szCs w:val="24"/>
        </w:rPr>
        <w:t xml:space="preserve">This is </w:t>
      </w:r>
      <w:r w:rsidR="00023E87" w:rsidRPr="00C60BAD">
        <w:rPr>
          <w:sz w:val="24"/>
          <w:szCs w:val="24"/>
        </w:rPr>
        <w:t xml:space="preserve">a significant issue that has an important bearing on the outlook for the residential aged care </w:t>
      </w:r>
      <w:r w:rsidR="00155709" w:rsidRPr="00C60BAD">
        <w:rPr>
          <w:sz w:val="24"/>
          <w:szCs w:val="24"/>
        </w:rPr>
        <w:t>industry</w:t>
      </w:r>
      <w:r w:rsidR="00023E87" w:rsidRPr="00C60BAD">
        <w:rPr>
          <w:sz w:val="24"/>
          <w:szCs w:val="24"/>
        </w:rPr>
        <w:t xml:space="preserve"> </w:t>
      </w:r>
      <w:r w:rsidR="00A364A3" w:rsidRPr="00C60BAD">
        <w:rPr>
          <w:sz w:val="24"/>
          <w:szCs w:val="24"/>
        </w:rPr>
        <w:t xml:space="preserve">and is </w:t>
      </w:r>
      <w:r w:rsidR="003E7BD9" w:rsidRPr="00C60BAD">
        <w:rPr>
          <w:sz w:val="24"/>
          <w:szCs w:val="24"/>
        </w:rPr>
        <w:t xml:space="preserve">discussed </w:t>
      </w:r>
      <w:r w:rsidR="00E035A8" w:rsidRPr="00C60BAD">
        <w:rPr>
          <w:sz w:val="24"/>
          <w:szCs w:val="24"/>
        </w:rPr>
        <w:t>further in</w:t>
      </w:r>
      <w:r w:rsidR="00CC405C" w:rsidRPr="00C60BAD">
        <w:rPr>
          <w:sz w:val="24"/>
          <w:szCs w:val="24"/>
        </w:rPr>
        <w:t xml:space="preserve"> the section outlining feedback from the consultations </w:t>
      </w:r>
      <w:r w:rsidR="00E035A8" w:rsidRPr="00C60BAD">
        <w:rPr>
          <w:sz w:val="24"/>
          <w:szCs w:val="24"/>
        </w:rPr>
        <w:t>with providers</w:t>
      </w:r>
      <w:r w:rsidR="00CC405C" w:rsidRPr="00C60BAD">
        <w:rPr>
          <w:sz w:val="24"/>
          <w:szCs w:val="24"/>
        </w:rPr>
        <w:t>.</w:t>
      </w:r>
      <w:r w:rsidR="00DD70B6" w:rsidRPr="00C60BAD">
        <w:rPr>
          <w:sz w:val="24"/>
          <w:szCs w:val="24"/>
        </w:rPr>
        <w:t xml:space="preserve"> Whether the Government’s or providers’ view is closer to reality will determine whether the impact on the financial performance of providers as a result of the ACFI changes is imposing excessive pressure on providers and/or impact</w:t>
      </w:r>
      <w:r w:rsidR="00B05EC5" w:rsidRPr="00C60BAD">
        <w:rPr>
          <w:sz w:val="24"/>
          <w:szCs w:val="24"/>
        </w:rPr>
        <w:t>ing on the level of care residents are receiving,</w:t>
      </w:r>
      <w:r w:rsidR="00DD70B6" w:rsidRPr="00C60BAD">
        <w:rPr>
          <w:sz w:val="24"/>
          <w:szCs w:val="24"/>
        </w:rPr>
        <w:t xml:space="preserve"> </w:t>
      </w:r>
      <w:r w:rsidR="00E035A8" w:rsidRPr="00C60BAD">
        <w:rPr>
          <w:sz w:val="24"/>
          <w:szCs w:val="24"/>
        </w:rPr>
        <w:t xml:space="preserve">or </w:t>
      </w:r>
      <w:r w:rsidR="00B05EC5" w:rsidRPr="00C60BAD">
        <w:rPr>
          <w:sz w:val="24"/>
          <w:szCs w:val="24"/>
        </w:rPr>
        <w:t xml:space="preserve">it has brought ACFI payments back to a level more in line with </w:t>
      </w:r>
      <w:r w:rsidR="00163EF6" w:rsidRPr="00C60BAD">
        <w:rPr>
          <w:sz w:val="24"/>
          <w:szCs w:val="24"/>
        </w:rPr>
        <w:t>the growth</w:t>
      </w:r>
      <w:r w:rsidR="00313455" w:rsidRPr="00C60BAD">
        <w:rPr>
          <w:sz w:val="24"/>
          <w:szCs w:val="24"/>
        </w:rPr>
        <w:t xml:space="preserve"> in </w:t>
      </w:r>
      <w:r w:rsidR="00B05EC5" w:rsidRPr="00C60BAD">
        <w:rPr>
          <w:sz w:val="24"/>
          <w:szCs w:val="24"/>
        </w:rPr>
        <w:t>acuity level of aged care residents.</w:t>
      </w:r>
    </w:p>
    <w:p w14:paraId="3F2490B7" w14:textId="77777777" w:rsidR="006B1944" w:rsidRPr="00C60BAD" w:rsidRDefault="006B1944">
      <w:pPr>
        <w:rPr>
          <w:sz w:val="24"/>
          <w:szCs w:val="24"/>
        </w:rPr>
      </w:pPr>
      <w:r w:rsidRPr="00C60BAD">
        <w:rPr>
          <w:sz w:val="24"/>
          <w:szCs w:val="24"/>
        </w:rPr>
        <w:t>The changes to ACFI</w:t>
      </w:r>
      <w:r w:rsidR="00B2689F" w:rsidRPr="00C60BAD">
        <w:rPr>
          <w:sz w:val="24"/>
          <w:szCs w:val="24"/>
        </w:rPr>
        <w:t xml:space="preserve"> in 2016 and 2017 not only involved a pause in </w:t>
      </w:r>
      <w:r w:rsidR="00E035A8" w:rsidRPr="00C60BAD">
        <w:rPr>
          <w:sz w:val="24"/>
          <w:szCs w:val="24"/>
        </w:rPr>
        <w:t>indexation</w:t>
      </w:r>
      <w:r w:rsidR="00313455" w:rsidRPr="00C60BAD">
        <w:rPr>
          <w:sz w:val="24"/>
          <w:szCs w:val="24"/>
        </w:rPr>
        <w:t xml:space="preserve"> but also</w:t>
      </w:r>
      <w:r w:rsidR="00B2689F" w:rsidRPr="00C60BAD">
        <w:rPr>
          <w:sz w:val="24"/>
          <w:szCs w:val="24"/>
        </w:rPr>
        <w:t xml:space="preserve"> changes in the complex health scoring matrix </w:t>
      </w:r>
      <w:r w:rsidR="00313455" w:rsidRPr="00C60BAD">
        <w:rPr>
          <w:sz w:val="24"/>
          <w:szCs w:val="24"/>
        </w:rPr>
        <w:t xml:space="preserve">which </w:t>
      </w:r>
      <w:r w:rsidR="00B2689F" w:rsidRPr="00C60BAD">
        <w:rPr>
          <w:sz w:val="24"/>
          <w:szCs w:val="24"/>
        </w:rPr>
        <w:t xml:space="preserve">meant that it would be less common for a resident to achieve a high rating, and in turn maximum ACFI payments. The change </w:t>
      </w:r>
      <w:r w:rsidR="00B05EC5" w:rsidRPr="00C60BAD">
        <w:rPr>
          <w:sz w:val="24"/>
          <w:szCs w:val="24"/>
        </w:rPr>
        <w:t xml:space="preserve">only </w:t>
      </w:r>
      <w:r w:rsidR="00B2689F" w:rsidRPr="00C60BAD">
        <w:rPr>
          <w:sz w:val="24"/>
          <w:szCs w:val="24"/>
        </w:rPr>
        <w:t>applied to new residents or to e</w:t>
      </w:r>
      <w:r w:rsidR="00E035A8" w:rsidRPr="00C60BAD">
        <w:rPr>
          <w:sz w:val="24"/>
          <w:szCs w:val="24"/>
        </w:rPr>
        <w:t>xisting residents when they were reassessed</w:t>
      </w:r>
      <w:r w:rsidR="00B2689F" w:rsidRPr="00C60BAD">
        <w:rPr>
          <w:sz w:val="24"/>
          <w:szCs w:val="24"/>
        </w:rPr>
        <w:t xml:space="preserve">. </w:t>
      </w:r>
      <w:r w:rsidR="00023E87" w:rsidRPr="00C60BAD">
        <w:rPr>
          <w:sz w:val="24"/>
          <w:szCs w:val="24"/>
        </w:rPr>
        <w:t>The result for providers is that when a resident with a high A</w:t>
      </w:r>
      <w:r w:rsidR="00E035A8" w:rsidRPr="00C60BAD">
        <w:rPr>
          <w:sz w:val="24"/>
          <w:szCs w:val="24"/>
        </w:rPr>
        <w:t xml:space="preserve">CFI score leaves </w:t>
      </w:r>
      <w:r w:rsidR="00E27DD5" w:rsidRPr="00C60BAD">
        <w:rPr>
          <w:sz w:val="24"/>
          <w:szCs w:val="24"/>
        </w:rPr>
        <w:t>there</w:t>
      </w:r>
      <w:r w:rsidR="00483BB1" w:rsidRPr="00C60BAD">
        <w:rPr>
          <w:sz w:val="24"/>
          <w:szCs w:val="24"/>
        </w:rPr>
        <w:t xml:space="preserve"> is the prospect</w:t>
      </w:r>
      <w:r w:rsidR="00023E87" w:rsidRPr="00C60BAD">
        <w:rPr>
          <w:sz w:val="24"/>
          <w:szCs w:val="24"/>
        </w:rPr>
        <w:t xml:space="preserve"> that </w:t>
      </w:r>
      <w:r w:rsidR="00023E87" w:rsidRPr="00C60BAD">
        <w:rPr>
          <w:sz w:val="24"/>
          <w:szCs w:val="24"/>
        </w:rPr>
        <w:lastRenderedPageBreak/>
        <w:t>they will</w:t>
      </w:r>
      <w:r w:rsidR="00A364A3" w:rsidRPr="00C60BAD">
        <w:rPr>
          <w:sz w:val="24"/>
          <w:szCs w:val="24"/>
        </w:rPr>
        <w:t xml:space="preserve"> be replaced with a resident with a lower ACFI score and </w:t>
      </w:r>
      <w:r w:rsidR="00483BB1" w:rsidRPr="00C60BAD">
        <w:rPr>
          <w:sz w:val="24"/>
          <w:szCs w:val="24"/>
        </w:rPr>
        <w:t>all other things being equal</w:t>
      </w:r>
      <w:r w:rsidR="00A364A3" w:rsidRPr="00C60BAD">
        <w:rPr>
          <w:sz w:val="24"/>
          <w:szCs w:val="24"/>
        </w:rPr>
        <w:t xml:space="preserve">, this will result in a decline </w:t>
      </w:r>
      <w:r w:rsidR="00E035A8" w:rsidRPr="00C60BAD">
        <w:rPr>
          <w:sz w:val="24"/>
          <w:szCs w:val="24"/>
        </w:rPr>
        <w:t>in ACFI</w:t>
      </w:r>
      <w:r w:rsidR="00955C57" w:rsidRPr="00C60BAD">
        <w:rPr>
          <w:sz w:val="24"/>
          <w:szCs w:val="24"/>
        </w:rPr>
        <w:t xml:space="preserve"> revenue for the provider</w:t>
      </w:r>
      <w:r w:rsidR="00EE0E99">
        <w:rPr>
          <w:sz w:val="24"/>
          <w:szCs w:val="24"/>
        </w:rPr>
        <w:t xml:space="preserve"> (though if the new resident does have lower needs then there would also be a potential decline in cost for the provider</w:t>
      </w:r>
      <w:r w:rsidR="00955C57" w:rsidRPr="00C60BAD">
        <w:rPr>
          <w:sz w:val="24"/>
          <w:szCs w:val="24"/>
        </w:rPr>
        <w:t xml:space="preserve">. Providers advised that consultants who monitor ACFI payments report that on average, in 2017-18 the ACFI payment for a new aged care resident was below that of a departing </w:t>
      </w:r>
      <w:r w:rsidR="001A2A43">
        <w:rPr>
          <w:sz w:val="24"/>
          <w:szCs w:val="24"/>
        </w:rPr>
        <w:t>resident.</w:t>
      </w:r>
      <w:r w:rsidR="00A44436" w:rsidRPr="00C60BAD">
        <w:rPr>
          <w:sz w:val="24"/>
          <w:szCs w:val="24"/>
        </w:rPr>
        <w:t xml:space="preserve"> While this </w:t>
      </w:r>
      <w:r w:rsidR="00483BB1" w:rsidRPr="00C60BAD">
        <w:rPr>
          <w:sz w:val="24"/>
          <w:szCs w:val="24"/>
        </w:rPr>
        <w:t>may</w:t>
      </w:r>
      <w:r w:rsidR="001A2A43">
        <w:rPr>
          <w:sz w:val="24"/>
          <w:szCs w:val="24"/>
        </w:rPr>
        <w:t xml:space="preserve"> not of itself be unusual </w:t>
      </w:r>
      <w:r w:rsidR="00483BB1" w:rsidRPr="00C60BAD">
        <w:rPr>
          <w:sz w:val="24"/>
          <w:szCs w:val="24"/>
        </w:rPr>
        <w:t xml:space="preserve">if </w:t>
      </w:r>
      <w:r w:rsidR="00A44436" w:rsidRPr="00C60BAD">
        <w:rPr>
          <w:sz w:val="24"/>
          <w:szCs w:val="24"/>
        </w:rPr>
        <w:t>new resident</w:t>
      </w:r>
      <w:r w:rsidR="00483BB1" w:rsidRPr="00C60BAD">
        <w:rPr>
          <w:sz w:val="24"/>
          <w:szCs w:val="24"/>
        </w:rPr>
        <w:t>s</w:t>
      </w:r>
      <w:r w:rsidR="00A44436" w:rsidRPr="00C60BAD">
        <w:rPr>
          <w:sz w:val="24"/>
          <w:szCs w:val="24"/>
        </w:rPr>
        <w:t xml:space="preserve"> </w:t>
      </w:r>
      <w:r w:rsidR="00483BB1" w:rsidRPr="00C60BAD">
        <w:rPr>
          <w:sz w:val="24"/>
          <w:szCs w:val="24"/>
        </w:rPr>
        <w:t xml:space="preserve"> normally</w:t>
      </w:r>
      <w:r w:rsidR="00A44436" w:rsidRPr="00C60BAD">
        <w:rPr>
          <w:sz w:val="24"/>
          <w:szCs w:val="24"/>
        </w:rPr>
        <w:t xml:space="preserve"> have </w:t>
      </w:r>
      <w:r w:rsidR="001A2A43">
        <w:rPr>
          <w:sz w:val="24"/>
          <w:szCs w:val="24"/>
        </w:rPr>
        <w:t xml:space="preserve">lower needs to start with than </w:t>
      </w:r>
      <w:r w:rsidR="00A44436" w:rsidRPr="00C60BAD">
        <w:rPr>
          <w:sz w:val="24"/>
          <w:szCs w:val="24"/>
        </w:rPr>
        <w:t>departing resident</w:t>
      </w:r>
      <w:r w:rsidR="00937E8C" w:rsidRPr="00C60BAD">
        <w:rPr>
          <w:sz w:val="24"/>
          <w:szCs w:val="24"/>
        </w:rPr>
        <w:t>s</w:t>
      </w:r>
      <w:r w:rsidR="00483BB1" w:rsidRPr="00C60BAD">
        <w:rPr>
          <w:sz w:val="24"/>
          <w:szCs w:val="24"/>
        </w:rPr>
        <w:t>,</w:t>
      </w:r>
      <w:r w:rsidR="00A44436" w:rsidRPr="00C60BAD">
        <w:rPr>
          <w:sz w:val="24"/>
          <w:szCs w:val="24"/>
        </w:rPr>
        <w:t xml:space="preserve"> the quantum of the difference may now be higher.</w:t>
      </w:r>
    </w:p>
    <w:p w14:paraId="3F2490B8" w14:textId="77777777" w:rsidR="00955C57" w:rsidRPr="00C60BAD" w:rsidRDefault="00955C57">
      <w:pPr>
        <w:rPr>
          <w:sz w:val="24"/>
          <w:szCs w:val="24"/>
        </w:rPr>
      </w:pPr>
      <w:r w:rsidRPr="00C60BAD">
        <w:rPr>
          <w:sz w:val="24"/>
          <w:szCs w:val="24"/>
        </w:rPr>
        <w:t>The mo</w:t>
      </w:r>
      <w:r w:rsidR="00314CD6" w:rsidRPr="00C60BAD">
        <w:rPr>
          <w:sz w:val="24"/>
          <w:szCs w:val="24"/>
        </w:rPr>
        <w:t xml:space="preserve">nthly report the Department of Health </w:t>
      </w:r>
      <w:r w:rsidR="003A07B9" w:rsidRPr="00C60BAD">
        <w:rPr>
          <w:sz w:val="24"/>
          <w:szCs w:val="24"/>
        </w:rPr>
        <w:t>publishes</w:t>
      </w:r>
      <w:r w:rsidR="00314CD6" w:rsidRPr="00C60BAD">
        <w:rPr>
          <w:sz w:val="24"/>
          <w:szCs w:val="24"/>
        </w:rPr>
        <w:t xml:space="preserve"> on ACFI payments indicates that there was a noticeable decline in ACFI claims following the changes of 1 January </w:t>
      </w:r>
      <w:proofErr w:type="gramStart"/>
      <w:r w:rsidR="00314CD6" w:rsidRPr="00C60BAD">
        <w:rPr>
          <w:sz w:val="24"/>
          <w:szCs w:val="24"/>
        </w:rPr>
        <w:t>2017,</w:t>
      </w:r>
      <w:proofErr w:type="gramEnd"/>
      <w:r w:rsidR="00314CD6" w:rsidRPr="00C60BAD">
        <w:rPr>
          <w:sz w:val="24"/>
          <w:szCs w:val="24"/>
        </w:rPr>
        <w:t xml:space="preserve"> however since April 2017 they have increased each month to April 2018.</w:t>
      </w:r>
      <w:r w:rsidR="00594D9C">
        <w:rPr>
          <w:sz w:val="24"/>
          <w:szCs w:val="24"/>
        </w:rPr>
        <w:t xml:space="preserve"> </w:t>
      </w:r>
      <w:r w:rsidR="00715FB5" w:rsidRPr="00C60BAD">
        <w:rPr>
          <w:sz w:val="24"/>
          <w:szCs w:val="24"/>
        </w:rPr>
        <w:t xml:space="preserve">The Chart </w:t>
      </w:r>
      <w:r w:rsidR="00E27DD5" w:rsidRPr="00C60BAD">
        <w:rPr>
          <w:sz w:val="24"/>
          <w:szCs w:val="24"/>
        </w:rPr>
        <w:t xml:space="preserve">also </w:t>
      </w:r>
      <w:r w:rsidR="00663047" w:rsidRPr="00C60BAD">
        <w:rPr>
          <w:sz w:val="24"/>
          <w:szCs w:val="24"/>
        </w:rPr>
        <w:t>shows there was</w:t>
      </w:r>
      <w:r w:rsidR="00715FB5" w:rsidRPr="00C60BAD">
        <w:rPr>
          <w:sz w:val="24"/>
          <w:szCs w:val="24"/>
        </w:rPr>
        <w:t xml:space="preserve"> a significant increase in claims before the changes took effect which highlights the concerns around the subjectivity of the system. This ‘bring forward’ of higher claims also contributes to the subsequent temporary reduction.</w:t>
      </w:r>
    </w:p>
    <w:p w14:paraId="3F2490B9" w14:textId="77777777" w:rsidR="00CB1938" w:rsidRPr="00C60BAD" w:rsidRDefault="00CB1938" w:rsidP="00CB5E3E">
      <w:pPr>
        <w:jc w:val="center"/>
        <w:rPr>
          <w:rFonts w:ascii="Segoe UI" w:hAnsi="Segoe UI" w:cs="Segoe UI"/>
          <w:b/>
        </w:rPr>
      </w:pPr>
      <w:r w:rsidRPr="00C60BAD">
        <w:rPr>
          <w:rFonts w:ascii="Segoe UI" w:hAnsi="Segoe UI" w:cs="Segoe UI"/>
          <w:b/>
        </w:rPr>
        <w:t xml:space="preserve">Chart </w:t>
      </w:r>
      <w:r w:rsidR="00A05F22" w:rsidRPr="00C60BAD">
        <w:rPr>
          <w:rFonts w:ascii="Segoe UI" w:hAnsi="Segoe UI" w:cs="Segoe UI"/>
          <w:b/>
        </w:rPr>
        <w:t>7:</w:t>
      </w:r>
      <w:r w:rsidRPr="00C60BAD">
        <w:rPr>
          <w:rFonts w:ascii="Segoe UI" w:hAnsi="Segoe UI" w:cs="Segoe UI"/>
          <w:b/>
        </w:rPr>
        <w:t xml:space="preserve">  Average ACFI claim per month</w:t>
      </w:r>
    </w:p>
    <w:p w14:paraId="3F2490BA" w14:textId="77777777" w:rsidR="00CB1938" w:rsidRDefault="00CB1938" w:rsidP="00CB1938">
      <w:pPr>
        <w:jc w:val="center"/>
      </w:pPr>
      <w:r>
        <w:rPr>
          <w:noProof/>
          <w:lang w:eastAsia="en-AU"/>
        </w:rPr>
        <w:drawing>
          <wp:inline distT="0" distB="0" distL="0" distR="0" wp14:anchorId="3F249139" wp14:editId="3F24913A">
            <wp:extent cx="3865245" cy="2694940"/>
            <wp:effectExtent l="0" t="0" r="1905" b="0"/>
            <wp:docPr id="2" name="Picture 2" descr="Jan-16: ADL $89.23, BEH $27.27, CHC $52.17, Monthly ACFI, $168.67&#10;Feb-16: ADL $89.45, BEH $27.33, CHC $52.45, Monthly ACFI, $169.23&#10;Mar-16: ADL $89.68, BEH $27.4, CHC $52.76, Monthly ACFI, $169.84&#10;Apr-16: ADL $89.91, BEH $27.46, CHC $53.01, Monthly ACFI, $170.38&#10;May-16: ADL $90.2, BEH $27.55, CHC $53.38, Monthly ACFI, $171.12&#10;Jun-16: ADL $90.86, BEH $27.76, CHC $54.15, Monthly ACFI, $172.76&#10;Jul-16: ADL $90.77, BEH $27.72, CHC $54.02, Monthly ACFI, $172.51&#10;Aug-16: ADL $90.84, BEH $27.72, CHC $53.97, Monthly ACFI, $172.53&#10;Sep-16: ADL $90.9, BEH $27.71, CHC $53.93, Monthly ACFI, $172.54&#10;Oct-16: ADL $90.89, BEH $27.69, CHC $53.88, Monthly ACFI, $172.46&#10;Nov-16: ADL $91.03, BEH $27.72, CHC $53.9, Monthly ACFI, $172.64&#10;Dec-16: ADL $91.29, BEH $27.78, CHC $54, Monthly ACFI, $173.07&#10;Jan-17: ADL $91.09, BEH $27.7, CHC $53.73, Monthly ACFI, $172.51&#10;Feb-17: ADL $91.07, BEH $27.67, CHC $53.46, Monthly ACFI, $172.2&#10;Mar-17: ADL $91.12, BEH $27.66, CHC $53.24, Monthly ACFI, $172.02&#10;Apr-17: ADL $91.07, BEH $27.65, CHC $52.98, Monthly ACFI, $171.7&#10;May-17: ADL $91.18, BEH $27.68, CHC $52.84, Monthly ACFI, $171.7&#10;Jun-17: ADL $91.33, BEH $27.73, CHC $52.7, Monthly ACFI, $171.76&#10;Jul-17: ADL $91.41, BEH $27.75, CHC $52.62, Monthly ACFI, $171.79&#10;Aug-17: ADL $91.55, BEH $27.78, CHC $52.57, Monthly ACFI, $171.89&#10;Sep-17: ADL $91.63, BEH $27.76, CHC $52.48, Monthly ACFI, $171.88&#10;Oct-17: ADL $91.77, BEH $27.78, CHC $52.45, Monthly ACFI, $172&#10;Nov-17: ADL $91.94, BEH $27.81, CHC $52.42, Monthly ACFI, $172.18&#10;Dec-17: ADL $92.07, BEH $27.84, CHC $52.38, Monthly ACFI, $172.29&#10;Jan-18: ADL $92.15, BEH $27.85, CHC $52.33, Monthly ACFI, $172.33&#10;Feb-18: ADL $92.23, BEH $27.86, CHC $52.3, Monthly ACFI, $172.39&#10;Mar-18: ADL $92.42, BEH $27.91, CHC $52.35, Monthly ACFI, $172.68&#10;Apr-18: ADL $92.55, BEH $27.96, CHC $52.35, Monthly ACFI, $172.8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65245" cy="2694940"/>
                    </a:xfrm>
                    <a:prstGeom prst="rect">
                      <a:avLst/>
                    </a:prstGeom>
                    <a:noFill/>
                  </pic:spPr>
                </pic:pic>
              </a:graphicData>
            </a:graphic>
          </wp:inline>
        </w:drawing>
      </w:r>
    </w:p>
    <w:p w14:paraId="3F2490BB" w14:textId="77777777" w:rsidR="003E0222" w:rsidRDefault="003E0222"/>
    <w:p w14:paraId="3F2490BC" w14:textId="77777777" w:rsidR="00F21CA1" w:rsidRPr="00C60BAD" w:rsidRDefault="00CB1938">
      <w:pPr>
        <w:rPr>
          <w:sz w:val="24"/>
          <w:szCs w:val="24"/>
        </w:rPr>
      </w:pPr>
      <w:r w:rsidRPr="00C60BAD">
        <w:rPr>
          <w:sz w:val="24"/>
          <w:szCs w:val="24"/>
        </w:rPr>
        <w:t>Growth in the cumulative daily average ACFI payment in the period July 2017 to April 2018 is 0.1 per cent below the same period in the previous year</w:t>
      </w:r>
      <w:r w:rsidR="00F1029E" w:rsidRPr="00C60BAD">
        <w:rPr>
          <w:sz w:val="24"/>
          <w:szCs w:val="24"/>
        </w:rPr>
        <w:t>,</w:t>
      </w:r>
      <w:r w:rsidRPr="00C60BAD">
        <w:rPr>
          <w:sz w:val="24"/>
          <w:szCs w:val="24"/>
        </w:rPr>
        <w:t xml:space="preserve"> and compares with the Government’s projection of an increase in ACFI payments of 1.9 per cent</w:t>
      </w:r>
      <w:r w:rsidR="00327867" w:rsidRPr="00C60BAD">
        <w:rPr>
          <w:sz w:val="24"/>
          <w:szCs w:val="24"/>
        </w:rPr>
        <w:t xml:space="preserve"> </w:t>
      </w:r>
      <w:r w:rsidR="003A07B9" w:rsidRPr="00C60BAD">
        <w:rPr>
          <w:sz w:val="24"/>
          <w:szCs w:val="24"/>
        </w:rPr>
        <w:t>(which</w:t>
      </w:r>
      <w:r w:rsidR="00B05EC5" w:rsidRPr="00C60BAD">
        <w:rPr>
          <w:sz w:val="24"/>
          <w:szCs w:val="24"/>
        </w:rPr>
        <w:t xml:space="preserve"> presumably</w:t>
      </w:r>
      <w:r w:rsidR="00327867" w:rsidRPr="00C60BAD">
        <w:rPr>
          <w:sz w:val="24"/>
          <w:szCs w:val="24"/>
        </w:rPr>
        <w:t xml:space="preserve"> reflect</w:t>
      </w:r>
      <w:r w:rsidR="00B05EC5" w:rsidRPr="00C60BAD">
        <w:rPr>
          <w:sz w:val="24"/>
          <w:szCs w:val="24"/>
        </w:rPr>
        <w:t>s</w:t>
      </w:r>
      <w:r w:rsidR="00327867" w:rsidRPr="00C60BAD">
        <w:rPr>
          <w:sz w:val="24"/>
          <w:szCs w:val="24"/>
        </w:rPr>
        <w:t xml:space="preserve"> the Government’s assessment of frailty growth)</w:t>
      </w:r>
      <w:r w:rsidRPr="00C60BAD">
        <w:rPr>
          <w:sz w:val="24"/>
          <w:szCs w:val="24"/>
        </w:rPr>
        <w:t xml:space="preserve">. </w:t>
      </w:r>
      <w:r w:rsidR="00B05EC5" w:rsidRPr="00C60BAD">
        <w:rPr>
          <w:sz w:val="24"/>
          <w:szCs w:val="24"/>
        </w:rPr>
        <w:t>As noted, t</w:t>
      </w:r>
      <w:r w:rsidR="0031486F" w:rsidRPr="00C60BAD">
        <w:rPr>
          <w:sz w:val="24"/>
          <w:szCs w:val="24"/>
        </w:rPr>
        <w:t>he changes to ACFI introduced in 2016 and 2017 were in response to the Government’s view that ACFI claims were grow</w:t>
      </w:r>
      <w:r w:rsidR="00B05EC5" w:rsidRPr="00C60BAD">
        <w:rPr>
          <w:sz w:val="24"/>
          <w:szCs w:val="24"/>
        </w:rPr>
        <w:t>ing faster than the growth in the</w:t>
      </w:r>
      <w:r w:rsidR="0031486F" w:rsidRPr="00C60BAD">
        <w:rPr>
          <w:sz w:val="24"/>
          <w:szCs w:val="24"/>
        </w:rPr>
        <w:t xml:space="preserve"> </w:t>
      </w:r>
      <w:r w:rsidR="00FF1BE9" w:rsidRPr="00C60BAD">
        <w:rPr>
          <w:sz w:val="24"/>
          <w:szCs w:val="24"/>
        </w:rPr>
        <w:t>frailty of</w:t>
      </w:r>
      <w:r w:rsidR="0031486F" w:rsidRPr="00C60BAD">
        <w:rPr>
          <w:sz w:val="24"/>
          <w:szCs w:val="24"/>
        </w:rPr>
        <w:t xml:space="preserve"> </w:t>
      </w:r>
      <w:r w:rsidR="003A07B9" w:rsidRPr="00C60BAD">
        <w:rPr>
          <w:sz w:val="24"/>
          <w:szCs w:val="24"/>
        </w:rPr>
        <w:t>residents</w:t>
      </w:r>
      <w:r w:rsidR="0031486F" w:rsidRPr="00C60BAD">
        <w:rPr>
          <w:sz w:val="24"/>
          <w:szCs w:val="24"/>
        </w:rPr>
        <w:t xml:space="preserve"> entering aged care. However with ACFI claims now below the Government’s </w:t>
      </w:r>
      <w:r w:rsidR="00FF1BE9" w:rsidRPr="00C60BAD">
        <w:rPr>
          <w:sz w:val="24"/>
          <w:szCs w:val="24"/>
        </w:rPr>
        <w:t>projected growth</w:t>
      </w:r>
      <w:r w:rsidR="0031486F" w:rsidRPr="00C60BAD">
        <w:rPr>
          <w:sz w:val="24"/>
          <w:szCs w:val="24"/>
        </w:rPr>
        <w:t xml:space="preserve"> in ACFI payments, </w:t>
      </w:r>
      <w:r w:rsidR="00F21CA1" w:rsidRPr="00C60BAD">
        <w:rPr>
          <w:sz w:val="24"/>
          <w:szCs w:val="24"/>
        </w:rPr>
        <w:t xml:space="preserve">this </w:t>
      </w:r>
      <w:r w:rsidR="0031486F" w:rsidRPr="00C60BAD">
        <w:rPr>
          <w:sz w:val="24"/>
          <w:szCs w:val="24"/>
        </w:rPr>
        <w:t xml:space="preserve">may suggest </w:t>
      </w:r>
      <w:r w:rsidR="00FF6314" w:rsidRPr="00C60BAD">
        <w:rPr>
          <w:sz w:val="24"/>
          <w:szCs w:val="24"/>
        </w:rPr>
        <w:t xml:space="preserve">that the </w:t>
      </w:r>
      <w:r w:rsidR="00937E8C" w:rsidRPr="00C60BAD">
        <w:rPr>
          <w:sz w:val="24"/>
          <w:szCs w:val="24"/>
        </w:rPr>
        <w:t xml:space="preserve">actual </w:t>
      </w:r>
      <w:r w:rsidR="00163E64" w:rsidRPr="00C60BAD">
        <w:rPr>
          <w:sz w:val="24"/>
          <w:szCs w:val="24"/>
        </w:rPr>
        <w:t xml:space="preserve">growth in </w:t>
      </w:r>
      <w:r w:rsidR="0031486F" w:rsidRPr="00C60BAD">
        <w:rPr>
          <w:sz w:val="24"/>
          <w:szCs w:val="24"/>
        </w:rPr>
        <w:t xml:space="preserve">ACFI payments </w:t>
      </w:r>
      <w:r w:rsidR="00FF6314" w:rsidRPr="00C60BAD">
        <w:rPr>
          <w:sz w:val="24"/>
          <w:szCs w:val="24"/>
        </w:rPr>
        <w:t>in</w:t>
      </w:r>
      <w:r w:rsidR="00163E64" w:rsidRPr="00C60BAD">
        <w:rPr>
          <w:sz w:val="24"/>
          <w:szCs w:val="24"/>
        </w:rPr>
        <w:t xml:space="preserve"> this period ha</w:t>
      </w:r>
      <w:r w:rsidR="00FF6314" w:rsidRPr="00C60BAD">
        <w:rPr>
          <w:sz w:val="24"/>
          <w:szCs w:val="24"/>
        </w:rPr>
        <w:t>s</w:t>
      </w:r>
      <w:r w:rsidR="00163E64" w:rsidRPr="00C60BAD">
        <w:rPr>
          <w:sz w:val="24"/>
          <w:szCs w:val="24"/>
        </w:rPr>
        <w:t xml:space="preserve"> </w:t>
      </w:r>
      <w:r w:rsidR="00E27DD5" w:rsidRPr="00C60BAD">
        <w:rPr>
          <w:sz w:val="24"/>
          <w:szCs w:val="24"/>
        </w:rPr>
        <w:t>been below</w:t>
      </w:r>
      <w:r w:rsidR="0031486F" w:rsidRPr="00C60BAD">
        <w:rPr>
          <w:sz w:val="24"/>
          <w:szCs w:val="24"/>
        </w:rPr>
        <w:t xml:space="preserve"> the growth in the frailty of aged care residents</w:t>
      </w:r>
    </w:p>
    <w:p w14:paraId="3F2490BD" w14:textId="77777777" w:rsidR="00296D8B" w:rsidRPr="00C60BAD" w:rsidRDefault="00327867">
      <w:pPr>
        <w:rPr>
          <w:sz w:val="24"/>
          <w:szCs w:val="24"/>
        </w:rPr>
      </w:pPr>
      <w:r w:rsidRPr="00C60BAD">
        <w:rPr>
          <w:sz w:val="24"/>
          <w:szCs w:val="24"/>
        </w:rPr>
        <w:t xml:space="preserve">The unknown, however, is whether the Government’s allowance for frailty growth in its Budget estimates and projections is an accurate reflection of the actual increase in frailty in </w:t>
      </w:r>
      <w:r w:rsidRPr="00C60BAD">
        <w:rPr>
          <w:sz w:val="24"/>
          <w:szCs w:val="24"/>
        </w:rPr>
        <w:lastRenderedPageBreak/>
        <w:t xml:space="preserve">the population entering residential age care. </w:t>
      </w:r>
      <w:r w:rsidR="00E12BC4" w:rsidRPr="00C60BAD">
        <w:rPr>
          <w:sz w:val="24"/>
          <w:szCs w:val="24"/>
        </w:rPr>
        <w:t>If, as maintained by the Government, the rise in ACFI claims significantly above Budget projections</w:t>
      </w:r>
      <w:r w:rsidR="00F21CA1" w:rsidRPr="00C60BAD">
        <w:rPr>
          <w:sz w:val="24"/>
          <w:szCs w:val="24"/>
        </w:rPr>
        <w:t xml:space="preserve"> reflected </w:t>
      </w:r>
      <w:r w:rsidR="00E12BC4" w:rsidRPr="00C60BAD">
        <w:rPr>
          <w:sz w:val="24"/>
          <w:szCs w:val="24"/>
        </w:rPr>
        <w:t xml:space="preserve">the </w:t>
      </w:r>
      <w:r w:rsidR="00F21CA1" w:rsidRPr="00C60BAD">
        <w:rPr>
          <w:sz w:val="24"/>
          <w:szCs w:val="24"/>
        </w:rPr>
        <w:t>‘claiming behaviour’ by providers</w:t>
      </w:r>
      <w:r w:rsidR="00E12BC4" w:rsidRPr="00C60BAD">
        <w:rPr>
          <w:sz w:val="24"/>
          <w:szCs w:val="24"/>
        </w:rPr>
        <w:t xml:space="preserve"> rather than the growth in the acuity levels of residents, th</w:t>
      </w:r>
      <w:r w:rsidR="00F21CA1" w:rsidRPr="00C60BAD">
        <w:rPr>
          <w:sz w:val="24"/>
          <w:szCs w:val="24"/>
        </w:rPr>
        <w:t xml:space="preserve">e implication is that </w:t>
      </w:r>
      <w:r w:rsidR="00E27DD5" w:rsidRPr="00C60BAD">
        <w:rPr>
          <w:sz w:val="24"/>
          <w:szCs w:val="24"/>
        </w:rPr>
        <w:t>overall a</w:t>
      </w:r>
      <w:r w:rsidR="00A44436" w:rsidRPr="00C60BAD">
        <w:rPr>
          <w:sz w:val="24"/>
          <w:szCs w:val="24"/>
        </w:rPr>
        <w:t xml:space="preserve"> </w:t>
      </w:r>
      <w:r w:rsidR="00937E8C" w:rsidRPr="00C60BAD">
        <w:rPr>
          <w:sz w:val="24"/>
          <w:szCs w:val="24"/>
        </w:rPr>
        <w:t>sizeable</w:t>
      </w:r>
      <w:r w:rsidR="00A44436" w:rsidRPr="00C60BAD">
        <w:rPr>
          <w:sz w:val="24"/>
          <w:szCs w:val="24"/>
        </w:rPr>
        <w:t xml:space="preserve"> proportion of </w:t>
      </w:r>
      <w:r w:rsidR="00F21CA1" w:rsidRPr="00C60BAD">
        <w:rPr>
          <w:sz w:val="24"/>
          <w:szCs w:val="24"/>
        </w:rPr>
        <w:t xml:space="preserve">providers </w:t>
      </w:r>
      <w:r w:rsidR="00A44436" w:rsidRPr="00C60BAD">
        <w:rPr>
          <w:sz w:val="24"/>
          <w:szCs w:val="24"/>
        </w:rPr>
        <w:t xml:space="preserve">have been </w:t>
      </w:r>
      <w:r w:rsidR="00F21CA1" w:rsidRPr="00C60BAD">
        <w:rPr>
          <w:sz w:val="24"/>
          <w:szCs w:val="24"/>
        </w:rPr>
        <w:t>classifying residents as being in a high domain under ACFI, and claiming c</w:t>
      </w:r>
      <w:r w:rsidR="00E12BC4" w:rsidRPr="00C60BAD">
        <w:rPr>
          <w:sz w:val="24"/>
          <w:szCs w:val="24"/>
        </w:rPr>
        <w:t>ommensurate payments, when the</w:t>
      </w:r>
      <w:r w:rsidR="00F21CA1" w:rsidRPr="00C60BAD">
        <w:rPr>
          <w:sz w:val="24"/>
          <w:szCs w:val="24"/>
        </w:rPr>
        <w:t xml:space="preserve"> actual</w:t>
      </w:r>
      <w:r w:rsidR="00E12BC4" w:rsidRPr="00C60BAD">
        <w:rPr>
          <w:sz w:val="24"/>
          <w:szCs w:val="24"/>
        </w:rPr>
        <w:t xml:space="preserve"> care needs of the residents are</w:t>
      </w:r>
      <w:r w:rsidR="00F21CA1" w:rsidRPr="00C60BAD">
        <w:rPr>
          <w:sz w:val="24"/>
          <w:szCs w:val="24"/>
        </w:rPr>
        <w:t xml:space="preserve"> lower</w:t>
      </w:r>
      <w:r w:rsidR="00A44436" w:rsidRPr="00C60BAD">
        <w:rPr>
          <w:sz w:val="24"/>
          <w:szCs w:val="24"/>
        </w:rPr>
        <w:t xml:space="preserve">. </w:t>
      </w:r>
      <w:r w:rsidR="00296D8B" w:rsidRPr="00C60BAD">
        <w:rPr>
          <w:sz w:val="24"/>
          <w:szCs w:val="24"/>
        </w:rPr>
        <w:t xml:space="preserve">If this is the case, changing the scoring system under ACFI such that it is more difficult to classify residents in a </w:t>
      </w:r>
      <w:r w:rsidR="003A07B9" w:rsidRPr="00C60BAD">
        <w:rPr>
          <w:sz w:val="24"/>
          <w:szCs w:val="24"/>
        </w:rPr>
        <w:t>category</w:t>
      </w:r>
      <w:r w:rsidR="00296D8B" w:rsidRPr="00C60BAD">
        <w:rPr>
          <w:sz w:val="24"/>
          <w:szCs w:val="24"/>
        </w:rPr>
        <w:t xml:space="preserve"> above th</w:t>
      </w:r>
      <w:r w:rsidR="00A05F22" w:rsidRPr="00C60BAD">
        <w:rPr>
          <w:sz w:val="24"/>
          <w:szCs w:val="24"/>
        </w:rPr>
        <w:t xml:space="preserve">eir care needs </w:t>
      </w:r>
      <w:r w:rsidR="00E74CF6" w:rsidRPr="00C60BAD">
        <w:rPr>
          <w:sz w:val="24"/>
          <w:szCs w:val="24"/>
        </w:rPr>
        <w:t>would curtail</w:t>
      </w:r>
      <w:r w:rsidR="00A05F22" w:rsidRPr="00C60BAD">
        <w:rPr>
          <w:sz w:val="24"/>
          <w:szCs w:val="24"/>
        </w:rPr>
        <w:t xml:space="preserve"> the revenue </w:t>
      </w:r>
      <w:r w:rsidR="00E74CF6" w:rsidRPr="00C60BAD">
        <w:rPr>
          <w:sz w:val="24"/>
          <w:szCs w:val="24"/>
        </w:rPr>
        <w:t>of providers</w:t>
      </w:r>
      <w:r w:rsidR="00296D8B" w:rsidRPr="00C60BAD">
        <w:rPr>
          <w:sz w:val="24"/>
          <w:szCs w:val="24"/>
        </w:rPr>
        <w:t xml:space="preserve"> </w:t>
      </w:r>
      <w:r w:rsidR="00A05F22" w:rsidRPr="00C60BAD">
        <w:rPr>
          <w:sz w:val="24"/>
          <w:szCs w:val="24"/>
        </w:rPr>
        <w:t xml:space="preserve">without adversely impacting on the </w:t>
      </w:r>
      <w:r w:rsidR="00E27DD5" w:rsidRPr="00C60BAD">
        <w:rPr>
          <w:sz w:val="24"/>
          <w:szCs w:val="24"/>
        </w:rPr>
        <w:t>resident’s</w:t>
      </w:r>
      <w:r w:rsidR="00FF6314" w:rsidRPr="00C60BAD">
        <w:rPr>
          <w:sz w:val="24"/>
          <w:szCs w:val="24"/>
        </w:rPr>
        <w:t xml:space="preserve"> </w:t>
      </w:r>
      <w:r w:rsidR="00A05F22" w:rsidRPr="00C60BAD">
        <w:rPr>
          <w:sz w:val="24"/>
          <w:szCs w:val="24"/>
        </w:rPr>
        <w:t>level of care</w:t>
      </w:r>
      <w:r w:rsidR="00FF6314" w:rsidRPr="00C60BAD">
        <w:rPr>
          <w:sz w:val="24"/>
          <w:szCs w:val="24"/>
        </w:rPr>
        <w:t>.</w:t>
      </w:r>
    </w:p>
    <w:p w14:paraId="3F2490BE" w14:textId="77777777" w:rsidR="0031486F" w:rsidRPr="00C60BAD" w:rsidRDefault="00296D8B">
      <w:pPr>
        <w:rPr>
          <w:sz w:val="24"/>
          <w:szCs w:val="24"/>
        </w:rPr>
      </w:pPr>
      <w:r w:rsidRPr="00C60BAD">
        <w:rPr>
          <w:sz w:val="24"/>
          <w:szCs w:val="24"/>
        </w:rPr>
        <w:t>In contrast, providers</w:t>
      </w:r>
      <w:r w:rsidR="00064A84" w:rsidRPr="00C60BAD">
        <w:rPr>
          <w:sz w:val="24"/>
          <w:szCs w:val="24"/>
        </w:rPr>
        <w:t xml:space="preserve"> claim</w:t>
      </w:r>
      <w:r w:rsidR="00F21CA1" w:rsidRPr="00C60BAD">
        <w:rPr>
          <w:sz w:val="24"/>
          <w:szCs w:val="24"/>
        </w:rPr>
        <w:t xml:space="preserve"> that growth in ACFI payments per resident per day above indexation, which they point out are subject to an audit program, has reflected a continuing increase in the frailty of residents. </w:t>
      </w:r>
      <w:r w:rsidR="00E12BC4" w:rsidRPr="00C60BAD">
        <w:rPr>
          <w:sz w:val="24"/>
          <w:szCs w:val="24"/>
        </w:rPr>
        <w:t>If this is the case</w:t>
      </w:r>
      <w:r w:rsidR="003A07B9" w:rsidRPr="00C60BAD">
        <w:rPr>
          <w:sz w:val="24"/>
          <w:szCs w:val="24"/>
        </w:rPr>
        <w:t xml:space="preserve">, </w:t>
      </w:r>
      <w:r w:rsidR="00E12BC4" w:rsidRPr="00C60BAD">
        <w:rPr>
          <w:sz w:val="24"/>
          <w:szCs w:val="24"/>
        </w:rPr>
        <w:t xml:space="preserve">then </w:t>
      </w:r>
      <w:r w:rsidR="00E74CF6" w:rsidRPr="00C60BAD">
        <w:rPr>
          <w:sz w:val="24"/>
          <w:szCs w:val="24"/>
        </w:rPr>
        <w:t>measures to</w:t>
      </w:r>
      <w:r w:rsidR="004B3A58" w:rsidRPr="00C60BAD">
        <w:rPr>
          <w:sz w:val="24"/>
          <w:szCs w:val="24"/>
        </w:rPr>
        <w:t xml:space="preserve"> reduce the growth in ACFI claims </w:t>
      </w:r>
      <w:r w:rsidR="00A919BC" w:rsidRPr="00C60BAD">
        <w:rPr>
          <w:sz w:val="24"/>
          <w:szCs w:val="24"/>
        </w:rPr>
        <w:t>will adversely impact on the financial position of providers</w:t>
      </w:r>
      <w:r w:rsidR="00794131" w:rsidRPr="00C60BAD">
        <w:rPr>
          <w:sz w:val="24"/>
          <w:szCs w:val="24"/>
        </w:rPr>
        <w:t xml:space="preserve">, which in turn may cause challenges </w:t>
      </w:r>
      <w:r w:rsidR="00937E8C" w:rsidRPr="00C60BAD">
        <w:rPr>
          <w:sz w:val="24"/>
          <w:szCs w:val="24"/>
        </w:rPr>
        <w:t>to</w:t>
      </w:r>
      <w:r w:rsidR="00794131" w:rsidRPr="00C60BAD">
        <w:rPr>
          <w:sz w:val="24"/>
          <w:szCs w:val="24"/>
        </w:rPr>
        <w:t xml:space="preserve"> </w:t>
      </w:r>
      <w:r w:rsidR="00E27DD5" w:rsidRPr="00C60BAD">
        <w:rPr>
          <w:sz w:val="24"/>
          <w:szCs w:val="24"/>
        </w:rPr>
        <w:t>the level</w:t>
      </w:r>
      <w:r w:rsidR="00937E8C" w:rsidRPr="00C60BAD">
        <w:rPr>
          <w:sz w:val="24"/>
          <w:szCs w:val="24"/>
        </w:rPr>
        <w:t xml:space="preserve"> </w:t>
      </w:r>
      <w:r w:rsidR="00794131" w:rsidRPr="00C60BAD">
        <w:rPr>
          <w:sz w:val="24"/>
          <w:szCs w:val="24"/>
        </w:rPr>
        <w:t>of care</w:t>
      </w:r>
      <w:r w:rsidR="00344E06" w:rsidRPr="00C60BAD">
        <w:rPr>
          <w:sz w:val="24"/>
          <w:szCs w:val="24"/>
        </w:rPr>
        <w:t xml:space="preserve"> residents receive</w:t>
      </w:r>
      <w:r w:rsidR="00E27DD5" w:rsidRPr="00C60BAD">
        <w:rPr>
          <w:sz w:val="24"/>
          <w:szCs w:val="24"/>
        </w:rPr>
        <w:t>.</w:t>
      </w:r>
      <w:r w:rsidR="00E12BC4" w:rsidRPr="00C60BAD">
        <w:rPr>
          <w:sz w:val="24"/>
          <w:szCs w:val="24"/>
        </w:rPr>
        <w:t xml:space="preserve"> This issue was pursued in the consultations with providers</w:t>
      </w:r>
    </w:p>
    <w:p w14:paraId="3F2490BF" w14:textId="77777777" w:rsidR="00327867" w:rsidRPr="00C60BAD" w:rsidRDefault="00B05F03">
      <w:pPr>
        <w:rPr>
          <w:sz w:val="24"/>
          <w:szCs w:val="24"/>
        </w:rPr>
      </w:pPr>
      <w:r w:rsidRPr="00C60BAD">
        <w:rPr>
          <w:sz w:val="24"/>
          <w:szCs w:val="24"/>
        </w:rPr>
        <w:t>As noted previously, there has always been significant variability in the financial performance of residential aged care providers</w:t>
      </w:r>
      <w:r w:rsidR="00163EF6" w:rsidRPr="00C60BAD">
        <w:rPr>
          <w:sz w:val="24"/>
          <w:szCs w:val="24"/>
        </w:rPr>
        <w:t>.</w:t>
      </w:r>
      <w:r w:rsidRPr="00C60BAD">
        <w:rPr>
          <w:sz w:val="24"/>
          <w:szCs w:val="24"/>
        </w:rPr>
        <w:t xml:space="preserve"> Similarly, the impact of the squeeze in </w:t>
      </w:r>
      <w:r w:rsidR="00432473" w:rsidRPr="00C60BAD">
        <w:rPr>
          <w:sz w:val="24"/>
          <w:szCs w:val="24"/>
        </w:rPr>
        <w:t>providers’</w:t>
      </w:r>
      <w:r w:rsidRPr="00C60BAD">
        <w:rPr>
          <w:sz w:val="24"/>
          <w:szCs w:val="24"/>
        </w:rPr>
        <w:t xml:space="preserve"> margins as a re</w:t>
      </w:r>
      <w:r w:rsidR="00AB5886" w:rsidRPr="00C60BAD">
        <w:rPr>
          <w:sz w:val="24"/>
          <w:szCs w:val="24"/>
        </w:rPr>
        <w:t>sult of the changes to ACFI will</w:t>
      </w:r>
      <w:r w:rsidRPr="00C60BAD">
        <w:rPr>
          <w:sz w:val="24"/>
          <w:szCs w:val="24"/>
        </w:rPr>
        <w:t xml:space="preserve"> not </w:t>
      </w:r>
      <w:r w:rsidR="00AB5886" w:rsidRPr="00C60BAD">
        <w:rPr>
          <w:sz w:val="24"/>
          <w:szCs w:val="24"/>
        </w:rPr>
        <w:t xml:space="preserve">have </w:t>
      </w:r>
      <w:r w:rsidRPr="00C60BAD">
        <w:rPr>
          <w:sz w:val="24"/>
          <w:szCs w:val="24"/>
        </w:rPr>
        <w:t xml:space="preserve">been uniform across the sector. </w:t>
      </w:r>
      <w:r w:rsidR="009831F3" w:rsidRPr="00C60BAD">
        <w:rPr>
          <w:sz w:val="24"/>
          <w:szCs w:val="24"/>
        </w:rPr>
        <w:t xml:space="preserve">In the </w:t>
      </w:r>
      <w:proofErr w:type="spellStart"/>
      <w:r w:rsidR="009831F3" w:rsidRPr="00C60BAD">
        <w:rPr>
          <w:sz w:val="24"/>
          <w:szCs w:val="24"/>
        </w:rPr>
        <w:t>StewartBrown</w:t>
      </w:r>
      <w:proofErr w:type="spellEnd"/>
      <w:r w:rsidR="009831F3" w:rsidRPr="00C60BAD">
        <w:rPr>
          <w:sz w:val="24"/>
          <w:szCs w:val="24"/>
        </w:rPr>
        <w:t xml:space="preserve"> survey results, the decline in facility EBITDA of th</w:t>
      </w:r>
      <w:r w:rsidR="00163EF6" w:rsidRPr="00C60BAD">
        <w:rPr>
          <w:sz w:val="24"/>
          <w:szCs w:val="24"/>
        </w:rPr>
        <w:t xml:space="preserve">e top quartile </w:t>
      </w:r>
      <w:r w:rsidR="00DD6E72" w:rsidRPr="00C60BAD">
        <w:rPr>
          <w:sz w:val="24"/>
          <w:szCs w:val="24"/>
        </w:rPr>
        <w:t>was less</w:t>
      </w:r>
      <w:r w:rsidR="009831F3" w:rsidRPr="00C60BAD">
        <w:rPr>
          <w:sz w:val="24"/>
          <w:szCs w:val="24"/>
        </w:rPr>
        <w:t xml:space="preserve"> than the dec</w:t>
      </w:r>
      <w:r w:rsidR="00AB5886" w:rsidRPr="00C60BAD">
        <w:rPr>
          <w:sz w:val="24"/>
          <w:szCs w:val="24"/>
        </w:rPr>
        <w:t>l</w:t>
      </w:r>
      <w:r w:rsidR="009831F3" w:rsidRPr="00C60BAD">
        <w:rPr>
          <w:sz w:val="24"/>
          <w:szCs w:val="24"/>
        </w:rPr>
        <w:t xml:space="preserve">ine </w:t>
      </w:r>
      <w:r w:rsidR="00AB5886" w:rsidRPr="00C60BAD">
        <w:rPr>
          <w:sz w:val="24"/>
          <w:szCs w:val="24"/>
        </w:rPr>
        <w:t xml:space="preserve">in EBITDA </w:t>
      </w:r>
      <w:r w:rsidR="009831F3" w:rsidRPr="00C60BAD">
        <w:rPr>
          <w:sz w:val="24"/>
          <w:szCs w:val="24"/>
        </w:rPr>
        <w:t xml:space="preserve">for all facilities surveyed. In addition, providers that have had sound financial results for several years are likely to be in a position to </w:t>
      </w:r>
      <w:r w:rsidR="00AB5886" w:rsidRPr="00C60BAD">
        <w:rPr>
          <w:sz w:val="24"/>
          <w:szCs w:val="24"/>
        </w:rPr>
        <w:t xml:space="preserve">better absorb a downturn in financial performance compared with a provider that has been in a loss situation for an extended period. </w:t>
      </w:r>
    </w:p>
    <w:p w14:paraId="3F2490C0" w14:textId="77777777" w:rsidR="00327867" w:rsidRPr="00C60BAD" w:rsidRDefault="00327867">
      <w:pPr>
        <w:rPr>
          <w:sz w:val="24"/>
          <w:szCs w:val="24"/>
        </w:rPr>
      </w:pPr>
    </w:p>
    <w:p w14:paraId="3F2490C1" w14:textId="77777777" w:rsidR="00501E21" w:rsidRDefault="00501E21" w:rsidP="00CB25A6">
      <w:pPr>
        <w:pStyle w:val="Heading1"/>
      </w:pPr>
      <w:bookmarkStart w:id="9" w:name="_Toc525127626"/>
      <w:r>
        <w:lastRenderedPageBreak/>
        <w:t>PART B</w:t>
      </w:r>
      <w:bookmarkEnd w:id="9"/>
    </w:p>
    <w:p w14:paraId="3F2490C2" w14:textId="77777777" w:rsidR="00926AF5" w:rsidRPr="0056559B" w:rsidRDefault="00AB5886" w:rsidP="0056559B">
      <w:pPr>
        <w:pStyle w:val="Heading2"/>
      </w:pPr>
      <w:bookmarkStart w:id="10" w:name="_Toc525127627"/>
      <w:r w:rsidRPr="0056559B">
        <w:t>Feedback f</w:t>
      </w:r>
      <w:r w:rsidR="0005086E" w:rsidRPr="0056559B">
        <w:t>rom consultations</w:t>
      </w:r>
      <w:bookmarkEnd w:id="10"/>
      <w:r w:rsidR="0005086E" w:rsidRPr="0056559B">
        <w:t xml:space="preserve"> </w:t>
      </w:r>
    </w:p>
    <w:p w14:paraId="3F2490C3" w14:textId="77777777" w:rsidR="00AB5886" w:rsidRDefault="00161DB7" w:rsidP="00591258">
      <w:pPr>
        <w:rPr>
          <w:sz w:val="24"/>
          <w:szCs w:val="24"/>
        </w:rPr>
      </w:pPr>
      <w:r>
        <w:rPr>
          <w:sz w:val="24"/>
          <w:szCs w:val="24"/>
        </w:rPr>
        <w:t xml:space="preserve">Following is a summary of the issues raised in consultations conducted by ACFA in August and September 2018 with a cross section of residential aged care providers, financial institutions and analysts. At </w:t>
      </w:r>
      <w:r w:rsidR="00F1029E" w:rsidRPr="00FF1BE9">
        <w:rPr>
          <w:sz w:val="24"/>
          <w:szCs w:val="24"/>
          <w:u w:val="single"/>
        </w:rPr>
        <w:t>A</w:t>
      </w:r>
      <w:r w:rsidRPr="00FF1BE9">
        <w:rPr>
          <w:sz w:val="24"/>
          <w:szCs w:val="24"/>
          <w:u w:val="single"/>
        </w:rPr>
        <w:t>ttachment A</w:t>
      </w:r>
      <w:r>
        <w:rPr>
          <w:sz w:val="24"/>
          <w:szCs w:val="24"/>
        </w:rPr>
        <w:t xml:space="preserve"> is an overview of the range of providers </w:t>
      </w:r>
      <w:r w:rsidR="00DD6E72">
        <w:rPr>
          <w:sz w:val="24"/>
          <w:szCs w:val="24"/>
        </w:rPr>
        <w:t xml:space="preserve">and institutions </w:t>
      </w:r>
      <w:r>
        <w:rPr>
          <w:sz w:val="24"/>
          <w:szCs w:val="24"/>
        </w:rPr>
        <w:t xml:space="preserve">consulted. The objective of the consultations was to gain feedback on recent financial developments in the residential aged care sector. Also provided are some comments from ACFA on the issues raised, </w:t>
      </w:r>
      <w:r w:rsidR="003A07B9">
        <w:rPr>
          <w:sz w:val="24"/>
          <w:szCs w:val="24"/>
        </w:rPr>
        <w:t>particularly</w:t>
      </w:r>
      <w:r>
        <w:rPr>
          <w:sz w:val="24"/>
          <w:szCs w:val="24"/>
        </w:rPr>
        <w:t xml:space="preserve"> in terms of the implications for the outlook for the sector.</w:t>
      </w:r>
    </w:p>
    <w:p w14:paraId="3F2490C4" w14:textId="77777777" w:rsidR="00680036" w:rsidRDefault="00680036" w:rsidP="00591258">
      <w:pPr>
        <w:rPr>
          <w:sz w:val="24"/>
          <w:szCs w:val="24"/>
        </w:rPr>
      </w:pPr>
      <w:r>
        <w:rPr>
          <w:sz w:val="24"/>
          <w:szCs w:val="24"/>
        </w:rPr>
        <w:t>The providers consulted were chosen with the aim of obtaining views from a representative cross section, although given that the coverage was limited, care is required in drawing broad conclusions.</w:t>
      </w:r>
    </w:p>
    <w:p w14:paraId="3F2490C5" w14:textId="77777777" w:rsidR="00680036" w:rsidRPr="001F5785" w:rsidRDefault="00680036" w:rsidP="00CB25A6">
      <w:pPr>
        <w:pStyle w:val="Heading3"/>
      </w:pPr>
      <w:bookmarkStart w:id="11" w:name="_Toc525127628"/>
      <w:r w:rsidRPr="001F5785">
        <w:t>Overview of financial performance in 2017-18</w:t>
      </w:r>
      <w:bookmarkEnd w:id="11"/>
    </w:p>
    <w:p w14:paraId="3F2490C6" w14:textId="77777777" w:rsidR="00680036" w:rsidRPr="001F5785" w:rsidRDefault="00680036" w:rsidP="001A2A43">
      <w:pPr>
        <w:keepNext/>
        <w:rPr>
          <w:i/>
          <w:sz w:val="24"/>
          <w:szCs w:val="24"/>
        </w:rPr>
      </w:pPr>
      <w:r w:rsidRPr="001F5785">
        <w:rPr>
          <w:i/>
          <w:sz w:val="24"/>
          <w:szCs w:val="24"/>
        </w:rPr>
        <w:t>Feedback</w:t>
      </w:r>
    </w:p>
    <w:p w14:paraId="3F2490C7" w14:textId="77777777" w:rsidR="00680036" w:rsidRDefault="00680036" w:rsidP="00591258">
      <w:pPr>
        <w:rPr>
          <w:sz w:val="24"/>
          <w:szCs w:val="24"/>
        </w:rPr>
      </w:pPr>
      <w:r>
        <w:rPr>
          <w:sz w:val="24"/>
          <w:szCs w:val="24"/>
        </w:rPr>
        <w:t>All providers indicated that 2017-18 was a difficult year</w:t>
      </w:r>
      <w:r w:rsidR="00922A24">
        <w:rPr>
          <w:sz w:val="24"/>
          <w:szCs w:val="24"/>
        </w:rPr>
        <w:t xml:space="preserve">, a result of the changes to ACFI in 2016 and </w:t>
      </w:r>
      <w:r w:rsidR="003A07B9">
        <w:rPr>
          <w:sz w:val="24"/>
          <w:szCs w:val="24"/>
        </w:rPr>
        <w:t>2017,</w:t>
      </w:r>
      <w:r w:rsidR="00922A24">
        <w:rPr>
          <w:sz w:val="24"/>
          <w:szCs w:val="24"/>
        </w:rPr>
        <w:t xml:space="preserve"> </w:t>
      </w:r>
      <w:proofErr w:type="gramStart"/>
      <w:r w:rsidR="00922A24">
        <w:rPr>
          <w:sz w:val="24"/>
          <w:szCs w:val="24"/>
        </w:rPr>
        <w:t>rising</w:t>
      </w:r>
      <w:proofErr w:type="gramEnd"/>
      <w:r w:rsidR="00922A24">
        <w:rPr>
          <w:sz w:val="24"/>
          <w:szCs w:val="24"/>
        </w:rPr>
        <w:t xml:space="preserve"> costs </w:t>
      </w:r>
      <w:r w:rsidR="003A07B9">
        <w:rPr>
          <w:sz w:val="24"/>
          <w:szCs w:val="24"/>
        </w:rPr>
        <w:t>(especially</w:t>
      </w:r>
      <w:r w:rsidR="00922A24">
        <w:rPr>
          <w:sz w:val="24"/>
          <w:szCs w:val="24"/>
        </w:rPr>
        <w:t xml:space="preserve"> wages), increased </w:t>
      </w:r>
      <w:r w:rsidR="003A07B9">
        <w:rPr>
          <w:sz w:val="24"/>
          <w:szCs w:val="24"/>
        </w:rPr>
        <w:t>scrutiny</w:t>
      </w:r>
      <w:r w:rsidR="00922A24">
        <w:rPr>
          <w:sz w:val="24"/>
          <w:szCs w:val="24"/>
        </w:rPr>
        <w:t xml:space="preserve"> by the Quality Agency and</w:t>
      </w:r>
      <w:r w:rsidR="001B5A29">
        <w:rPr>
          <w:sz w:val="24"/>
          <w:szCs w:val="24"/>
        </w:rPr>
        <w:t>,</w:t>
      </w:r>
      <w:r w:rsidR="00922A24">
        <w:rPr>
          <w:sz w:val="24"/>
          <w:szCs w:val="24"/>
        </w:rPr>
        <w:t xml:space="preserve"> for some</w:t>
      </w:r>
      <w:r w:rsidR="001B5A29">
        <w:rPr>
          <w:sz w:val="24"/>
          <w:szCs w:val="24"/>
        </w:rPr>
        <w:t>,</w:t>
      </w:r>
      <w:r w:rsidR="00922A24">
        <w:rPr>
          <w:sz w:val="24"/>
          <w:szCs w:val="24"/>
        </w:rPr>
        <w:t xml:space="preserve"> pressure on occupancy rates. Some providers also </w:t>
      </w:r>
      <w:r w:rsidR="00566407">
        <w:rPr>
          <w:sz w:val="24"/>
          <w:szCs w:val="24"/>
        </w:rPr>
        <w:t>referred to</w:t>
      </w:r>
      <w:r w:rsidR="00922A24">
        <w:rPr>
          <w:sz w:val="24"/>
          <w:szCs w:val="24"/>
        </w:rPr>
        <w:t xml:space="preserve"> RAD cash outflows</w:t>
      </w:r>
      <w:r w:rsidR="001745EF">
        <w:rPr>
          <w:sz w:val="24"/>
          <w:szCs w:val="24"/>
        </w:rPr>
        <w:t xml:space="preserve"> and signs of a trend towards Daily Average Payments (DAP</w:t>
      </w:r>
      <w:r w:rsidR="00663047">
        <w:rPr>
          <w:sz w:val="24"/>
          <w:szCs w:val="24"/>
        </w:rPr>
        <w:t>s</w:t>
      </w:r>
      <w:r w:rsidR="001745EF">
        <w:rPr>
          <w:sz w:val="24"/>
          <w:szCs w:val="24"/>
        </w:rPr>
        <w:t>)</w:t>
      </w:r>
      <w:r w:rsidR="00922A24">
        <w:rPr>
          <w:sz w:val="24"/>
          <w:szCs w:val="24"/>
        </w:rPr>
        <w:t xml:space="preserve">. Many providers said their profit/surplus declined and </w:t>
      </w:r>
      <w:r w:rsidR="001F5785">
        <w:rPr>
          <w:sz w:val="24"/>
          <w:szCs w:val="24"/>
        </w:rPr>
        <w:t xml:space="preserve">some </w:t>
      </w:r>
      <w:r w:rsidR="00712D0E">
        <w:rPr>
          <w:sz w:val="24"/>
          <w:szCs w:val="24"/>
        </w:rPr>
        <w:t xml:space="preserve">providers </w:t>
      </w:r>
      <w:r w:rsidR="001745EF">
        <w:rPr>
          <w:sz w:val="24"/>
          <w:szCs w:val="24"/>
        </w:rPr>
        <w:t xml:space="preserve">moved from a profit position to making </w:t>
      </w:r>
      <w:r w:rsidR="00922A24">
        <w:rPr>
          <w:sz w:val="24"/>
          <w:szCs w:val="24"/>
        </w:rPr>
        <w:t>a loss</w:t>
      </w:r>
      <w:r w:rsidR="00712D0E">
        <w:rPr>
          <w:sz w:val="24"/>
          <w:szCs w:val="24"/>
        </w:rPr>
        <w:t xml:space="preserve"> in 2017-18</w:t>
      </w:r>
      <w:r w:rsidR="00663047">
        <w:rPr>
          <w:sz w:val="24"/>
          <w:szCs w:val="24"/>
        </w:rPr>
        <w:t xml:space="preserve"> while others said their losses had </w:t>
      </w:r>
      <w:r w:rsidR="00163EF6">
        <w:rPr>
          <w:sz w:val="24"/>
          <w:szCs w:val="24"/>
        </w:rPr>
        <w:t>increased</w:t>
      </w:r>
      <w:r w:rsidR="001F5785">
        <w:rPr>
          <w:sz w:val="24"/>
          <w:szCs w:val="24"/>
        </w:rPr>
        <w:t>. A few providers said that while margins were squeezed because of the ACFI changes, their over</w:t>
      </w:r>
      <w:r w:rsidR="00712D0E">
        <w:rPr>
          <w:sz w:val="24"/>
          <w:szCs w:val="24"/>
        </w:rPr>
        <w:t xml:space="preserve">all performance benefitted because of </w:t>
      </w:r>
      <w:r w:rsidR="001F5785">
        <w:rPr>
          <w:sz w:val="24"/>
          <w:szCs w:val="24"/>
        </w:rPr>
        <w:t xml:space="preserve">new/refurbished facilities coming on stream and receiving the </w:t>
      </w:r>
      <w:r w:rsidR="001B5A29">
        <w:rPr>
          <w:sz w:val="24"/>
          <w:szCs w:val="24"/>
        </w:rPr>
        <w:t xml:space="preserve">higher </w:t>
      </w:r>
      <w:r w:rsidR="001F5785">
        <w:rPr>
          <w:sz w:val="24"/>
          <w:szCs w:val="24"/>
        </w:rPr>
        <w:t xml:space="preserve">accommodation supplement from the Government. </w:t>
      </w:r>
      <w:r w:rsidR="007F3A40">
        <w:rPr>
          <w:sz w:val="24"/>
          <w:szCs w:val="24"/>
        </w:rPr>
        <w:t>All providers said they were seeking to reduce costs and many were either implementing or considering increasing revenue through offering additional services.</w:t>
      </w:r>
    </w:p>
    <w:p w14:paraId="3F2490C8" w14:textId="77777777" w:rsidR="001F5785" w:rsidRDefault="001F5785" w:rsidP="001A2A43">
      <w:pPr>
        <w:keepNext/>
        <w:rPr>
          <w:i/>
          <w:sz w:val="24"/>
          <w:szCs w:val="24"/>
        </w:rPr>
      </w:pPr>
      <w:r w:rsidRPr="001F5785">
        <w:rPr>
          <w:i/>
          <w:sz w:val="24"/>
          <w:szCs w:val="24"/>
        </w:rPr>
        <w:t>ACFA comment</w:t>
      </w:r>
    </w:p>
    <w:p w14:paraId="3F2490C9" w14:textId="77777777" w:rsidR="001F5785" w:rsidRDefault="00BD3C8B" w:rsidP="00591258">
      <w:pPr>
        <w:rPr>
          <w:sz w:val="24"/>
          <w:szCs w:val="24"/>
        </w:rPr>
      </w:pPr>
      <w:r>
        <w:rPr>
          <w:sz w:val="24"/>
          <w:szCs w:val="24"/>
        </w:rPr>
        <w:t>With ACFI contributing approximately 61 percent of the revenue f</w:t>
      </w:r>
      <w:r w:rsidR="00163EF6">
        <w:rPr>
          <w:sz w:val="24"/>
          <w:szCs w:val="24"/>
        </w:rPr>
        <w:t>or aged care providers, it should have</w:t>
      </w:r>
      <w:r>
        <w:rPr>
          <w:sz w:val="24"/>
          <w:szCs w:val="24"/>
        </w:rPr>
        <w:t xml:space="preserve"> be</w:t>
      </w:r>
      <w:r w:rsidR="00163EF6">
        <w:rPr>
          <w:sz w:val="24"/>
          <w:szCs w:val="24"/>
        </w:rPr>
        <w:t>en</w:t>
      </w:r>
      <w:r>
        <w:rPr>
          <w:sz w:val="24"/>
          <w:szCs w:val="24"/>
        </w:rPr>
        <w:t xml:space="preserve"> expected that the changes to the ACFI tool in 2016 and 2017 and the pause in indexation, combined w</w:t>
      </w:r>
      <w:r w:rsidR="00163EF6">
        <w:rPr>
          <w:sz w:val="24"/>
          <w:szCs w:val="24"/>
        </w:rPr>
        <w:t>ith ongoing growth in costs, would have</w:t>
      </w:r>
      <w:r>
        <w:rPr>
          <w:sz w:val="24"/>
          <w:szCs w:val="24"/>
        </w:rPr>
        <w:t xml:space="preserve"> resulted in a decline in the financial performance </w:t>
      </w:r>
      <w:r w:rsidR="001B5A29">
        <w:rPr>
          <w:sz w:val="24"/>
          <w:szCs w:val="24"/>
        </w:rPr>
        <w:t xml:space="preserve">of </w:t>
      </w:r>
      <w:r>
        <w:rPr>
          <w:sz w:val="24"/>
          <w:szCs w:val="24"/>
        </w:rPr>
        <w:t xml:space="preserve">providers. The </w:t>
      </w:r>
      <w:r w:rsidR="003A07B9">
        <w:rPr>
          <w:sz w:val="24"/>
          <w:szCs w:val="24"/>
        </w:rPr>
        <w:t>feedback</w:t>
      </w:r>
      <w:r>
        <w:rPr>
          <w:sz w:val="24"/>
          <w:szCs w:val="24"/>
        </w:rPr>
        <w:t xml:space="preserve"> is consistent with the results of </w:t>
      </w:r>
      <w:proofErr w:type="spellStart"/>
      <w:r>
        <w:rPr>
          <w:sz w:val="24"/>
          <w:szCs w:val="24"/>
        </w:rPr>
        <w:t>St</w:t>
      </w:r>
      <w:r w:rsidR="001B5A29">
        <w:rPr>
          <w:sz w:val="24"/>
          <w:szCs w:val="24"/>
        </w:rPr>
        <w:t>e</w:t>
      </w:r>
      <w:r>
        <w:rPr>
          <w:sz w:val="24"/>
          <w:szCs w:val="24"/>
        </w:rPr>
        <w:t>wartBrown’s</w:t>
      </w:r>
      <w:proofErr w:type="spellEnd"/>
      <w:r>
        <w:rPr>
          <w:sz w:val="24"/>
          <w:szCs w:val="24"/>
        </w:rPr>
        <w:t xml:space="preserve"> survey of facilities for the 12 months to June 2018. When the comprehensive data for 2017-18 becomes available, it is highly likely that ACFA’s</w:t>
      </w:r>
      <w:r w:rsidR="001A2A43">
        <w:rPr>
          <w:sz w:val="24"/>
          <w:szCs w:val="24"/>
        </w:rPr>
        <w:t> </w:t>
      </w:r>
      <w:r>
        <w:rPr>
          <w:sz w:val="24"/>
          <w:szCs w:val="24"/>
        </w:rPr>
        <w:t>2019</w:t>
      </w:r>
      <w:r w:rsidR="001A2A43">
        <w:rPr>
          <w:sz w:val="24"/>
          <w:szCs w:val="24"/>
        </w:rPr>
        <w:t> </w:t>
      </w:r>
      <w:r>
        <w:rPr>
          <w:sz w:val="24"/>
          <w:szCs w:val="24"/>
        </w:rPr>
        <w:t>Annual Report will record a sizeable decline in the financial performance of residential aged care providers</w:t>
      </w:r>
      <w:r w:rsidR="00712D0E">
        <w:rPr>
          <w:sz w:val="24"/>
          <w:szCs w:val="24"/>
        </w:rPr>
        <w:t xml:space="preserve"> overall</w:t>
      </w:r>
      <w:r>
        <w:rPr>
          <w:sz w:val="24"/>
          <w:szCs w:val="24"/>
        </w:rPr>
        <w:t>.</w:t>
      </w:r>
      <w:r w:rsidR="00712D0E">
        <w:rPr>
          <w:sz w:val="24"/>
          <w:szCs w:val="24"/>
        </w:rPr>
        <w:t xml:space="preserve"> </w:t>
      </w:r>
    </w:p>
    <w:p w14:paraId="3F2490CA" w14:textId="77777777" w:rsidR="00D8687E" w:rsidRDefault="007E52A1" w:rsidP="00591258">
      <w:pPr>
        <w:rPr>
          <w:sz w:val="24"/>
          <w:szCs w:val="24"/>
        </w:rPr>
      </w:pPr>
      <w:r>
        <w:rPr>
          <w:sz w:val="24"/>
          <w:szCs w:val="24"/>
        </w:rPr>
        <w:t xml:space="preserve">In </w:t>
      </w:r>
      <w:r w:rsidR="00432473">
        <w:rPr>
          <w:sz w:val="24"/>
          <w:szCs w:val="24"/>
        </w:rPr>
        <w:t>terms</w:t>
      </w:r>
      <w:r>
        <w:rPr>
          <w:sz w:val="24"/>
          <w:szCs w:val="24"/>
        </w:rPr>
        <w:t xml:space="preserve"> of the future </w:t>
      </w:r>
      <w:r w:rsidR="00432473">
        <w:rPr>
          <w:sz w:val="24"/>
          <w:szCs w:val="24"/>
        </w:rPr>
        <w:t>outlook</w:t>
      </w:r>
      <w:r>
        <w:rPr>
          <w:sz w:val="24"/>
          <w:szCs w:val="24"/>
        </w:rPr>
        <w:t xml:space="preserve"> for the financial performance of the sector, a </w:t>
      </w:r>
      <w:r w:rsidR="00FF1BE9">
        <w:rPr>
          <w:sz w:val="24"/>
          <w:szCs w:val="24"/>
        </w:rPr>
        <w:t>major unknown is</w:t>
      </w:r>
      <w:r w:rsidR="00D8687E">
        <w:rPr>
          <w:sz w:val="24"/>
          <w:szCs w:val="24"/>
        </w:rPr>
        <w:t xml:space="preserve"> whether, and to what extent, average ACFI payments per resident per day will increase in </w:t>
      </w:r>
      <w:r w:rsidR="00D8687E">
        <w:rPr>
          <w:sz w:val="24"/>
          <w:szCs w:val="24"/>
        </w:rPr>
        <w:lastRenderedPageBreak/>
        <w:t>real terms in the medium term</w:t>
      </w:r>
      <w:r w:rsidR="00135DB4">
        <w:rPr>
          <w:sz w:val="24"/>
          <w:szCs w:val="24"/>
        </w:rPr>
        <w:t xml:space="preserve"> (</w:t>
      </w:r>
      <w:r w:rsidR="00663047">
        <w:rPr>
          <w:sz w:val="24"/>
          <w:szCs w:val="24"/>
        </w:rPr>
        <w:t>as they did in the past)</w:t>
      </w:r>
      <w:r w:rsidR="00D8687E">
        <w:rPr>
          <w:sz w:val="24"/>
          <w:szCs w:val="24"/>
        </w:rPr>
        <w:t xml:space="preserve"> or whether </w:t>
      </w:r>
      <w:r w:rsidR="00B31B5E">
        <w:rPr>
          <w:sz w:val="24"/>
          <w:szCs w:val="24"/>
        </w:rPr>
        <w:t xml:space="preserve">more </w:t>
      </w:r>
      <w:r w:rsidR="00D8687E">
        <w:rPr>
          <w:sz w:val="24"/>
          <w:szCs w:val="24"/>
        </w:rPr>
        <w:t>modest growth rates become a long term feature.</w:t>
      </w:r>
      <w:r w:rsidR="00663047">
        <w:rPr>
          <w:sz w:val="24"/>
          <w:szCs w:val="24"/>
        </w:rPr>
        <w:t xml:space="preserve"> </w:t>
      </w:r>
      <w:r w:rsidR="00432473">
        <w:rPr>
          <w:sz w:val="24"/>
          <w:szCs w:val="24"/>
        </w:rPr>
        <w:t>At the end of the first full year of ACFI in 2008-09, around 7 per cent of residents with ACFI classifications were in High-High-High classifications. This has grown to 31 per cent in 2017-18. This growth may not have reflected the underlying frailty growth in the population, but providers shift</w:t>
      </w:r>
      <w:r w:rsidR="00B31B5E">
        <w:rPr>
          <w:sz w:val="24"/>
          <w:szCs w:val="24"/>
        </w:rPr>
        <w:t xml:space="preserve">ing </w:t>
      </w:r>
      <w:r w:rsidR="00432473">
        <w:rPr>
          <w:sz w:val="24"/>
          <w:szCs w:val="24"/>
        </w:rPr>
        <w:t>their focus from low to high care residents</w:t>
      </w:r>
      <w:r w:rsidR="00B31B5E">
        <w:rPr>
          <w:sz w:val="24"/>
          <w:szCs w:val="24"/>
        </w:rPr>
        <w:t xml:space="preserve"> and </w:t>
      </w:r>
      <w:r w:rsidR="00004711">
        <w:rPr>
          <w:sz w:val="24"/>
          <w:szCs w:val="24"/>
        </w:rPr>
        <w:t xml:space="preserve">potential </w:t>
      </w:r>
      <w:r w:rsidR="00B31B5E">
        <w:rPr>
          <w:sz w:val="24"/>
          <w:szCs w:val="24"/>
        </w:rPr>
        <w:t>low care residents having lower demand to enter residential care</w:t>
      </w:r>
      <w:r w:rsidR="00004711">
        <w:rPr>
          <w:sz w:val="24"/>
          <w:szCs w:val="24"/>
        </w:rPr>
        <w:t xml:space="preserve"> as low care</w:t>
      </w:r>
      <w:r w:rsidR="00432473">
        <w:rPr>
          <w:sz w:val="24"/>
          <w:szCs w:val="24"/>
        </w:rPr>
        <w:t xml:space="preserve">. If this was the case, some </w:t>
      </w:r>
      <w:r w:rsidR="00B31B5E">
        <w:rPr>
          <w:sz w:val="24"/>
          <w:szCs w:val="24"/>
        </w:rPr>
        <w:t xml:space="preserve">slowing </w:t>
      </w:r>
      <w:r w:rsidR="00432473">
        <w:rPr>
          <w:sz w:val="24"/>
          <w:szCs w:val="24"/>
        </w:rPr>
        <w:t xml:space="preserve">in the rate of growth of ACFI </w:t>
      </w:r>
      <w:r w:rsidR="00B31B5E">
        <w:rPr>
          <w:sz w:val="24"/>
          <w:szCs w:val="24"/>
        </w:rPr>
        <w:t xml:space="preserve">compared to the past decade could </w:t>
      </w:r>
      <w:r w:rsidR="00432473">
        <w:rPr>
          <w:sz w:val="24"/>
          <w:szCs w:val="24"/>
        </w:rPr>
        <w:t xml:space="preserve">be expected. </w:t>
      </w:r>
    </w:p>
    <w:p w14:paraId="3F2490CB" w14:textId="77777777" w:rsidR="00BD3C8B" w:rsidRDefault="00BD3C8B" w:rsidP="00CB25A6">
      <w:pPr>
        <w:pStyle w:val="Heading3"/>
      </w:pPr>
      <w:bookmarkStart w:id="12" w:name="_Toc525127629"/>
      <w:r>
        <w:t>Level of concern over financial developments in 2017-18</w:t>
      </w:r>
      <w:bookmarkEnd w:id="12"/>
    </w:p>
    <w:p w14:paraId="3F2490CC" w14:textId="77777777" w:rsidR="00BD3C8B" w:rsidRDefault="00BD3C8B" w:rsidP="001A2A43">
      <w:pPr>
        <w:keepNext/>
        <w:rPr>
          <w:i/>
          <w:sz w:val="24"/>
          <w:szCs w:val="24"/>
        </w:rPr>
      </w:pPr>
      <w:r>
        <w:rPr>
          <w:i/>
          <w:sz w:val="24"/>
          <w:szCs w:val="24"/>
        </w:rPr>
        <w:t>Feedback</w:t>
      </w:r>
    </w:p>
    <w:p w14:paraId="3F2490CD" w14:textId="77777777" w:rsidR="00BD3C8B" w:rsidRDefault="00BD3C8B" w:rsidP="00591258">
      <w:pPr>
        <w:rPr>
          <w:sz w:val="24"/>
          <w:szCs w:val="24"/>
        </w:rPr>
      </w:pPr>
      <w:r>
        <w:rPr>
          <w:sz w:val="24"/>
          <w:szCs w:val="24"/>
        </w:rPr>
        <w:t>While all providers indicated that 2017-18 wa</w:t>
      </w:r>
      <w:r w:rsidR="00712D0E">
        <w:rPr>
          <w:sz w:val="24"/>
          <w:szCs w:val="24"/>
        </w:rPr>
        <w:t>s a difficult year</w:t>
      </w:r>
      <w:r>
        <w:rPr>
          <w:sz w:val="24"/>
          <w:szCs w:val="24"/>
        </w:rPr>
        <w:t xml:space="preserve">, the extent of concern expressed appeared to be influenced by the relative </w:t>
      </w:r>
      <w:r w:rsidR="00397C0D">
        <w:rPr>
          <w:sz w:val="24"/>
          <w:szCs w:val="24"/>
        </w:rPr>
        <w:t xml:space="preserve">exposure of the organisation to the residential aged care sector and/or organisational and ownership structures. Listed providers were particularly sensitive to developments given their continuous exposure to market scrutiny and shareholder expectations. In addition, providers </w:t>
      </w:r>
      <w:r w:rsidR="00712D0E">
        <w:rPr>
          <w:sz w:val="24"/>
          <w:szCs w:val="24"/>
        </w:rPr>
        <w:t xml:space="preserve">who were </w:t>
      </w:r>
      <w:r w:rsidR="00397C0D">
        <w:rPr>
          <w:sz w:val="24"/>
          <w:szCs w:val="24"/>
        </w:rPr>
        <w:t xml:space="preserve">either exclusively or predominantly concentrated on residential aged care were very concerned about developments and the implications for the ongoing viability of their organisation. This was particularly the case for providers </w:t>
      </w:r>
      <w:r w:rsidR="003A07B9">
        <w:rPr>
          <w:sz w:val="24"/>
          <w:szCs w:val="24"/>
        </w:rPr>
        <w:t>operating</w:t>
      </w:r>
      <w:r w:rsidR="00397C0D">
        <w:rPr>
          <w:sz w:val="24"/>
          <w:szCs w:val="24"/>
        </w:rPr>
        <w:t xml:space="preserve"> in remote and regional areas. Aged care providers that were part of an organisation with a diverse range of activities and income streams were concerned about the </w:t>
      </w:r>
      <w:r w:rsidR="00712D0E">
        <w:rPr>
          <w:sz w:val="24"/>
          <w:szCs w:val="24"/>
        </w:rPr>
        <w:t xml:space="preserve">financial </w:t>
      </w:r>
      <w:r w:rsidR="00397C0D">
        <w:rPr>
          <w:sz w:val="24"/>
          <w:szCs w:val="24"/>
        </w:rPr>
        <w:t xml:space="preserve">performance of their </w:t>
      </w:r>
      <w:r w:rsidR="00712D0E">
        <w:rPr>
          <w:sz w:val="24"/>
          <w:szCs w:val="24"/>
        </w:rPr>
        <w:t xml:space="preserve">aged care </w:t>
      </w:r>
      <w:r w:rsidR="00397C0D">
        <w:rPr>
          <w:sz w:val="24"/>
          <w:szCs w:val="24"/>
        </w:rPr>
        <w:t>facilities but were inclined to take a longer-term view of developments.</w:t>
      </w:r>
    </w:p>
    <w:p w14:paraId="3F2490CE" w14:textId="77777777" w:rsidR="00397C0D" w:rsidRDefault="00397C0D" w:rsidP="001A2A43">
      <w:pPr>
        <w:keepNext/>
        <w:rPr>
          <w:i/>
          <w:sz w:val="24"/>
          <w:szCs w:val="24"/>
        </w:rPr>
      </w:pPr>
      <w:r>
        <w:rPr>
          <w:i/>
          <w:sz w:val="24"/>
          <w:szCs w:val="24"/>
        </w:rPr>
        <w:t>ACFA comment</w:t>
      </w:r>
    </w:p>
    <w:p w14:paraId="3F2490CF" w14:textId="77777777" w:rsidR="00397C0D" w:rsidRDefault="007821D2" w:rsidP="00591258">
      <w:pPr>
        <w:rPr>
          <w:sz w:val="24"/>
          <w:szCs w:val="24"/>
        </w:rPr>
      </w:pPr>
      <w:r>
        <w:rPr>
          <w:sz w:val="24"/>
          <w:szCs w:val="24"/>
        </w:rPr>
        <w:t>It is to be expected that the level of concern expressed by providers over the decline in their financial performance in 2017-18 will be influenced by the extent of their exposure to the residential aged care sector.</w:t>
      </w:r>
      <w:r w:rsidR="00712D0E">
        <w:rPr>
          <w:sz w:val="24"/>
          <w:szCs w:val="24"/>
        </w:rPr>
        <w:t xml:space="preserve"> This issue is discussed further in the section dealing with </w:t>
      </w:r>
      <w:r w:rsidR="00432473">
        <w:rPr>
          <w:sz w:val="24"/>
          <w:szCs w:val="24"/>
        </w:rPr>
        <w:t>providers’</w:t>
      </w:r>
      <w:r w:rsidR="00712D0E">
        <w:rPr>
          <w:sz w:val="24"/>
          <w:szCs w:val="24"/>
        </w:rPr>
        <w:t xml:space="preserve"> future investment plans.</w:t>
      </w:r>
    </w:p>
    <w:p w14:paraId="3F2490D0" w14:textId="77777777" w:rsidR="007821D2" w:rsidRDefault="007821D2" w:rsidP="00CB25A6">
      <w:pPr>
        <w:pStyle w:val="Heading3"/>
      </w:pPr>
      <w:bookmarkStart w:id="13" w:name="_Toc525127630"/>
      <w:r>
        <w:t>Implications of changes to ACFI</w:t>
      </w:r>
      <w:bookmarkEnd w:id="13"/>
    </w:p>
    <w:p w14:paraId="3F2490D1" w14:textId="77777777" w:rsidR="007821D2" w:rsidRDefault="007821D2" w:rsidP="001A2A43">
      <w:pPr>
        <w:keepNext/>
        <w:rPr>
          <w:i/>
          <w:sz w:val="24"/>
          <w:szCs w:val="24"/>
        </w:rPr>
      </w:pPr>
      <w:r>
        <w:rPr>
          <w:i/>
          <w:sz w:val="24"/>
          <w:szCs w:val="24"/>
        </w:rPr>
        <w:t>Feedback</w:t>
      </w:r>
    </w:p>
    <w:p w14:paraId="3F2490D2" w14:textId="77777777" w:rsidR="007821D2" w:rsidRDefault="00A332FB" w:rsidP="00591258">
      <w:pPr>
        <w:rPr>
          <w:sz w:val="24"/>
          <w:szCs w:val="24"/>
        </w:rPr>
      </w:pPr>
      <w:r>
        <w:rPr>
          <w:sz w:val="24"/>
          <w:szCs w:val="24"/>
        </w:rPr>
        <w:t>Some p</w:t>
      </w:r>
      <w:r w:rsidR="007821D2">
        <w:rPr>
          <w:sz w:val="24"/>
          <w:szCs w:val="24"/>
        </w:rPr>
        <w:t>roviders highlighted that the changes to ACFI not only involved a pause in indexation but</w:t>
      </w:r>
      <w:r w:rsidR="00B31B5E">
        <w:rPr>
          <w:sz w:val="24"/>
          <w:szCs w:val="24"/>
        </w:rPr>
        <w:t xml:space="preserve"> </w:t>
      </w:r>
      <w:r w:rsidR="00E74CF6">
        <w:rPr>
          <w:sz w:val="24"/>
          <w:szCs w:val="24"/>
        </w:rPr>
        <w:t>(and</w:t>
      </w:r>
      <w:r w:rsidR="00712D0E">
        <w:rPr>
          <w:sz w:val="24"/>
          <w:szCs w:val="24"/>
        </w:rPr>
        <w:t xml:space="preserve"> as outlined previously)</w:t>
      </w:r>
      <w:r w:rsidR="007821D2">
        <w:rPr>
          <w:sz w:val="24"/>
          <w:szCs w:val="24"/>
        </w:rPr>
        <w:t xml:space="preserve"> the changes to the scoring arrangements for complex health care involved a reduction in their ACFI payments. The changes to the scoring system </w:t>
      </w:r>
      <w:r w:rsidR="00D0098C">
        <w:rPr>
          <w:sz w:val="24"/>
          <w:szCs w:val="24"/>
        </w:rPr>
        <w:t xml:space="preserve">applied to the reappraisal of existing residents and to new residents. The result was that when a resident left a facility, it was likely that the new resident would have a lower ACFI score and in turn the provider would receive a lower ACFI payment. </w:t>
      </w:r>
      <w:r w:rsidR="00005BB3">
        <w:rPr>
          <w:sz w:val="24"/>
          <w:szCs w:val="24"/>
        </w:rPr>
        <w:t>With the average length of stay of a resident around three years, a number of providers estimated that they were about half way through the downward adjustment to their ACFI revenue as a result of new residents replacing grandfathered existing residents.</w:t>
      </w:r>
      <w:r w:rsidR="00712D0E">
        <w:rPr>
          <w:sz w:val="24"/>
          <w:szCs w:val="24"/>
        </w:rPr>
        <w:t xml:space="preserve"> </w:t>
      </w:r>
    </w:p>
    <w:p w14:paraId="3F2490D3" w14:textId="77777777" w:rsidR="00005BB3" w:rsidRDefault="00005BB3" w:rsidP="00591258">
      <w:pPr>
        <w:rPr>
          <w:sz w:val="24"/>
          <w:szCs w:val="24"/>
        </w:rPr>
      </w:pPr>
      <w:r>
        <w:rPr>
          <w:sz w:val="24"/>
          <w:szCs w:val="24"/>
        </w:rPr>
        <w:lastRenderedPageBreak/>
        <w:t xml:space="preserve">The rationale for the changes to ACFI in 2016 and 2017 </w:t>
      </w:r>
      <w:r w:rsidR="003A07B9">
        <w:rPr>
          <w:sz w:val="24"/>
          <w:szCs w:val="24"/>
        </w:rPr>
        <w:t>remained</w:t>
      </w:r>
      <w:r>
        <w:rPr>
          <w:sz w:val="24"/>
          <w:szCs w:val="24"/>
        </w:rPr>
        <w:t xml:space="preserve"> a point of contention with providers. As noted earlier, the Government introduced measures to slow the overall growth in </w:t>
      </w:r>
      <w:r w:rsidR="003A07B9">
        <w:rPr>
          <w:sz w:val="24"/>
          <w:szCs w:val="24"/>
        </w:rPr>
        <w:t>payments</w:t>
      </w:r>
      <w:r>
        <w:rPr>
          <w:sz w:val="24"/>
          <w:szCs w:val="24"/>
        </w:rPr>
        <w:t xml:space="preserve"> by adjusting the ACFI tool and pausing indexation because it </w:t>
      </w:r>
      <w:r w:rsidR="003A07B9">
        <w:rPr>
          <w:sz w:val="24"/>
          <w:szCs w:val="24"/>
        </w:rPr>
        <w:t>believed</w:t>
      </w:r>
      <w:r>
        <w:rPr>
          <w:sz w:val="24"/>
          <w:szCs w:val="24"/>
        </w:rPr>
        <w:t xml:space="preserve"> the rate of growth</w:t>
      </w:r>
      <w:r w:rsidR="00C55C1E">
        <w:rPr>
          <w:sz w:val="24"/>
          <w:szCs w:val="24"/>
        </w:rPr>
        <w:t xml:space="preserve"> of ACFI claims reflected claiming behaviour by providers rather than growth in the frailty/acuity of residents. Providers continue to argue that as a result of increased home care, residents are entering residential aged care with more complex health conditions </w:t>
      </w:r>
      <w:r w:rsidR="00566407">
        <w:rPr>
          <w:sz w:val="24"/>
          <w:szCs w:val="24"/>
        </w:rPr>
        <w:t xml:space="preserve">and </w:t>
      </w:r>
      <w:r w:rsidR="006E0B4C">
        <w:rPr>
          <w:sz w:val="24"/>
          <w:szCs w:val="24"/>
        </w:rPr>
        <w:t xml:space="preserve">this </w:t>
      </w:r>
      <w:r w:rsidR="00C55C1E">
        <w:rPr>
          <w:sz w:val="24"/>
          <w:szCs w:val="24"/>
        </w:rPr>
        <w:t xml:space="preserve">is increasing and reflected in the rise of ACFI claims. Many providers stressed that they were following the ACFI claiming </w:t>
      </w:r>
      <w:r w:rsidR="003A07B9">
        <w:rPr>
          <w:sz w:val="24"/>
          <w:szCs w:val="24"/>
        </w:rPr>
        <w:t>procedures,</w:t>
      </w:r>
      <w:r w:rsidR="00C55C1E">
        <w:rPr>
          <w:sz w:val="24"/>
          <w:szCs w:val="24"/>
        </w:rPr>
        <w:t xml:space="preserve"> their claims are audited and </w:t>
      </w:r>
      <w:r w:rsidR="00E1167B">
        <w:rPr>
          <w:sz w:val="24"/>
          <w:szCs w:val="24"/>
        </w:rPr>
        <w:t xml:space="preserve">they believed </w:t>
      </w:r>
      <w:r w:rsidR="00C55C1E">
        <w:rPr>
          <w:sz w:val="24"/>
          <w:szCs w:val="24"/>
        </w:rPr>
        <w:t>the</w:t>
      </w:r>
      <w:r w:rsidR="00CC220D">
        <w:rPr>
          <w:sz w:val="24"/>
          <w:szCs w:val="24"/>
        </w:rPr>
        <w:t>re ha</w:t>
      </w:r>
      <w:r w:rsidR="00E1167B">
        <w:rPr>
          <w:sz w:val="24"/>
          <w:szCs w:val="24"/>
        </w:rPr>
        <w:t>d</w:t>
      </w:r>
      <w:r w:rsidR="00C55C1E">
        <w:rPr>
          <w:sz w:val="24"/>
          <w:szCs w:val="24"/>
        </w:rPr>
        <w:t xml:space="preserve"> not </w:t>
      </w:r>
      <w:r w:rsidR="00CC220D">
        <w:rPr>
          <w:sz w:val="24"/>
          <w:szCs w:val="24"/>
        </w:rPr>
        <w:t xml:space="preserve">been </w:t>
      </w:r>
      <w:r w:rsidR="00C55C1E">
        <w:rPr>
          <w:sz w:val="24"/>
          <w:szCs w:val="24"/>
        </w:rPr>
        <w:t xml:space="preserve">a significant increase in ACFI downgrades. </w:t>
      </w:r>
      <w:r w:rsidR="00CC220D">
        <w:rPr>
          <w:sz w:val="24"/>
          <w:szCs w:val="24"/>
        </w:rPr>
        <w:t>They did note, however, that  facilities having to refund any assessed ‘over claiming’ in ACFI payments from the date of</w:t>
      </w:r>
      <w:r w:rsidR="00566407">
        <w:rPr>
          <w:sz w:val="24"/>
          <w:szCs w:val="24"/>
        </w:rPr>
        <w:t xml:space="preserve"> entry of the resident can pose</w:t>
      </w:r>
      <w:r w:rsidR="00CC220D">
        <w:rPr>
          <w:sz w:val="24"/>
          <w:szCs w:val="24"/>
        </w:rPr>
        <w:t xml:space="preserve"> cash flow problems for the facility. </w:t>
      </w:r>
      <w:r w:rsidR="00C55C1E">
        <w:rPr>
          <w:sz w:val="24"/>
          <w:szCs w:val="24"/>
        </w:rPr>
        <w:t xml:space="preserve">Some providers said the changes to ACFI and the pause in indexation was a blunt measure by the </w:t>
      </w:r>
      <w:r w:rsidR="00FF1BE9">
        <w:rPr>
          <w:sz w:val="24"/>
          <w:szCs w:val="24"/>
        </w:rPr>
        <w:t>Government if</w:t>
      </w:r>
      <w:r w:rsidR="00C55C1E">
        <w:rPr>
          <w:sz w:val="24"/>
          <w:szCs w:val="24"/>
        </w:rPr>
        <w:t xml:space="preserve"> they had concerns with</w:t>
      </w:r>
      <w:r w:rsidR="000079A6">
        <w:rPr>
          <w:sz w:val="24"/>
          <w:szCs w:val="24"/>
        </w:rPr>
        <w:t xml:space="preserve"> the claiming behaviour of a group of </w:t>
      </w:r>
      <w:r w:rsidR="00C55C1E">
        <w:rPr>
          <w:sz w:val="24"/>
          <w:szCs w:val="24"/>
        </w:rPr>
        <w:t>providers</w:t>
      </w:r>
      <w:r w:rsidR="000079A6">
        <w:rPr>
          <w:sz w:val="24"/>
          <w:szCs w:val="24"/>
        </w:rPr>
        <w:t xml:space="preserve">. </w:t>
      </w:r>
      <w:r w:rsidR="00CC220D">
        <w:rPr>
          <w:sz w:val="24"/>
          <w:szCs w:val="24"/>
        </w:rPr>
        <w:t xml:space="preserve">However many providers believed the reason for </w:t>
      </w:r>
      <w:r w:rsidR="006D6BCE">
        <w:rPr>
          <w:sz w:val="24"/>
          <w:szCs w:val="24"/>
        </w:rPr>
        <w:t xml:space="preserve">the changes to ACFI </w:t>
      </w:r>
      <w:r w:rsidR="003A07B9">
        <w:rPr>
          <w:sz w:val="24"/>
          <w:szCs w:val="24"/>
        </w:rPr>
        <w:t>were</w:t>
      </w:r>
      <w:r w:rsidR="006D6BCE">
        <w:rPr>
          <w:sz w:val="24"/>
          <w:szCs w:val="24"/>
        </w:rPr>
        <w:t xml:space="preserve"> not related to better aligning Government subsidies with the growth in the acuity of residents but was </w:t>
      </w:r>
      <w:r w:rsidR="00516DC3">
        <w:rPr>
          <w:sz w:val="24"/>
          <w:szCs w:val="24"/>
        </w:rPr>
        <w:t xml:space="preserve">simply a budget saving measure. </w:t>
      </w:r>
      <w:r w:rsidR="00CC220D">
        <w:rPr>
          <w:sz w:val="24"/>
          <w:szCs w:val="24"/>
        </w:rPr>
        <w:t>Several p</w:t>
      </w:r>
      <w:r w:rsidR="000079A6">
        <w:rPr>
          <w:sz w:val="24"/>
          <w:szCs w:val="24"/>
        </w:rPr>
        <w:t xml:space="preserve">roviders said that as a result of the ACFI changes they were confronted with either providing and absorbing the cost of the level of care a resident required but for which they were not funded, or not delivering the </w:t>
      </w:r>
      <w:r w:rsidR="00CC220D">
        <w:rPr>
          <w:sz w:val="24"/>
          <w:szCs w:val="24"/>
        </w:rPr>
        <w:t xml:space="preserve">full </w:t>
      </w:r>
      <w:r w:rsidR="000079A6">
        <w:rPr>
          <w:sz w:val="24"/>
          <w:szCs w:val="24"/>
        </w:rPr>
        <w:t>care that a resident needs.</w:t>
      </w:r>
      <w:r w:rsidR="003842B0">
        <w:rPr>
          <w:sz w:val="24"/>
          <w:szCs w:val="24"/>
        </w:rPr>
        <w:t xml:space="preserve"> While many of the changes to </w:t>
      </w:r>
      <w:r w:rsidR="00E74CF6">
        <w:rPr>
          <w:sz w:val="24"/>
          <w:szCs w:val="24"/>
        </w:rPr>
        <w:t>the complex</w:t>
      </w:r>
      <w:r w:rsidR="003842B0">
        <w:rPr>
          <w:sz w:val="24"/>
          <w:szCs w:val="24"/>
        </w:rPr>
        <w:t xml:space="preserve"> health care domain </w:t>
      </w:r>
      <w:r w:rsidR="00E74CF6">
        <w:rPr>
          <w:sz w:val="24"/>
          <w:szCs w:val="24"/>
        </w:rPr>
        <w:t>initially</w:t>
      </w:r>
      <w:r w:rsidR="003842B0">
        <w:rPr>
          <w:sz w:val="24"/>
          <w:szCs w:val="24"/>
        </w:rPr>
        <w:t xml:space="preserve"> announced in 2016 were subsequently amended and replaced by the across-the-board pause in i</w:t>
      </w:r>
      <w:r w:rsidR="00E74CF6">
        <w:rPr>
          <w:sz w:val="24"/>
          <w:szCs w:val="24"/>
        </w:rPr>
        <w:t xml:space="preserve">ndexation, a number of providers </w:t>
      </w:r>
      <w:r w:rsidR="003842B0">
        <w:rPr>
          <w:sz w:val="24"/>
          <w:szCs w:val="24"/>
        </w:rPr>
        <w:t xml:space="preserve">said they had warned the Department of Health that the impact of the measures would be significantly larger than envisaged by the Government, </w:t>
      </w:r>
      <w:r w:rsidR="00A332FB">
        <w:rPr>
          <w:sz w:val="24"/>
          <w:szCs w:val="24"/>
        </w:rPr>
        <w:t xml:space="preserve">but </w:t>
      </w:r>
      <w:r w:rsidR="003842B0">
        <w:rPr>
          <w:sz w:val="24"/>
          <w:szCs w:val="24"/>
        </w:rPr>
        <w:t xml:space="preserve">this advice was </w:t>
      </w:r>
      <w:r w:rsidR="00D8687E">
        <w:rPr>
          <w:sz w:val="24"/>
          <w:szCs w:val="24"/>
        </w:rPr>
        <w:t xml:space="preserve">not </w:t>
      </w:r>
      <w:r w:rsidR="00432473">
        <w:rPr>
          <w:sz w:val="24"/>
          <w:szCs w:val="24"/>
        </w:rPr>
        <w:t>accepted</w:t>
      </w:r>
      <w:r w:rsidR="003842B0">
        <w:rPr>
          <w:sz w:val="24"/>
          <w:szCs w:val="24"/>
        </w:rPr>
        <w:t>.</w:t>
      </w:r>
      <w:r w:rsidR="00CC220D">
        <w:rPr>
          <w:sz w:val="24"/>
          <w:szCs w:val="24"/>
        </w:rPr>
        <w:t xml:space="preserve"> </w:t>
      </w:r>
    </w:p>
    <w:p w14:paraId="3F2490D4" w14:textId="77777777" w:rsidR="000079A6" w:rsidRDefault="000079A6" w:rsidP="00591258">
      <w:pPr>
        <w:rPr>
          <w:sz w:val="24"/>
          <w:szCs w:val="24"/>
        </w:rPr>
      </w:pPr>
      <w:r>
        <w:rPr>
          <w:sz w:val="24"/>
          <w:szCs w:val="24"/>
        </w:rPr>
        <w:t>Some providers said their ACFI claims per bed were on the low side compared with industry averages but as a result of the changes to ACFI and the revenue pressure they were facing, they had no other option but to seek to maximise their ACFI revenue</w:t>
      </w:r>
      <w:r w:rsidR="003842B0">
        <w:rPr>
          <w:sz w:val="24"/>
          <w:szCs w:val="24"/>
        </w:rPr>
        <w:t xml:space="preserve"> as far as possible</w:t>
      </w:r>
      <w:r>
        <w:rPr>
          <w:sz w:val="24"/>
          <w:szCs w:val="24"/>
        </w:rPr>
        <w:t xml:space="preserve">. All providers commented on the high administrative costs associated with ACFI and </w:t>
      </w:r>
      <w:r w:rsidR="00E1167B">
        <w:rPr>
          <w:sz w:val="24"/>
          <w:szCs w:val="24"/>
        </w:rPr>
        <w:t xml:space="preserve">that </w:t>
      </w:r>
      <w:r>
        <w:rPr>
          <w:sz w:val="24"/>
          <w:szCs w:val="24"/>
        </w:rPr>
        <w:t>it took staff away from delivering care to residents. Another point raised was the subjective nature of th</w:t>
      </w:r>
      <w:r w:rsidR="003842B0">
        <w:rPr>
          <w:sz w:val="24"/>
          <w:szCs w:val="24"/>
        </w:rPr>
        <w:t>e ACFI tool and that many aspects of the ACFI involve interpretation by assessors.</w:t>
      </w:r>
      <w:r w:rsidR="00867851">
        <w:rPr>
          <w:sz w:val="24"/>
          <w:szCs w:val="24"/>
        </w:rPr>
        <w:t xml:space="preserve"> It was </w:t>
      </w:r>
      <w:r w:rsidR="000369D8">
        <w:rPr>
          <w:sz w:val="24"/>
          <w:szCs w:val="24"/>
        </w:rPr>
        <w:t xml:space="preserve">also </w:t>
      </w:r>
      <w:r w:rsidR="00867851">
        <w:rPr>
          <w:sz w:val="24"/>
          <w:szCs w:val="24"/>
        </w:rPr>
        <w:t>observed that ACFI was creating different classes of residents in terms of their attractiveness to providers. Specifically, provid</w:t>
      </w:r>
      <w:r w:rsidR="000369D8">
        <w:rPr>
          <w:sz w:val="24"/>
          <w:szCs w:val="24"/>
        </w:rPr>
        <w:t xml:space="preserve">ers were </w:t>
      </w:r>
      <w:r w:rsidR="00E74CF6">
        <w:rPr>
          <w:sz w:val="24"/>
          <w:szCs w:val="24"/>
        </w:rPr>
        <w:t>seeking residents</w:t>
      </w:r>
      <w:r w:rsidR="00867851">
        <w:rPr>
          <w:sz w:val="24"/>
          <w:szCs w:val="24"/>
        </w:rPr>
        <w:t xml:space="preserve"> with a high ACFI score across all domains </w:t>
      </w:r>
      <w:r w:rsidR="005057F6">
        <w:rPr>
          <w:sz w:val="24"/>
          <w:szCs w:val="24"/>
        </w:rPr>
        <w:t xml:space="preserve">at the expense of residents with a low ACFI score. As one provider noted, low care residents are becoming the new ‘at risk’ group as the funding reforms are making the provision of care for these residents almost unviable. This is a particular problem for some conditions which involve difficult behavioural issues but do not score highly in terms of the complex health care domain – </w:t>
      </w:r>
      <w:r w:rsidR="00590CBC">
        <w:rPr>
          <w:sz w:val="24"/>
          <w:szCs w:val="24"/>
        </w:rPr>
        <w:t>younger</w:t>
      </w:r>
      <w:r w:rsidR="005057F6">
        <w:rPr>
          <w:sz w:val="24"/>
          <w:szCs w:val="24"/>
        </w:rPr>
        <w:t xml:space="preserve"> onset dementia was cited as a specific example.</w:t>
      </w:r>
    </w:p>
    <w:p w14:paraId="3F2490D5" w14:textId="77777777" w:rsidR="005A0F50" w:rsidRDefault="005A0F50" w:rsidP="00591258">
      <w:pPr>
        <w:rPr>
          <w:sz w:val="24"/>
          <w:szCs w:val="24"/>
        </w:rPr>
      </w:pPr>
      <w:r>
        <w:rPr>
          <w:sz w:val="24"/>
          <w:szCs w:val="24"/>
        </w:rPr>
        <w:t xml:space="preserve">Most providers claimed that the rate of ACFI indexation in 2018-19 is insufficient given the growth in wages. Some providers highlighted that they would not be viable if </w:t>
      </w:r>
      <w:r w:rsidR="00432473">
        <w:rPr>
          <w:sz w:val="24"/>
          <w:szCs w:val="24"/>
        </w:rPr>
        <w:t>ACFI indexation remained</w:t>
      </w:r>
      <w:r>
        <w:rPr>
          <w:sz w:val="24"/>
          <w:szCs w:val="24"/>
        </w:rPr>
        <w:t xml:space="preserve"> around 1</w:t>
      </w:r>
      <w:r w:rsidR="00135DB4">
        <w:rPr>
          <w:sz w:val="24"/>
          <w:szCs w:val="24"/>
        </w:rPr>
        <w:t>.5</w:t>
      </w:r>
      <w:r>
        <w:rPr>
          <w:sz w:val="24"/>
          <w:szCs w:val="24"/>
        </w:rPr>
        <w:t xml:space="preserve"> per cen</w:t>
      </w:r>
      <w:r w:rsidR="001A2A43">
        <w:rPr>
          <w:sz w:val="24"/>
          <w:szCs w:val="24"/>
        </w:rPr>
        <w:t>t while wages grew by between 2</w:t>
      </w:r>
      <w:r w:rsidR="00135DB4">
        <w:rPr>
          <w:sz w:val="24"/>
          <w:szCs w:val="24"/>
        </w:rPr>
        <w:t>.5</w:t>
      </w:r>
      <w:r>
        <w:rPr>
          <w:sz w:val="24"/>
          <w:szCs w:val="24"/>
        </w:rPr>
        <w:t xml:space="preserve"> to 3 per cent. </w:t>
      </w:r>
    </w:p>
    <w:p w14:paraId="3F2490D6" w14:textId="77777777" w:rsidR="005057F6" w:rsidRDefault="005057F6" w:rsidP="001A2A43">
      <w:pPr>
        <w:keepNext/>
        <w:rPr>
          <w:i/>
          <w:sz w:val="24"/>
          <w:szCs w:val="24"/>
        </w:rPr>
      </w:pPr>
      <w:r>
        <w:rPr>
          <w:i/>
          <w:sz w:val="24"/>
          <w:szCs w:val="24"/>
        </w:rPr>
        <w:lastRenderedPageBreak/>
        <w:t>ACFA comment</w:t>
      </w:r>
    </w:p>
    <w:p w14:paraId="3F2490D7" w14:textId="77777777" w:rsidR="00EF3AC1" w:rsidRDefault="005057F6" w:rsidP="00591258">
      <w:pPr>
        <w:rPr>
          <w:sz w:val="24"/>
          <w:szCs w:val="24"/>
        </w:rPr>
      </w:pPr>
      <w:r>
        <w:rPr>
          <w:sz w:val="24"/>
          <w:szCs w:val="24"/>
        </w:rPr>
        <w:t xml:space="preserve">The </w:t>
      </w:r>
      <w:r w:rsidR="007F3A40">
        <w:rPr>
          <w:sz w:val="24"/>
          <w:szCs w:val="24"/>
        </w:rPr>
        <w:t>problems with the ACFI funding tool were</w:t>
      </w:r>
      <w:r>
        <w:rPr>
          <w:sz w:val="24"/>
          <w:szCs w:val="24"/>
        </w:rPr>
        <w:t xml:space="preserve"> raised throughout the consultations. In the 2018 Annual Report, ACFA observed that there is a need for a more stable, more </w:t>
      </w:r>
      <w:r w:rsidR="003A07B9">
        <w:rPr>
          <w:sz w:val="24"/>
          <w:szCs w:val="24"/>
        </w:rPr>
        <w:t>contemporary,</w:t>
      </w:r>
      <w:r w:rsidR="006D6BCE">
        <w:rPr>
          <w:sz w:val="24"/>
          <w:szCs w:val="24"/>
        </w:rPr>
        <w:t xml:space="preserve"> more efficient and more effective funding tool and a system that provides greater financial stability to both provide</w:t>
      </w:r>
      <w:r w:rsidR="002919DE">
        <w:rPr>
          <w:sz w:val="24"/>
          <w:szCs w:val="24"/>
        </w:rPr>
        <w:t>r</w:t>
      </w:r>
      <w:r w:rsidR="006D6BCE">
        <w:rPr>
          <w:sz w:val="24"/>
          <w:szCs w:val="24"/>
        </w:rPr>
        <w:t xml:space="preserve">s and the Government. As outlined further below, a major factor raised by providers that is hindering future investment in the residential aged care sector is uncertainty over the Government’s policy settings. The fact that providers </w:t>
      </w:r>
      <w:r w:rsidR="00516DC3">
        <w:rPr>
          <w:sz w:val="24"/>
          <w:szCs w:val="24"/>
        </w:rPr>
        <w:t xml:space="preserve">continue to dispute the reasons for the changes to ACFI in 2016 and 2017, suggests that they do not have confidence in the rationale for the Government’s future policy measures. For example, some providers were not confident that the current review of alternative funding arrangements through the Resource Utilisation and Classification </w:t>
      </w:r>
      <w:r w:rsidR="00163EF6">
        <w:rPr>
          <w:sz w:val="24"/>
          <w:szCs w:val="24"/>
        </w:rPr>
        <w:t>Study (</w:t>
      </w:r>
      <w:r w:rsidR="00E1167B">
        <w:rPr>
          <w:sz w:val="24"/>
          <w:szCs w:val="24"/>
        </w:rPr>
        <w:t>RUCS)</w:t>
      </w:r>
      <w:r w:rsidR="00516DC3">
        <w:rPr>
          <w:sz w:val="24"/>
          <w:szCs w:val="24"/>
        </w:rPr>
        <w:t xml:space="preserve"> will </w:t>
      </w:r>
      <w:r w:rsidR="003A07B9">
        <w:rPr>
          <w:sz w:val="24"/>
          <w:szCs w:val="24"/>
        </w:rPr>
        <w:t>achieve</w:t>
      </w:r>
      <w:r w:rsidR="00F6197C">
        <w:rPr>
          <w:sz w:val="24"/>
          <w:szCs w:val="24"/>
        </w:rPr>
        <w:t xml:space="preserve"> a more stable tool that better aligns funding with the cost of care, but instead will be focused on restraining future budget outlays. </w:t>
      </w:r>
      <w:r w:rsidR="00E1167B">
        <w:rPr>
          <w:sz w:val="24"/>
          <w:szCs w:val="24"/>
        </w:rPr>
        <w:t>T</w:t>
      </w:r>
      <w:r w:rsidR="00EB01A6">
        <w:rPr>
          <w:sz w:val="24"/>
          <w:szCs w:val="24"/>
        </w:rPr>
        <w:t xml:space="preserve">he Government </w:t>
      </w:r>
      <w:r w:rsidR="00A60A96">
        <w:rPr>
          <w:sz w:val="24"/>
          <w:szCs w:val="24"/>
        </w:rPr>
        <w:t>has</w:t>
      </w:r>
      <w:r w:rsidR="00E1167B">
        <w:rPr>
          <w:sz w:val="24"/>
          <w:szCs w:val="24"/>
        </w:rPr>
        <w:t>, however,</w:t>
      </w:r>
      <w:r w:rsidR="00A60A96">
        <w:rPr>
          <w:sz w:val="24"/>
          <w:szCs w:val="24"/>
        </w:rPr>
        <w:t xml:space="preserve"> </w:t>
      </w:r>
      <w:r w:rsidR="00E27DD5">
        <w:rPr>
          <w:sz w:val="24"/>
          <w:szCs w:val="24"/>
        </w:rPr>
        <w:t>indicated that</w:t>
      </w:r>
      <w:r w:rsidR="00EB01A6">
        <w:rPr>
          <w:sz w:val="24"/>
          <w:szCs w:val="24"/>
        </w:rPr>
        <w:t xml:space="preserve"> the issue of overall funding is separate to </w:t>
      </w:r>
      <w:r w:rsidR="00E27DD5">
        <w:rPr>
          <w:sz w:val="24"/>
          <w:szCs w:val="24"/>
        </w:rPr>
        <w:t>reviewing</w:t>
      </w:r>
      <w:r w:rsidR="00A60A96">
        <w:rPr>
          <w:sz w:val="24"/>
          <w:szCs w:val="24"/>
        </w:rPr>
        <w:t xml:space="preserve"> the </w:t>
      </w:r>
      <w:r w:rsidR="00E27DD5">
        <w:rPr>
          <w:sz w:val="24"/>
          <w:szCs w:val="24"/>
        </w:rPr>
        <w:t>funding tool</w:t>
      </w:r>
      <w:r w:rsidR="004965BC">
        <w:rPr>
          <w:sz w:val="24"/>
          <w:szCs w:val="24"/>
        </w:rPr>
        <w:t xml:space="preserve">. </w:t>
      </w:r>
      <w:r w:rsidR="005A0F50">
        <w:rPr>
          <w:sz w:val="24"/>
          <w:szCs w:val="24"/>
        </w:rPr>
        <w:t xml:space="preserve">As noted in the ACFA 2018 Annual Report, it is important to </w:t>
      </w:r>
      <w:r w:rsidR="00EF3AC1">
        <w:rPr>
          <w:sz w:val="24"/>
          <w:szCs w:val="24"/>
        </w:rPr>
        <w:t xml:space="preserve">not only ensure the funding tool </w:t>
      </w:r>
      <w:r w:rsidR="0009708B">
        <w:rPr>
          <w:sz w:val="24"/>
          <w:szCs w:val="24"/>
        </w:rPr>
        <w:t>is stable, more contemporary and efficient</w:t>
      </w:r>
      <w:r w:rsidR="00E1167B">
        <w:rPr>
          <w:sz w:val="24"/>
          <w:szCs w:val="24"/>
        </w:rPr>
        <w:t>,</w:t>
      </w:r>
      <w:r w:rsidR="0009708B">
        <w:rPr>
          <w:sz w:val="24"/>
          <w:szCs w:val="24"/>
        </w:rPr>
        <w:t xml:space="preserve"> </w:t>
      </w:r>
      <w:r w:rsidR="00EF3AC1">
        <w:rPr>
          <w:sz w:val="24"/>
          <w:szCs w:val="24"/>
        </w:rPr>
        <w:t xml:space="preserve">but that the indexation </w:t>
      </w:r>
      <w:r w:rsidR="007F3A40">
        <w:rPr>
          <w:sz w:val="24"/>
          <w:szCs w:val="24"/>
        </w:rPr>
        <w:t xml:space="preserve">arrangements, </w:t>
      </w:r>
      <w:r w:rsidR="006E0B4C">
        <w:rPr>
          <w:sz w:val="24"/>
          <w:szCs w:val="24"/>
        </w:rPr>
        <w:t xml:space="preserve">after </w:t>
      </w:r>
      <w:r w:rsidR="007F3A40">
        <w:rPr>
          <w:sz w:val="24"/>
          <w:szCs w:val="24"/>
        </w:rPr>
        <w:t xml:space="preserve">a realistic </w:t>
      </w:r>
      <w:r w:rsidR="006E0B4C">
        <w:rPr>
          <w:sz w:val="24"/>
          <w:szCs w:val="24"/>
        </w:rPr>
        <w:t xml:space="preserve">discount </w:t>
      </w:r>
      <w:r w:rsidR="007F3A40">
        <w:rPr>
          <w:sz w:val="24"/>
          <w:szCs w:val="24"/>
        </w:rPr>
        <w:t xml:space="preserve">for </w:t>
      </w:r>
      <w:r w:rsidR="006E0B4C">
        <w:rPr>
          <w:sz w:val="24"/>
          <w:szCs w:val="24"/>
        </w:rPr>
        <w:t xml:space="preserve">provider </w:t>
      </w:r>
      <w:r w:rsidR="007F3A40">
        <w:rPr>
          <w:sz w:val="24"/>
          <w:szCs w:val="24"/>
        </w:rPr>
        <w:t>efficiency gains, appropriately reflect</w:t>
      </w:r>
      <w:r w:rsidR="00EF3AC1">
        <w:rPr>
          <w:sz w:val="24"/>
          <w:szCs w:val="24"/>
        </w:rPr>
        <w:t xml:space="preserve"> cost </w:t>
      </w:r>
      <w:r w:rsidR="00432473">
        <w:rPr>
          <w:sz w:val="24"/>
          <w:szCs w:val="24"/>
        </w:rPr>
        <w:t>increases</w:t>
      </w:r>
      <w:r w:rsidR="00EF3AC1">
        <w:rPr>
          <w:sz w:val="24"/>
          <w:szCs w:val="24"/>
        </w:rPr>
        <w:t xml:space="preserve">. </w:t>
      </w:r>
      <w:r w:rsidR="009C0D6A">
        <w:rPr>
          <w:sz w:val="24"/>
          <w:szCs w:val="24"/>
        </w:rPr>
        <w:t>Confidence in the policy framework for the residential aged care industry needs to be restored.</w:t>
      </w:r>
    </w:p>
    <w:p w14:paraId="3F2490D8" w14:textId="77777777" w:rsidR="00F6197C" w:rsidRDefault="00F6197C" w:rsidP="00CB25A6">
      <w:pPr>
        <w:pStyle w:val="Heading3"/>
      </w:pPr>
      <w:bookmarkStart w:id="14" w:name="_Toc525127631"/>
      <w:r>
        <w:t>Efforts to curtail costs</w:t>
      </w:r>
      <w:bookmarkEnd w:id="14"/>
    </w:p>
    <w:p w14:paraId="3F2490D9" w14:textId="77777777" w:rsidR="00F6197C" w:rsidRDefault="00F6197C" w:rsidP="001A2A43">
      <w:pPr>
        <w:keepNext/>
        <w:rPr>
          <w:i/>
          <w:sz w:val="24"/>
          <w:szCs w:val="24"/>
        </w:rPr>
      </w:pPr>
      <w:r>
        <w:rPr>
          <w:i/>
          <w:sz w:val="24"/>
          <w:szCs w:val="24"/>
        </w:rPr>
        <w:t>Feedback</w:t>
      </w:r>
    </w:p>
    <w:p w14:paraId="3F2490DA" w14:textId="77777777" w:rsidR="00A03820" w:rsidRDefault="00F6197C" w:rsidP="00591258">
      <w:pPr>
        <w:rPr>
          <w:sz w:val="24"/>
          <w:szCs w:val="24"/>
        </w:rPr>
      </w:pPr>
      <w:r>
        <w:rPr>
          <w:sz w:val="24"/>
          <w:szCs w:val="24"/>
        </w:rPr>
        <w:t>All providers said that in response to the pressure on revenue they were seeking to constrain the growt</w:t>
      </w:r>
      <w:r w:rsidR="00790471">
        <w:rPr>
          <w:sz w:val="24"/>
          <w:szCs w:val="24"/>
        </w:rPr>
        <w:t xml:space="preserve">h in costs. With staff costs representing such a large proportion of expenditure, many providers had </w:t>
      </w:r>
      <w:r w:rsidR="003A07B9">
        <w:rPr>
          <w:sz w:val="24"/>
          <w:szCs w:val="24"/>
        </w:rPr>
        <w:t>reviewed rosters</w:t>
      </w:r>
      <w:r w:rsidR="00790471">
        <w:rPr>
          <w:sz w:val="24"/>
          <w:szCs w:val="24"/>
        </w:rPr>
        <w:t xml:space="preserve"> in an effort</w:t>
      </w:r>
      <w:r w:rsidR="000369D8">
        <w:rPr>
          <w:sz w:val="24"/>
          <w:szCs w:val="24"/>
        </w:rPr>
        <w:t xml:space="preserve"> to reduce staff hours. A few</w:t>
      </w:r>
      <w:r w:rsidR="00790471">
        <w:rPr>
          <w:sz w:val="24"/>
          <w:szCs w:val="24"/>
        </w:rPr>
        <w:t xml:space="preserve"> said they had </w:t>
      </w:r>
      <w:r w:rsidR="00E74CF6">
        <w:rPr>
          <w:sz w:val="24"/>
          <w:szCs w:val="24"/>
        </w:rPr>
        <w:t>initiated redundancies</w:t>
      </w:r>
      <w:r w:rsidR="00790471">
        <w:rPr>
          <w:sz w:val="24"/>
          <w:szCs w:val="24"/>
        </w:rPr>
        <w:t xml:space="preserve">, although most said they were targeting ancillary and administrative staff rather than care staff. It was observed that adjusting staff hours can take time and prove difficult given the need for consultation with staff and the unions along with restrictions in some of the </w:t>
      </w:r>
      <w:r w:rsidR="003A07B9">
        <w:rPr>
          <w:sz w:val="24"/>
          <w:szCs w:val="24"/>
        </w:rPr>
        <w:t>awards. As</w:t>
      </w:r>
      <w:r w:rsidR="00790471">
        <w:rPr>
          <w:sz w:val="24"/>
          <w:szCs w:val="24"/>
        </w:rPr>
        <w:t xml:space="preserve"> regards wages, most providers said their Enterprise Bargaining Agreements provided for wage </w:t>
      </w:r>
      <w:r w:rsidR="003A07B9">
        <w:rPr>
          <w:sz w:val="24"/>
          <w:szCs w:val="24"/>
        </w:rPr>
        <w:t>increases</w:t>
      </w:r>
      <w:r w:rsidR="00790471">
        <w:rPr>
          <w:sz w:val="24"/>
          <w:szCs w:val="24"/>
        </w:rPr>
        <w:t xml:space="preserve"> of between two to three percent.</w:t>
      </w:r>
      <w:r w:rsidR="00A03820">
        <w:rPr>
          <w:sz w:val="24"/>
          <w:szCs w:val="24"/>
        </w:rPr>
        <w:t xml:space="preserve"> It was pointed out that wage </w:t>
      </w:r>
      <w:r w:rsidR="003A07B9">
        <w:rPr>
          <w:sz w:val="24"/>
          <w:szCs w:val="24"/>
        </w:rPr>
        <w:t>increases</w:t>
      </w:r>
      <w:r w:rsidR="00A03820">
        <w:rPr>
          <w:sz w:val="24"/>
          <w:szCs w:val="24"/>
        </w:rPr>
        <w:t xml:space="preserve"> in the aged care sector have been higher than </w:t>
      </w:r>
      <w:proofErr w:type="gramStart"/>
      <w:r w:rsidR="00A03820">
        <w:rPr>
          <w:sz w:val="24"/>
          <w:szCs w:val="24"/>
        </w:rPr>
        <w:t>those</w:t>
      </w:r>
      <w:proofErr w:type="gramEnd"/>
      <w:r w:rsidR="00A03820">
        <w:rPr>
          <w:sz w:val="24"/>
          <w:szCs w:val="24"/>
        </w:rPr>
        <w:t xml:space="preserve"> elsewhere in the economy because aged care worker pay rates are close to the minimum wage and the increase in the minimum wage was 3.3 per cent in 2017 and 3.5</w:t>
      </w:r>
      <w:r w:rsidR="001A2A43">
        <w:rPr>
          <w:sz w:val="24"/>
          <w:szCs w:val="24"/>
        </w:rPr>
        <w:t> per </w:t>
      </w:r>
      <w:r w:rsidR="00A03820">
        <w:rPr>
          <w:sz w:val="24"/>
          <w:szCs w:val="24"/>
        </w:rPr>
        <w:t>cent in 2018.</w:t>
      </w:r>
      <w:r w:rsidR="002919DE">
        <w:rPr>
          <w:sz w:val="24"/>
          <w:szCs w:val="24"/>
        </w:rPr>
        <w:t xml:space="preserve"> Providers contrasted this with the low level </w:t>
      </w:r>
      <w:r w:rsidR="00FF1BE9">
        <w:rPr>
          <w:sz w:val="24"/>
          <w:szCs w:val="24"/>
        </w:rPr>
        <w:t>of ACFI</w:t>
      </w:r>
      <w:r w:rsidR="004803C3">
        <w:rPr>
          <w:sz w:val="24"/>
          <w:szCs w:val="24"/>
        </w:rPr>
        <w:t xml:space="preserve"> indexation</w:t>
      </w:r>
      <w:r w:rsidR="001A2A43">
        <w:rPr>
          <w:sz w:val="24"/>
          <w:szCs w:val="24"/>
        </w:rPr>
        <w:t xml:space="preserve"> in 2018</w:t>
      </w:r>
      <w:r w:rsidR="001A2A43">
        <w:rPr>
          <w:sz w:val="24"/>
          <w:szCs w:val="24"/>
        </w:rPr>
        <w:noBreakHyphen/>
      </w:r>
      <w:r w:rsidR="00B36E63">
        <w:rPr>
          <w:sz w:val="24"/>
          <w:szCs w:val="24"/>
        </w:rPr>
        <w:t>19.</w:t>
      </w:r>
    </w:p>
    <w:p w14:paraId="3F2490DB" w14:textId="77777777" w:rsidR="000729FB" w:rsidRDefault="00A03820" w:rsidP="00591258">
      <w:pPr>
        <w:rPr>
          <w:sz w:val="24"/>
          <w:szCs w:val="24"/>
        </w:rPr>
      </w:pPr>
      <w:r>
        <w:rPr>
          <w:sz w:val="24"/>
          <w:szCs w:val="24"/>
        </w:rPr>
        <w:t xml:space="preserve">A number of providers said that they have cut back on staff training and development in order to reduce outlays. Other areas where there have been cost saving </w:t>
      </w:r>
      <w:r w:rsidR="003A07B9">
        <w:rPr>
          <w:sz w:val="24"/>
          <w:szCs w:val="24"/>
        </w:rPr>
        <w:t>changes</w:t>
      </w:r>
      <w:r>
        <w:rPr>
          <w:sz w:val="24"/>
          <w:szCs w:val="24"/>
        </w:rPr>
        <w:t xml:space="preserve"> are in the provision of non-</w:t>
      </w:r>
      <w:r w:rsidR="00FF1BE9">
        <w:rPr>
          <w:sz w:val="24"/>
          <w:szCs w:val="24"/>
        </w:rPr>
        <w:t>clinical services</w:t>
      </w:r>
      <w:r w:rsidR="00E1167B">
        <w:rPr>
          <w:sz w:val="24"/>
          <w:szCs w:val="24"/>
        </w:rPr>
        <w:t xml:space="preserve"> </w:t>
      </w:r>
      <w:r w:rsidR="00163EF6">
        <w:rPr>
          <w:sz w:val="24"/>
          <w:szCs w:val="24"/>
        </w:rPr>
        <w:t>– spiritual</w:t>
      </w:r>
      <w:r>
        <w:rPr>
          <w:sz w:val="24"/>
          <w:szCs w:val="24"/>
        </w:rPr>
        <w:t xml:space="preserve">, pastoral and life-style activities, such as outings. </w:t>
      </w:r>
      <w:r w:rsidR="00622954">
        <w:rPr>
          <w:sz w:val="24"/>
          <w:szCs w:val="24"/>
        </w:rPr>
        <w:t>Some providers said they have o</w:t>
      </w:r>
      <w:r w:rsidR="000369D8">
        <w:rPr>
          <w:sz w:val="24"/>
          <w:szCs w:val="24"/>
        </w:rPr>
        <w:t xml:space="preserve">ut sourced the provision </w:t>
      </w:r>
      <w:r w:rsidR="00E74CF6">
        <w:rPr>
          <w:sz w:val="24"/>
          <w:szCs w:val="24"/>
        </w:rPr>
        <w:t>of services</w:t>
      </w:r>
      <w:r w:rsidR="00622954">
        <w:rPr>
          <w:sz w:val="24"/>
          <w:szCs w:val="24"/>
        </w:rPr>
        <w:t xml:space="preserve"> in an effort to achieve savings and have renegotiated procurement agreements. </w:t>
      </w:r>
      <w:r w:rsidR="00E1167B">
        <w:rPr>
          <w:sz w:val="24"/>
          <w:szCs w:val="24"/>
        </w:rPr>
        <w:t>Othe</w:t>
      </w:r>
      <w:r w:rsidR="00566407">
        <w:rPr>
          <w:sz w:val="24"/>
          <w:szCs w:val="24"/>
        </w:rPr>
        <w:t>rs have found savings by bringing</w:t>
      </w:r>
      <w:r w:rsidR="00E1167B">
        <w:rPr>
          <w:sz w:val="24"/>
          <w:szCs w:val="24"/>
        </w:rPr>
        <w:t xml:space="preserve"> previously outsourced services in-house. </w:t>
      </w:r>
      <w:r w:rsidR="00622954">
        <w:rPr>
          <w:sz w:val="24"/>
          <w:szCs w:val="24"/>
        </w:rPr>
        <w:t xml:space="preserve">A point raised many times was the importance of economies of scale in minimising costs, particularly with respect to administration and IT activities. Some providers noted that an important factor explaining </w:t>
      </w:r>
      <w:r w:rsidR="00622954">
        <w:rPr>
          <w:sz w:val="24"/>
          <w:szCs w:val="24"/>
        </w:rPr>
        <w:lastRenderedPageBreak/>
        <w:t xml:space="preserve">variations in financial performance across their facilities was the skill and experience of the facility </w:t>
      </w:r>
      <w:r w:rsidR="003A07B9">
        <w:rPr>
          <w:sz w:val="24"/>
          <w:szCs w:val="24"/>
        </w:rPr>
        <w:t>manager</w:t>
      </w:r>
      <w:r w:rsidR="00622954">
        <w:rPr>
          <w:sz w:val="24"/>
          <w:szCs w:val="24"/>
        </w:rPr>
        <w:t>.</w:t>
      </w:r>
    </w:p>
    <w:p w14:paraId="3F2490DC" w14:textId="77777777" w:rsidR="00622954" w:rsidRDefault="00622954" w:rsidP="001A2A43">
      <w:pPr>
        <w:keepNext/>
        <w:rPr>
          <w:i/>
          <w:sz w:val="24"/>
          <w:szCs w:val="24"/>
        </w:rPr>
      </w:pPr>
      <w:r>
        <w:rPr>
          <w:i/>
          <w:sz w:val="24"/>
          <w:szCs w:val="24"/>
        </w:rPr>
        <w:t>ACFA comment</w:t>
      </w:r>
    </w:p>
    <w:p w14:paraId="3F2490DD" w14:textId="77777777" w:rsidR="00F566ED" w:rsidRDefault="001B44A5" w:rsidP="00591258">
      <w:pPr>
        <w:rPr>
          <w:sz w:val="24"/>
          <w:szCs w:val="24"/>
        </w:rPr>
      </w:pPr>
      <w:r>
        <w:rPr>
          <w:sz w:val="24"/>
          <w:szCs w:val="24"/>
        </w:rPr>
        <w:t xml:space="preserve">The squeeze in margins in 2017-18 has increased pressure on all providers to contain costs. This is relevant because the </w:t>
      </w:r>
      <w:proofErr w:type="spellStart"/>
      <w:r>
        <w:rPr>
          <w:sz w:val="24"/>
          <w:szCs w:val="24"/>
        </w:rPr>
        <w:t>StewartBrown</w:t>
      </w:r>
      <w:proofErr w:type="spellEnd"/>
      <w:r>
        <w:rPr>
          <w:sz w:val="24"/>
          <w:szCs w:val="24"/>
        </w:rPr>
        <w:t xml:space="preserve"> benchmarking of the financial performance of the sector highlights that an important driver of profitability in residential aged care is prudent cost management. The top </w:t>
      </w:r>
      <w:proofErr w:type="gramStart"/>
      <w:r>
        <w:rPr>
          <w:sz w:val="24"/>
          <w:szCs w:val="24"/>
        </w:rPr>
        <w:t>quartile of providers in terms of EBITDA are</w:t>
      </w:r>
      <w:proofErr w:type="gramEnd"/>
      <w:r>
        <w:rPr>
          <w:sz w:val="24"/>
          <w:szCs w:val="24"/>
        </w:rPr>
        <w:t xml:space="preserve"> the lowest cost providers. In addition, scale is becoming increasingly important in the residential aged care sector. </w:t>
      </w:r>
      <w:r w:rsidR="00F566ED">
        <w:rPr>
          <w:sz w:val="24"/>
          <w:szCs w:val="24"/>
        </w:rPr>
        <w:t xml:space="preserve">While the </w:t>
      </w:r>
      <w:r w:rsidR="009C0D6A">
        <w:rPr>
          <w:sz w:val="24"/>
          <w:szCs w:val="24"/>
        </w:rPr>
        <w:t>industry</w:t>
      </w:r>
      <w:r w:rsidR="00F566ED">
        <w:rPr>
          <w:sz w:val="24"/>
          <w:szCs w:val="24"/>
        </w:rPr>
        <w:t xml:space="preserve"> has consolidated over recent years, the ongoing pressure to keep costs as low as possible and achieve economies of scale is likely to increase the pace of consolidation.</w:t>
      </w:r>
    </w:p>
    <w:p w14:paraId="3F2490DE" w14:textId="77777777" w:rsidR="00F566ED" w:rsidRDefault="00F566ED" w:rsidP="00CB25A6">
      <w:pPr>
        <w:pStyle w:val="Heading3"/>
      </w:pPr>
      <w:bookmarkStart w:id="15" w:name="_Toc525127632"/>
      <w:r>
        <w:t>Additional services</w:t>
      </w:r>
      <w:bookmarkEnd w:id="15"/>
    </w:p>
    <w:p w14:paraId="3F2490DF" w14:textId="77777777" w:rsidR="007E75AF" w:rsidRPr="007E75AF" w:rsidRDefault="007E75AF" w:rsidP="001A2A43">
      <w:pPr>
        <w:keepNext/>
        <w:rPr>
          <w:i/>
          <w:sz w:val="24"/>
          <w:szCs w:val="24"/>
        </w:rPr>
      </w:pPr>
      <w:r w:rsidRPr="007E75AF">
        <w:rPr>
          <w:i/>
          <w:sz w:val="24"/>
          <w:szCs w:val="24"/>
        </w:rPr>
        <w:t>Feedback</w:t>
      </w:r>
    </w:p>
    <w:p w14:paraId="3F2490E0" w14:textId="77777777" w:rsidR="00F65080" w:rsidRDefault="00F566ED" w:rsidP="00591258">
      <w:pPr>
        <w:rPr>
          <w:sz w:val="24"/>
          <w:szCs w:val="24"/>
        </w:rPr>
      </w:pPr>
      <w:r>
        <w:rPr>
          <w:sz w:val="24"/>
          <w:szCs w:val="24"/>
        </w:rPr>
        <w:t>The provision of additional services for a fee, that is care and services in a non-extra service facility that are over and above those that providers are required to provide, currently varies across providers</w:t>
      </w:r>
      <w:r w:rsidR="00986FFA">
        <w:rPr>
          <w:sz w:val="24"/>
          <w:szCs w:val="24"/>
        </w:rPr>
        <w:t>. Some facilities, particularly for</w:t>
      </w:r>
      <w:r w:rsidR="00135DB4">
        <w:rPr>
          <w:sz w:val="24"/>
          <w:szCs w:val="24"/>
        </w:rPr>
        <w:noBreakHyphen/>
      </w:r>
      <w:r w:rsidR="00986FFA">
        <w:rPr>
          <w:sz w:val="24"/>
          <w:szCs w:val="24"/>
        </w:rPr>
        <w:t xml:space="preserve">profit, offer packages of additional services for </w:t>
      </w:r>
      <w:r w:rsidR="003A07B9">
        <w:rPr>
          <w:sz w:val="24"/>
          <w:szCs w:val="24"/>
        </w:rPr>
        <w:t>varying</w:t>
      </w:r>
      <w:r w:rsidR="00986FFA">
        <w:rPr>
          <w:sz w:val="24"/>
          <w:szCs w:val="24"/>
        </w:rPr>
        <w:t xml:space="preserve"> fees</w:t>
      </w:r>
      <w:r w:rsidR="002919DE">
        <w:rPr>
          <w:sz w:val="24"/>
          <w:szCs w:val="24"/>
        </w:rPr>
        <w:t>,</w:t>
      </w:r>
      <w:r w:rsidR="00986FFA">
        <w:rPr>
          <w:sz w:val="24"/>
          <w:szCs w:val="24"/>
        </w:rPr>
        <w:t xml:space="preserve"> and a consumer</w:t>
      </w:r>
      <w:r w:rsidR="00F65080">
        <w:rPr>
          <w:sz w:val="24"/>
          <w:szCs w:val="24"/>
        </w:rPr>
        <w:t xml:space="preserve"> has to choose one of those </w:t>
      </w:r>
      <w:r w:rsidR="003A07B9">
        <w:rPr>
          <w:sz w:val="24"/>
          <w:szCs w:val="24"/>
        </w:rPr>
        <w:t>packages</w:t>
      </w:r>
      <w:r w:rsidR="00986FFA">
        <w:rPr>
          <w:sz w:val="24"/>
          <w:szCs w:val="24"/>
        </w:rPr>
        <w:t xml:space="preserve"> to become a resident in that facility. Such facilities said they </w:t>
      </w:r>
      <w:r w:rsidR="003A07B9">
        <w:rPr>
          <w:sz w:val="24"/>
          <w:szCs w:val="24"/>
        </w:rPr>
        <w:t>had little</w:t>
      </w:r>
      <w:r w:rsidR="00986FFA">
        <w:rPr>
          <w:sz w:val="24"/>
          <w:szCs w:val="24"/>
        </w:rPr>
        <w:t xml:space="preserve"> scope to offset constraints on ACFI funding through increasing additional services income. Many provid</w:t>
      </w:r>
      <w:r w:rsidR="001A2A43">
        <w:rPr>
          <w:sz w:val="24"/>
          <w:szCs w:val="24"/>
        </w:rPr>
        <w:t>ers, both in the profit and not</w:t>
      </w:r>
      <w:r w:rsidR="001A2A43">
        <w:rPr>
          <w:sz w:val="24"/>
          <w:szCs w:val="24"/>
        </w:rPr>
        <w:noBreakHyphen/>
        <w:t>for</w:t>
      </w:r>
      <w:r w:rsidR="001A2A43">
        <w:rPr>
          <w:sz w:val="24"/>
          <w:szCs w:val="24"/>
        </w:rPr>
        <w:noBreakHyphen/>
      </w:r>
      <w:r w:rsidR="003A07B9">
        <w:rPr>
          <w:sz w:val="24"/>
          <w:szCs w:val="24"/>
        </w:rPr>
        <w:t>profit</w:t>
      </w:r>
      <w:r w:rsidR="00986FFA">
        <w:rPr>
          <w:sz w:val="24"/>
          <w:szCs w:val="24"/>
        </w:rPr>
        <w:t xml:space="preserve"> sectors currently offer limited or no additiona</w:t>
      </w:r>
      <w:r w:rsidR="001A2A43">
        <w:rPr>
          <w:sz w:val="24"/>
          <w:szCs w:val="24"/>
        </w:rPr>
        <w:t>l services. A number of the not</w:t>
      </w:r>
      <w:r w:rsidR="001A2A43">
        <w:rPr>
          <w:sz w:val="24"/>
          <w:szCs w:val="24"/>
        </w:rPr>
        <w:noBreakHyphen/>
        <w:t>for</w:t>
      </w:r>
      <w:r w:rsidR="001A2A43">
        <w:rPr>
          <w:sz w:val="24"/>
          <w:szCs w:val="24"/>
        </w:rPr>
        <w:noBreakHyphen/>
      </w:r>
      <w:r w:rsidR="00986FFA">
        <w:rPr>
          <w:sz w:val="24"/>
          <w:szCs w:val="24"/>
        </w:rPr>
        <w:t xml:space="preserve">profit providers said offering additional services for a fee caused concerns with their mission values. </w:t>
      </w:r>
      <w:r w:rsidR="00CF1762">
        <w:rPr>
          <w:sz w:val="24"/>
          <w:szCs w:val="24"/>
        </w:rPr>
        <w:t xml:space="preserve">Nevertheless, many said that given financial pressures they felt it necessary to introduce, or at least explore the feasibility, of introducing fees for additional services. Some said that they would provide the same additional services for all residents, but would only charge those who could afford to pay. Other providers said that they operated facilities in low socio-economic areas and there was little scope to increase their revenue through introducing additional services. </w:t>
      </w:r>
      <w:r w:rsidR="007E75AF">
        <w:rPr>
          <w:sz w:val="24"/>
          <w:szCs w:val="24"/>
        </w:rPr>
        <w:t xml:space="preserve">The scope to increase a </w:t>
      </w:r>
      <w:r w:rsidR="00FF1BE9">
        <w:rPr>
          <w:sz w:val="24"/>
          <w:szCs w:val="24"/>
        </w:rPr>
        <w:t>facility’s revenue</w:t>
      </w:r>
      <w:r w:rsidR="007E75AF">
        <w:rPr>
          <w:sz w:val="24"/>
          <w:szCs w:val="24"/>
        </w:rPr>
        <w:t xml:space="preserve"> through offering additional services for a fee was considered to be </w:t>
      </w:r>
      <w:r w:rsidR="003A07B9">
        <w:rPr>
          <w:sz w:val="24"/>
          <w:szCs w:val="24"/>
        </w:rPr>
        <w:t>negligible</w:t>
      </w:r>
      <w:r w:rsidR="007E75AF">
        <w:rPr>
          <w:sz w:val="24"/>
          <w:szCs w:val="24"/>
        </w:rPr>
        <w:t xml:space="preserve"> in most rural and remote areas.</w:t>
      </w:r>
    </w:p>
    <w:p w14:paraId="3F2490E1" w14:textId="77777777" w:rsidR="00790471" w:rsidRDefault="00CF1762" w:rsidP="00591258">
      <w:pPr>
        <w:rPr>
          <w:sz w:val="24"/>
          <w:szCs w:val="24"/>
        </w:rPr>
      </w:pPr>
      <w:r>
        <w:rPr>
          <w:sz w:val="24"/>
          <w:szCs w:val="24"/>
        </w:rPr>
        <w:t xml:space="preserve">Some providers said the main constraint they faced in introducing additional services was the </w:t>
      </w:r>
      <w:r w:rsidR="000369D8">
        <w:rPr>
          <w:sz w:val="24"/>
          <w:szCs w:val="24"/>
        </w:rPr>
        <w:t>imprecision</w:t>
      </w:r>
      <w:r>
        <w:rPr>
          <w:sz w:val="24"/>
          <w:szCs w:val="24"/>
        </w:rPr>
        <w:t xml:space="preserve"> around what was allowed</w:t>
      </w:r>
      <w:r w:rsidR="002919DE">
        <w:rPr>
          <w:sz w:val="24"/>
          <w:szCs w:val="24"/>
        </w:rPr>
        <w:t>,</w:t>
      </w:r>
      <w:r>
        <w:rPr>
          <w:sz w:val="24"/>
          <w:szCs w:val="24"/>
        </w:rPr>
        <w:t xml:space="preserve"> and </w:t>
      </w:r>
      <w:r w:rsidR="007E75AF">
        <w:rPr>
          <w:sz w:val="24"/>
          <w:szCs w:val="24"/>
        </w:rPr>
        <w:t>they wanted to avoid any</w:t>
      </w:r>
      <w:r w:rsidR="000369D8">
        <w:rPr>
          <w:sz w:val="24"/>
          <w:szCs w:val="24"/>
        </w:rPr>
        <w:t xml:space="preserve"> reputational damage that may</w:t>
      </w:r>
      <w:r>
        <w:rPr>
          <w:sz w:val="24"/>
          <w:szCs w:val="24"/>
        </w:rPr>
        <w:t xml:space="preserve"> flow from being accused of charging inappropriate additional service fees. Some providers said that they were currently providing services to residents at no charge while other providers were charging a fee for the provision of the same service. </w:t>
      </w:r>
      <w:r w:rsidR="000369D8">
        <w:rPr>
          <w:sz w:val="24"/>
          <w:szCs w:val="24"/>
        </w:rPr>
        <w:t>In response, some of these providers had introduced an additional service fee for all new residents. However t</w:t>
      </w:r>
      <w:r w:rsidR="007E75AF">
        <w:rPr>
          <w:sz w:val="24"/>
          <w:szCs w:val="24"/>
        </w:rPr>
        <w:t xml:space="preserve">he view was expressed that the practice of many providers making the acceptance </w:t>
      </w:r>
      <w:r w:rsidR="003A07B9">
        <w:rPr>
          <w:sz w:val="24"/>
          <w:szCs w:val="24"/>
        </w:rPr>
        <w:t>of additional</w:t>
      </w:r>
      <w:r w:rsidR="007E75AF">
        <w:rPr>
          <w:sz w:val="24"/>
          <w:szCs w:val="24"/>
        </w:rPr>
        <w:t xml:space="preserve"> service fees as a condition of entry to a facility needed to be clarified.</w:t>
      </w:r>
    </w:p>
    <w:p w14:paraId="3F2490E2" w14:textId="77777777" w:rsidR="007E75AF" w:rsidRDefault="007E75AF" w:rsidP="001A2A43">
      <w:pPr>
        <w:keepNext/>
        <w:rPr>
          <w:i/>
          <w:sz w:val="24"/>
          <w:szCs w:val="24"/>
        </w:rPr>
      </w:pPr>
      <w:r>
        <w:rPr>
          <w:i/>
          <w:sz w:val="24"/>
          <w:szCs w:val="24"/>
        </w:rPr>
        <w:lastRenderedPageBreak/>
        <w:t>ACFA comments</w:t>
      </w:r>
    </w:p>
    <w:p w14:paraId="3F2490E3" w14:textId="77777777" w:rsidR="00F96B42" w:rsidRDefault="009D72AE" w:rsidP="00591258">
      <w:pPr>
        <w:rPr>
          <w:sz w:val="24"/>
          <w:szCs w:val="24"/>
        </w:rPr>
      </w:pPr>
      <w:r>
        <w:rPr>
          <w:sz w:val="24"/>
          <w:szCs w:val="24"/>
        </w:rPr>
        <w:t>Confusion</w:t>
      </w:r>
      <w:r w:rsidR="007E75AF">
        <w:rPr>
          <w:sz w:val="24"/>
          <w:szCs w:val="24"/>
        </w:rPr>
        <w:t xml:space="preserve"> around what services can be included as an addition</w:t>
      </w:r>
      <w:r>
        <w:rPr>
          <w:sz w:val="24"/>
          <w:szCs w:val="24"/>
        </w:rPr>
        <w:t>al service needs to be removed</w:t>
      </w:r>
      <w:r w:rsidR="004965BC">
        <w:rPr>
          <w:sz w:val="24"/>
          <w:szCs w:val="24"/>
        </w:rPr>
        <w:t>. C</w:t>
      </w:r>
      <w:r>
        <w:rPr>
          <w:sz w:val="24"/>
          <w:szCs w:val="24"/>
        </w:rPr>
        <w:t xml:space="preserve">larity </w:t>
      </w:r>
      <w:r w:rsidR="004965BC">
        <w:rPr>
          <w:sz w:val="24"/>
          <w:szCs w:val="24"/>
        </w:rPr>
        <w:t xml:space="preserve">is also required </w:t>
      </w:r>
      <w:r w:rsidR="00971650">
        <w:rPr>
          <w:sz w:val="24"/>
          <w:szCs w:val="24"/>
        </w:rPr>
        <w:t xml:space="preserve">as </w:t>
      </w:r>
      <w:r>
        <w:rPr>
          <w:sz w:val="24"/>
          <w:szCs w:val="24"/>
        </w:rPr>
        <w:t xml:space="preserve">to </w:t>
      </w:r>
      <w:r w:rsidR="00971650">
        <w:rPr>
          <w:sz w:val="24"/>
          <w:szCs w:val="24"/>
        </w:rPr>
        <w:t>whether paying for an additional services package can be a condition of entry into a facility. ACFA notes that the Department of Health has established a working group with provid</w:t>
      </w:r>
      <w:r>
        <w:rPr>
          <w:sz w:val="24"/>
          <w:szCs w:val="24"/>
        </w:rPr>
        <w:t xml:space="preserve">ers to consider </w:t>
      </w:r>
      <w:r w:rsidR="003A07B9">
        <w:rPr>
          <w:sz w:val="24"/>
          <w:szCs w:val="24"/>
        </w:rPr>
        <w:t>the application</w:t>
      </w:r>
      <w:r w:rsidR="00971650">
        <w:rPr>
          <w:sz w:val="24"/>
          <w:szCs w:val="24"/>
        </w:rPr>
        <w:t xml:space="preserve"> of additional service fees. Many providers observed that if the basic daily fee was uncapped, they would abandon charging for additional services and would </w:t>
      </w:r>
      <w:r>
        <w:rPr>
          <w:sz w:val="24"/>
          <w:szCs w:val="24"/>
        </w:rPr>
        <w:t xml:space="preserve">continue to provide these services while </w:t>
      </w:r>
      <w:r w:rsidR="00971650">
        <w:rPr>
          <w:sz w:val="24"/>
          <w:szCs w:val="24"/>
        </w:rPr>
        <w:t>increa</w:t>
      </w:r>
      <w:r>
        <w:rPr>
          <w:sz w:val="24"/>
          <w:szCs w:val="24"/>
        </w:rPr>
        <w:t>sing</w:t>
      </w:r>
      <w:r w:rsidR="00971650">
        <w:rPr>
          <w:sz w:val="24"/>
          <w:szCs w:val="24"/>
        </w:rPr>
        <w:t xml:space="preserve"> the basic daily fee for non-supported residents. The relationship between uncapping the basic daily fee and </w:t>
      </w:r>
      <w:r>
        <w:rPr>
          <w:sz w:val="24"/>
          <w:szCs w:val="24"/>
        </w:rPr>
        <w:t>the application of</w:t>
      </w:r>
      <w:r w:rsidR="003A13D3">
        <w:rPr>
          <w:sz w:val="24"/>
          <w:szCs w:val="24"/>
        </w:rPr>
        <w:t xml:space="preserve"> additional service fees may need to</w:t>
      </w:r>
      <w:r>
        <w:rPr>
          <w:sz w:val="24"/>
          <w:szCs w:val="24"/>
        </w:rPr>
        <w:t xml:space="preserve"> be considered. In a competitive environment, competition between facilities should </w:t>
      </w:r>
      <w:r w:rsidR="006D6217">
        <w:rPr>
          <w:sz w:val="24"/>
          <w:szCs w:val="24"/>
        </w:rPr>
        <w:t xml:space="preserve">help </w:t>
      </w:r>
      <w:r>
        <w:rPr>
          <w:sz w:val="24"/>
          <w:szCs w:val="24"/>
        </w:rPr>
        <w:t xml:space="preserve">ensure that the fees charged are reflected in the quantity and quality of the services provided, and </w:t>
      </w:r>
      <w:r w:rsidR="006D6217">
        <w:rPr>
          <w:sz w:val="24"/>
          <w:szCs w:val="24"/>
        </w:rPr>
        <w:t>regulation could be kept to a minimum</w:t>
      </w:r>
    </w:p>
    <w:p w14:paraId="3F2490E4" w14:textId="77777777" w:rsidR="00385DFD" w:rsidRDefault="00385DFD" w:rsidP="00591258">
      <w:pPr>
        <w:rPr>
          <w:sz w:val="24"/>
          <w:szCs w:val="24"/>
        </w:rPr>
      </w:pPr>
      <w:r>
        <w:rPr>
          <w:sz w:val="24"/>
          <w:szCs w:val="24"/>
        </w:rPr>
        <w:t>Thought should also be given to increasing transparency around additional service fees by requiring providers to publish their additional services and associated fees.</w:t>
      </w:r>
    </w:p>
    <w:p w14:paraId="3F2490E5" w14:textId="77777777" w:rsidR="007E75AF" w:rsidRDefault="00F96B42" w:rsidP="00CB25A6">
      <w:pPr>
        <w:pStyle w:val="Heading3"/>
      </w:pPr>
      <w:bookmarkStart w:id="16" w:name="_Toc525127633"/>
      <w:r>
        <w:t>Accommodation supplements</w:t>
      </w:r>
      <w:r w:rsidR="009D72AE">
        <w:t>.</w:t>
      </w:r>
      <w:bookmarkEnd w:id="16"/>
    </w:p>
    <w:p w14:paraId="3F2490E6" w14:textId="77777777" w:rsidR="00F96B42" w:rsidRDefault="00F96B42" w:rsidP="001A2A43">
      <w:pPr>
        <w:keepNext/>
        <w:rPr>
          <w:i/>
          <w:sz w:val="24"/>
          <w:szCs w:val="24"/>
        </w:rPr>
      </w:pPr>
      <w:r>
        <w:rPr>
          <w:i/>
          <w:sz w:val="24"/>
          <w:szCs w:val="24"/>
        </w:rPr>
        <w:t>Feedback</w:t>
      </w:r>
    </w:p>
    <w:p w14:paraId="3F2490E7" w14:textId="77777777" w:rsidR="00F96B42" w:rsidRDefault="00CC4FC6" w:rsidP="00591258">
      <w:pPr>
        <w:rPr>
          <w:sz w:val="24"/>
          <w:szCs w:val="24"/>
        </w:rPr>
      </w:pPr>
      <w:r>
        <w:rPr>
          <w:sz w:val="24"/>
          <w:szCs w:val="24"/>
        </w:rPr>
        <w:t>A number of providers noted that the</w:t>
      </w:r>
      <w:r w:rsidR="00D06AD1">
        <w:rPr>
          <w:sz w:val="24"/>
          <w:szCs w:val="24"/>
        </w:rPr>
        <w:t>i</w:t>
      </w:r>
      <w:r>
        <w:rPr>
          <w:sz w:val="24"/>
          <w:szCs w:val="24"/>
        </w:rPr>
        <w:t xml:space="preserve">r financial results in 2017-18 benefitted with new and refurbished facilities coming on line and accessing, where eligible, the higher accommodation supplement. </w:t>
      </w:r>
      <w:r w:rsidR="00F96B42">
        <w:rPr>
          <w:sz w:val="24"/>
          <w:szCs w:val="24"/>
        </w:rPr>
        <w:t xml:space="preserve">A higher accommodation supplement </w:t>
      </w:r>
      <w:r>
        <w:rPr>
          <w:sz w:val="24"/>
          <w:szCs w:val="24"/>
        </w:rPr>
        <w:t xml:space="preserve">paid by the Government on behalf of eligible residents </w:t>
      </w:r>
      <w:r w:rsidR="00F96B42">
        <w:rPr>
          <w:sz w:val="24"/>
          <w:szCs w:val="24"/>
        </w:rPr>
        <w:t xml:space="preserve">was introduced </w:t>
      </w:r>
      <w:r>
        <w:rPr>
          <w:sz w:val="24"/>
          <w:szCs w:val="24"/>
        </w:rPr>
        <w:t xml:space="preserve">from July 2014 for significantly refurbished and new facilities. The higher accommodation supplement is available to facilities that have </w:t>
      </w:r>
      <w:r w:rsidR="003A07B9">
        <w:rPr>
          <w:sz w:val="24"/>
          <w:szCs w:val="24"/>
        </w:rPr>
        <w:t>been</w:t>
      </w:r>
      <w:r>
        <w:rPr>
          <w:sz w:val="24"/>
          <w:szCs w:val="24"/>
        </w:rPr>
        <w:t xml:space="preserve"> built or significantly refurbished since 20 April 2012. Some providers indicated that si</w:t>
      </w:r>
      <w:r w:rsidR="000F2993">
        <w:rPr>
          <w:sz w:val="24"/>
          <w:szCs w:val="24"/>
        </w:rPr>
        <w:t>gnificant refurbishment is</w:t>
      </w:r>
      <w:r>
        <w:rPr>
          <w:sz w:val="24"/>
          <w:szCs w:val="24"/>
        </w:rPr>
        <w:t xml:space="preserve"> the </w:t>
      </w:r>
      <w:r w:rsidR="003A07B9">
        <w:rPr>
          <w:sz w:val="24"/>
          <w:szCs w:val="24"/>
        </w:rPr>
        <w:t>‘single</w:t>
      </w:r>
      <w:r>
        <w:rPr>
          <w:sz w:val="24"/>
          <w:szCs w:val="24"/>
        </w:rPr>
        <w:t xml:space="preserve"> most significant revenue strategy’</w:t>
      </w:r>
      <w:r w:rsidR="000F2993">
        <w:rPr>
          <w:sz w:val="24"/>
          <w:szCs w:val="24"/>
        </w:rPr>
        <w:t xml:space="preserve"> that they can implement. However some providers said that while access to the accommodation supplement was an important consideration when considering a refurbishment, in the current uncertain environment the main </w:t>
      </w:r>
      <w:r w:rsidR="003A07B9">
        <w:rPr>
          <w:sz w:val="24"/>
          <w:szCs w:val="24"/>
        </w:rPr>
        <w:t>consideration was</w:t>
      </w:r>
      <w:r w:rsidR="000F2993">
        <w:rPr>
          <w:sz w:val="24"/>
          <w:szCs w:val="24"/>
        </w:rPr>
        <w:t xml:space="preserve"> whether the refurbishment will improve the accommodation value of the facility through increased RADs and DAPs. They noted that this meant that refurbishments would be concentrated in the metropolitan locations rather than in regional and remote areas.</w:t>
      </w:r>
    </w:p>
    <w:p w14:paraId="3F2490E8" w14:textId="77777777" w:rsidR="00706D1E" w:rsidRDefault="00706D1E" w:rsidP="001A2A43">
      <w:pPr>
        <w:keepNext/>
        <w:rPr>
          <w:i/>
          <w:sz w:val="24"/>
          <w:szCs w:val="24"/>
        </w:rPr>
      </w:pPr>
      <w:r>
        <w:rPr>
          <w:i/>
          <w:sz w:val="24"/>
          <w:szCs w:val="24"/>
        </w:rPr>
        <w:t>ACFA comment</w:t>
      </w:r>
    </w:p>
    <w:p w14:paraId="3F2490E9" w14:textId="77777777" w:rsidR="00706D1E" w:rsidRDefault="00706D1E" w:rsidP="00591258">
      <w:pPr>
        <w:rPr>
          <w:sz w:val="24"/>
          <w:szCs w:val="24"/>
        </w:rPr>
      </w:pPr>
      <w:r>
        <w:rPr>
          <w:sz w:val="24"/>
          <w:szCs w:val="24"/>
        </w:rPr>
        <w:t>There remains a large stock of older, multi</w:t>
      </w:r>
      <w:r w:rsidR="003A07B9">
        <w:rPr>
          <w:sz w:val="24"/>
          <w:szCs w:val="24"/>
        </w:rPr>
        <w:t xml:space="preserve"> - </w:t>
      </w:r>
      <w:r>
        <w:rPr>
          <w:sz w:val="24"/>
          <w:szCs w:val="24"/>
        </w:rPr>
        <w:t xml:space="preserve">room facilities that need to be refurbished. The feedback that some providers see refurbishment as an important revenue strategy in the current environment is significant, although as outlined further subsequently, there are a number of factors constraining investment in the residential aged care sector. The prospect that refurbishment will be concentrated on facilities in </w:t>
      </w:r>
      <w:r w:rsidR="003A07B9">
        <w:rPr>
          <w:sz w:val="24"/>
          <w:szCs w:val="24"/>
        </w:rPr>
        <w:t>metropolitan</w:t>
      </w:r>
      <w:r>
        <w:rPr>
          <w:sz w:val="24"/>
          <w:szCs w:val="24"/>
        </w:rPr>
        <w:t xml:space="preserve"> </w:t>
      </w:r>
      <w:r w:rsidR="003A07B9">
        <w:rPr>
          <w:sz w:val="24"/>
          <w:szCs w:val="24"/>
        </w:rPr>
        <w:t>areas</w:t>
      </w:r>
      <w:r>
        <w:rPr>
          <w:sz w:val="24"/>
          <w:szCs w:val="24"/>
        </w:rPr>
        <w:t xml:space="preserve"> further highlights the challenges facing facilities in rural and remote areas</w:t>
      </w:r>
      <w:r w:rsidR="004803C3">
        <w:rPr>
          <w:sz w:val="24"/>
          <w:szCs w:val="24"/>
        </w:rPr>
        <w:t>, although it is noted that rural and remote facilities can apply to the Government for capital grants</w:t>
      </w:r>
      <w:r w:rsidR="001A2A43">
        <w:rPr>
          <w:sz w:val="24"/>
          <w:szCs w:val="24"/>
        </w:rPr>
        <w:t xml:space="preserve"> (</w:t>
      </w:r>
      <w:r w:rsidR="00053B9C">
        <w:rPr>
          <w:sz w:val="24"/>
          <w:szCs w:val="24"/>
        </w:rPr>
        <w:t>which have recently been increased)</w:t>
      </w:r>
      <w:r w:rsidR="0009708B">
        <w:rPr>
          <w:sz w:val="24"/>
          <w:szCs w:val="24"/>
        </w:rPr>
        <w:t xml:space="preserve"> and may be eligible for the viability supplement</w:t>
      </w:r>
      <w:r w:rsidR="00325A80">
        <w:rPr>
          <w:sz w:val="24"/>
          <w:szCs w:val="24"/>
        </w:rPr>
        <w:t>. The adequacy of these grants need</w:t>
      </w:r>
      <w:r w:rsidR="00053B9C">
        <w:rPr>
          <w:sz w:val="24"/>
          <w:szCs w:val="24"/>
        </w:rPr>
        <w:t>s</w:t>
      </w:r>
      <w:r w:rsidR="00325A80">
        <w:rPr>
          <w:sz w:val="24"/>
          <w:szCs w:val="24"/>
        </w:rPr>
        <w:t xml:space="preserve"> to be </w:t>
      </w:r>
      <w:r w:rsidR="00053B9C">
        <w:rPr>
          <w:sz w:val="24"/>
          <w:szCs w:val="24"/>
        </w:rPr>
        <w:t>monitored.</w:t>
      </w:r>
    </w:p>
    <w:p w14:paraId="3F2490EA" w14:textId="77777777" w:rsidR="00706D1E" w:rsidRDefault="00706D1E" w:rsidP="00CB25A6">
      <w:pPr>
        <w:pStyle w:val="Heading3"/>
      </w:pPr>
      <w:bookmarkStart w:id="17" w:name="_Toc525127634"/>
      <w:r>
        <w:lastRenderedPageBreak/>
        <w:t>Quality considerations</w:t>
      </w:r>
      <w:bookmarkEnd w:id="17"/>
    </w:p>
    <w:p w14:paraId="3F2490EB" w14:textId="77777777" w:rsidR="00A94690" w:rsidRPr="00A94690" w:rsidRDefault="00A94690" w:rsidP="001A2A43">
      <w:pPr>
        <w:keepNext/>
        <w:rPr>
          <w:i/>
          <w:sz w:val="24"/>
          <w:szCs w:val="24"/>
        </w:rPr>
      </w:pPr>
      <w:r>
        <w:rPr>
          <w:i/>
          <w:sz w:val="24"/>
          <w:szCs w:val="24"/>
        </w:rPr>
        <w:t>Feedback</w:t>
      </w:r>
    </w:p>
    <w:p w14:paraId="3F2490EC" w14:textId="77777777" w:rsidR="00706D1E" w:rsidRDefault="00A94690" w:rsidP="00591258">
      <w:pPr>
        <w:rPr>
          <w:sz w:val="24"/>
          <w:szCs w:val="24"/>
        </w:rPr>
      </w:pPr>
      <w:r>
        <w:rPr>
          <w:sz w:val="24"/>
          <w:szCs w:val="24"/>
        </w:rPr>
        <w:t xml:space="preserve">All providers said that the increased activity of the Aged Care Quality Agency was adding to their costs and impacting on staff morale. Providers reported that a stricter approach by the Quality Agency resulted in them having to devote additional resources to deal with quality audits as well as the approach of the </w:t>
      </w:r>
      <w:r w:rsidR="00D06AD1">
        <w:rPr>
          <w:sz w:val="24"/>
          <w:szCs w:val="24"/>
        </w:rPr>
        <w:t>A</w:t>
      </w:r>
      <w:r>
        <w:rPr>
          <w:sz w:val="24"/>
          <w:szCs w:val="24"/>
        </w:rPr>
        <w:t xml:space="preserve">gency putting pressure on them to </w:t>
      </w:r>
      <w:r w:rsidR="00FF1BE9">
        <w:rPr>
          <w:sz w:val="24"/>
          <w:szCs w:val="24"/>
        </w:rPr>
        <w:t>increase staff</w:t>
      </w:r>
      <w:r>
        <w:rPr>
          <w:sz w:val="24"/>
          <w:szCs w:val="24"/>
        </w:rPr>
        <w:t xml:space="preserve"> </w:t>
      </w:r>
      <w:r w:rsidR="0060618D">
        <w:rPr>
          <w:sz w:val="24"/>
          <w:szCs w:val="24"/>
        </w:rPr>
        <w:t xml:space="preserve">numbers and </w:t>
      </w:r>
      <w:r w:rsidR="00E27DD5">
        <w:rPr>
          <w:sz w:val="24"/>
          <w:szCs w:val="24"/>
        </w:rPr>
        <w:t>skills at</w:t>
      </w:r>
      <w:r>
        <w:rPr>
          <w:sz w:val="24"/>
          <w:szCs w:val="24"/>
        </w:rPr>
        <w:t xml:space="preserve"> a time when revenue constrain</w:t>
      </w:r>
      <w:r w:rsidR="00D06AD1">
        <w:rPr>
          <w:sz w:val="24"/>
          <w:szCs w:val="24"/>
        </w:rPr>
        <w:t>t</w:t>
      </w:r>
      <w:r>
        <w:rPr>
          <w:sz w:val="24"/>
          <w:szCs w:val="24"/>
        </w:rPr>
        <w:t xml:space="preserve"> was forcing them to attempt to reduce staff </w:t>
      </w:r>
      <w:r w:rsidR="00FF1BE9">
        <w:rPr>
          <w:sz w:val="24"/>
          <w:szCs w:val="24"/>
        </w:rPr>
        <w:t xml:space="preserve">numbers. </w:t>
      </w:r>
      <w:r>
        <w:rPr>
          <w:sz w:val="24"/>
          <w:szCs w:val="24"/>
        </w:rPr>
        <w:t>Providers are apprehensive as to the additional pressure that will be placed on co</w:t>
      </w:r>
      <w:r w:rsidR="0060618D">
        <w:rPr>
          <w:sz w:val="24"/>
          <w:szCs w:val="24"/>
        </w:rPr>
        <w:t>s</w:t>
      </w:r>
      <w:r>
        <w:rPr>
          <w:sz w:val="24"/>
          <w:szCs w:val="24"/>
        </w:rPr>
        <w:t xml:space="preserve">ts with the introduction of </w:t>
      </w:r>
      <w:r w:rsidR="00590CBC">
        <w:rPr>
          <w:sz w:val="24"/>
          <w:szCs w:val="24"/>
        </w:rPr>
        <w:t xml:space="preserve">additional </w:t>
      </w:r>
      <w:r>
        <w:rPr>
          <w:sz w:val="24"/>
          <w:szCs w:val="24"/>
        </w:rPr>
        <w:t>unannounced audit inspections.</w:t>
      </w:r>
    </w:p>
    <w:p w14:paraId="3F2490ED" w14:textId="77777777" w:rsidR="00A94690" w:rsidRDefault="00A94690" w:rsidP="001A2A43">
      <w:pPr>
        <w:keepNext/>
        <w:rPr>
          <w:i/>
          <w:sz w:val="24"/>
          <w:szCs w:val="24"/>
        </w:rPr>
      </w:pPr>
      <w:r>
        <w:rPr>
          <w:i/>
          <w:sz w:val="24"/>
          <w:szCs w:val="24"/>
        </w:rPr>
        <w:t>ACFA comment</w:t>
      </w:r>
    </w:p>
    <w:p w14:paraId="3F2490EE" w14:textId="77777777" w:rsidR="00A94690" w:rsidRDefault="00EE0E99" w:rsidP="00591258">
      <w:pPr>
        <w:rPr>
          <w:sz w:val="24"/>
          <w:szCs w:val="24"/>
        </w:rPr>
      </w:pPr>
      <w:r>
        <w:rPr>
          <w:sz w:val="24"/>
          <w:szCs w:val="24"/>
        </w:rPr>
        <w:t>While ACFA considers that a focus on ensuring high care quality is appropriate, p</w:t>
      </w:r>
      <w:r w:rsidR="00677060">
        <w:rPr>
          <w:sz w:val="24"/>
          <w:szCs w:val="24"/>
        </w:rPr>
        <w:t xml:space="preserve">roviders feel they are being squeezed </w:t>
      </w:r>
      <w:r w:rsidR="003A07B9">
        <w:rPr>
          <w:sz w:val="24"/>
          <w:szCs w:val="24"/>
        </w:rPr>
        <w:t>between</w:t>
      </w:r>
      <w:r w:rsidR="00677060">
        <w:rPr>
          <w:sz w:val="24"/>
          <w:szCs w:val="24"/>
        </w:rPr>
        <w:t xml:space="preserve"> the pressure from the </w:t>
      </w:r>
      <w:r w:rsidR="00FF1BE9">
        <w:rPr>
          <w:sz w:val="24"/>
          <w:szCs w:val="24"/>
        </w:rPr>
        <w:t>ACFI changes</w:t>
      </w:r>
      <w:r w:rsidR="00677060">
        <w:rPr>
          <w:sz w:val="24"/>
          <w:szCs w:val="24"/>
        </w:rPr>
        <w:t xml:space="preserve"> to reduce </w:t>
      </w:r>
      <w:r w:rsidR="00590CBC">
        <w:rPr>
          <w:sz w:val="24"/>
          <w:szCs w:val="24"/>
        </w:rPr>
        <w:t xml:space="preserve">operating and </w:t>
      </w:r>
      <w:r w:rsidR="00677060">
        <w:rPr>
          <w:sz w:val="24"/>
          <w:szCs w:val="24"/>
        </w:rPr>
        <w:t xml:space="preserve">staff costs and the pressure from increased quality audit activity to increase staff </w:t>
      </w:r>
      <w:r w:rsidR="0060618D">
        <w:rPr>
          <w:sz w:val="24"/>
          <w:szCs w:val="24"/>
        </w:rPr>
        <w:t xml:space="preserve">numbers and </w:t>
      </w:r>
      <w:r w:rsidR="00432473">
        <w:rPr>
          <w:sz w:val="24"/>
          <w:szCs w:val="24"/>
        </w:rPr>
        <w:t>skills</w:t>
      </w:r>
      <w:r w:rsidR="00677060">
        <w:rPr>
          <w:sz w:val="24"/>
          <w:szCs w:val="24"/>
        </w:rPr>
        <w:t>, and in turn staff costs. Th</w:t>
      </w:r>
      <w:r w:rsidR="009C0D6A">
        <w:rPr>
          <w:sz w:val="24"/>
          <w:szCs w:val="24"/>
        </w:rPr>
        <w:t>is</w:t>
      </w:r>
      <w:r w:rsidR="00677060">
        <w:rPr>
          <w:sz w:val="24"/>
          <w:szCs w:val="24"/>
        </w:rPr>
        <w:t xml:space="preserve"> divergence is adding to the uncertainty of providers regarding the direction of Government policy. The impact of current pressures, both financial and quality, on staff morale is significant in that it is reducing the attractiveness of the aged care sector as a place where people will want to work when providers say a major challenge they face is attracting </w:t>
      </w:r>
      <w:r w:rsidR="00590CBC">
        <w:rPr>
          <w:sz w:val="24"/>
          <w:szCs w:val="24"/>
        </w:rPr>
        <w:t xml:space="preserve">and retaining </w:t>
      </w:r>
      <w:r w:rsidR="00677060">
        <w:rPr>
          <w:sz w:val="24"/>
          <w:szCs w:val="24"/>
        </w:rPr>
        <w:t xml:space="preserve">the workforce necessary to </w:t>
      </w:r>
      <w:r w:rsidR="00590CBC">
        <w:rPr>
          <w:sz w:val="24"/>
          <w:szCs w:val="24"/>
        </w:rPr>
        <w:t xml:space="preserve">manage their services and </w:t>
      </w:r>
      <w:r w:rsidR="00677060">
        <w:rPr>
          <w:sz w:val="24"/>
          <w:szCs w:val="24"/>
        </w:rPr>
        <w:t>deal with the requirements of an aging population.</w:t>
      </w:r>
    </w:p>
    <w:p w14:paraId="3F2490EF" w14:textId="77777777" w:rsidR="00677060" w:rsidRDefault="00677060" w:rsidP="00CB25A6">
      <w:pPr>
        <w:pStyle w:val="Heading3"/>
      </w:pPr>
      <w:bookmarkStart w:id="18" w:name="_Toc525127635"/>
      <w:r>
        <w:t>Future investment plans</w:t>
      </w:r>
      <w:bookmarkEnd w:id="18"/>
    </w:p>
    <w:p w14:paraId="3F2490F0" w14:textId="77777777" w:rsidR="00677060" w:rsidRDefault="00677060" w:rsidP="001A2A43">
      <w:pPr>
        <w:keepNext/>
        <w:rPr>
          <w:i/>
          <w:sz w:val="24"/>
          <w:szCs w:val="24"/>
        </w:rPr>
      </w:pPr>
      <w:r>
        <w:rPr>
          <w:i/>
          <w:sz w:val="24"/>
          <w:szCs w:val="24"/>
        </w:rPr>
        <w:t>Feedback</w:t>
      </w:r>
    </w:p>
    <w:p w14:paraId="3F2490F1" w14:textId="77777777" w:rsidR="00677060" w:rsidRDefault="004F2C5E" w:rsidP="00591258">
      <w:pPr>
        <w:rPr>
          <w:sz w:val="24"/>
          <w:szCs w:val="24"/>
        </w:rPr>
      </w:pPr>
      <w:r>
        <w:rPr>
          <w:sz w:val="24"/>
          <w:szCs w:val="24"/>
        </w:rPr>
        <w:t>Many for</w:t>
      </w:r>
      <w:r w:rsidR="00D06AD1">
        <w:rPr>
          <w:sz w:val="24"/>
          <w:szCs w:val="24"/>
        </w:rPr>
        <w:t>-</w:t>
      </w:r>
      <w:r>
        <w:rPr>
          <w:sz w:val="24"/>
          <w:szCs w:val="24"/>
        </w:rPr>
        <w:t xml:space="preserve">profit providers emphasised that the current return on capital </w:t>
      </w:r>
      <w:r w:rsidR="00515B20">
        <w:rPr>
          <w:sz w:val="24"/>
          <w:szCs w:val="24"/>
        </w:rPr>
        <w:t xml:space="preserve">employed in the residential aged care sector is below the cost of capital and in the absence of any </w:t>
      </w:r>
      <w:proofErr w:type="gramStart"/>
      <w:r w:rsidR="00515B20">
        <w:rPr>
          <w:sz w:val="24"/>
          <w:szCs w:val="24"/>
        </w:rPr>
        <w:t>change,</w:t>
      </w:r>
      <w:proofErr w:type="gramEnd"/>
      <w:r w:rsidR="00515B20">
        <w:rPr>
          <w:sz w:val="24"/>
          <w:szCs w:val="24"/>
        </w:rPr>
        <w:t xml:space="preserve"> providers will no longer invest in residential aged care. </w:t>
      </w:r>
      <w:proofErr w:type="spellStart"/>
      <w:r w:rsidR="00515B20">
        <w:rPr>
          <w:sz w:val="24"/>
          <w:szCs w:val="24"/>
        </w:rPr>
        <w:t>StewartBrown</w:t>
      </w:r>
      <w:proofErr w:type="spellEnd"/>
      <w:r w:rsidR="00515B20">
        <w:rPr>
          <w:sz w:val="24"/>
          <w:szCs w:val="24"/>
        </w:rPr>
        <w:t xml:space="preserve"> suggests that when assessing financial performance of aged care providers</w:t>
      </w:r>
      <w:r w:rsidR="007126C4">
        <w:rPr>
          <w:sz w:val="24"/>
          <w:szCs w:val="24"/>
        </w:rPr>
        <w:t>, an appropriate measure is the Return on Assets employed (</w:t>
      </w:r>
      <w:proofErr w:type="spellStart"/>
      <w:r w:rsidR="007126C4">
        <w:rPr>
          <w:sz w:val="24"/>
          <w:szCs w:val="24"/>
        </w:rPr>
        <w:t>RoA</w:t>
      </w:r>
      <w:proofErr w:type="spellEnd"/>
      <w:r w:rsidR="007126C4">
        <w:rPr>
          <w:sz w:val="24"/>
          <w:szCs w:val="24"/>
        </w:rPr>
        <w:t xml:space="preserve">). In 2015-16, the </w:t>
      </w:r>
      <w:proofErr w:type="spellStart"/>
      <w:r w:rsidR="007126C4">
        <w:rPr>
          <w:sz w:val="24"/>
          <w:szCs w:val="24"/>
        </w:rPr>
        <w:t>RoA</w:t>
      </w:r>
      <w:proofErr w:type="spellEnd"/>
      <w:r w:rsidR="007126C4">
        <w:rPr>
          <w:sz w:val="24"/>
          <w:szCs w:val="24"/>
        </w:rPr>
        <w:t xml:space="preserve"> for the residential care sector</w:t>
      </w:r>
      <w:r w:rsidR="0009708B">
        <w:rPr>
          <w:sz w:val="24"/>
          <w:szCs w:val="24"/>
        </w:rPr>
        <w:t xml:space="preserve"> participants in their survey (largely not</w:t>
      </w:r>
      <w:r w:rsidR="00135DB4">
        <w:rPr>
          <w:sz w:val="24"/>
          <w:szCs w:val="24"/>
        </w:rPr>
        <w:noBreakHyphen/>
        <w:t>for</w:t>
      </w:r>
      <w:r w:rsidR="00135DB4">
        <w:rPr>
          <w:sz w:val="24"/>
          <w:szCs w:val="24"/>
        </w:rPr>
        <w:noBreakHyphen/>
        <w:t>p</w:t>
      </w:r>
      <w:r w:rsidR="0009708B">
        <w:rPr>
          <w:sz w:val="24"/>
          <w:szCs w:val="24"/>
        </w:rPr>
        <w:t>rofits)</w:t>
      </w:r>
      <w:r w:rsidR="007126C4">
        <w:rPr>
          <w:sz w:val="24"/>
          <w:szCs w:val="24"/>
        </w:rPr>
        <w:t xml:space="preserve"> was approximately 1.7 per cent, declined to 1.2 per cent in 2016-17 and is estimated to b</w:t>
      </w:r>
      <w:r w:rsidR="0060618D">
        <w:rPr>
          <w:sz w:val="24"/>
          <w:szCs w:val="24"/>
        </w:rPr>
        <w:t>e</w:t>
      </w:r>
      <w:r w:rsidR="007126C4">
        <w:rPr>
          <w:sz w:val="24"/>
          <w:szCs w:val="24"/>
        </w:rPr>
        <w:t xml:space="preserve"> 0.5 per cent in 2017-18. </w:t>
      </w:r>
      <w:proofErr w:type="spellStart"/>
      <w:r w:rsidR="007126C4">
        <w:rPr>
          <w:sz w:val="24"/>
          <w:szCs w:val="24"/>
        </w:rPr>
        <w:t>StewartBrown</w:t>
      </w:r>
      <w:proofErr w:type="spellEnd"/>
      <w:r w:rsidR="007126C4">
        <w:rPr>
          <w:sz w:val="24"/>
          <w:szCs w:val="24"/>
        </w:rPr>
        <w:t xml:space="preserve"> </w:t>
      </w:r>
      <w:r w:rsidR="004803C3">
        <w:rPr>
          <w:sz w:val="24"/>
          <w:szCs w:val="24"/>
        </w:rPr>
        <w:t>states</w:t>
      </w:r>
      <w:r w:rsidR="007126C4">
        <w:rPr>
          <w:sz w:val="24"/>
          <w:szCs w:val="24"/>
        </w:rPr>
        <w:t xml:space="preserve"> that </w:t>
      </w:r>
      <w:r w:rsidR="003A07B9">
        <w:rPr>
          <w:sz w:val="24"/>
          <w:szCs w:val="24"/>
        </w:rPr>
        <w:t>this is</w:t>
      </w:r>
      <w:r w:rsidR="007126C4">
        <w:rPr>
          <w:sz w:val="24"/>
          <w:szCs w:val="24"/>
        </w:rPr>
        <w:t xml:space="preserve"> </w:t>
      </w:r>
      <w:r w:rsidR="003A07B9">
        <w:rPr>
          <w:sz w:val="24"/>
          <w:szCs w:val="24"/>
        </w:rPr>
        <w:t>‘hardly</w:t>
      </w:r>
      <w:r w:rsidR="007126C4">
        <w:rPr>
          <w:sz w:val="24"/>
          <w:szCs w:val="24"/>
        </w:rPr>
        <w:t xml:space="preserve"> a viable return for aged care provider organisations’.</w:t>
      </w:r>
    </w:p>
    <w:p w14:paraId="3F2490F2" w14:textId="77777777" w:rsidR="007126C4" w:rsidRDefault="007126C4" w:rsidP="00591258">
      <w:pPr>
        <w:rPr>
          <w:sz w:val="24"/>
          <w:szCs w:val="24"/>
        </w:rPr>
      </w:pPr>
      <w:r>
        <w:rPr>
          <w:sz w:val="24"/>
          <w:szCs w:val="24"/>
        </w:rPr>
        <w:t xml:space="preserve">Investment intentions </w:t>
      </w:r>
      <w:r w:rsidR="003A13D3">
        <w:rPr>
          <w:sz w:val="24"/>
          <w:szCs w:val="24"/>
        </w:rPr>
        <w:t>w</w:t>
      </w:r>
      <w:r>
        <w:rPr>
          <w:sz w:val="24"/>
          <w:szCs w:val="24"/>
        </w:rPr>
        <w:t xml:space="preserve">ill </w:t>
      </w:r>
      <w:r w:rsidR="003A13D3">
        <w:rPr>
          <w:sz w:val="24"/>
          <w:szCs w:val="24"/>
        </w:rPr>
        <w:t xml:space="preserve">be </w:t>
      </w:r>
      <w:r w:rsidR="00E74CF6">
        <w:rPr>
          <w:sz w:val="24"/>
          <w:szCs w:val="24"/>
        </w:rPr>
        <w:t>fundamentally influenced</w:t>
      </w:r>
      <w:r>
        <w:rPr>
          <w:sz w:val="24"/>
          <w:szCs w:val="24"/>
        </w:rPr>
        <w:t xml:space="preserve"> by the prospect of future returns and the overall opportunities available in the aged care sector. </w:t>
      </w:r>
      <w:r w:rsidR="000A73BE">
        <w:rPr>
          <w:sz w:val="24"/>
          <w:szCs w:val="24"/>
        </w:rPr>
        <w:t xml:space="preserve">In this respect, two different </w:t>
      </w:r>
      <w:r w:rsidR="00E74CF6">
        <w:rPr>
          <w:sz w:val="24"/>
          <w:szCs w:val="24"/>
        </w:rPr>
        <w:t>viewpoints</w:t>
      </w:r>
      <w:r w:rsidR="000A73BE">
        <w:rPr>
          <w:sz w:val="24"/>
          <w:szCs w:val="24"/>
        </w:rPr>
        <w:t xml:space="preserve"> were raised du</w:t>
      </w:r>
      <w:r w:rsidR="00D63D10">
        <w:rPr>
          <w:sz w:val="24"/>
          <w:szCs w:val="24"/>
        </w:rPr>
        <w:t>ring the consu</w:t>
      </w:r>
      <w:r w:rsidR="0065237B">
        <w:rPr>
          <w:sz w:val="24"/>
          <w:szCs w:val="24"/>
        </w:rPr>
        <w:t xml:space="preserve">ltations. </w:t>
      </w:r>
      <w:r w:rsidR="003A07B9">
        <w:rPr>
          <w:sz w:val="24"/>
          <w:szCs w:val="24"/>
        </w:rPr>
        <w:t>One approach</w:t>
      </w:r>
      <w:r w:rsidR="0065237B">
        <w:rPr>
          <w:sz w:val="24"/>
          <w:szCs w:val="24"/>
        </w:rPr>
        <w:t xml:space="preserve"> </w:t>
      </w:r>
      <w:r w:rsidR="003A07B9">
        <w:rPr>
          <w:sz w:val="24"/>
          <w:szCs w:val="24"/>
        </w:rPr>
        <w:t>was pessimistic</w:t>
      </w:r>
      <w:r w:rsidR="00D63D10">
        <w:rPr>
          <w:sz w:val="24"/>
          <w:szCs w:val="24"/>
        </w:rPr>
        <w:t xml:space="preserve"> and centred around </w:t>
      </w:r>
      <w:r w:rsidR="003A07B9">
        <w:rPr>
          <w:sz w:val="24"/>
          <w:szCs w:val="24"/>
        </w:rPr>
        <w:t>the view</w:t>
      </w:r>
      <w:r w:rsidR="000A73BE">
        <w:rPr>
          <w:sz w:val="24"/>
          <w:szCs w:val="24"/>
        </w:rPr>
        <w:t xml:space="preserve"> that the </w:t>
      </w:r>
      <w:r w:rsidR="0065237B">
        <w:rPr>
          <w:sz w:val="24"/>
          <w:szCs w:val="24"/>
        </w:rPr>
        <w:t xml:space="preserve">continuation of </w:t>
      </w:r>
      <w:r w:rsidR="000A73BE">
        <w:rPr>
          <w:sz w:val="24"/>
          <w:szCs w:val="24"/>
        </w:rPr>
        <w:t>current parameters and low rate</w:t>
      </w:r>
      <w:r w:rsidR="00D63D10">
        <w:rPr>
          <w:sz w:val="24"/>
          <w:szCs w:val="24"/>
        </w:rPr>
        <w:t xml:space="preserve">s of return will drive more providers into a loss situation and there will be no further </w:t>
      </w:r>
      <w:r w:rsidR="003A13D3">
        <w:rPr>
          <w:sz w:val="24"/>
          <w:szCs w:val="24"/>
        </w:rPr>
        <w:t xml:space="preserve">significant </w:t>
      </w:r>
      <w:r w:rsidR="00D63D10">
        <w:rPr>
          <w:sz w:val="24"/>
          <w:szCs w:val="24"/>
        </w:rPr>
        <w:t>invest</w:t>
      </w:r>
      <w:r w:rsidR="003A13D3">
        <w:rPr>
          <w:sz w:val="24"/>
          <w:szCs w:val="24"/>
        </w:rPr>
        <w:t>ment</w:t>
      </w:r>
      <w:r w:rsidR="00D63D10">
        <w:rPr>
          <w:sz w:val="24"/>
          <w:szCs w:val="24"/>
        </w:rPr>
        <w:t xml:space="preserve"> in the sector. </w:t>
      </w:r>
      <w:r w:rsidR="000A73BE">
        <w:rPr>
          <w:sz w:val="24"/>
          <w:szCs w:val="24"/>
        </w:rPr>
        <w:t xml:space="preserve"> </w:t>
      </w:r>
      <w:r w:rsidR="0065237B">
        <w:rPr>
          <w:sz w:val="24"/>
          <w:szCs w:val="24"/>
        </w:rPr>
        <w:t>Some other</w:t>
      </w:r>
      <w:r w:rsidR="00D63D10">
        <w:rPr>
          <w:sz w:val="24"/>
          <w:szCs w:val="24"/>
        </w:rPr>
        <w:t xml:space="preserve"> providers </w:t>
      </w:r>
      <w:r w:rsidR="0065237B">
        <w:rPr>
          <w:sz w:val="24"/>
          <w:szCs w:val="24"/>
        </w:rPr>
        <w:t xml:space="preserve">had a more positive outlook, </w:t>
      </w:r>
      <w:r w:rsidR="003A13D3">
        <w:rPr>
          <w:sz w:val="24"/>
          <w:szCs w:val="24"/>
        </w:rPr>
        <w:t xml:space="preserve">however, </w:t>
      </w:r>
      <w:r w:rsidR="0065237B">
        <w:rPr>
          <w:sz w:val="24"/>
          <w:szCs w:val="24"/>
        </w:rPr>
        <w:t xml:space="preserve">noting that they had been in the residential age care business for a very long time, had experienced many </w:t>
      </w:r>
      <w:r w:rsidR="00E27DD5">
        <w:rPr>
          <w:sz w:val="24"/>
          <w:szCs w:val="24"/>
        </w:rPr>
        <w:t>cycles in</w:t>
      </w:r>
      <w:r w:rsidR="0065237B">
        <w:rPr>
          <w:sz w:val="24"/>
          <w:szCs w:val="24"/>
        </w:rPr>
        <w:t xml:space="preserve"> terms of financial pr</w:t>
      </w:r>
      <w:r w:rsidR="003A13D3">
        <w:rPr>
          <w:sz w:val="24"/>
          <w:szCs w:val="24"/>
        </w:rPr>
        <w:t>essures, and expected</w:t>
      </w:r>
      <w:r w:rsidR="0065237B">
        <w:rPr>
          <w:sz w:val="24"/>
          <w:szCs w:val="24"/>
        </w:rPr>
        <w:t xml:space="preserve"> </w:t>
      </w:r>
      <w:r w:rsidR="003A13D3">
        <w:rPr>
          <w:sz w:val="24"/>
          <w:szCs w:val="24"/>
        </w:rPr>
        <w:t xml:space="preserve">there would be policy </w:t>
      </w:r>
      <w:r w:rsidR="00E74CF6">
        <w:rPr>
          <w:sz w:val="24"/>
          <w:szCs w:val="24"/>
        </w:rPr>
        <w:t>changes given</w:t>
      </w:r>
      <w:r w:rsidR="0065237B">
        <w:rPr>
          <w:sz w:val="24"/>
          <w:szCs w:val="24"/>
        </w:rPr>
        <w:t xml:space="preserve"> the importance of aged care and the </w:t>
      </w:r>
      <w:r w:rsidR="003A07B9">
        <w:rPr>
          <w:sz w:val="24"/>
          <w:szCs w:val="24"/>
        </w:rPr>
        <w:t>demographic</w:t>
      </w:r>
      <w:r w:rsidR="0065237B">
        <w:rPr>
          <w:sz w:val="24"/>
          <w:szCs w:val="24"/>
        </w:rPr>
        <w:t xml:space="preserve"> pressures in Australia. Nevertheless</w:t>
      </w:r>
      <w:r w:rsidR="00295CDB">
        <w:rPr>
          <w:sz w:val="24"/>
          <w:szCs w:val="24"/>
        </w:rPr>
        <w:t xml:space="preserve">, even those providers taking a more optimistic and long-term view as to the opportunities in the </w:t>
      </w:r>
      <w:r w:rsidR="00295CDB">
        <w:rPr>
          <w:sz w:val="24"/>
          <w:szCs w:val="24"/>
        </w:rPr>
        <w:lastRenderedPageBreak/>
        <w:t>Australian aged care sector said they were putting some projects on hold pending gaining greater policy certainty.</w:t>
      </w:r>
      <w:r w:rsidR="006B2B88">
        <w:rPr>
          <w:sz w:val="24"/>
          <w:szCs w:val="24"/>
        </w:rPr>
        <w:t xml:space="preserve"> Notwithstanding the concerns expressed over returns being below the cost of capital and policy uncertainty holding back investment plans, nearly every provider consulted said they were making an application for additional bed licences in the current Aged Care Approvals Round (ACAR). </w:t>
      </w:r>
    </w:p>
    <w:p w14:paraId="3F2490F3" w14:textId="77777777" w:rsidR="00EF3AC1" w:rsidRDefault="00EF3AC1" w:rsidP="00591258">
      <w:pPr>
        <w:rPr>
          <w:sz w:val="24"/>
          <w:szCs w:val="24"/>
        </w:rPr>
      </w:pPr>
      <w:r>
        <w:rPr>
          <w:sz w:val="24"/>
          <w:szCs w:val="24"/>
        </w:rPr>
        <w:t>Some</w:t>
      </w:r>
      <w:r w:rsidR="008B3E88">
        <w:rPr>
          <w:sz w:val="24"/>
          <w:szCs w:val="24"/>
        </w:rPr>
        <w:t xml:space="preserve"> providers noted that there </w:t>
      </w:r>
      <w:r>
        <w:rPr>
          <w:sz w:val="24"/>
          <w:szCs w:val="24"/>
        </w:rPr>
        <w:t>appear</w:t>
      </w:r>
      <w:r w:rsidR="008B3E88">
        <w:rPr>
          <w:sz w:val="24"/>
          <w:szCs w:val="24"/>
        </w:rPr>
        <w:t>ed</w:t>
      </w:r>
      <w:r w:rsidR="00135DB4">
        <w:rPr>
          <w:sz w:val="24"/>
          <w:szCs w:val="24"/>
        </w:rPr>
        <w:t xml:space="preserve"> to be a shift from RADs</w:t>
      </w:r>
      <w:r>
        <w:rPr>
          <w:sz w:val="24"/>
          <w:szCs w:val="24"/>
        </w:rPr>
        <w:t xml:space="preserve"> to DAPs and RAD/</w:t>
      </w:r>
      <w:proofErr w:type="gramStart"/>
      <w:r>
        <w:rPr>
          <w:sz w:val="24"/>
          <w:szCs w:val="24"/>
        </w:rPr>
        <w:t>DAP</w:t>
      </w:r>
      <w:proofErr w:type="gramEnd"/>
      <w:r>
        <w:rPr>
          <w:sz w:val="24"/>
          <w:szCs w:val="24"/>
        </w:rPr>
        <w:t xml:space="preserve"> combinations. Factors that were believed to be influencing this trend included </w:t>
      </w:r>
      <w:proofErr w:type="gramStart"/>
      <w:r>
        <w:rPr>
          <w:sz w:val="24"/>
          <w:szCs w:val="24"/>
        </w:rPr>
        <w:t>a decline in house prices</w:t>
      </w:r>
      <w:proofErr w:type="gramEnd"/>
      <w:r>
        <w:rPr>
          <w:sz w:val="24"/>
          <w:szCs w:val="24"/>
        </w:rPr>
        <w:t xml:space="preserve"> in some areas, difficulties in selling houses, and a shorter length of stay for some residents.</w:t>
      </w:r>
      <w:r w:rsidR="00594D9C">
        <w:rPr>
          <w:sz w:val="24"/>
          <w:szCs w:val="24"/>
        </w:rPr>
        <w:t xml:space="preserve"> </w:t>
      </w:r>
      <w:r w:rsidR="007D3E49">
        <w:rPr>
          <w:sz w:val="24"/>
          <w:szCs w:val="24"/>
        </w:rPr>
        <w:t>The extent to which this is an issue varied depending on the provider’s business model with providers less reliant on RADs less concerned</w:t>
      </w:r>
      <w:r w:rsidR="00A60A96">
        <w:rPr>
          <w:sz w:val="24"/>
          <w:szCs w:val="24"/>
        </w:rPr>
        <w:t xml:space="preserve"> over a shift away from </w:t>
      </w:r>
      <w:r w:rsidR="007D3E49">
        <w:rPr>
          <w:sz w:val="24"/>
          <w:szCs w:val="24"/>
        </w:rPr>
        <w:t xml:space="preserve">RADs </w:t>
      </w:r>
      <w:r w:rsidR="00A60A96">
        <w:rPr>
          <w:sz w:val="24"/>
          <w:szCs w:val="24"/>
        </w:rPr>
        <w:t>to</w:t>
      </w:r>
      <w:r w:rsidR="007D3E49">
        <w:rPr>
          <w:sz w:val="24"/>
          <w:szCs w:val="24"/>
        </w:rPr>
        <w:t xml:space="preserve"> DAPs</w:t>
      </w:r>
    </w:p>
    <w:p w14:paraId="3F2490F4" w14:textId="77777777" w:rsidR="00295CDB" w:rsidRDefault="00295CDB" w:rsidP="00591258">
      <w:pPr>
        <w:rPr>
          <w:sz w:val="24"/>
          <w:szCs w:val="24"/>
        </w:rPr>
      </w:pPr>
      <w:r>
        <w:rPr>
          <w:sz w:val="24"/>
          <w:szCs w:val="24"/>
        </w:rPr>
        <w:t xml:space="preserve">A large number of </w:t>
      </w:r>
      <w:proofErr w:type="gramStart"/>
      <w:r>
        <w:rPr>
          <w:sz w:val="24"/>
          <w:szCs w:val="24"/>
        </w:rPr>
        <w:t>providers,</w:t>
      </w:r>
      <w:proofErr w:type="gramEnd"/>
      <w:r>
        <w:rPr>
          <w:sz w:val="24"/>
          <w:szCs w:val="24"/>
        </w:rPr>
        <w:t xml:space="preserve"> both profit and not-for-profit, said </w:t>
      </w:r>
      <w:r w:rsidR="0009708B">
        <w:rPr>
          <w:sz w:val="24"/>
          <w:szCs w:val="24"/>
        </w:rPr>
        <w:t xml:space="preserve">their </w:t>
      </w:r>
      <w:r>
        <w:rPr>
          <w:sz w:val="24"/>
          <w:szCs w:val="24"/>
        </w:rPr>
        <w:t xml:space="preserve">immediate investment plans would be directed to retirement living rather than residential aged care. Factors influencing this decision included: the considerable policy and regulatory uncertainty currently in the aged care sector; the desirability of diversifying income streams given the volatility in residential aged care; and the advantages of establishing an integrated aged care operation that involved retirement living, home care and residential aged care. </w:t>
      </w:r>
    </w:p>
    <w:p w14:paraId="3F2490F5" w14:textId="77777777" w:rsidR="008E434D" w:rsidRDefault="008E434D" w:rsidP="00591258">
      <w:pPr>
        <w:rPr>
          <w:sz w:val="24"/>
          <w:szCs w:val="24"/>
        </w:rPr>
      </w:pPr>
      <w:r>
        <w:rPr>
          <w:sz w:val="24"/>
          <w:szCs w:val="24"/>
        </w:rPr>
        <w:t xml:space="preserve">The financial institutions consulted had a generally positive outlook for the residential aged care </w:t>
      </w:r>
      <w:r w:rsidR="003A07B9">
        <w:rPr>
          <w:sz w:val="24"/>
          <w:szCs w:val="24"/>
        </w:rPr>
        <w:t>sector</w:t>
      </w:r>
      <w:r>
        <w:rPr>
          <w:sz w:val="24"/>
          <w:szCs w:val="24"/>
        </w:rPr>
        <w:t xml:space="preserve"> and were not seeking to reduce exposure to the sector</w:t>
      </w:r>
      <w:r w:rsidR="006B2B88">
        <w:rPr>
          <w:sz w:val="24"/>
          <w:szCs w:val="24"/>
        </w:rPr>
        <w:t>, although were continually monitoring developments</w:t>
      </w:r>
      <w:r>
        <w:rPr>
          <w:sz w:val="24"/>
          <w:szCs w:val="24"/>
        </w:rPr>
        <w:t>. It was evident that t</w:t>
      </w:r>
      <w:r w:rsidR="00832BAD">
        <w:rPr>
          <w:sz w:val="24"/>
          <w:szCs w:val="24"/>
        </w:rPr>
        <w:t xml:space="preserve">he institutions were </w:t>
      </w:r>
      <w:r w:rsidR="003A07B9">
        <w:rPr>
          <w:sz w:val="24"/>
          <w:szCs w:val="24"/>
        </w:rPr>
        <w:t>confident that</w:t>
      </w:r>
      <w:r>
        <w:rPr>
          <w:sz w:val="24"/>
          <w:szCs w:val="24"/>
        </w:rPr>
        <w:t xml:space="preserve"> their clients in the sector were </w:t>
      </w:r>
      <w:r w:rsidR="00832BAD">
        <w:rPr>
          <w:sz w:val="24"/>
          <w:szCs w:val="24"/>
        </w:rPr>
        <w:t xml:space="preserve">sound. Nevertheless, </w:t>
      </w:r>
      <w:r w:rsidR="0009708B">
        <w:rPr>
          <w:sz w:val="24"/>
          <w:szCs w:val="24"/>
        </w:rPr>
        <w:t>some</w:t>
      </w:r>
      <w:r w:rsidR="00832BAD">
        <w:rPr>
          <w:sz w:val="24"/>
          <w:szCs w:val="24"/>
        </w:rPr>
        <w:t xml:space="preserve"> said that they were rejecting </w:t>
      </w:r>
      <w:r w:rsidR="0009708B">
        <w:rPr>
          <w:sz w:val="24"/>
          <w:szCs w:val="24"/>
        </w:rPr>
        <w:t xml:space="preserve">more </w:t>
      </w:r>
      <w:r w:rsidR="00832BAD">
        <w:rPr>
          <w:sz w:val="24"/>
          <w:szCs w:val="24"/>
        </w:rPr>
        <w:t>loan applications from providers, particularly from smaller providers. Both the financial institutions and investment advisers said there was a significant amount of institutional capital interested in investing in the Australian residential aged care sector but it was currently on the sideline</w:t>
      </w:r>
      <w:r w:rsidR="006B2B88">
        <w:rPr>
          <w:sz w:val="24"/>
          <w:szCs w:val="24"/>
        </w:rPr>
        <w:t>s given the uncertainties around the regulatory environment and future direction of reforms</w:t>
      </w:r>
      <w:r w:rsidR="00832BAD">
        <w:rPr>
          <w:sz w:val="24"/>
          <w:szCs w:val="24"/>
        </w:rPr>
        <w:t>.</w:t>
      </w:r>
    </w:p>
    <w:p w14:paraId="3F2490F6" w14:textId="77777777" w:rsidR="008E434D" w:rsidRDefault="008E434D" w:rsidP="001A2A43">
      <w:pPr>
        <w:keepNext/>
        <w:rPr>
          <w:i/>
          <w:sz w:val="24"/>
          <w:szCs w:val="24"/>
        </w:rPr>
      </w:pPr>
      <w:r>
        <w:rPr>
          <w:i/>
          <w:sz w:val="24"/>
          <w:szCs w:val="24"/>
        </w:rPr>
        <w:t>ACFA comment</w:t>
      </w:r>
    </w:p>
    <w:p w14:paraId="3F2490F7" w14:textId="77777777" w:rsidR="00832BAD" w:rsidRDefault="008E434D" w:rsidP="00591258">
      <w:pPr>
        <w:rPr>
          <w:sz w:val="24"/>
          <w:szCs w:val="24"/>
        </w:rPr>
      </w:pPr>
      <w:r>
        <w:rPr>
          <w:sz w:val="24"/>
          <w:szCs w:val="24"/>
        </w:rPr>
        <w:t>The widespread view from providers – both for</w:t>
      </w:r>
      <w:r w:rsidR="00D06AD1">
        <w:rPr>
          <w:sz w:val="24"/>
          <w:szCs w:val="24"/>
        </w:rPr>
        <w:t>-</w:t>
      </w:r>
      <w:r>
        <w:rPr>
          <w:sz w:val="24"/>
          <w:szCs w:val="24"/>
        </w:rPr>
        <w:t>profit and not-for-profit – that they have curtailed or delayed investment plans in the residential aged care sector, citing dep</w:t>
      </w:r>
      <w:r w:rsidR="006B2B88">
        <w:rPr>
          <w:sz w:val="24"/>
          <w:szCs w:val="24"/>
        </w:rPr>
        <w:t>ressed returns and</w:t>
      </w:r>
      <w:r>
        <w:rPr>
          <w:sz w:val="24"/>
          <w:szCs w:val="24"/>
        </w:rPr>
        <w:t xml:space="preserve"> policy and regulato</w:t>
      </w:r>
      <w:r w:rsidR="006B2B88">
        <w:rPr>
          <w:sz w:val="24"/>
          <w:szCs w:val="24"/>
        </w:rPr>
        <w:t>ry uncertainty</w:t>
      </w:r>
      <w:r w:rsidR="008B3E88">
        <w:rPr>
          <w:sz w:val="24"/>
          <w:szCs w:val="24"/>
        </w:rPr>
        <w:t xml:space="preserve"> along with the impact of increased home care packages</w:t>
      </w:r>
      <w:r w:rsidR="006B2B88">
        <w:rPr>
          <w:sz w:val="24"/>
          <w:szCs w:val="24"/>
        </w:rPr>
        <w:t xml:space="preserve">, is </w:t>
      </w:r>
      <w:r w:rsidR="00432473">
        <w:rPr>
          <w:sz w:val="24"/>
          <w:szCs w:val="24"/>
        </w:rPr>
        <w:t>a concern</w:t>
      </w:r>
      <w:r w:rsidR="00832BAD">
        <w:rPr>
          <w:sz w:val="24"/>
          <w:szCs w:val="24"/>
        </w:rPr>
        <w:t xml:space="preserve">. </w:t>
      </w:r>
    </w:p>
    <w:p w14:paraId="3F2490F8" w14:textId="77777777" w:rsidR="00832BAD" w:rsidRPr="00C60BAD" w:rsidRDefault="006B2B88" w:rsidP="00CB5E3E">
      <w:pPr>
        <w:keepNext/>
        <w:jc w:val="center"/>
        <w:rPr>
          <w:rFonts w:ascii="Segoe UI" w:hAnsi="Segoe UI" w:cs="Segoe UI"/>
          <w:b/>
        </w:rPr>
      </w:pPr>
      <w:r w:rsidRPr="00C60BAD">
        <w:rPr>
          <w:rFonts w:ascii="Segoe UI" w:hAnsi="Segoe UI" w:cs="Segoe UI"/>
          <w:b/>
        </w:rPr>
        <w:t xml:space="preserve">Chart 8: </w:t>
      </w:r>
      <w:r w:rsidR="00FE27B5" w:rsidRPr="00C60BAD">
        <w:rPr>
          <w:rFonts w:ascii="Segoe UI" w:hAnsi="Segoe UI" w:cs="Segoe UI"/>
          <w:b/>
        </w:rPr>
        <w:t>Proportion of providers planning to either upgrade or build</w:t>
      </w:r>
    </w:p>
    <w:p w14:paraId="3F2490F9" w14:textId="77777777" w:rsidR="00832BAD" w:rsidRDefault="00832BAD" w:rsidP="001A2A43">
      <w:pPr>
        <w:keepNext/>
        <w:rPr>
          <w:sz w:val="24"/>
          <w:szCs w:val="24"/>
        </w:rPr>
      </w:pPr>
    </w:p>
    <w:p w14:paraId="3F2490FA" w14:textId="77777777" w:rsidR="00832BAD" w:rsidRDefault="00832BAD" w:rsidP="00C60BAD">
      <w:pPr>
        <w:jc w:val="center"/>
        <w:rPr>
          <w:sz w:val="24"/>
          <w:szCs w:val="24"/>
        </w:rPr>
      </w:pPr>
      <w:r>
        <w:rPr>
          <w:rFonts w:ascii="Segoe UI" w:hAnsi="Segoe UI" w:cs="Segoe UI"/>
          <w:noProof/>
          <w:color w:val="FF0000"/>
          <w:lang w:eastAsia="en-AU"/>
        </w:rPr>
        <w:drawing>
          <wp:inline distT="0" distB="0" distL="0" distR="0" wp14:anchorId="3F24913B" wp14:editId="294DFCC7">
            <wp:extent cx="5731510" cy="1365170"/>
            <wp:effectExtent l="0" t="0" r="2540" b="6985"/>
            <wp:docPr id="259" name="Picture 259" descr="Proportion of providers planning to upgrade or re-build facilities between 2013-14 and 2016-17&#10;&#10;2013-14 - 4% planning to re-build and 12% planning to upgrade&#10;2014-15 - 3% planning to re-build and 15% planning to upgrade&#10;2015-16 - 4.5% planning to re-build and 14% planning to upgrade&#10;2016-17 - 2% planning to re-build and 9% planning to upgrade" title="Chart 8: Proportion of providers planning to either upgrade or bu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zc0004\AppData\Local\Microsoft\Windows\Temporary Internet Files\Content.Outlook\6DIYYC82\Chart_10.9.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31510" cy="1365170"/>
                    </a:xfrm>
                    <a:prstGeom prst="rect">
                      <a:avLst/>
                    </a:prstGeom>
                    <a:noFill/>
                    <a:ln>
                      <a:noFill/>
                    </a:ln>
                  </pic:spPr>
                </pic:pic>
              </a:graphicData>
            </a:graphic>
          </wp:inline>
        </w:drawing>
      </w:r>
    </w:p>
    <w:p w14:paraId="3F2490FB" w14:textId="77777777" w:rsidR="009140BB" w:rsidRDefault="006B2B88" w:rsidP="00591258">
      <w:pPr>
        <w:rPr>
          <w:sz w:val="24"/>
          <w:szCs w:val="24"/>
        </w:rPr>
      </w:pPr>
      <w:r>
        <w:rPr>
          <w:sz w:val="24"/>
          <w:szCs w:val="24"/>
        </w:rPr>
        <w:lastRenderedPageBreak/>
        <w:t xml:space="preserve">Chart </w:t>
      </w:r>
      <w:r w:rsidR="00E74CF6">
        <w:rPr>
          <w:sz w:val="24"/>
          <w:szCs w:val="24"/>
        </w:rPr>
        <w:t>8 shows</w:t>
      </w:r>
      <w:r w:rsidR="00FE27B5">
        <w:rPr>
          <w:sz w:val="24"/>
          <w:szCs w:val="24"/>
        </w:rPr>
        <w:t xml:space="preserve"> the proportion of providers planning to either build or upgrade facilities over the period 2013-14 to 2016-17. The proportion in 2016-17 is significantly lower than in previous years. Based on the feedback received during the consultations, it is likely that there will be a further significant decline in </w:t>
      </w:r>
      <w:r w:rsidR="009140BB">
        <w:rPr>
          <w:sz w:val="24"/>
          <w:szCs w:val="24"/>
        </w:rPr>
        <w:t xml:space="preserve">2017-18 in </w:t>
      </w:r>
      <w:r w:rsidR="00FE27B5">
        <w:rPr>
          <w:sz w:val="24"/>
          <w:szCs w:val="24"/>
        </w:rPr>
        <w:t>the proportion of prov</w:t>
      </w:r>
      <w:r w:rsidR="009140BB">
        <w:rPr>
          <w:sz w:val="24"/>
          <w:szCs w:val="24"/>
        </w:rPr>
        <w:t xml:space="preserve">iders planning to either upgrade or build. This is a concern because of the lead times involved in bringing new aged care facilities onto the market and the expectation that there will be a significant increase in demand for residential services as the </w:t>
      </w:r>
      <w:r w:rsidR="007F3A40">
        <w:rPr>
          <w:sz w:val="24"/>
          <w:szCs w:val="24"/>
        </w:rPr>
        <w:t xml:space="preserve">bulk </w:t>
      </w:r>
      <w:r w:rsidR="00C72C84">
        <w:rPr>
          <w:sz w:val="24"/>
          <w:szCs w:val="24"/>
        </w:rPr>
        <w:t xml:space="preserve">of </w:t>
      </w:r>
      <w:r w:rsidR="007F3A40">
        <w:rPr>
          <w:sz w:val="24"/>
          <w:szCs w:val="24"/>
        </w:rPr>
        <w:t>the baby boomer generation enters</w:t>
      </w:r>
      <w:r w:rsidR="009140BB">
        <w:rPr>
          <w:sz w:val="24"/>
          <w:szCs w:val="24"/>
        </w:rPr>
        <w:t xml:space="preserve"> their 80s in about eight years</w:t>
      </w:r>
      <w:r w:rsidR="0060618D">
        <w:rPr>
          <w:sz w:val="24"/>
          <w:szCs w:val="24"/>
        </w:rPr>
        <w:t>, notwithstanding the increased availability of home care packages.</w:t>
      </w:r>
      <w:r w:rsidR="008B3E88">
        <w:rPr>
          <w:sz w:val="24"/>
          <w:szCs w:val="24"/>
        </w:rPr>
        <w:t xml:space="preserve"> An issue th</w:t>
      </w:r>
      <w:r w:rsidR="00DD6E72">
        <w:rPr>
          <w:sz w:val="24"/>
          <w:szCs w:val="24"/>
        </w:rPr>
        <w:t>at requires</w:t>
      </w:r>
      <w:r w:rsidR="008B3E88">
        <w:rPr>
          <w:sz w:val="24"/>
          <w:szCs w:val="24"/>
        </w:rPr>
        <w:t xml:space="preserve"> further examination is the factors impacting on the capital investment challenge facing the sector, including the impact of a possible </w:t>
      </w:r>
      <w:r w:rsidR="00DD6E72">
        <w:rPr>
          <w:sz w:val="24"/>
          <w:szCs w:val="24"/>
        </w:rPr>
        <w:t>shift in consumer preferences from RADs to DAPs.</w:t>
      </w:r>
    </w:p>
    <w:p w14:paraId="3F2490FC" w14:textId="77777777" w:rsidR="008E434D" w:rsidRDefault="009140BB" w:rsidP="00CB25A6">
      <w:pPr>
        <w:pStyle w:val="Heading3"/>
      </w:pPr>
      <w:bookmarkStart w:id="19" w:name="_Toc525127636"/>
      <w:proofErr w:type="gramStart"/>
      <w:r>
        <w:t>Viability of aged care providers.</w:t>
      </w:r>
      <w:bookmarkEnd w:id="19"/>
      <w:proofErr w:type="gramEnd"/>
    </w:p>
    <w:p w14:paraId="3F2490FD" w14:textId="77777777" w:rsidR="009140BB" w:rsidRDefault="006F1090" w:rsidP="001A2A43">
      <w:pPr>
        <w:keepNext/>
        <w:rPr>
          <w:i/>
          <w:sz w:val="24"/>
          <w:szCs w:val="24"/>
        </w:rPr>
      </w:pPr>
      <w:r>
        <w:rPr>
          <w:i/>
          <w:sz w:val="24"/>
          <w:szCs w:val="24"/>
        </w:rPr>
        <w:t>Feedback</w:t>
      </w:r>
    </w:p>
    <w:p w14:paraId="3F2490FE" w14:textId="77777777" w:rsidR="006F1090" w:rsidRDefault="003A07B9" w:rsidP="00591258">
      <w:pPr>
        <w:rPr>
          <w:sz w:val="24"/>
          <w:szCs w:val="24"/>
        </w:rPr>
      </w:pPr>
      <w:r>
        <w:rPr>
          <w:sz w:val="24"/>
          <w:szCs w:val="24"/>
        </w:rPr>
        <w:t>All providers</w:t>
      </w:r>
      <w:r w:rsidR="006F1090">
        <w:rPr>
          <w:sz w:val="24"/>
          <w:szCs w:val="24"/>
        </w:rPr>
        <w:t xml:space="preserve"> consul</w:t>
      </w:r>
      <w:r w:rsidR="006B2B88">
        <w:rPr>
          <w:sz w:val="24"/>
          <w:szCs w:val="24"/>
        </w:rPr>
        <w:t xml:space="preserve">ted said that 2017-18 was </w:t>
      </w:r>
      <w:r w:rsidR="00E74CF6">
        <w:rPr>
          <w:sz w:val="24"/>
          <w:szCs w:val="24"/>
        </w:rPr>
        <w:t>a difficult</w:t>
      </w:r>
      <w:r w:rsidR="006F1090">
        <w:rPr>
          <w:sz w:val="24"/>
          <w:szCs w:val="24"/>
        </w:rPr>
        <w:t xml:space="preserve"> year and the pressures had continued </w:t>
      </w:r>
      <w:r w:rsidR="006B2B88">
        <w:rPr>
          <w:sz w:val="24"/>
          <w:szCs w:val="24"/>
        </w:rPr>
        <w:t>into 2018-19, with a</w:t>
      </w:r>
      <w:r w:rsidR="006F1090">
        <w:rPr>
          <w:sz w:val="24"/>
          <w:szCs w:val="24"/>
        </w:rPr>
        <w:t xml:space="preserve"> number </w:t>
      </w:r>
      <w:r w:rsidR="006B2B88">
        <w:rPr>
          <w:sz w:val="24"/>
          <w:szCs w:val="24"/>
        </w:rPr>
        <w:t xml:space="preserve">of them </w:t>
      </w:r>
      <w:r w:rsidR="004803C3">
        <w:rPr>
          <w:sz w:val="24"/>
          <w:szCs w:val="24"/>
        </w:rPr>
        <w:t xml:space="preserve">moving from a profit to a loss situation (noting that a proportion of providers have been making a loss for </w:t>
      </w:r>
      <w:r w:rsidR="00432473">
        <w:rPr>
          <w:sz w:val="24"/>
          <w:szCs w:val="24"/>
        </w:rPr>
        <w:t>some time</w:t>
      </w:r>
      <w:r w:rsidR="004803C3">
        <w:rPr>
          <w:sz w:val="24"/>
          <w:szCs w:val="24"/>
        </w:rPr>
        <w:t>)</w:t>
      </w:r>
      <w:r w:rsidR="00F76EAF">
        <w:rPr>
          <w:sz w:val="24"/>
          <w:szCs w:val="24"/>
        </w:rPr>
        <w:t xml:space="preserve">. </w:t>
      </w:r>
      <w:r w:rsidR="006F1090">
        <w:rPr>
          <w:sz w:val="24"/>
          <w:szCs w:val="24"/>
        </w:rPr>
        <w:t xml:space="preserve">Nevertheless none of the providers </w:t>
      </w:r>
      <w:r w:rsidR="00590CBC">
        <w:rPr>
          <w:sz w:val="24"/>
          <w:szCs w:val="24"/>
        </w:rPr>
        <w:t xml:space="preserve">consulted </w:t>
      </w:r>
      <w:r w:rsidR="006F1090">
        <w:rPr>
          <w:sz w:val="24"/>
          <w:szCs w:val="24"/>
        </w:rPr>
        <w:t>suggested that the</w:t>
      </w:r>
      <w:r w:rsidR="00244239">
        <w:rPr>
          <w:sz w:val="24"/>
          <w:szCs w:val="24"/>
        </w:rPr>
        <w:t>re was an immediate likelihood of them ceasing operations</w:t>
      </w:r>
      <w:r w:rsidR="00F1731D">
        <w:rPr>
          <w:sz w:val="24"/>
          <w:szCs w:val="24"/>
        </w:rPr>
        <w:t xml:space="preserve">, although some were concerned about their </w:t>
      </w:r>
      <w:r w:rsidR="00244239">
        <w:rPr>
          <w:sz w:val="24"/>
          <w:szCs w:val="24"/>
        </w:rPr>
        <w:t>viability</w:t>
      </w:r>
      <w:r w:rsidR="00F1731D">
        <w:rPr>
          <w:sz w:val="24"/>
          <w:szCs w:val="24"/>
        </w:rPr>
        <w:t xml:space="preserve"> if current trends continued</w:t>
      </w:r>
      <w:r w:rsidR="00CD2E61">
        <w:rPr>
          <w:sz w:val="24"/>
          <w:szCs w:val="24"/>
        </w:rPr>
        <w:t>. M</w:t>
      </w:r>
      <w:r w:rsidR="006F1090">
        <w:rPr>
          <w:sz w:val="24"/>
          <w:szCs w:val="24"/>
        </w:rPr>
        <w:t xml:space="preserve">any providers from the not-for-profit sector </w:t>
      </w:r>
      <w:r w:rsidR="00590CBC">
        <w:rPr>
          <w:sz w:val="24"/>
          <w:szCs w:val="24"/>
        </w:rPr>
        <w:t xml:space="preserve">reported they </w:t>
      </w:r>
      <w:r w:rsidR="006F1090">
        <w:rPr>
          <w:sz w:val="24"/>
          <w:szCs w:val="24"/>
        </w:rPr>
        <w:t xml:space="preserve">have substantial reserves </w:t>
      </w:r>
      <w:r w:rsidR="00FB2C4C">
        <w:rPr>
          <w:sz w:val="24"/>
          <w:szCs w:val="24"/>
        </w:rPr>
        <w:t xml:space="preserve">to draw on if needed. In addition many are part of larger operations with diversified income streams. Nevertheless there appears to be a growing number of smaller providers, particularly in regional and remote areas, that are </w:t>
      </w:r>
      <w:r w:rsidR="00131D41">
        <w:rPr>
          <w:sz w:val="24"/>
          <w:szCs w:val="24"/>
        </w:rPr>
        <w:t xml:space="preserve">currently </w:t>
      </w:r>
      <w:r w:rsidR="00FB2C4C">
        <w:rPr>
          <w:sz w:val="24"/>
          <w:szCs w:val="24"/>
        </w:rPr>
        <w:t xml:space="preserve">facing significant financial stress. </w:t>
      </w:r>
      <w:r w:rsidR="00244239">
        <w:rPr>
          <w:sz w:val="24"/>
          <w:szCs w:val="24"/>
        </w:rPr>
        <w:t xml:space="preserve">Some </w:t>
      </w:r>
      <w:r w:rsidR="00FB2C4C">
        <w:rPr>
          <w:sz w:val="24"/>
          <w:szCs w:val="24"/>
        </w:rPr>
        <w:t xml:space="preserve">of the providers consulted said they were receiving an increasing number of approaches from smaller providers who were facing difficulties and were seeking to sell their operations. In some cases they were </w:t>
      </w:r>
      <w:r>
        <w:rPr>
          <w:sz w:val="24"/>
          <w:szCs w:val="24"/>
        </w:rPr>
        <w:t>offering</w:t>
      </w:r>
      <w:r w:rsidR="00FB2C4C">
        <w:rPr>
          <w:sz w:val="24"/>
          <w:szCs w:val="24"/>
        </w:rPr>
        <w:t xml:space="preserve"> to hand over their facilities for no monetary return. The providers </w:t>
      </w:r>
      <w:r w:rsidR="002B4A17">
        <w:rPr>
          <w:sz w:val="24"/>
          <w:szCs w:val="24"/>
        </w:rPr>
        <w:t>receiving the approaches said that they had declined most of them because of the difficulties of turning around facilities that were facing not only financial but quality problems. Apart from the costs and reputational risks associated with absorbing a poorly performing facility, providers said that it channel</w:t>
      </w:r>
      <w:r w:rsidR="00CD2E61">
        <w:rPr>
          <w:sz w:val="24"/>
          <w:szCs w:val="24"/>
        </w:rPr>
        <w:t>led</w:t>
      </w:r>
      <w:r w:rsidR="002B4A17">
        <w:rPr>
          <w:sz w:val="24"/>
          <w:szCs w:val="24"/>
        </w:rPr>
        <w:t xml:space="preserve"> a significant amount of management</w:t>
      </w:r>
      <w:r w:rsidR="00CD2E61">
        <w:rPr>
          <w:sz w:val="24"/>
          <w:szCs w:val="24"/>
        </w:rPr>
        <w:t xml:space="preserve"> time that needed to be</w:t>
      </w:r>
      <w:r w:rsidR="002B4A17">
        <w:rPr>
          <w:sz w:val="24"/>
          <w:szCs w:val="24"/>
        </w:rPr>
        <w:t xml:space="preserve"> deployed elsewhere given the range of challenges the sector was facing.</w:t>
      </w:r>
    </w:p>
    <w:p w14:paraId="3F2490FF" w14:textId="77777777" w:rsidR="002B4A17" w:rsidRDefault="002B4A17" w:rsidP="00591258">
      <w:pPr>
        <w:rPr>
          <w:sz w:val="24"/>
          <w:szCs w:val="24"/>
        </w:rPr>
      </w:pPr>
      <w:r>
        <w:rPr>
          <w:sz w:val="24"/>
          <w:szCs w:val="24"/>
        </w:rPr>
        <w:t>Analysts report that in the current envir</w:t>
      </w:r>
      <w:r w:rsidR="00CD2E61">
        <w:rPr>
          <w:sz w:val="24"/>
          <w:szCs w:val="24"/>
        </w:rPr>
        <w:t>onment there will be</w:t>
      </w:r>
      <w:r>
        <w:rPr>
          <w:sz w:val="24"/>
          <w:szCs w:val="24"/>
        </w:rPr>
        <w:t xml:space="preserve"> significant ‘opportunistic acquisitions’</w:t>
      </w:r>
      <w:r w:rsidR="00CD2E61">
        <w:rPr>
          <w:sz w:val="24"/>
          <w:szCs w:val="24"/>
        </w:rPr>
        <w:t>,</w:t>
      </w:r>
      <w:r w:rsidR="0091746C">
        <w:rPr>
          <w:sz w:val="24"/>
          <w:szCs w:val="24"/>
        </w:rPr>
        <w:t xml:space="preserve"> although</w:t>
      </w:r>
      <w:r w:rsidR="00244239">
        <w:rPr>
          <w:sz w:val="24"/>
          <w:szCs w:val="24"/>
        </w:rPr>
        <w:t xml:space="preserve"> some</w:t>
      </w:r>
      <w:r w:rsidR="0091746C">
        <w:rPr>
          <w:sz w:val="24"/>
          <w:szCs w:val="24"/>
        </w:rPr>
        <w:t xml:space="preserve"> providers said that in the current challenging environment they would only be interested in acquisitions if they got a ‘bargain’.</w:t>
      </w:r>
    </w:p>
    <w:p w14:paraId="3F249100" w14:textId="77777777" w:rsidR="0091746C" w:rsidRDefault="0091746C" w:rsidP="00591258">
      <w:pPr>
        <w:rPr>
          <w:sz w:val="24"/>
          <w:szCs w:val="24"/>
        </w:rPr>
      </w:pPr>
      <w:r>
        <w:rPr>
          <w:sz w:val="24"/>
          <w:szCs w:val="24"/>
        </w:rPr>
        <w:t xml:space="preserve">The feedback from the consultations was that the providers facing financial and quality problems left it too late before seeking assistance. An example cited by a provider in a regional area </w:t>
      </w:r>
      <w:r w:rsidR="00CD2E61">
        <w:rPr>
          <w:sz w:val="24"/>
          <w:szCs w:val="24"/>
        </w:rPr>
        <w:t>was an offer</w:t>
      </w:r>
      <w:r>
        <w:rPr>
          <w:sz w:val="24"/>
          <w:szCs w:val="24"/>
        </w:rPr>
        <w:t xml:space="preserve"> to take over the back-office functions of another smaller provider that was widely known to </w:t>
      </w:r>
      <w:r w:rsidR="003A07B9">
        <w:rPr>
          <w:sz w:val="24"/>
          <w:szCs w:val="24"/>
        </w:rPr>
        <w:t>be in</w:t>
      </w:r>
      <w:r>
        <w:rPr>
          <w:sz w:val="24"/>
          <w:szCs w:val="24"/>
        </w:rPr>
        <w:t xml:space="preserve"> financial difficulties. The offer was refused because the smaller provider wanted to maintain </w:t>
      </w:r>
      <w:r w:rsidR="00131D41">
        <w:rPr>
          <w:sz w:val="24"/>
          <w:szCs w:val="24"/>
        </w:rPr>
        <w:t>its</w:t>
      </w:r>
      <w:r>
        <w:rPr>
          <w:sz w:val="24"/>
          <w:szCs w:val="24"/>
        </w:rPr>
        <w:t xml:space="preserve"> autonomy</w:t>
      </w:r>
      <w:r w:rsidR="00CD2E61">
        <w:rPr>
          <w:sz w:val="24"/>
          <w:szCs w:val="24"/>
        </w:rPr>
        <w:t xml:space="preserve"> and independence</w:t>
      </w:r>
      <w:r>
        <w:rPr>
          <w:sz w:val="24"/>
          <w:szCs w:val="24"/>
        </w:rPr>
        <w:t xml:space="preserve">, notwithstanding that </w:t>
      </w:r>
      <w:r w:rsidR="00131D41">
        <w:rPr>
          <w:sz w:val="24"/>
          <w:szCs w:val="24"/>
        </w:rPr>
        <w:t>its</w:t>
      </w:r>
      <w:r>
        <w:rPr>
          <w:sz w:val="24"/>
          <w:szCs w:val="24"/>
        </w:rPr>
        <w:t xml:space="preserve"> financial position continued to deteriorate.</w:t>
      </w:r>
    </w:p>
    <w:p w14:paraId="3F249101" w14:textId="77777777" w:rsidR="0091746C" w:rsidRDefault="00212C32" w:rsidP="001A2A43">
      <w:pPr>
        <w:keepNext/>
        <w:rPr>
          <w:i/>
          <w:sz w:val="24"/>
          <w:szCs w:val="24"/>
        </w:rPr>
      </w:pPr>
      <w:r>
        <w:rPr>
          <w:i/>
          <w:sz w:val="24"/>
          <w:szCs w:val="24"/>
        </w:rPr>
        <w:lastRenderedPageBreak/>
        <w:t>ACFA comment</w:t>
      </w:r>
    </w:p>
    <w:p w14:paraId="3F249102" w14:textId="77777777" w:rsidR="00212C32" w:rsidRDefault="00212C32" w:rsidP="00591258">
      <w:pPr>
        <w:rPr>
          <w:sz w:val="24"/>
          <w:szCs w:val="24"/>
        </w:rPr>
      </w:pPr>
      <w:r>
        <w:rPr>
          <w:sz w:val="24"/>
          <w:szCs w:val="24"/>
        </w:rPr>
        <w:t xml:space="preserve">While there will always be a role for smaller operators in the aged care residential market, the current tight operating conditions </w:t>
      </w:r>
      <w:r w:rsidR="00F76EAF">
        <w:rPr>
          <w:sz w:val="24"/>
          <w:szCs w:val="24"/>
        </w:rPr>
        <w:t xml:space="preserve">will likely be </w:t>
      </w:r>
      <w:r>
        <w:rPr>
          <w:sz w:val="24"/>
          <w:szCs w:val="24"/>
        </w:rPr>
        <w:t xml:space="preserve">accelerating the trend towards </w:t>
      </w:r>
      <w:r w:rsidR="003A07B9">
        <w:rPr>
          <w:sz w:val="24"/>
          <w:szCs w:val="24"/>
        </w:rPr>
        <w:t>greater</w:t>
      </w:r>
      <w:r>
        <w:rPr>
          <w:sz w:val="24"/>
          <w:szCs w:val="24"/>
        </w:rPr>
        <w:t xml:space="preserve"> consolidation. The less efficient providers are facing pressure on margins, rising consumer expectations and increased scrutiny over </w:t>
      </w:r>
      <w:r w:rsidR="003A07B9">
        <w:rPr>
          <w:sz w:val="24"/>
          <w:szCs w:val="24"/>
        </w:rPr>
        <w:t>meeting</w:t>
      </w:r>
      <w:r>
        <w:rPr>
          <w:sz w:val="24"/>
          <w:szCs w:val="24"/>
        </w:rPr>
        <w:t xml:space="preserve"> quality standards. The result is that an increasing number of marginal prov</w:t>
      </w:r>
      <w:r w:rsidR="00CD2E61">
        <w:rPr>
          <w:sz w:val="24"/>
          <w:szCs w:val="24"/>
        </w:rPr>
        <w:t xml:space="preserve">iders will likely be </w:t>
      </w:r>
      <w:r w:rsidR="00E74CF6">
        <w:rPr>
          <w:sz w:val="24"/>
          <w:szCs w:val="24"/>
        </w:rPr>
        <w:t>forced to</w:t>
      </w:r>
      <w:r w:rsidR="00CD2E61">
        <w:rPr>
          <w:sz w:val="24"/>
          <w:szCs w:val="24"/>
        </w:rPr>
        <w:t xml:space="preserve"> sell or merge</w:t>
      </w:r>
      <w:r>
        <w:rPr>
          <w:sz w:val="24"/>
          <w:szCs w:val="24"/>
        </w:rPr>
        <w:t xml:space="preserve"> with larger operations. Such a </w:t>
      </w:r>
      <w:r w:rsidR="003A07B9">
        <w:rPr>
          <w:sz w:val="24"/>
          <w:szCs w:val="24"/>
        </w:rPr>
        <w:t>trend</w:t>
      </w:r>
      <w:r>
        <w:rPr>
          <w:sz w:val="24"/>
          <w:szCs w:val="24"/>
        </w:rPr>
        <w:t xml:space="preserve"> will lead to a more efficient and resilient residential aged care </w:t>
      </w:r>
      <w:r w:rsidR="009C0D6A">
        <w:rPr>
          <w:sz w:val="24"/>
          <w:szCs w:val="24"/>
        </w:rPr>
        <w:t>industry</w:t>
      </w:r>
      <w:r>
        <w:rPr>
          <w:sz w:val="24"/>
          <w:szCs w:val="24"/>
        </w:rPr>
        <w:t xml:space="preserve"> overall, however </w:t>
      </w:r>
      <w:r w:rsidR="00CC51D9">
        <w:rPr>
          <w:sz w:val="24"/>
          <w:szCs w:val="24"/>
        </w:rPr>
        <w:t xml:space="preserve">a concern is that the adjustment may be disorderly and those immediately impacted will be residents in facilities that are no longer viable. </w:t>
      </w:r>
      <w:r w:rsidR="000A730F">
        <w:rPr>
          <w:sz w:val="24"/>
          <w:szCs w:val="24"/>
        </w:rPr>
        <w:t xml:space="preserve">As such, </w:t>
      </w:r>
      <w:r w:rsidR="003A07B9">
        <w:rPr>
          <w:sz w:val="24"/>
          <w:szCs w:val="24"/>
        </w:rPr>
        <w:t>increased</w:t>
      </w:r>
      <w:r w:rsidR="00CC51D9">
        <w:rPr>
          <w:sz w:val="24"/>
          <w:szCs w:val="24"/>
        </w:rPr>
        <w:t xml:space="preserve"> attention should be directed towards monitoring providers that may be encountering serious financial difficulties. </w:t>
      </w:r>
      <w:r w:rsidR="007F3A40">
        <w:rPr>
          <w:sz w:val="24"/>
          <w:szCs w:val="24"/>
        </w:rPr>
        <w:t>A possible early warning sign of a facility facing significant financial difficulties is</w:t>
      </w:r>
      <w:r w:rsidR="00CD2E61">
        <w:rPr>
          <w:sz w:val="24"/>
          <w:szCs w:val="24"/>
        </w:rPr>
        <w:t xml:space="preserve"> when major </w:t>
      </w:r>
      <w:r w:rsidR="00CC51D9">
        <w:rPr>
          <w:sz w:val="24"/>
          <w:szCs w:val="24"/>
        </w:rPr>
        <w:t>quality shortcomings</w:t>
      </w:r>
      <w:r w:rsidR="000A730F">
        <w:rPr>
          <w:sz w:val="24"/>
          <w:szCs w:val="24"/>
        </w:rPr>
        <w:t xml:space="preserve"> </w:t>
      </w:r>
      <w:r w:rsidR="00CD2E61">
        <w:rPr>
          <w:sz w:val="24"/>
          <w:szCs w:val="24"/>
        </w:rPr>
        <w:t xml:space="preserve">are identified </w:t>
      </w:r>
      <w:r w:rsidR="000A730F">
        <w:rPr>
          <w:sz w:val="24"/>
          <w:szCs w:val="24"/>
        </w:rPr>
        <w:t>after an audit by the Quality A</w:t>
      </w:r>
      <w:r w:rsidR="00CC51D9">
        <w:rPr>
          <w:sz w:val="24"/>
          <w:szCs w:val="24"/>
        </w:rPr>
        <w:t xml:space="preserve">gency </w:t>
      </w:r>
      <w:r w:rsidR="00CD2E61">
        <w:rPr>
          <w:sz w:val="24"/>
          <w:szCs w:val="24"/>
        </w:rPr>
        <w:t>and/</w:t>
      </w:r>
      <w:r w:rsidR="00CC51D9">
        <w:rPr>
          <w:sz w:val="24"/>
          <w:szCs w:val="24"/>
        </w:rPr>
        <w:t xml:space="preserve">or </w:t>
      </w:r>
      <w:r w:rsidR="00CD2E61">
        <w:rPr>
          <w:sz w:val="24"/>
          <w:szCs w:val="24"/>
        </w:rPr>
        <w:t>there are sizeable</w:t>
      </w:r>
      <w:r w:rsidR="00CC51D9">
        <w:rPr>
          <w:sz w:val="24"/>
          <w:szCs w:val="24"/>
        </w:rPr>
        <w:t xml:space="preserve"> delays in paying a RAD when a resident leaves a facility.</w:t>
      </w:r>
    </w:p>
    <w:p w14:paraId="3F249103" w14:textId="77777777" w:rsidR="000A730F" w:rsidRDefault="000A730F" w:rsidP="00591258">
      <w:pPr>
        <w:rPr>
          <w:sz w:val="24"/>
          <w:szCs w:val="24"/>
        </w:rPr>
      </w:pPr>
      <w:r>
        <w:rPr>
          <w:sz w:val="24"/>
          <w:szCs w:val="24"/>
        </w:rPr>
        <w:t>Giving greater attention to monitoring aged care providers who</w:t>
      </w:r>
      <w:r w:rsidR="00CD2E61">
        <w:rPr>
          <w:sz w:val="24"/>
          <w:szCs w:val="24"/>
        </w:rPr>
        <w:t xml:space="preserve"> may be </w:t>
      </w:r>
      <w:r w:rsidR="00E74CF6">
        <w:rPr>
          <w:sz w:val="24"/>
          <w:szCs w:val="24"/>
        </w:rPr>
        <w:t>experiencing financial</w:t>
      </w:r>
      <w:r>
        <w:rPr>
          <w:sz w:val="24"/>
          <w:szCs w:val="24"/>
        </w:rPr>
        <w:t xml:space="preserve"> difficulties is consistent with the </w:t>
      </w:r>
      <w:r w:rsidR="003A07B9">
        <w:rPr>
          <w:sz w:val="24"/>
          <w:szCs w:val="24"/>
        </w:rPr>
        <w:t>Government’s</w:t>
      </w:r>
      <w:r>
        <w:rPr>
          <w:sz w:val="24"/>
          <w:szCs w:val="24"/>
        </w:rPr>
        <w:t xml:space="preserve"> decision to improve the prudential standards for </w:t>
      </w:r>
      <w:r w:rsidR="00FF1BE9">
        <w:rPr>
          <w:sz w:val="24"/>
          <w:szCs w:val="24"/>
        </w:rPr>
        <w:t>protecting RADs</w:t>
      </w:r>
      <w:r>
        <w:rPr>
          <w:sz w:val="24"/>
          <w:szCs w:val="24"/>
        </w:rPr>
        <w:t xml:space="preserve">. </w:t>
      </w:r>
    </w:p>
    <w:p w14:paraId="3F249104" w14:textId="77777777" w:rsidR="000A730F" w:rsidRDefault="000972A0" w:rsidP="00591258">
      <w:pPr>
        <w:rPr>
          <w:sz w:val="24"/>
          <w:szCs w:val="24"/>
        </w:rPr>
      </w:pPr>
      <w:r>
        <w:rPr>
          <w:sz w:val="24"/>
          <w:szCs w:val="24"/>
        </w:rPr>
        <w:t xml:space="preserve">Currently </w:t>
      </w:r>
      <w:r w:rsidR="00E27DD5">
        <w:rPr>
          <w:sz w:val="24"/>
          <w:szCs w:val="24"/>
        </w:rPr>
        <w:t>when the</w:t>
      </w:r>
      <w:r w:rsidR="000A730F">
        <w:rPr>
          <w:sz w:val="24"/>
          <w:szCs w:val="24"/>
        </w:rPr>
        <w:t xml:space="preserve"> Department </w:t>
      </w:r>
      <w:r>
        <w:rPr>
          <w:sz w:val="24"/>
          <w:szCs w:val="24"/>
        </w:rPr>
        <w:t xml:space="preserve">of Health </w:t>
      </w:r>
      <w:r w:rsidR="00F76EAF">
        <w:rPr>
          <w:sz w:val="24"/>
          <w:szCs w:val="24"/>
        </w:rPr>
        <w:t xml:space="preserve">is aware that an operator may be in </w:t>
      </w:r>
      <w:r>
        <w:rPr>
          <w:sz w:val="24"/>
          <w:szCs w:val="24"/>
        </w:rPr>
        <w:t xml:space="preserve">significant </w:t>
      </w:r>
      <w:r w:rsidR="00F76EAF">
        <w:rPr>
          <w:sz w:val="24"/>
          <w:szCs w:val="24"/>
        </w:rPr>
        <w:t xml:space="preserve">difficulties it will try and assist in identifying </w:t>
      </w:r>
      <w:r w:rsidR="000A730F">
        <w:rPr>
          <w:sz w:val="24"/>
          <w:szCs w:val="24"/>
        </w:rPr>
        <w:t xml:space="preserve">an operator who could </w:t>
      </w:r>
      <w:r w:rsidR="003A07B9">
        <w:rPr>
          <w:sz w:val="24"/>
          <w:szCs w:val="24"/>
        </w:rPr>
        <w:t xml:space="preserve">take </w:t>
      </w:r>
      <w:r w:rsidR="00E27DD5">
        <w:rPr>
          <w:sz w:val="24"/>
          <w:szCs w:val="24"/>
        </w:rPr>
        <w:t>over and</w:t>
      </w:r>
      <w:r w:rsidR="000A730F">
        <w:rPr>
          <w:sz w:val="24"/>
          <w:szCs w:val="24"/>
        </w:rPr>
        <w:t xml:space="preserve"> </w:t>
      </w:r>
      <w:r w:rsidR="00CD2E61">
        <w:rPr>
          <w:sz w:val="24"/>
          <w:szCs w:val="24"/>
        </w:rPr>
        <w:t xml:space="preserve">in doing so </w:t>
      </w:r>
      <w:r w:rsidR="000A730F">
        <w:rPr>
          <w:sz w:val="24"/>
          <w:szCs w:val="24"/>
        </w:rPr>
        <w:t xml:space="preserve">minimise </w:t>
      </w:r>
      <w:r w:rsidR="00CD2E61">
        <w:rPr>
          <w:sz w:val="24"/>
          <w:szCs w:val="24"/>
        </w:rPr>
        <w:t xml:space="preserve">the </w:t>
      </w:r>
      <w:r w:rsidR="000A730F">
        <w:rPr>
          <w:sz w:val="24"/>
          <w:szCs w:val="24"/>
        </w:rPr>
        <w:t>disruption to residents involved. However consideration should be given</w:t>
      </w:r>
      <w:r w:rsidR="003A07B9">
        <w:rPr>
          <w:sz w:val="24"/>
          <w:szCs w:val="24"/>
        </w:rPr>
        <w:t xml:space="preserve"> to establishing a more structured </w:t>
      </w:r>
      <w:r w:rsidR="000A730F">
        <w:rPr>
          <w:sz w:val="24"/>
          <w:szCs w:val="24"/>
        </w:rPr>
        <w:t xml:space="preserve">and pro-active </w:t>
      </w:r>
      <w:r w:rsidR="003A07B9">
        <w:rPr>
          <w:sz w:val="24"/>
          <w:szCs w:val="24"/>
        </w:rPr>
        <w:t>mechanism</w:t>
      </w:r>
      <w:r w:rsidR="000A730F">
        <w:rPr>
          <w:sz w:val="24"/>
          <w:szCs w:val="24"/>
        </w:rPr>
        <w:t xml:space="preserve"> to</w:t>
      </w:r>
      <w:r w:rsidR="00D9429B">
        <w:rPr>
          <w:sz w:val="24"/>
          <w:szCs w:val="24"/>
        </w:rPr>
        <w:t>,</w:t>
      </w:r>
      <w:r w:rsidR="000A730F">
        <w:rPr>
          <w:sz w:val="24"/>
          <w:szCs w:val="24"/>
        </w:rPr>
        <w:t xml:space="preserve"> in the first instance</w:t>
      </w:r>
      <w:r w:rsidR="00D9429B">
        <w:rPr>
          <w:sz w:val="24"/>
          <w:szCs w:val="24"/>
        </w:rPr>
        <w:t>,</w:t>
      </w:r>
      <w:r w:rsidR="000A730F">
        <w:rPr>
          <w:sz w:val="24"/>
          <w:szCs w:val="24"/>
        </w:rPr>
        <w:t xml:space="preserve"> </w:t>
      </w:r>
      <w:r w:rsidR="00CD2E61">
        <w:rPr>
          <w:sz w:val="24"/>
          <w:szCs w:val="24"/>
        </w:rPr>
        <w:t xml:space="preserve">provide advice and support </w:t>
      </w:r>
      <w:r w:rsidR="00E74CF6">
        <w:rPr>
          <w:sz w:val="24"/>
          <w:szCs w:val="24"/>
        </w:rPr>
        <w:t>to facilities</w:t>
      </w:r>
      <w:r w:rsidR="000A730F">
        <w:rPr>
          <w:sz w:val="24"/>
          <w:szCs w:val="24"/>
        </w:rPr>
        <w:t xml:space="preserve"> facing financial problems and if necessary, facilitate the sale or transfer of </w:t>
      </w:r>
      <w:r w:rsidR="00D9429B">
        <w:rPr>
          <w:sz w:val="24"/>
          <w:szCs w:val="24"/>
        </w:rPr>
        <w:t xml:space="preserve">the </w:t>
      </w:r>
      <w:r w:rsidR="000A730F">
        <w:rPr>
          <w:sz w:val="24"/>
          <w:szCs w:val="24"/>
        </w:rPr>
        <w:t xml:space="preserve">facilities of a provider in difficulties to another provider. </w:t>
      </w:r>
      <w:r w:rsidR="00D9429B">
        <w:rPr>
          <w:sz w:val="24"/>
          <w:szCs w:val="24"/>
        </w:rPr>
        <w:t>This may require the Government contributing to meet the costs associated with a provider taking over an aged care facility in significant difficulties.</w:t>
      </w:r>
      <w:r w:rsidR="00EB536D">
        <w:rPr>
          <w:sz w:val="24"/>
          <w:szCs w:val="24"/>
        </w:rPr>
        <w:t xml:space="preserve"> The peak industry bodies should also play an increasingly active role in this area, particularly in helping to overcome the tendency for facilities in difficulties leaving it too late before seeking assistance.</w:t>
      </w:r>
    </w:p>
    <w:p w14:paraId="3F249105" w14:textId="77777777" w:rsidR="00D9429B" w:rsidRDefault="00D9429B" w:rsidP="00CB25A6">
      <w:pPr>
        <w:pStyle w:val="Heading3"/>
      </w:pPr>
      <w:bookmarkStart w:id="20" w:name="_Toc525127637"/>
      <w:r>
        <w:t>The challenge of providing aged care to the homeless</w:t>
      </w:r>
      <w:bookmarkEnd w:id="20"/>
    </w:p>
    <w:p w14:paraId="3F249106" w14:textId="77777777" w:rsidR="00D9429B" w:rsidRDefault="00D9429B" w:rsidP="001A2A43">
      <w:pPr>
        <w:keepNext/>
        <w:rPr>
          <w:i/>
          <w:sz w:val="24"/>
          <w:szCs w:val="24"/>
        </w:rPr>
      </w:pPr>
      <w:r>
        <w:rPr>
          <w:i/>
          <w:sz w:val="24"/>
          <w:szCs w:val="24"/>
        </w:rPr>
        <w:t>Feedback</w:t>
      </w:r>
    </w:p>
    <w:p w14:paraId="3F249107" w14:textId="77777777" w:rsidR="00D9429B" w:rsidRDefault="00E74CF6" w:rsidP="00591258">
      <w:pPr>
        <w:rPr>
          <w:sz w:val="24"/>
          <w:szCs w:val="24"/>
        </w:rPr>
      </w:pPr>
      <w:r>
        <w:rPr>
          <w:sz w:val="24"/>
          <w:szCs w:val="24"/>
        </w:rPr>
        <w:t>The aged</w:t>
      </w:r>
      <w:r w:rsidR="00D9429B">
        <w:rPr>
          <w:sz w:val="24"/>
          <w:szCs w:val="24"/>
        </w:rPr>
        <w:t xml:space="preserve"> care </w:t>
      </w:r>
      <w:r w:rsidR="0085477D">
        <w:rPr>
          <w:sz w:val="24"/>
          <w:szCs w:val="24"/>
        </w:rPr>
        <w:t>providers that provide accommodation to the homeless indicated that they face specific challenges</w:t>
      </w:r>
      <w:r w:rsidR="00EB536D">
        <w:rPr>
          <w:sz w:val="24"/>
          <w:szCs w:val="24"/>
        </w:rPr>
        <w:t>. T</w:t>
      </w:r>
      <w:r w:rsidR="0085477D">
        <w:rPr>
          <w:sz w:val="24"/>
          <w:szCs w:val="24"/>
        </w:rPr>
        <w:t>hey have 100 per cent supporte</w:t>
      </w:r>
      <w:r w:rsidR="00EB536D">
        <w:rPr>
          <w:sz w:val="24"/>
          <w:szCs w:val="24"/>
        </w:rPr>
        <w:t xml:space="preserve">d residents </w:t>
      </w:r>
      <w:r>
        <w:rPr>
          <w:sz w:val="24"/>
          <w:szCs w:val="24"/>
        </w:rPr>
        <w:t>and no</w:t>
      </w:r>
      <w:r w:rsidR="0085477D">
        <w:rPr>
          <w:sz w:val="24"/>
          <w:szCs w:val="24"/>
        </w:rPr>
        <w:t xml:space="preserve"> access to RADs or other forms of consumer contributions th</w:t>
      </w:r>
      <w:r w:rsidR="00F1259A">
        <w:rPr>
          <w:sz w:val="24"/>
          <w:szCs w:val="24"/>
        </w:rPr>
        <w:t>r</w:t>
      </w:r>
      <w:r w:rsidR="0085477D">
        <w:rPr>
          <w:sz w:val="24"/>
          <w:szCs w:val="24"/>
        </w:rPr>
        <w:t>ough additional services</w:t>
      </w:r>
      <w:r w:rsidR="00B36E63">
        <w:rPr>
          <w:sz w:val="24"/>
          <w:szCs w:val="24"/>
        </w:rPr>
        <w:t>, although do have access to capital grants</w:t>
      </w:r>
      <w:r w:rsidR="0085477D">
        <w:rPr>
          <w:sz w:val="24"/>
          <w:szCs w:val="24"/>
        </w:rPr>
        <w:t xml:space="preserve">. In addition the vast majority of the homeless have no family connections or support and as such providers have to perform tasks </w:t>
      </w:r>
      <w:r w:rsidR="00BD3948">
        <w:rPr>
          <w:sz w:val="24"/>
          <w:szCs w:val="24"/>
        </w:rPr>
        <w:t xml:space="preserve">that would normally be undertaken by a family member. This </w:t>
      </w:r>
      <w:r w:rsidR="003A07B9">
        <w:rPr>
          <w:sz w:val="24"/>
          <w:szCs w:val="24"/>
        </w:rPr>
        <w:t>increases</w:t>
      </w:r>
      <w:r w:rsidR="00BD3948">
        <w:rPr>
          <w:sz w:val="24"/>
          <w:szCs w:val="24"/>
        </w:rPr>
        <w:t xml:space="preserve"> provider</w:t>
      </w:r>
      <w:r w:rsidR="00EB536D">
        <w:rPr>
          <w:sz w:val="24"/>
          <w:szCs w:val="24"/>
        </w:rPr>
        <w:t xml:space="preserve"> costs. Providers</w:t>
      </w:r>
      <w:r w:rsidR="00BD3948">
        <w:rPr>
          <w:sz w:val="24"/>
          <w:szCs w:val="24"/>
        </w:rPr>
        <w:t xml:space="preserve"> highlighted that the ACFI fundi</w:t>
      </w:r>
      <w:r w:rsidR="00EB536D">
        <w:rPr>
          <w:sz w:val="24"/>
          <w:szCs w:val="24"/>
        </w:rPr>
        <w:t xml:space="preserve">ng arrangement does </w:t>
      </w:r>
      <w:r>
        <w:rPr>
          <w:sz w:val="24"/>
          <w:szCs w:val="24"/>
        </w:rPr>
        <w:t>not adequately</w:t>
      </w:r>
      <w:r w:rsidR="00BD3948">
        <w:rPr>
          <w:sz w:val="24"/>
          <w:szCs w:val="24"/>
        </w:rPr>
        <w:t xml:space="preserve"> recognise the needs of the homeless. </w:t>
      </w:r>
      <w:r w:rsidR="00EB536D">
        <w:rPr>
          <w:sz w:val="24"/>
          <w:szCs w:val="24"/>
        </w:rPr>
        <w:t>They emphasised</w:t>
      </w:r>
      <w:r w:rsidR="00BD3948">
        <w:rPr>
          <w:sz w:val="24"/>
          <w:szCs w:val="24"/>
        </w:rPr>
        <w:t xml:space="preserve"> that they have been significantly impacted by the </w:t>
      </w:r>
      <w:r w:rsidR="00EB536D">
        <w:rPr>
          <w:sz w:val="24"/>
          <w:szCs w:val="24"/>
        </w:rPr>
        <w:t xml:space="preserve">changes in the </w:t>
      </w:r>
      <w:r w:rsidR="00E035A8">
        <w:rPr>
          <w:sz w:val="24"/>
          <w:szCs w:val="24"/>
        </w:rPr>
        <w:t>scoring arrangements for ACFI along with the freeze in indexation</w:t>
      </w:r>
      <w:r w:rsidR="00B36E63">
        <w:rPr>
          <w:sz w:val="24"/>
          <w:szCs w:val="24"/>
        </w:rPr>
        <w:t xml:space="preserve"> and that this was not sufficiently offset by the current </w:t>
      </w:r>
      <w:r w:rsidR="00432473">
        <w:rPr>
          <w:sz w:val="24"/>
          <w:szCs w:val="24"/>
        </w:rPr>
        <w:t>homeless supplement.</w:t>
      </w:r>
    </w:p>
    <w:p w14:paraId="3F249108" w14:textId="77777777" w:rsidR="00E035A8" w:rsidRDefault="00DD6E72" w:rsidP="001A2A43">
      <w:pPr>
        <w:keepNext/>
        <w:rPr>
          <w:i/>
          <w:sz w:val="24"/>
          <w:szCs w:val="24"/>
        </w:rPr>
      </w:pPr>
      <w:r>
        <w:rPr>
          <w:i/>
          <w:sz w:val="24"/>
          <w:szCs w:val="24"/>
        </w:rPr>
        <w:lastRenderedPageBreak/>
        <w:t>ACFA</w:t>
      </w:r>
      <w:r w:rsidR="00E035A8">
        <w:rPr>
          <w:i/>
          <w:sz w:val="24"/>
          <w:szCs w:val="24"/>
        </w:rPr>
        <w:t xml:space="preserve"> </w:t>
      </w:r>
      <w:r w:rsidR="003A07B9">
        <w:rPr>
          <w:i/>
          <w:sz w:val="24"/>
          <w:szCs w:val="24"/>
        </w:rPr>
        <w:t>comment</w:t>
      </w:r>
    </w:p>
    <w:p w14:paraId="3F249109" w14:textId="77777777" w:rsidR="00244239" w:rsidRDefault="00E035A8" w:rsidP="00244239">
      <w:pPr>
        <w:rPr>
          <w:sz w:val="24"/>
          <w:szCs w:val="24"/>
        </w:rPr>
      </w:pPr>
      <w:r>
        <w:rPr>
          <w:sz w:val="24"/>
          <w:szCs w:val="24"/>
        </w:rPr>
        <w:t>Consid</w:t>
      </w:r>
      <w:r w:rsidR="00EB536D">
        <w:rPr>
          <w:sz w:val="24"/>
          <w:szCs w:val="24"/>
        </w:rPr>
        <w:t>eration may need to be given to further assist providers focused on providing aged care accommodation to the homeless</w:t>
      </w:r>
      <w:r w:rsidR="00F76EAF">
        <w:rPr>
          <w:sz w:val="24"/>
          <w:szCs w:val="24"/>
        </w:rPr>
        <w:t>, noting that the Tune Review recommended further consideration of homeless funding</w:t>
      </w:r>
      <w:r>
        <w:rPr>
          <w:sz w:val="24"/>
          <w:szCs w:val="24"/>
        </w:rPr>
        <w:t>.</w:t>
      </w:r>
      <w:r w:rsidR="00385DFD">
        <w:rPr>
          <w:sz w:val="24"/>
          <w:szCs w:val="24"/>
        </w:rPr>
        <w:t xml:space="preserve"> The work on the Resource Utilisation and Classification Study may also shed some useful light on homelessness funding and homeless issues should be considered in the context of any new funding tool.</w:t>
      </w:r>
    </w:p>
    <w:p w14:paraId="3F24910A" w14:textId="77777777" w:rsidR="003A07B9" w:rsidRPr="00244239" w:rsidRDefault="0083316D" w:rsidP="00CB25A6">
      <w:pPr>
        <w:pStyle w:val="Heading1"/>
      </w:pPr>
      <w:bookmarkStart w:id="21" w:name="_Toc525127638"/>
      <w:r w:rsidRPr="00244239">
        <w:lastRenderedPageBreak/>
        <w:t>Conclusions</w:t>
      </w:r>
      <w:bookmarkEnd w:id="21"/>
    </w:p>
    <w:p w14:paraId="3F24910B" w14:textId="77777777" w:rsidR="005E523E" w:rsidRDefault="005E523E">
      <w:pPr>
        <w:rPr>
          <w:sz w:val="24"/>
          <w:szCs w:val="24"/>
        </w:rPr>
      </w:pPr>
      <w:r>
        <w:rPr>
          <w:sz w:val="24"/>
          <w:szCs w:val="24"/>
        </w:rPr>
        <w:t xml:space="preserve">It is not </w:t>
      </w:r>
      <w:r w:rsidR="00E74CF6">
        <w:rPr>
          <w:sz w:val="24"/>
          <w:szCs w:val="24"/>
        </w:rPr>
        <w:t>surprising</w:t>
      </w:r>
      <w:r>
        <w:rPr>
          <w:sz w:val="24"/>
          <w:szCs w:val="24"/>
        </w:rPr>
        <w:t xml:space="preserve"> that the measures taken in 2016 and 2017 to </w:t>
      </w:r>
      <w:r w:rsidR="00020C7B">
        <w:rPr>
          <w:sz w:val="24"/>
          <w:szCs w:val="24"/>
        </w:rPr>
        <w:t>address Government concerns that ACFI claiming practices were leading to higher than expected claims growth have slowed the growth in ACFI payments which has had a sizeable impact on the</w:t>
      </w:r>
      <w:r>
        <w:rPr>
          <w:sz w:val="24"/>
          <w:szCs w:val="24"/>
        </w:rPr>
        <w:t xml:space="preserve"> financial performance of residential aged care providers in 2017-18 given that ACFI payments account for 61 per cent of the revenue of providers. Moreover the </w:t>
      </w:r>
      <w:r w:rsidR="00B9134C">
        <w:rPr>
          <w:sz w:val="24"/>
          <w:szCs w:val="24"/>
        </w:rPr>
        <w:t>impact of the slower rate of revenue growth</w:t>
      </w:r>
      <w:r w:rsidR="00E74CF6">
        <w:rPr>
          <w:sz w:val="24"/>
          <w:szCs w:val="24"/>
        </w:rPr>
        <w:t xml:space="preserve"> on revenue came</w:t>
      </w:r>
      <w:r>
        <w:rPr>
          <w:sz w:val="24"/>
          <w:szCs w:val="24"/>
        </w:rPr>
        <w:t xml:space="preserve"> at a time when the rate of growth in wages</w:t>
      </w:r>
      <w:r w:rsidR="00131D41">
        <w:rPr>
          <w:sz w:val="24"/>
          <w:szCs w:val="24"/>
        </w:rPr>
        <w:t xml:space="preserve"> in the aged care sector</w:t>
      </w:r>
      <w:r>
        <w:rPr>
          <w:sz w:val="24"/>
          <w:szCs w:val="24"/>
        </w:rPr>
        <w:t>, which accounts for the bulk of expenditure for providers, is increasing.</w:t>
      </w:r>
    </w:p>
    <w:p w14:paraId="3F24910C" w14:textId="77777777" w:rsidR="009D7DBA" w:rsidRDefault="009D7DBA">
      <w:pPr>
        <w:rPr>
          <w:sz w:val="24"/>
          <w:szCs w:val="24"/>
        </w:rPr>
      </w:pPr>
      <w:r>
        <w:rPr>
          <w:sz w:val="24"/>
          <w:szCs w:val="24"/>
        </w:rPr>
        <w:t xml:space="preserve">While 2017-18 has been a difficult year for aged care residential providers, the impact of the ACFI changes has varied across providers. </w:t>
      </w:r>
    </w:p>
    <w:p w14:paraId="3F24910D" w14:textId="77777777" w:rsidR="009D7DBA" w:rsidRDefault="00675ACB">
      <w:pPr>
        <w:rPr>
          <w:sz w:val="24"/>
          <w:szCs w:val="24"/>
        </w:rPr>
      </w:pPr>
      <w:r>
        <w:rPr>
          <w:sz w:val="24"/>
          <w:szCs w:val="24"/>
        </w:rPr>
        <w:t>T</w:t>
      </w:r>
      <w:r w:rsidR="009D7DBA">
        <w:rPr>
          <w:sz w:val="24"/>
          <w:szCs w:val="24"/>
        </w:rPr>
        <w:t>he level of concern expressed by providers over the decline in their financial results in 2017-18 is influenced by the extent of their exposure to the sector along with the structure of their ownership.</w:t>
      </w:r>
      <w:r w:rsidR="00E74CF6" w:rsidRPr="00E74CF6">
        <w:rPr>
          <w:sz w:val="24"/>
          <w:szCs w:val="24"/>
        </w:rPr>
        <w:t xml:space="preserve"> </w:t>
      </w:r>
      <w:r w:rsidR="00E74CF6">
        <w:rPr>
          <w:sz w:val="24"/>
          <w:szCs w:val="24"/>
        </w:rPr>
        <w:t>In particular providers who were either exclusively or predominantly concentrat</w:t>
      </w:r>
      <w:r w:rsidR="009675C6">
        <w:rPr>
          <w:sz w:val="24"/>
          <w:szCs w:val="24"/>
        </w:rPr>
        <w:t>ed on residential aged care are particularly</w:t>
      </w:r>
      <w:r w:rsidR="00E74CF6">
        <w:rPr>
          <w:sz w:val="24"/>
          <w:szCs w:val="24"/>
        </w:rPr>
        <w:t xml:space="preserve"> concerned about developments and the implications for the ongoing viability of their organisation</w:t>
      </w:r>
      <w:r w:rsidR="009675C6">
        <w:rPr>
          <w:sz w:val="24"/>
          <w:szCs w:val="24"/>
        </w:rPr>
        <w:t>s</w:t>
      </w:r>
      <w:r w:rsidR="001A6DBF">
        <w:rPr>
          <w:sz w:val="24"/>
          <w:szCs w:val="24"/>
        </w:rPr>
        <w:t>.</w:t>
      </w:r>
    </w:p>
    <w:p w14:paraId="3F24910E" w14:textId="77777777" w:rsidR="001A6DBF" w:rsidRDefault="00131D41">
      <w:pPr>
        <w:rPr>
          <w:sz w:val="24"/>
          <w:szCs w:val="24"/>
        </w:rPr>
      </w:pPr>
      <w:r>
        <w:rPr>
          <w:sz w:val="24"/>
          <w:szCs w:val="24"/>
        </w:rPr>
        <w:t>A</w:t>
      </w:r>
      <w:r w:rsidR="001A6DBF">
        <w:rPr>
          <w:sz w:val="24"/>
          <w:szCs w:val="24"/>
        </w:rPr>
        <w:t xml:space="preserve"> major issue when considering the </w:t>
      </w:r>
      <w:r>
        <w:rPr>
          <w:sz w:val="24"/>
          <w:szCs w:val="24"/>
        </w:rPr>
        <w:t xml:space="preserve">overall financial </w:t>
      </w:r>
      <w:r w:rsidR="001A6DBF">
        <w:rPr>
          <w:sz w:val="24"/>
          <w:szCs w:val="24"/>
        </w:rPr>
        <w:t xml:space="preserve">outlook for </w:t>
      </w:r>
      <w:r>
        <w:rPr>
          <w:sz w:val="24"/>
          <w:szCs w:val="24"/>
        </w:rPr>
        <w:t>aged care residential providers</w:t>
      </w:r>
      <w:r w:rsidR="001A6DBF">
        <w:rPr>
          <w:sz w:val="24"/>
          <w:szCs w:val="24"/>
        </w:rPr>
        <w:t xml:space="preserve"> is whether and to what extent the average</w:t>
      </w:r>
      <w:r w:rsidR="007540D5">
        <w:rPr>
          <w:sz w:val="24"/>
          <w:szCs w:val="24"/>
        </w:rPr>
        <w:t xml:space="preserve"> ACFI</w:t>
      </w:r>
      <w:r w:rsidR="001A6DBF">
        <w:rPr>
          <w:sz w:val="24"/>
          <w:szCs w:val="24"/>
        </w:rPr>
        <w:t xml:space="preserve"> claim per resident per day </w:t>
      </w:r>
      <w:r w:rsidR="00474B38">
        <w:rPr>
          <w:sz w:val="24"/>
          <w:szCs w:val="24"/>
        </w:rPr>
        <w:t>increase</w:t>
      </w:r>
      <w:r w:rsidR="007540D5">
        <w:rPr>
          <w:sz w:val="24"/>
          <w:szCs w:val="24"/>
        </w:rPr>
        <w:t>s</w:t>
      </w:r>
      <w:r w:rsidR="001A6DBF">
        <w:rPr>
          <w:sz w:val="24"/>
          <w:szCs w:val="24"/>
        </w:rPr>
        <w:t xml:space="preserve"> in the s</w:t>
      </w:r>
      <w:r w:rsidR="00474B38">
        <w:rPr>
          <w:sz w:val="24"/>
          <w:szCs w:val="24"/>
        </w:rPr>
        <w:t>hort to medium term</w:t>
      </w:r>
      <w:r>
        <w:rPr>
          <w:sz w:val="24"/>
          <w:szCs w:val="24"/>
        </w:rPr>
        <w:t>.</w:t>
      </w:r>
      <w:r w:rsidR="00907EC6">
        <w:rPr>
          <w:sz w:val="24"/>
          <w:szCs w:val="24"/>
        </w:rPr>
        <w:t xml:space="preserve"> If after the return of indexation in 2018-19 the rate of growth in average ACFI claims remains significantly below the rate of growth in wages, providers will be facing growing financial pressures</w:t>
      </w:r>
      <w:r w:rsidR="007540D5">
        <w:rPr>
          <w:sz w:val="24"/>
          <w:szCs w:val="24"/>
        </w:rPr>
        <w:t>.</w:t>
      </w:r>
      <w:r w:rsidR="00907EC6">
        <w:rPr>
          <w:sz w:val="24"/>
          <w:szCs w:val="24"/>
        </w:rPr>
        <w:t xml:space="preserve"> </w:t>
      </w:r>
    </w:p>
    <w:p w14:paraId="3F24910F" w14:textId="77777777" w:rsidR="009D7DBA" w:rsidRDefault="00363E20">
      <w:pPr>
        <w:rPr>
          <w:sz w:val="24"/>
          <w:szCs w:val="24"/>
        </w:rPr>
      </w:pPr>
      <w:r>
        <w:rPr>
          <w:sz w:val="24"/>
          <w:szCs w:val="24"/>
        </w:rPr>
        <w:t>Pressure from the changes to ACFI has motivated providers to seek to increase re</w:t>
      </w:r>
      <w:r w:rsidR="00BC202C">
        <w:rPr>
          <w:sz w:val="24"/>
          <w:szCs w:val="24"/>
        </w:rPr>
        <w:t xml:space="preserve">venue through </w:t>
      </w:r>
      <w:r w:rsidR="00432473">
        <w:rPr>
          <w:sz w:val="24"/>
          <w:szCs w:val="24"/>
        </w:rPr>
        <w:t>offering additional</w:t>
      </w:r>
      <w:r>
        <w:rPr>
          <w:sz w:val="24"/>
          <w:szCs w:val="24"/>
        </w:rPr>
        <w:t xml:space="preserve"> services for a fee. However there is confusion over what services can be </w:t>
      </w:r>
      <w:r w:rsidR="00E74CF6">
        <w:rPr>
          <w:sz w:val="24"/>
          <w:szCs w:val="24"/>
        </w:rPr>
        <w:t xml:space="preserve">offered. </w:t>
      </w:r>
      <w:r>
        <w:rPr>
          <w:sz w:val="24"/>
          <w:szCs w:val="24"/>
        </w:rPr>
        <w:t>This should be clarified.</w:t>
      </w:r>
      <w:r w:rsidR="00BC202C">
        <w:rPr>
          <w:sz w:val="24"/>
          <w:szCs w:val="24"/>
        </w:rPr>
        <w:t xml:space="preserve">  C</w:t>
      </w:r>
      <w:r>
        <w:rPr>
          <w:sz w:val="24"/>
          <w:szCs w:val="24"/>
        </w:rPr>
        <w:t>onsideration should be given to the link between uncapping the basic daily fee and offering additional services.</w:t>
      </w:r>
    </w:p>
    <w:p w14:paraId="3F249110" w14:textId="77777777" w:rsidR="00363E20" w:rsidRDefault="00363E20">
      <w:pPr>
        <w:rPr>
          <w:sz w:val="24"/>
          <w:szCs w:val="24"/>
        </w:rPr>
      </w:pPr>
      <w:r>
        <w:rPr>
          <w:sz w:val="24"/>
          <w:szCs w:val="24"/>
        </w:rPr>
        <w:t xml:space="preserve">A particular area of concern </w:t>
      </w:r>
      <w:r w:rsidR="004D7861">
        <w:rPr>
          <w:sz w:val="24"/>
          <w:szCs w:val="24"/>
        </w:rPr>
        <w:t xml:space="preserve">coming </w:t>
      </w:r>
      <w:r>
        <w:rPr>
          <w:sz w:val="24"/>
          <w:szCs w:val="24"/>
        </w:rPr>
        <w:t xml:space="preserve">from the consultations is </w:t>
      </w:r>
      <w:r w:rsidR="004D7861">
        <w:rPr>
          <w:sz w:val="24"/>
          <w:szCs w:val="24"/>
        </w:rPr>
        <w:t xml:space="preserve">the feedback that providers are putting </w:t>
      </w:r>
      <w:r>
        <w:rPr>
          <w:sz w:val="24"/>
          <w:szCs w:val="24"/>
        </w:rPr>
        <w:t>on hold</w:t>
      </w:r>
      <w:r w:rsidR="004D7861">
        <w:rPr>
          <w:sz w:val="24"/>
          <w:szCs w:val="24"/>
        </w:rPr>
        <w:t xml:space="preserve"> future investment in the sector given current pressures and in particular</w:t>
      </w:r>
      <w:r w:rsidR="009675C6">
        <w:rPr>
          <w:sz w:val="24"/>
          <w:szCs w:val="24"/>
        </w:rPr>
        <w:t>,</w:t>
      </w:r>
      <w:r w:rsidR="00ED2369">
        <w:rPr>
          <w:sz w:val="24"/>
          <w:szCs w:val="24"/>
        </w:rPr>
        <w:t xml:space="preserve"> </w:t>
      </w:r>
      <w:r w:rsidR="00E74CF6">
        <w:rPr>
          <w:sz w:val="24"/>
          <w:szCs w:val="24"/>
        </w:rPr>
        <w:t>uncertainty</w:t>
      </w:r>
      <w:r w:rsidR="004D7861">
        <w:rPr>
          <w:sz w:val="24"/>
          <w:szCs w:val="24"/>
        </w:rPr>
        <w:t xml:space="preserve"> over the </w:t>
      </w:r>
      <w:r w:rsidR="00C269AC">
        <w:rPr>
          <w:sz w:val="24"/>
          <w:szCs w:val="24"/>
        </w:rPr>
        <w:t xml:space="preserve">future </w:t>
      </w:r>
      <w:r w:rsidR="004D7861">
        <w:rPr>
          <w:sz w:val="24"/>
          <w:szCs w:val="24"/>
        </w:rPr>
        <w:t>di</w:t>
      </w:r>
      <w:r w:rsidR="00ED2369">
        <w:rPr>
          <w:sz w:val="24"/>
          <w:szCs w:val="24"/>
        </w:rPr>
        <w:t>rection of Government policies.</w:t>
      </w:r>
      <w:r>
        <w:rPr>
          <w:sz w:val="24"/>
          <w:szCs w:val="24"/>
        </w:rPr>
        <w:t xml:space="preserve"> </w:t>
      </w:r>
      <w:r w:rsidR="00047526">
        <w:rPr>
          <w:sz w:val="24"/>
          <w:szCs w:val="24"/>
        </w:rPr>
        <w:t xml:space="preserve">In order to set the framework </w:t>
      </w:r>
      <w:r w:rsidR="00E74CF6">
        <w:rPr>
          <w:sz w:val="24"/>
          <w:szCs w:val="24"/>
        </w:rPr>
        <w:t>for greater</w:t>
      </w:r>
      <w:r w:rsidR="004D7861">
        <w:rPr>
          <w:sz w:val="24"/>
          <w:szCs w:val="24"/>
        </w:rPr>
        <w:t xml:space="preserve"> investment in the </w:t>
      </w:r>
      <w:r w:rsidR="00DD6E72">
        <w:rPr>
          <w:sz w:val="24"/>
          <w:szCs w:val="24"/>
        </w:rPr>
        <w:t xml:space="preserve">residential </w:t>
      </w:r>
      <w:r w:rsidR="004D7861">
        <w:rPr>
          <w:sz w:val="24"/>
          <w:szCs w:val="24"/>
        </w:rPr>
        <w:t>aged care secto</w:t>
      </w:r>
      <w:r w:rsidR="00047526">
        <w:rPr>
          <w:sz w:val="24"/>
          <w:szCs w:val="24"/>
        </w:rPr>
        <w:t>r</w:t>
      </w:r>
      <w:r w:rsidR="00E74CF6">
        <w:rPr>
          <w:sz w:val="24"/>
          <w:szCs w:val="24"/>
        </w:rPr>
        <w:t>, the</w:t>
      </w:r>
      <w:r w:rsidR="00C269AC">
        <w:rPr>
          <w:sz w:val="24"/>
          <w:szCs w:val="24"/>
        </w:rPr>
        <w:t xml:space="preserve"> Government </w:t>
      </w:r>
      <w:r w:rsidR="00047526">
        <w:rPr>
          <w:sz w:val="24"/>
          <w:szCs w:val="24"/>
        </w:rPr>
        <w:t xml:space="preserve">needs </w:t>
      </w:r>
      <w:r w:rsidR="00C269AC">
        <w:rPr>
          <w:sz w:val="24"/>
          <w:szCs w:val="24"/>
        </w:rPr>
        <w:t xml:space="preserve">to restore confidence in the </w:t>
      </w:r>
      <w:r w:rsidR="00BC202C">
        <w:rPr>
          <w:sz w:val="24"/>
          <w:szCs w:val="24"/>
        </w:rPr>
        <w:t xml:space="preserve">rationale and </w:t>
      </w:r>
      <w:r w:rsidR="00C269AC">
        <w:rPr>
          <w:sz w:val="24"/>
          <w:szCs w:val="24"/>
        </w:rPr>
        <w:t xml:space="preserve">direction of future Government </w:t>
      </w:r>
      <w:r w:rsidR="00E74CF6">
        <w:rPr>
          <w:sz w:val="24"/>
          <w:szCs w:val="24"/>
        </w:rPr>
        <w:t>policies</w:t>
      </w:r>
      <w:r w:rsidR="00C269AC">
        <w:rPr>
          <w:sz w:val="24"/>
          <w:szCs w:val="24"/>
        </w:rPr>
        <w:t>.</w:t>
      </w:r>
      <w:r w:rsidR="009675C6">
        <w:rPr>
          <w:sz w:val="24"/>
          <w:szCs w:val="24"/>
        </w:rPr>
        <w:t xml:space="preserve"> In addition to the need for a more effective and efficient funding tool, it will be important to ensure that the rate of indexation and forecast growth in acuity underlying the Budget projections are appropriate.</w:t>
      </w:r>
    </w:p>
    <w:p w14:paraId="3F249111" w14:textId="77777777" w:rsidR="002F54CB" w:rsidRDefault="00047526">
      <w:pPr>
        <w:rPr>
          <w:sz w:val="24"/>
          <w:szCs w:val="24"/>
        </w:rPr>
      </w:pPr>
      <w:r>
        <w:rPr>
          <w:sz w:val="24"/>
          <w:szCs w:val="24"/>
        </w:rPr>
        <w:t>While the</w:t>
      </w:r>
      <w:r w:rsidR="00B36E63">
        <w:rPr>
          <w:sz w:val="24"/>
          <w:szCs w:val="24"/>
        </w:rPr>
        <w:t xml:space="preserve">re would appear to </w:t>
      </w:r>
      <w:r w:rsidR="00432473">
        <w:rPr>
          <w:sz w:val="24"/>
          <w:szCs w:val="24"/>
        </w:rPr>
        <w:t>be no</w:t>
      </w:r>
      <w:r w:rsidR="00B36E63">
        <w:rPr>
          <w:sz w:val="24"/>
          <w:szCs w:val="24"/>
        </w:rPr>
        <w:t xml:space="preserve"> immediate concern over the viability of </w:t>
      </w:r>
      <w:r w:rsidR="00432473">
        <w:rPr>
          <w:sz w:val="24"/>
          <w:szCs w:val="24"/>
        </w:rPr>
        <w:t>the bulk</w:t>
      </w:r>
      <w:r>
        <w:rPr>
          <w:sz w:val="24"/>
          <w:szCs w:val="24"/>
        </w:rPr>
        <w:t xml:space="preserve"> of the </w:t>
      </w:r>
      <w:r w:rsidR="00B36E63">
        <w:rPr>
          <w:sz w:val="24"/>
          <w:szCs w:val="24"/>
        </w:rPr>
        <w:t xml:space="preserve">residential </w:t>
      </w:r>
      <w:r>
        <w:rPr>
          <w:sz w:val="24"/>
          <w:szCs w:val="24"/>
        </w:rPr>
        <w:t xml:space="preserve">aged care </w:t>
      </w:r>
      <w:r w:rsidR="00FF1BE9">
        <w:rPr>
          <w:sz w:val="24"/>
          <w:szCs w:val="24"/>
        </w:rPr>
        <w:t>sector</w:t>
      </w:r>
      <w:r w:rsidR="000972A0">
        <w:rPr>
          <w:sz w:val="24"/>
          <w:szCs w:val="24"/>
        </w:rPr>
        <w:t xml:space="preserve">, the combination of slower growth in ACFI funding, increasing staff cost pressures and </w:t>
      </w:r>
      <w:r w:rsidR="00FF1BE9">
        <w:rPr>
          <w:sz w:val="24"/>
          <w:szCs w:val="24"/>
        </w:rPr>
        <w:t xml:space="preserve"> </w:t>
      </w:r>
      <w:r w:rsidR="000972A0">
        <w:rPr>
          <w:sz w:val="24"/>
          <w:szCs w:val="24"/>
        </w:rPr>
        <w:t xml:space="preserve">greater </w:t>
      </w:r>
      <w:r w:rsidR="00590CBC">
        <w:rPr>
          <w:sz w:val="24"/>
          <w:szCs w:val="24"/>
        </w:rPr>
        <w:t xml:space="preserve">external focus </w:t>
      </w:r>
      <w:r w:rsidR="000972A0">
        <w:rPr>
          <w:sz w:val="24"/>
          <w:szCs w:val="24"/>
        </w:rPr>
        <w:t xml:space="preserve">on </w:t>
      </w:r>
      <w:r w:rsidR="00590CBC">
        <w:rPr>
          <w:sz w:val="24"/>
          <w:szCs w:val="24"/>
        </w:rPr>
        <w:t xml:space="preserve">monitoring/auditing/policing </w:t>
      </w:r>
      <w:r w:rsidR="000972A0">
        <w:rPr>
          <w:sz w:val="24"/>
          <w:szCs w:val="24"/>
        </w:rPr>
        <w:t>quality is p</w:t>
      </w:r>
      <w:r w:rsidR="00E44542">
        <w:rPr>
          <w:sz w:val="24"/>
          <w:szCs w:val="24"/>
        </w:rPr>
        <w:t xml:space="preserve">utting pressure on </w:t>
      </w:r>
      <w:r w:rsidR="00725C54">
        <w:rPr>
          <w:sz w:val="24"/>
          <w:szCs w:val="24"/>
        </w:rPr>
        <w:t>providers. Should this</w:t>
      </w:r>
      <w:r w:rsidR="00E44542">
        <w:rPr>
          <w:sz w:val="24"/>
          <w:szCs w:val="24"/>
        </w:rPr>
        <w:t xml:space="preserve"> continue, it will curtail investment in the residential aged care sector and bring into question the viability of a number of </w:t>
      </w:r>
      <w:proofErr w:type="gramStart"/>
      <w:r w:rsidR="00E44542">
        <w:rPr>
          <w:sz w:val="24"/>
          <w:szCs w:val="24"/>
        </w:rPr>
        <w:t>providers.</w:t>
      </w:r>
      <w:proofErr w:type="gramEnd"/>
      <w:r w:rsidR="003149B1">
        <w:rPr>
          <w:sz w:val="24"/>
          <w:szCs w:val="24"/>
        </w:rPr>
        <w:t xml:space="preserve"> </w:t>
      </w:r>
      <w:r w:rsidR="00501953">
        <w:rPr>
          <w:sz w:val="24"/>
          <w:szCs w:val="24"/>
        </w:rPr>
        <w:t xml:space="preserve">Some facilities have been making losses for </w:t>
      </w:r>
      <w:r w:rsidR="00B21EE2">
        <w:rPr>
          <w:sz w:val="24"/>
          <w:szCs w:val="24"/>
        </w:rPr>
        <w:t>some time</w:t>
      </w:r>
      <w:r w:rsidR="00501953">
        <w:rPr>
          <w:sz w:val="24"/>
          <w:szCs w:val="24"/>
        </w:rPr>
        <w:t xml:space="preserve"> and have been cross-subsidised by </w:t>
      </w:r>
      <w:r w:rsidR="00501953">
        <w:rPr>
          <w:sz w:val="24"/>
          <w:szCs w:val="24"/>
        </w:rPr>
        <w:lastRenderedPageBreak/>
        <w:t xml:space="preserve">providers reflecting their mission values or to provide aged care to areas that would not </w:t>
      </w:r>
      <w:r w:rsidR="00F1259A">
        <w:rPr>
          <w:sz w:val="24"/>
          <w:szCs w:val="24"/>
        </w:rPr>
        <w:t xml:space="preserve">otherwise be serviced. </w:t>
      </w:r>
      <w:r w:rsidR="00501953">
        <w:rPr>
          <w:sz w:val="24"/>
          <w:szCs w:val="24"/>
        </w:rPr>
        <w:t xml:space="preserve">Where providers are </w:t>
      </w:r>
      <w:r w:rsidR="00B21EE2">
        <w:rPr>
          <w:sz w:val="24"/>
          <w:szCs w:val="24"/>
        </w:rPr>
        <w:t xml:space="preserve">largely </w:t>
      </w:r>
      <w:r w:rsidR="00501953">
        <w:rPr>
          <w:sz w:val="24"/>
          <w:szCs w:val="24"/>
        </w:rPr>
        <w:t>in financial difficulties because of shortcomings in their management and operational expertise, their future in the industry should be limited. H</w:t>
      </w:r>
      <w:r w:rsidR="00725C54">
        <w:rPr>
          <w:sz w:val="24"/>
          <w:szCs w:val="24"/>
        </w:rPr>
        <w:t xml:space="preserve">owever the </w:t>
      </w:r>
      <w:r w:rsidR="00E27DD5">
        <w:rPr>
          <w:sz w:val="24"/>
          <w:szCs w:val="24"/>
        </w:rPr>
        <w:t>overall funding</w:t>
      </w:r>
      <w:r w:rsidR="00725C54">
        <w:rPr>
          <w:sz w:val="24"/>
          <w:szCs w:val="24"/>
        </w:rPr>
        <w:t xml:space="preserve"> arrangements and regulatory framework </w:t>
      </w:r>
      <w:r w:rsidR="007540D5">
        <w:rPr>
          <w:sz w:val="24"/>
          <w:szCs w:val="24"/>
        </w:rPr>
        <w:t>needs to</w:t>
      </w:r>
      <w:r w:rsidR="00725C54">
        <w:rPr>
          <w:sz w:val="24"/>
          <w:szCs w:val="24"/>
        </w:rPr>
        <w:t xml:space="preserve"> be consistent with ensuring the long-term viability and efficiency of the </w:t>
      </w:r>
      <w:r w:rsidR="00B21EE2">
        <w:rPr>
          <w:sz w:val="24"/>
          <w:szCs w:val="24"/>
        </w:rPr>
        <w:t xml:space="preserve">residential </w:t>
      </w:r>
      <w:r w:rsidR="00725C54">
        <w:rPr>
          <w:sz w:val="24"/>
          <w:szCs w:val="24"/>
        </w:rPr>
        <w:t>aged care sector and the delivery of quality care to residents</w:t>
      </w:r>
      <w:r w:rsidR="009675C6">
        <w:rPr>
          <w:sz w:val="24"/>
          <w:szCs w:val="24"/>
        </w:rPr>
        <w:t>.</w:t>
      </w:r>
    </w:p>
    <w:p w14:paraId="3F249112" w14:textId="77777777" w:rsidR="00047526" w:rsidRDefault="002F54CB">
      <w:pPr>
        <w:rPr>
          <w:sz w:val="24"/>
          <w:szCs w:val="24"/>
        </w:rPr>
      </w:pPr>
      <w:r>
        <w:rPr>
          <w:sz w:val="24"/>
          <w:szCs w:val="24"/>
        </w:rPr>
        <w:t xml:space="preserve">Of immediate concern is </w:t>
      </w:r>
      <w:r w:rsidR="009675C6">
        <w:rPr>
          <w:sz w:val="24"/>
          <w:szCs w:val="24"/>
        </w:rPr>
        <w:t>the</w:t>
      </w:r>
      <w:r w:rsidR="00047526">
        <w:rPr>
          <w:sz w:val="24"/>
          <w:szCs w:val="24"/>
        </w:rPr>
        <w:t xml:space="preserve"> number of smaller </w:t>
      </w:r>
      <w:r w:rsidR="00E74CF6">
        <w:rPr>
          <w:sz w:val="24"/>
          <w:szCs w:val="24"/>
        </w:rPr>
        <w:t>facilities</w:t>
      </w:r>
      <w:r w:rsidR="00521641">
        <w:rPr>
          <w:sz w:val="24"/>
          <w:szCs w:val="24"/>
        </w:rPr>
        <w:t>, particularly in remote and regional areas</w:t>
      </w:r>
      <w:r w:rsidR="00047526">
        <w:rPr>
          <w:sz w:val="24"/>
          <w:szCs w:val="24"/>
        </w:rPr>
        <w:t xml:space="preserve"> that are experiencing </w:t>
      </w:r>
      <w:r w:rsidR="00521641">
        <w:rPr>
          <w:sz w:val="24"/>
          <w:szCs w:val="24"/>
        </w:rPr>
        <w:t xml:space="preserve">significant </w:t>
      </w:r>
      <w:r w:rsidR="00047526">
        <w:rPr>
          <w:sz w:val="24"/>
          <w:szCs w:val="24"/>
        </w:rPr>
        <w:t xml:space="preserve">financial difficulties and are likely </w:t>
      </w:r>
      <w:r w:rsidR="00A70A6E">
        <w:rPr>
          <w:sz w:val="24"/>
          <w:szCs w:val="24"/>
        </w:rPr>
        <w:t>to be forced to sell or merge with</w:t>
      </w:r>
      <w:r w:rsidR="00047526">
        <w:rPr>
          <w:sz w:val="24"/>
          <w:szCs w:val="24"/>
        </w:rPr>
        <w:t xml:space="preserve"> a larger facility</w:t>
      </w:r>
      <w:r w:rsidR="001E1927">
        <w:rPr>
          <w:sz w:val="24"/>
          <w:szCs w:val="24"/>
        </w:rPr>
        <w:t xml:space="preserve"> or organisation, where one exists</w:t>
      </w:r>
      <w:r w:rsidR="00047526">
        <w:rPr>
          <w:sz w:val="24"/>
          <w:szCs w:val="24"/>
        </w:rPr>
        <w:t xml:space="preserve">. </w:t>
      </w:r>
      <w:r w:rsidR="00521641">
        <w:rPr>
          <w:sz w:val="24"/>
          <w:szCs w:val="24"/>
        </w:rPr>
        <w:t xml:space="preserve">It will be important for the Department </w:t>
      </w:r>
      <w:r w:rsidR="00E27DD5">
        <w:rPr>
          <w:sz w:val="24"/>
          <w:szCs w:val="24"/>
        </w:rPr>
        <w:t>to monitor</w:t>
      </w:r>
      <w:r w:rsidR="00521641">
        <w:rPr>
          <w:sz w:val="24"/>
          <w:szCs w:val="24"/>
        </w:rPr>
        <w:t xml:space="preserve"> the financial position of providers and consideration should be given to formalising the range of </w:t>
      </w:r>
      <w:r>
        <w:rPr>
          <w:sz w:val="24"/>
          <w:szCs w:val="24"/>
        </w:rPr>
        <w:t>measures</w:t>
      </w:r>
      <w:r w:rsidR="00521641">
        <w:rPr>
          <w:sz w:val="24"/>
          <w:szCs w:val="24"/>
        </w:rPr>
        <w:t xml:space="preserve"> available to a provi</w:t>
      </w:r>
      <w:r w:rsidR="00A70A6E">
        <w:rPr>
          <w:sz w:val="24"/>
          <w:szCs w:val="24"/>
        </w:rPr>
        <w:t xml:space="preserve">der in financial </w:t>
      </w:r>
      <w:r w:rsidR="00E74CF6">
        <w:rPr>
          <w:sz w:val="24"/>
          <w:szCs w:val="24"/>
        </w:rPr>
        <w:t xml:space="preserve">difficulties. </w:t>
      </w:r>
      <w:r w:rsidR="00A70A6E">
        <w:rPr>
          <w:sz w:val="24"/>
          <w:szCs w:val="24"/>
        </w:rPr>
        <w:t>In particular, consideration should be given to establishing a more structured and pro-active mechanism to, in the first instance, provide advice and support to  facilities facing financial problems and if necessary, facilitate the sale or transfer of the facilities of a provider in difficulties to another provider.</w:t>
      </w:r>
    </w:p>
    <w:p w14:paraId="3F249113" w14:textId="77777777" w:rsidR="0046637D" w:rsidRDefault="005372F3">
      <w:pPr>
        <w:rPr>
          <w:sz w:val="24"/>
          <w:szCs w:val="24"/>
        </w:rPr>
      </w:pPr>
      <w:r>
        <w:rPr>
          <w:sz w:val="24"/>
          <w:szCs w:val="24"/>
        </w:rPr>
        <w:t>Providers operating in</w:t>
      </w:r>
      <w:r w:rsidR="00033F3D">
        <w:rPr>
          <w:sz w:val="24"/>
          <w:szCs w:val="24"/>
        </w:rPr>
        <w:t xml:space="preserve"> regional and remote areas</w:t>
      </w:r>
      <w:r>
        <w:rPr>
          <w:sz w:val="24"/>
          <w:szCs w:val="24"/>
        </w:rPr>
        <w:t xml:space="preserve">, </w:t>
      </w:r>
      <w:r w:rsidR="00033F3D">
        <w:rPr>
          <w:sz w:val="24"/>
          <w:szCs w:val="24"/>
        </w:rPr>
        <w:t>along with those providing aged care services to the homeless</w:t>
      </w:r>
      <w:r>
        <w:rPr>
          <w:sz w:val="24"/>
          <w:szCs w:val="24"/>
        </w:rPr>
        <w:t>, are facing particular pressures</w:t>
      </w:r>
      <w:r w:rsidR="00ED2369">
        <w:rPr>
          <w:sz w:val="24"/>
          <w:szCs w:val="24"/>
        </w:rPr>
        <w:t xml:space="preserve">. </w:t>
      </w:r>
      <w:r w:rsidR="00033F3D">
        <w:rPr>
          <w:sz w:val="24"/>
          <w:szCs w:val="24"/>
        </w:rPr>
        <w:t xml:space="preserve">Recognising the significant constraints facing these </w:t>
      </w:r>
      <w:r w:rsidR="00E74CF6">
        <w:rPr>
          <w:sz w:val="24"/>
          <w:szCs w:val="24"/>
        </w:rPr>
        <w:t>providers,</w:t>
      </w:r>
      <w:r w:rsidR="00033F3D">
        <w:rPr>
          <w:sz w:val="24"/>
          <w:szCs w:val="24"/>
        </w:rPr>
        <w:t xml:space="preserve"> including high cost structures and the very limited ability </w:t>
      </w:r>
      <w:r>
        <w:rPr>
          <w:sz w:val="24"/>
          <w:szCs w:val="24"/>
        </w:rPr>
        <w:t xml:space="preserve">they have </w:t>
      </w:r>
      <w:r w:rsidR="00033F3D">
        <w:rPr>
          <w:sz w:val="24"/>
          <w:szCs w:val="24"/>
        </w:rPr>
        <w:t xml:space="preserve">to achieve </w:t>
      </w:r>
      <w:r>
        <w:rPr>
          <w:sz w:val="24"/>
          <w:szCs w:val="24"/>
        </w:rPr>
        <w:t>a contribution</w:t>
      </w:r>
      <w:r w:rsidR="00033F3D">
        <w:rPr>
          <w:sz w:val="24"/>
          <w:szCs w:val="24"/>
        </w:rPr>
        <w:t xml:space="preserve"> from residents, consideration should be given to enhancing the support provided to these providers.</w:t>
      </w:r>
    </w:p>
    <w:p w14:paraId="3F249114" w14:textId="77777777" w:rsidR="00C60BAD" w:rsidRDefault="00C60BAD">
      <w:pPr>
        <w:rPr>
          <w:sz w:val="24"/>
          <w:szCs w:val="24"/>
        </w:rPr>
      </w:pPr>
    </w:p>
    <w:p w14:paraId="3F249115" w14:textId="77777777" w:rsidR="00C60BAD" w:rsidRDefault="00C60BAD">
      <w:pPr>
        <w:rPr>
          <w:sz w:val="24"/>
          <w:szCs w:val="24"/>
        </w:rPr>
        <w:sectPr w:rsidR="00C60BAD" w:rsidSect="008C174D">
          <w:footerReference w:type="default" r:id="rId31"/>
          <w:pgSz w:w="11906" w:h="16838"/>
          <w:pgMar w:top="1440" w:right="1440" w:bottom="1440" w:left="1440" w:header="708" w:footer="708" w:gutter="0"/>
          <w:pgNumType w:start="1"/>
          <w:cols w:space="708"/>
          <w:docGrid w:linePitch="360"/>
        </w:sectPr>
      </w:pPr>
    </w:p>
    <w:p w14:paraId="3F249116" w14:textId="77777777" w:rsidR="005E523E" w:rsidRDefault="0046637D" w:rsidP="00CB25A6">
      <w:pPr>
        <w:pStyle w:val="Heading1"/>
      </w:pPr>
      <w:bookmarkStart w:id="22" w:name="_Toc525127639"/>
      <w:r>
        <w:lastRenderedPageBreak/>
        <w:t>Attachment A</w:t>
      </w:r>
      <w:bookmarkEnd w:id="22"/>
    </w:p>
    <w:p w14:paraId="3F249117" w14:textId="77777777" w:rsidR="0046637D" w:rsidRDefault="0046637D" w:rsidP="00F1259A">
      <w:pPr>
        <w:pStyle w:val="Heading3"/>
        <w:jc w:val="center"/>
      </w:pPr>
      <w:r>
        <w:t>Overview of consultations</w:t>
      </w:r>
    </w:p>
    <w:p w14:paraId="3F249118" w14:textId="77777777" w:rsidR="0046637D" w:rsidRDefault="0046637D" w:rsidP="0046637D">
      <w:pPr>
        <w:rPr>
          <w:sz w:val="24"/>
          <w:szCs w:val="24"/>
        </w:rPr>
      </w:pPr>
      <w:r>
        <w:rPr>
          <w:sz w:val="24"/>
          <w:szCs w:val="24"/>
        </w:rPr>
        <w:t>In the absence of comprehensive d</w:t>
      </w:r>
      <w:r w:rsidR="00C01EEA">
        <w:rPr>
          <w:sz w:val="24"/>
          <w:szCs w:val="24"/>
        </w:rPr>
        <w:t xml:space="preserve">ata for 2017-18, the Update on Financing Issues in the Residential Aged Care </w:t>
      </w:r>
      <w:r w:rsidR="00675ACB">
        <w:rPr>
          <w:sz w:val="24"/>
          <w:szCs w:val="24"/>
        </w:rPr>
        <w:t>Industry</w:t>
      </w:r>
      <w:r>
        <w:rPr>
          <w:sz w:val="24"/>
          <w:szCs w:val="24"/>
        </w:rPr>
        <w:t xml:space="preserve"> was based on consultations </w:t>
      </w:r>
      <w:r w:rsidR="00C01EEA">
        <w:rPr>
          <w:sz w:val="24"/>
          <w:szCs w:val="24"/>
        </w:rPr>
        <w:t>by the ACFA chair</w:t>
      </w:r>
      <w:r>
        <w:rPr>
          <w:sz w:val="24"/>
          <w:szCs w:val="24"/>
        </w:rPr>
        <w:t xml:space="preserve"> with a cross section of providers along with financial institutions and analysts in August and September 2018.</w:t>
      </w:r>
      <w:r w:rsidR="00740D16">
        <w:rPr>
          <w:sz w:val="24"/>
          <w:szCs w:val="24"/>
        </w:rPr>
        <w:t xml:space="preserve"> The providers consulted were chosen with the aim of obtaining views from a representative cross section.</w:t>
      </w:r>
    </w:p>
    <w:p w14:paraId="3F249119" w14:textId="77777777" w:rsidR="00B860B6" w:rsidRDefault="00740D16" w:rsidP="0046637D">
      <w:pPr>
        <w:rPr>
          <w:sz w:val="24"/>
          <w:szCs w:val="24"/>
        </w:rPr>
      </w:pPr>
      <w:r>
        <w:rPr>
          <w:sz w:val="24"/>
          <w:szCs w:val="24"/>
        </w:rPr>
        <w:t xml:space="preserve">The ACFA chair met with a range of for-profit and not-for-profit providers with a diversity of size, operating </w:t>
      </w:r>
      <w:r w:rsidR="00B860B6">
        <w:rPr>
          <w:sz w:val="24"/>
          <w:szCs w:val="24"/>
        </w:rPr>
        <w:t>structures and</w:t>
      </w:r>
      <w:r>
        <w:rPr>
          <w:sz w:val="24"/>
          <w:szCs w:val="24"/>
        </w:rPr>
        <w:t xml:space="preserve"> locations. The providers consulted were in aggregate responsible for nearly 900 aged care facilities with representation across all states and </w:t>
      </w:r>
      <w:r w:rsidR="00B860B6">
        <w:rPr>
          <w:sz w:val="24"/>
          <w:szCs w:val="24"/>
        </w:rPr>
        <w:t xml:space="preserve">territories, and across a wide range of metropolitan, inner and outer regional areas ( over 170 in inner regional and 50 in outer regional and remote areas). </w:t>
      </w:r>
    </w:p>
    <w:p w14:paraId="3F24911A" w14:textId="77777777" w:rsidR="00B860B6" w:rsidRDefault="00B860B6" w:rsidP="0046637D">
      <w:pPr>
        <w:rPr>
          <w:sz w:val="24"/>
          <w:szCs w:val="24"/>
        </w:rPr>
      </w:pPr>
      <w:r>
        <w:rPr>
          <w:sz w:val="24"/>
          <w:szCs w:val="24"/>
        </w:rPr>
        <w:t>Approximately 40 per cent of providers consulted were for-profit and 60 per cent were not-for-profit. They included large and medium providers as well as those operating less than ten facilities.</w:t>
      </w:r>
    </w:p>
    <w:p w14:paraId="3F24911B" w14:textId="77777777" w:rsidR="00B860B6" w:rsidRDefault="00B860B6" w:rsidP="0046637D">
      <w:pPr>
        <w:rPr>
          <w:sz w:val="24"/>
          <w:szCs w:val="24"/>
        </w:rPr>
      </w:pPr>
      <w:r>
        <w:rPr>
          <w:sz w:val="24"/>
          <w:szCs w:val="24"/>
        </w:rPr>
        <w:t>The providers consulted have approximately 300 facilities in NSW/ACT, 240 facilities in Victoria, 140 in Queensland/NT, 90 in Western Australia</w:t>
      </w:r>
      <w:r w:rsidR="00892018">
        <w:rPr>
          <w:sz w:val="24"/>
          <w:szCs w:val="24"/>
        </w:rPr>
        <w:t>, 80 in South Australia</w:t>
      </w:r>
      <w:r>
        <w:rPr>
          <w:sz w:val="24"/>
          <w:szCs w:val="24"/>
        </w:rPr>
        <w:t xml:space="preserve"> and 15 in Tasmania.</w:t>
      </w:r>
    </w:p>
    <w:p w14:paraId="3F24911C" w14:textId="77777777" w:rsidR="00740D16" w:rsidRPr="0046637D" w:rsidRDefault="00B860B6" w:rsidP="0046637D">
      <w:pPr>
        <w:rPr>
          <w:sz w:val="24"/>
          <w:szCs w:val="24"/>
        </w:rPr>
      </w:pPr>
      <w:r>
        <w:rPr>
          <w:sz w:val="24"/>
          <w:szCs w:val="24"/>
        </w:rPr>
        <w:t>In addition, the ACFA chair met with the aged care sector peak bodies, financial institutions and financial analysts focused on the residential aged care sector.</w:t>
      </w:r>
      <w:r w:rsidR="00740D16">
        <w:rPr>
          <w:sz w:val="24"/>
          <w:szCs w:val="24"/>
        </w:rPr>
        <w:t xml:space="preserve"> </w:t>
      </w:r>
    </w:p>
    <w:sectPr w:rsidR="00740D16" w:rsidRPr="0046637D" w:rsidSect="001A2A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24913F" w14:textId="77777777" w:rsidR="00EE0E99" w:rsidRDefault="00EE0E99" w:rsidP="00BD5492">
      <w:pPr>
        <w:spacing w:after="0" w:line="240" w:lineRule="auto"/>
      </w:pPr>
      <w:r>
        <w:separator/>
      </w:r>
    </w:p>
  </w:endnote>
  <w:endnote w:type="continuationSeparator" w:id="0">
    <w:p w14:paraId="3F249140" w14:textId="77777777" w:rsidR="00EE0E99" w:rsidRDefault="00EE0E99" w:rsidP="00BD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281888"/>
      <w:docPartObj>
        <w:docPartGallery w:val="Page Numbers (Bottom of Page)"/>
        <w:docPartUnique/>
      </w:docPartObj>
    </w:sdtPr>
    <w:sdtEndPr>
      <w:rPr>
        <w:noProof/>
      </w:rPr>
    </w:sdtEndPr>
    <w:sdtContent>
      <w:p w14:paraId="3F249144" w14:textId="77777777" w:rsidR="00EE0E99" w:rsidRDefault="00EE0E99">
        <w:pPr>
          <w:pStyle w:val="Footer"/>
          <w:jc w:val="right"/>
        </w:pPr>
        <w:r>
          <w:fldChar w:fldCharType="begin"/>
        </w:r>
        <w:r>
          <w:instrText xml:space="preserve"> PAGE   \* MERGEFORMAT </w:instrText>
        </w:r>
        <w:r>
          <w:fldChar w:fldCharType="separate"/>
        </w:r>
        <w:r w:rsidR="009723A0">
          <w:rPr>
            <w:noProof/>
          </w:rPr>
          <w:t>i</w:t>
        </w:r>
        <w:r>
          <w:rPr>
            <w:noProof/>
          </w:rPr>
          <w:fldChar w:fldCharType="end"/>
        </w:r>
      </w:p>
    </w:sdtContent>
  </w:sdt>
  <w:p w14:paraId="3F249145" w14:textId="77777777" w:rsidR="00EE0E99" w:rsidRDefault="00EE0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712236"/>
      <w:docPartObj>
        <w:docPartGallery w:val="Page Numbers (Bottom of Page)"/>
        <w:docPartUnique/>
      </w:docPartObj>
    </w:sdtPr>
    <w:sdtEndPr>
      <w:rPr>
        <w:noProof/>
      </w:rPr>
    </w:sdtEndPr>
    <w:sdtContent>
      <w:p w14:paraId="3F249147" w14:textId="77777777" w:rsidR="00EE0E99" w:rsidRDefault="00EE0E99">
        <w:pPr>
          <w:pStyle w:val="Footer"/>
          <w:jc w:val="right"/>
        </w:pPr>
        <w:r>
          <w:fldChar w:fldCharType="begin"/>
        </w:r>
        <w:r>
          <w:instrText xml:space="preserve"> PAGE   \* MERGEFORMAT </w:instrText>
        </w:r>
        <w:r>
          <w:fldChar w:fldCharType="separate"/>
        </w:r>
        <w:r w:rsidR="009723A0">
          <w:rPr>
            <w:noProof/>
          </w:rPr>
          <w:t>iv</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2230775"/>
      <w:docPartObj>
        <w:docPartGallery w:val="Page Numbers (Bottom of Page)"/>
        <w:docPartUnique/>
      </w:docPartObj>
    </w:sdtPr>
    <w:sdtEndPr>
      <w:rPr>
        <w:noProof/>
      </w:rPr>
    </w:sdtEndPr>
    <w:sdtContent>
      <w:p w14:paraId="3F249148" w14:textId="77777777" w:rsidR="00EE0E99" w:rsidRDefault="00EE0E99">
        <w:pPr>
          <w:pStyle w:val="Footer"/>
          <w:jc w:val="right"/>
        </w:pPr>
        <w:r>
          <w:fldChar w:fldCharType="begin"/>
        </w:r>
        <w:r>
          <w:instrText xml:space="preserve"> PAGE   \* MERGEFORMAT </w:instrText>
        </w:r>
        <w:r>
          <w:fldChar w:fldCharType="separate"/>
        </w:r>
        <w:r w:rsidR="009723A0">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4913D" w14:textId="77777777" w:rsidR="00EE0E99" w:rsidRDefault="00EE0E99" w:rsidP="00BD5492">
      <w:pPr>
        <w:spacing w:after="0" w:line="240" w:lineRule="auto"/>
      </w:pPr>
      <w:r>
        <w:separator/>
      </w:r>
    </w:p>
  </w:footnote>
  <w:footnote w:type="continuationSeparator" w:id="0">
    <w:p w14:paraId="3F24913E" w14:textId="77777777" w:rsidR="00EE0E99" w:rsidRDefault="00EE0E99" w:rsidP="00BD5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579170"/>
      <w:docPartObj>
        <w:docPartGallery w:val="Page Numbers (Top of Page)"/>
        <w:docPartUnique/>
      </w:docPartObj>
    </w:sdtPr>
    <w:sdtEndPr>
      <w:rPr>
        <w:noProof/>
      </w:rPr>
    </w:sdtEndPr>
    <w:sdtContent>
      <w:p w14:paraId="3F249141" w14:textId="77777777" w:rsidR="00EE0E99" w:rsidRDefault="00EE0E99">
        <w:pPr>
          <w:pStyle w:val="Header"/>
          <w:jc w:val="center"/>
        </w:pPr>
        <w:r>
          <w:t xml:space="preserve"> </w:t>
        </w:r>
      </w:p>
    </w:sdtContent>
  </w:sdt>
  <w:p w14:paraId="3F249142" w14:textId="77777777" w:rsidR="00EE0E99" w:rsidRDefault="00EE0E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49143" w14:textId="77777777" w:rsidR="00EE0E99" w:rsidRDefault="00EE0E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964247"/>
      <w:docPartObj>
        <w:docPartGallery w:val="Page Numbers (Top of Page)"/>
        <w:docPartUnique/>
      </w:docPartObj>
    </w:sdtPr>
    <w:sdtEndPr>
      <w:rPr>
        <w:noProof/>
      </w:rPr>
    </w:sdtEndPr>
    <w:sdtContent>
      <w:p w14:paraId="3F249146" w14:textId="77777777" w:rsidR="00EE0E99" w:rsidRDefault="00EE0E99" w:rsidP="003934D9">
        <w:pPr>
          <w:pStyle w:val="Header"/>
          <w:jc w:val="right"/>
        </w:pPr>
        <w:r w:rsidRPr="005616D5">
          <w:rPr>
            <w:b/>
          </w:rPr>
          <w:t>Aged Care Financing Authority</w:t>
        </w:r>
        <w:r>
          <w:t xml:space="preserve"> | </w:t>
        </w:r>
        <w:r w:rsidRPr="008C174D">
          <w:t>Update on funding and financing issues in the residential aged care industry</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7B19"/>
    <w:multiLevelType w:val="hybridMultilevel"/>
    <w:tmpl w:val="60365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9B15F6E"/>
    <w:multiLevelType w:val="hybridMultilevel"/>
    <w:tmpl w:val="E91ED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5F73108"/>
    <w:multiLevelType w:val="hybridMultilevel"/>
    <w:tmpl w:val="6798A7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293C1ADA"/>
    <w:multiLevelType w:val="multilevel"/>
    <w:tmpl w:val="DB20D726"/>
    <w:lvl w:ilvl="0">
      <w:start w:val="1"/>
      <w:numFmt w:val="decimal"/>
      <w:lvlText w:val="%1"/>
      <w:lvlJc w:val="left"/>
      <w:pPr>
        <w:ind w:left="360" w:hanging="360"/>
      </w:pPr>
      <w:rPr>
        <w:rFonts w:hint="default"/>
        <w:b w:val="0"/>
        <w:i w:val="0"/>
        <w:color w:val="002776"/>
        <w:sz w:val="56"/>
        <w:szCs w:val="56"/>
      </w:rPr>
    </w:lvl>
    <w:lvl w:ilvl="1">
      <w:start w:val="1"/>
      <w:numFmt w:val="decimal"/>
      <w:lvlText w:val="%1.%2"/>
      <w:lvlJc w:val="left"/>
      <w:pPr>
        <w:tabs>
          <w:tab w:val="num" w:pos="993"/>
        </w:tabs>
        <w:ind w:left="993" w:hanging="567"/>
      </w:pPr>
      <w:rPr>
        <w:rFonts w:ascii="Segoe UI" w:hAnsi="Segoe UI" w:cs="Segoe UI" w:hint="default"/>
        <w:b/>
        <w:i w:val="0"/>
        <w:color w:val="5B9BD5" w:themeColor="accent1"/>
        <w:sz w:val="28"/>
        <w:szCs w:val="28"/>
      </w:rPr>
    </w:lvl>
    <w:lvl w:ilvl="2">
      <w:start w:val="1"/>
      <w:numFmt w:val="decimal"/>
      <w:lvlText w:val="%1.%2.%3"/>
      <w:lvlJc w:val="left"/>
      <w:pPr>
        <w:tabs>
          <w:tab w:val="num" w:pos="1134"/>
        </w:tabs>
        <w:ind w:left="1134" w:hanging="1134"/>
      </w:pPr>
      <w:rPr>
        <w:rFonts w:ascii="Calibri" w:hAnsi="Calibri" w:cs="Arial" w:hint="default"/>
        <w:b/>
        <w:i w:val="0"/>
        <w:color w:val="313131"/>
        <w:sz w:val="28"/>
        <w:szCs w:val="24"/>
      </w:rPr>
    </w:lvl>
    <w:lvl w:ilvl="3">
      <w:start w:val="1"/>
      <w:numFmt w:val="decimal"/>
      <w:pStyle w:val="Heading4"/>
      <w:lvlText w:val="%1.%2.%3.%4"/>
      <w:lvlJc w:val="left"/>
      <w:pPr>
        <w:tabs>
          <w:tab w:val="num" w:pos="1134"/>
        </w:tabs>
        <w:ind w:left="1134" w:hanging="1134"/>
      </w:pPr>
      <w:rPr>
        <w:rFonts w:ascii="Calibri" w:hAnsi="Calibri" w:cs="Arial" w:hint="default"/>
        <w:b/>
        <w:i w:val="0"/>
        <w:color w:val="00A1DE"/>
        <w:sz w:val="24"/>
        <w:szCs w:val="24"/>
        <w:u w:val="none"/>
      </w:rPr>
    </w:lvl>
    <w:lvl w:ilvl="4">
      <w:start w:val="1"/>
      <w:numFmt w:val="decimal"/>
      <w:lvlRestart w:val="1"/>
      <w:pStyle w:val="Heading5"/>
      <w:suff w:val="space"/>
      <w:lvlText w:val="Box %1.%5"/>
      <w:lvlJc w:val="left"/>
      <w:pPr>
        <w:ind w:left="1134" w:hanging="850"/>
      </w:pPr>
      <w:rPr>
        <w:rFonts w:ascii="Calibri" w:hAnsi="Calibri" w:cs="Arial" w:hint="default"/>
        <w:b/>
        <w:i w:val="0"/>
        <w:color w:val="FFFFFF"/>
        <w:sz w:val="20"/>
        <w:szCs w:val="20"/>
      </w:rPr>
    </w:lvl>
    <w:lvl w:ilvl="5">
      <w:start w:val="1"/>
      <w:numFmt w:val="none"/>
      <w:lvlRestart w:val="0"/>
      <w:lvlText w:val=""/>
      <w:lvlJc w:val="center"/>
      <w:pPr>
        <w:ind w:left="0" w:firstLine="0"/>
      </w:pPr>
      <w:rPr>
        <w:rFonts w:ascii="Arial" w:hAnsi="Arial" w:cs="Arial" w:hint="default"/>
        <w:b/>
        <w:i w:val="0"/>
        <w:color w:val="931638"/>
        <w:sz w:val="20"/>
        <w:szCs w:val="20"/>
      </w:rPr>
    </w:lvl>
    <w:lvl w:ilvl="6">
      <w:start w:val="1"/>
      <w:numFmt w:val="decimal"/>
      <w:lvlRestart w:val="1"/>
      <w:pStyle w:val="CaptionTable"/>
      <w:suff w:val="nothing"/>
      <w:lvlText w:val="Table %1.%7"/>
      <w:lvlJc w:val="left"/>
      <w:pPr>
        <w:ind w:left="993" w:firstLine="0"/>
      </w:pPr>
      <w:rPr>
        <w:rFonts w:ascii="Segoe UI" w:hAnsi="Segoe UI" w:cs="Segoe UI" w:hint="default"/>
        <w:b/>
        <w:i w:val="0"/>
        <w:color w:val="002776"/>
        <w:sz w:val="22"/>
        <w:szCs w:val="20"/>
      </w:rPr>
    </w:lvl>
    <w:lvl w:ilvl="7">
      <w:start w:val="1"/>
      <w:numFmt w:val="decimal"/>
      <w:lvlRestart w:val="1"/>
      <w:pStyle w:val="CaptionChart"/>
      <w:suff w:val="nothing"/>
      <w:lvlText w:val="Chart %1.%8"/>
      <w:lvlJc w:val="left"/>
      <w:pPr>
        <w:ind w:left="142" w:firstLine="0"/>
      </w:pPr>
      <w:rPr>
        <w:rFonts w:ascii="Segoe UI" w:hAnsi="Segoe UI" w:cs="Segoe UI" w:hint="default"/>
        <w:b/>
        <w:i w:val="0"/>
        <w:color w:val="002776"/>
        <w:sz w:val="22"/>
        <w:szCs w:val="20"/>
      </w:rPr>
    </w:lvl>
    <w:lvl w:ilvl="8">
      <w:start w:val="1"/>
      <w:numFmt w:val="decimal"/>
      <w:lvlRestart w:val="1"/>
      <w:pStyle w:val="CaptionFigure"/>
      <w:suff w:val="nothing"/>
      <w:lvlText w:val="Chart %1.%9"/>
      <w:lvlJc w:val="left"/>
      <w:pPr>
        <w:ind w:left="3544" w:firstLine="0"/>
      </w:pPr>
      <w:rPr>
        <w:rFonts w:ascii="Segoe UI" w:hAnsi="Segoe UI" w:cs="Segoe UI" w:hint="default"/>
        <w:b/>
        <w:i w:val="0"/>
        <w:strike w:val="0"/>
        <w:color w:val="002776"/>
        <w:sz w:val="22"/>
        <w:szCs w:val="20"/>
      </w:rPr>
    </w:lvl>
  </w:abstractNum>
  <w:abstractNum w:abstractNumId="4">
    <w:nsid w:val="2C2B3850"/>
    <w:multiLevelType w:val="hybridMultilevel"/>
    <w:tmpl w:val="B88697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33A32AC5"/>
    <w:multiLevelType w:val="hybridMultilevel"/>
    <w:tmpl w:val="F28ED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23043CE"/>
    <w:multiLevelType w:val="hybridMultilevel"/>
    <w:tmpl w:val="0450C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AFA0C0D"/>
    <w:multiLevelType w:val="hybridMultilevel"/>
    <w:tmpl w:val="0FDE1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258"/>
    <w:rsid w:val="00004711"/>
    <w:rsid w:val="00005BB3"/>
    <w:rsid w:val="000079A6"/>
    <w:rsid w:val="00020C7B"/>
    <w:rsid w:val="00023008"/>
    <w:rsid w:val="00023E87"/>
    <w:rsid w:val="00033F3D"/>
    <w:rsid w:val="000369D8"/>
    <w:rsid w:val="000427A4"/>
    <w:rsid w:val="00047526"/>
    <w:rsid w:val="0005086E"/>
    <w:rsid w:val="00053B9C"/>
    <w:rsid w:val="00064A84"/>
    <w:rsid w:val="00066073"/>
    <w:rsid w:val="000729FB"/>
    <w:rsid w:val="000746ED"/>
    <w:rsid w:val="000902E0"/>
    <w:rsid w:val="0009708B"/>
    <w:rsid w:val="000972A0"/>
    <w:rsid w:val="00097588"/>
    <w:rsid w:val="000A5C51"/>
    <w:rsid w:val="000A730F"/>
    <w:rsid w:val="000A73BE"/>
    <w:rsid w:val="000B75BC"/>
    <w:rsid w:val="000F2993"/>
    <w:rsid w:val="000F44C5"/>
    <w:rsid w:val="001163EF"/>
    <w:rsid w:val="00131D41"/>
    <w:rsid w:val="00135DB4"/>
    <w:rsid w:val="00135F1A"/>
    <w:rsid w:val="00155709"/>
    <w:rsid w:val="00161DB7"/>
    <w:rsid w:val="00163E64"/>
    <w:rsid w:val="00163EF6"/>
    <w:rsid w:val="001648C3"/>
    <w:rsid w:val="001745EF"/>
    <w:rsid w:val="001A2A43"/>
    <w:rsid w:val="001A6DBF"/>
    <w:rsid w:val="001B184C"/>
    <w:rsid w:val="001B44A5"/>
    <w:rsid w:val="001B5A29"/>
    <w:rsid w:val="001C4FCE"/>
    <w:rsid w:val="001E1927"/>
    <w:rsid w:val="001F5785"/>
    <w:rsid w:val="0020055E"/>
    <w:rsid w:val="00201D74"/>
    <w:rsid w:val="00212C32"/>
    <w:rsid w:val="00244239"/>
    <w:rsid w:val="00251192"/>
    <w:rsid w:val="002624D0"/>
    <w:rsid w:val="002919DE"/>
    <w:rsid w:val="00295CDB"/>
    <w:rsid w:val="00296D8B"/>
    <w:rsid w:val="002B4A17"/>
    <w:rsid w:val="002C0A82"/>
    <w:rsid w:val="002E2B85"/>
    <w:rsid w:val="002F54CB"/>
    <w:rsid w:val="0030671D"/>
    <w:rsid w:val="00311380"/>
    <w:rsid w:val="00313455"/>
    <w:rsid w:val="0031486F"/>
    <w:rsid w:val="003149B1"/>
    <w:rsid w:val="00314CD6"/>
    <w:rsid w:val="00325A80"/>
    <w:rsid w:val="00327867"/>
    <w:rsid w:val="00330EDA"/>
    <w:rsid w:val="00344E06"/>
    <w:rsid w:val="003467B6"/>
    <w:rsid w:val="0035453E"/>
    <w:rsid w:val="00363E20"/>
    <w:rsid w:val="00366F00"/>
    <w:rsid w:val="0037736B"/>
    <w:rsid w:val="00380D2B"/>
    <w:rsid w:val="003842B0"/>
    <w:rsid w:val="00385DFD"/>
    <w:rsid w:val="003934D9"/>
    <w:rsid w:val="00397C0D"/>
    <w:rsid w:val="003A07B9"/>
    <w:rsid w:val="003A13D3"/>
    <w:rsid w:val="003B4196"/>
    <w:rsid w:val="003B7DD9"/>
    <w:rsid w:val="003C2AD3"/>
    <w:rsid w:val="003D288D"/>
    <w:rsid w:val="003E0222"/>
    <w:rsid w:val="003E4948"/>
    <w:rsid w:val="003E719D"/>
    <w:rsid w:val="003E7BD9"/>
    <w:rsid w:val="003F22F3"/>
    <w:rsid w:val="003F3C78"/>
    <w:rsid w:val="00432473"/>
    <w:rsid w:val="00447126"/>
    <w:rsid w:val="0046637D"/>
    <w:rsid w:val="00471091"/>
    <w:rsid w:val="00474B38"/>
    <w:rsid w:val="004803C3"/>
    <w:rsid w:val="00483BB1"/>
    <w:rsid w:val="00484587"/>
    <w:rsid w:val="00492F96"/>
    <w:rsid w:val="004965BC"/>
    <w:rsid w:val="00497BB2"/>
    <w:rsid w:val="004B3A58"/>
    <w:rsid w:val="004C5F8C"/>
    <w:rsid w:val="004D64D3"/>
    <w:rsid w:val="004D7861"/>
    <w:rsid w:val="004F2C5E"/>
    <w:rsid w:val="004F462C"/>
    <w:rsid w:val="00501953"/>
    <w:rsid w:val="00501E21"/>
    <w:rsid w:val="005057F6"/>
    <w:rsid w:val="00515B20"/>
    <w:rsid w:val="00516DC3"/>
    <w:rsid w:val="00521641"/>
    <w:rsid w:val="0052282E"/>
    <w:rsid w:val="005372F3"/>
    <w:rsid w:val="0056559B"/>
    <w:rsid w:val="005655B4"/>
    <w:rsid w:val="00566407"/>
    <w:rsid w:val="005804BB"/>
    <w:rsid w:val="00590CBC"/>
    <w:rsid w:val="00591258"/>
    <w:rsid w:val="00594D9C"/>
    <w:rsid w:val="005A0F50"/>
    <w:rsid w:val="005E523E"/>
    <w:rsid w:val="005F2AE8"/>
    <w:rsid w:val="00605884"/>
    <w:rsid w:val="0060618D"/>
    <w:rsid w:val="00622954"/>
    <w:rsid w:val="006234BA"/>
    <w:rsid w:val="006446E7"/>
    <w:rsid w:val="0065237B"/>
    <w:rsid w:val="00663047"/>
    <w:rsid w:val="00675ACB"/>
    <w:rsid w:val="00677060"/>
    <w:rsid w:val="00680036"/>
    <w:rsid w:val="00680D62"/>
    <w:rsid w:val="006B1944"/>
    <w:rsid w:val="006B2A1E"/>
    <w:rsid w:val="006B2B88"/>
    <w:rsid w:val="006C0E79"/>
    <w:rsid w:val="006C60AD"/>
    <w:rsid w:val="006D3190"/>
    <w:rsid w:val="006D6217"/>
    <w:rsid w:val="006D6BCE"/>
    <w:rsid w:val="006E0B4C"/>
    <w:rsid w:val="006E1CCF"/>
    <w:rsid w:val="006F1090"/>
    <w:rsid w:val="00706D1E"/>
    <w:rsid w:val="00706D4B"/>
    <w:rsid w:val="00707B64"/>
    <w:rsid w:val="007126C4"/>
    <w:rsid w:val="00712D0E"/>
    <w:rsid w:val="00715FB5"/>
    <w:rsid w:val="00723FBD"/>
    <w:rsid w:val="00725C54"/>
    <w:rsid w:val="007316DD"/>
    <w:rsid w:val="00740D16"/>
    <w:rsid w:val="00743664"/>
    <w:rsid w:val="007540D5"/>
    <w:rsid w:val="0076076C"/>
    <w:rsid w:val="00770E9F"/>
    <w:rsid w:val="00773271"/>
    <w:rsid w:val="007821D2"/>
    <w:rsid w:val="00790471"/>
    <w:rsid w:val="00794131"/>
    <w:rsid w:val="007A38CA"/>
    <w:rsid w:val="007A71CC"/>
    <w:rsid w:val="007A7E21"/>
    <w:rsid w:val="007C1957"/>
    <w:rsid w:val="007C4214"/>
    <w:rsid w:val="007D3E49"/>
    <w:rsid w:val="007D5FD0"/>
    <w:rsid w:val="007E52A1"/>
    <w:rsid w:val="007E75AF"/>
    <w:rsid w:val="007F3A40"/>
    <w:rsid w:val="00832BAD"/>
    <w:rsid w:val="0083316D"/>
    <w:rsid w:val="0085477D"/>
    <w:rsid w:val="00867851"/>
    <w:rsid w:val="00892018"/>
    <w:rsid w:val="00895402"/>
    <w:rsid w:val="00896183"/>
    <w:rsid w:val="008B3E88"/>
    <w:rsid w:val="008C174D"/>
    <w:rsid w:val="008D295B"/>
    <w:rsid w:val="008D6A2C"/>
    <w:rsid w:val="008E434D"/>
    <w:rsid w:val="008F49FB"/>
    <w:rsid w:val="00905DE6"/>
    <w:rsid w:val="00907EC6"/>
    <w:rsid w:val="009101B0"/>
    <w:rsid w:val="009140BB"/>
    <w:rsid w:val="009169A8"/>
    <w:rsid w:val="0091746C"/>
    <w:rsid w:val="00922A24"/>
    <w:rsid w:val="00926AF5"/>
    <w:rsid w:val="00931D06"/>
    <w:rsid w:val="00937E8C"/>
    <w:rsid w:val="00951988"/>
    <w:rsid w:val="00955C57"/>
    <w:rsid w:val="0095678C"/>
    <w:rsid w:val="009675C6"/>
    <w:rsid w:val="00971650"/>
    <w:rsid w:val="009723A0"/>
    <w:rsid w:val="009729C1"/>
    <w:rsid w:val="009831F3"/>
    <w:rsid w:val="00986FFA"/>
    <w:rsid w:val="00995037"/>
    <w:rsid w:val="009B6D75"/>
    <w:rsid w:val="009C0D6A"/>
    <w:rsid w:val="009D72AE"/>
    <w:rsid w:val="009D7DBA"/>
    <w:rsid w:val="009E0FE8"/>
    <w:rsid w:val="009E5751"/>
    <w:rsid w:val="009F5B09"/>
    <w:rsid w:val="00A03820"/>
    <w:rsid w:val="00A05F22"/>
    <w:rsid w:val="00A06276"/>
    <w:rsid w:val="00A332FB"/>
    <w:rsid w:val="00A364A3"/>
    <w:rsid w:val="00A44436"/>
    <w:rsid w:val="00A55185"/>
    <w:rsid w:val="00A60A96"/>
    <w:rsid w:val="00A70A6E"/>
    <w:rsid w:val="00A919BC"/>
    <w:rsid w:val="00A94690"/>
    <w:rsid w:val="00AB5886"/>
    <w:rsid w:val="00AD14CD"/>
    <w:rsid w:val="00B05EC5"/>
    <w:rsid w:val="00B05F03"/>
    <w:rsid w:val="00B21EE2"/>
    <w:rsid w:val="00B2689F"/>
    <w:rsid w:val="00B311F0"/>
    <w:rsid w:val="00B31B3D"/>
    <w:rsid w:val="00B31B5E"/>
    <w:rsid w:val="00B36E63"/>
    <w:rsid w:val="00B5013C"/>
    <w:rsid w:val="00B60C30"/>
    <w:rsid w:val="00B63CEB"/>
    <w:rsid w:val="00B734F5"/>
    <w:rsid w:val="00B74A41"/>
    <w:rsid w:val="00B860B6"/>
    <w:rsid w:val="00B9134C"/>
    <w:rsid w:val="00B976F9"/>
    <w:rsid w:val="00BC202C"/>
    <w:rsid w:val="00BD3948"/>
    <w:rsid w:val="00BD3C8B"/>
    <w:rsid w:val="00BD5492"/>
    <w:rsid w:val="00BE6F7D"/>
    <w:rsid w:val="00C01EEA"/>
    <w:rsid w:val="00C16B62"/>
    <w:rsid w:val="00C20A8E"/>
    <w:rsid w:val="00C242D7"/>
    <w:rsid w:val="00C269AC"/>
    <w:rsid w:val="00C3685C"/>
    <w:rsid w:val="00C51B5E"/>
    <w:rsid w:val="00C55C1E"/>
    <w:rsid w:val="00C60718"/>
    <w:rsid w:val="00C60BAD"/>
    <w:rsid w:val="00C72B86"/>
    <w:rsid w:val="00C72C84"/>
    <w:rsid w:val="00C7751E"/>
    <w:rsid w:val="00C951E1"/>
    <w:rsid w:val="00CA15D7"/>
    <w:rsid w:val="00CA3E1A"/>
    <w:rsid w:val="00CA45A8"/>
    <w:rsid w:val="00CA6489"/>
    <w:rsid w:val="00CA6DB0"/>
    <w:rsid w:val="00CB1938"/>
    <w:rsid w:val="00CB25A6"/>
    <w:rsid w:val="00CB5E3E"/>
    <w:rsid w:val="00CC220D"/>
    <w:rsid w:val="00CC405C"/>
    <w:rsid w:val="00CC4FC6"/>
    <w:rsid w:val="00CC51D9"/>
    <w:rsid w:val="00CD2E61"/>
    <w:rsid w:val="00CF1637"/>
    <w:rsid w:val="00CF1762"/>
    <w:rsid w:val="00CF4475"/>
    <w:rsid w:val="00CF6E1F"/>
    <w:rsid w:val="00D0098C"/>
    <w:rsid w:val="00D06AD1"/>
    <w:rsid w:val="00D33D68"/>
    <w:rsid w:val="00D36CBA"/>
    <w:rsid w:val="00D4107F"/>
    <w:rsid w:val="00D51391"/>
    <w:rsid w:val="00D63D10"/>
    <w:rsid w:val="00D8687E"/>
    <w:rsid w:val="00D92C1E"/>
    <w:rsid w:val="00D9429B"/>
    <w:rsid w:val="00DD6E72"/>
    <w:rsid w:val="00DD70B6"/>
    <w:rsid w:val="00E035A8"/>
    <w:rsid w:val="00E03C6B"/>
    <w:rsid w:val="00E1167B"/>
    <w:rsid w:val="00E12BC4"/>
    <w:rsid w:val="00E27DD5"/>
    <w:rsid w:val="00E44542"/>
    <w:rsid w:val="00E46C29"/>
    <w:rsid w:val="00E47C55"/>
    <w:rsid w:val="00E5035E"/>
    <w:rsid w:val="00E51BC2"/>
    <w:rsid w:val="00E72918"/>
    <w:rsid w:val="00E74CF6"/>
    <w:rsid w:val="00E7540B"/>
    <w:rsid w:val="00E800A9"/>
    <w:rsid w:val="00E92588"/>
    <w:rsid w:val="00EB01A6"/>
    <w:rsid w:val="00EB536D"/>
    <w:rsid w:val="00EC089E"/>
    <w:rsid w:val="00ED2369"/>
    <w:rsid w:val="00EE0E99"/>
    <w:rsid w:val="00EE117B"/>
    <w:rsid w:val="00EF3AC1"/>
    <w:rsid w:val="00F02777"/>
    <w:rsid w:val="00F1029E"/>
    <w:rsid w:val="00F102F8"/>
    <w:rsid w:val="00F1259A"/>
    <w:rsid w:val="00F1731D"/>
    <w:rsid w:val="00F21CA1"/>
    <w:rsid w:val="00F30D28"/>
    <w:rsid w:val="00F35AC8"/>
    <w:rsid w:val="00F375D1"/>
    <w:rsid w:val="00F56378"/>
    <w:rsid w:val="00F566ED"/>
    <w:rsid w:val="00F6197C"/>
    <w:rsid w:val="00F65080"/>
    <w:rsid w:val="00F70CF7"/>
    <w:rsid w:val="00F76EAF"/>
    <w:rsid w:val="00F81EC4"/>
    <w:rsid w:val="00F96B42"/>
    <w:rsid w:val="00FA49B2"/>
    <w:rsid w:val="00FB2C4C"/>
    <w:rsid w:val="00FD5D72"/>
    <w:rsid w:val="00FE27B5"/>
    <w:rsid w:val="00FE3F61"/>
    <w:rsid w:val="00FF1BE9"/>
    <w:rsid w:val="00FF6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F248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56559B"/>
    <w:pPr>
      <w:keepNext/>
      <w:keepLines/>
      <w:pageBreakBefore/>
      <w:spacing w:after="480" w:line="240" w:lineRule="auto"/>
      <w:outlineLvl w:val="0"/>
    </w:pPr>
    <w:rPr>
      <w:rFonts w:eastAsia="Times New Roman" w:cs="Times New Roman"/>
      <w:color w:val="002776"/>
      <w:kern w:val="28"/>
      <w:sz w:val="56"/>
      <w:szCs w:val="20"/>
    </w:rPr>
  </w:style>
  <w:style w:type="paragraph" w:styleId="Heading2">
    <w:name w:val="heading 2"/>
    <w:basedOn w:val="Normal"/>
    <w:next w:val="BodyText"/>
    <w:link w:val="Heading2Char"/>
    <w:uiPriority w:val="9"/>
    <w:qFormat/>
    <w:rsid w:val="0056559B"/>
    <w:pPr>
      <w:keepNext/>
      <w:tabs>
        <w:tab w:val="left" w:pos="851"/>
      </w:tabs>
      <w:spacing w:after="240" w:line="240" w:lineRule="auto"/>
      <w:outlineLvl w:val="1"/>
    </w:pPr>
    <w:rPr>
      <w:rFonts w:ascii="Calibri" w:eastAsia="Times" w:hAnsi="Calibri" w:cs="Times New Roman"/>
      <w:b/>
      <w:noProof/>
      <w:color w:val="5B9BD5" w:themeColor="accent1"/>
      <w:sz w:val="28"/>
      <w:szCs w:val="28"/>
      <w:lang w:val="en-GB"/>
    </w:rPr>
  </w:style>
  <w:style w:type="paragraph" w:styleId="Heading3">
    <w:name w:val="heading 3"/>
    <w:basedOn w:val="Normal"/>
    <w:next w:val="BodyText"/>
    <w:link w:val="Heading3Char"/>
    <w:uiPriority w:val="9"/>
    <w:qFormat/>
    <w:rsid w:val="00CB25A6"/>
    <w:pPr>
      <w:keepNext/>
      <w:spacing w:before="120" w:after="240" w:line="240" w:lineRule="auto"/>
      <w:outlineLvl w:val="2"/>
    </w:pPr>
    <w:rPr>
      <w:rFonts w:ascii="Calibri" w:eastAsia="Times New Roman" w:hAnsi="Calibri" w:cs="Times New Roman"/>
      <w:b/>
      <w:sz w:val="28"/>
      <w:szCs w:val="24"/>
    </w:rPr>
  </w:style>
  <w:style w:type="paragraph" w:styleId="Heading4">
    <w:name w:val="heading 4"/>
    <w:basedOn w:val="Normal"/>
    <w:next w:val="BodyText"/>
    <w:link w:val="Heading4Char"/>
    <w:uiPriority w:val="9"/>
    <w:qFormat/>
    <w:rsid w:val="00CF4475"/>
    <w:pPr>
      <w:keepNext/>
      <w:numPr>
        <w:ilvl w:val="3"/>
        <w:numId w:val="1"/>
      </w:numPr>
      <w:spacing w:before="180" w:after="60" w:line="240" w:lineRule="auto"/>
      <w:outlineLvl w:val="3"/>
    </w:pPr>
    <w:rPr>
      <w:rFonts w:ascii="Calibri" w:eastAsia="Times New Roman" w:hAnsi="Calibri" w:cs="Times New Roman"/>
      <w:b/>
      <w:color w:val="00A1DE"/>
      <w:sz w:val="24"/>
      <w:szCs w:val="24"/>
    </w:rPr>
  </w:style>
  <w:style w:type="paragraph" w:styleId="Heading5">
    <w:name w:val="heading 5"/>
    <w:basedOn w:val="Normal"/>
    <w:next w:val="BodyText"/>
    <w:link w:val="Heading5Char"/>
    <w:uiPriority w:val="9"/>
    <w:qFormat/>
    <w:rsid w:val="00CF4475"/>
    <w:pPr>
      <w:keepNext/>
      <w:numPr>
        <w:ilvl w:val="4"/>
        <w:numId w:val="1"/>
      </w:numPr>
      <w:pBdr>
        <w:top w:val="single" w:sz="12" w:space="5" w:color="931638"/>
        <w:left w:val="single" w:sz="12" w:space="5" w:color="931638"/>
        <w:bottom w:val="single" w:sz="12" w:space="5" w:color="931638"/>
        <w:right w:val="single" w:sz="12" w:space="5" w:color="931638"/>
      </w:pBdr>
      <w:shd w:val="clear" w:color="auto" w:fill="931638"/>
      <w:spacing w:after="0" w:line="240" w:lineRule="auto"/>
      <w:ind w:right="284"/>
      <w:outlineLvl w:val="4"/>
    </w:pPr>
    <w:rPr>
      <w:rFonts w:ascii="Times New Roman" w:eastAsia="Times New Roman" w:hAnsi="Times New Roman" w:cs="Times New Roman"/>
      <w:b/>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59B"/>
    <w:rPr>
      <w:rFonts w:eastAsia="Times New Roman" w:cs="Times New Roman"/>
      <w:color w:val="002776"/>
      <w:kern w:val="28"/>
      <w:sz w:val="56"/>
      <w:szCs w:val="20"/>
    </w:rPr>
  </w:style>
  <w:style w:type="character" w:customStyle="1" w:styleId="Heading2Char">
    <w:name w:val="Heading 2 Char"/>
    <w:basedOn w:val="DefaultParagraphFont"/>
    <w:link w:val="Heading2"/>
    <w:uiPriority w:val="9"/>
    <w:rsid w:val="0056559B"/>
    <w:rPr>
      <w:rFonts w:ascii="Calibri" w:eastAsia="Times" w:hAnsi="Calibri" w:cs="Times New Roman"/>
      <w:b/>
      <w:noProof/>
      <w:color w:val="5B9BD5" w:themeColor="accent1"/>
      <w:sz w:val="28"/>
      <w:szCs w:val="28"/>
      <w:lang w:val="en-GB"/>
    </w:rPr>
  </w:style>
  <w:style w:type="character" w:customStyle="1" w:styleId="Heading3Char">
    <w:name w:val="Heading 3 Char"/>
    <w:basedOn w:val="DefaultParagraphFont"/>
    <w:link w:val="Heading3"/>
    <w:uiPriority w:val="9"/>
    <w:rsid w:val="00CB25A6"/>
    <w:rPr>
      <w:rFonts w:ascii="Calibri" w:eastAsia="Times New Roman" w:hAnsi="Calibri" w:cs="Times New Roman"/>
      <w:b/>
      <w:sz w:val="28"/>
      <w:szCs w:val="24"/>
    </w:rPr>
  </w:style>
  <w:style w:type="character" w:customStyle="1" w:styleId="Heading4Char">
    <w:name w:val="Heading 4 Char"/>
    <w:basedOn w:val="DefaultParagraphFont"/>
    <w:link w:val="Heading4"/>
    <w:uiPriority w:val="9"/>
    <w:rsid w:val="00CF4475"/>
    <w:rPr>
      <w:rFonts w:ascii="Calibri" w:eastAsia="Times New Roman" w:hAnsi="Calibri" w:cs="Times New Roman"/>
      <w:b/>
      <w:color w:val="00A1DE"/>
      <w:sz w:val="24"/>
      <w:szCs w:val="24"/>
    </w:rPr>
  </w:style>
  <w:style w:type="character" w:customStyle="1" w:styleId="Heading5Char">
    <w:name w:val="Heading 5 Char"/>
    <w:basedOn w:val="DefaultParagraphFont"/>
    <w:link w:val="Heading5"/>
    <w:uiPriority w:val="9"/>
    <w:rsid w:val="00CF4475"/>
    <w:rPr>
      <w:rFonts w:ascii="Times New Roman" w:eastAsia="Times New Roman" w:hAnsi="Times New Roman" w:cs="Times New Roman"/>
      <w:b/>
      <w:color w:val="FFFFFF"/>
      <w:sz w:val="24"/>
      <w:szCs w:val="24"/>
      <w:shd w:val="clear" w:color="auto" w:fill="931638"/>
    </w:rPr>
  </w:style>
  <w:style w:type="table" w:customStyle="1" w:styleId="TableAEGreyTotals">
    <w:name w:val="Table AE Grey Totals"/>
    <w:basedOn w:val="TableNormal"/>
    <w:rsid w:val="00CF4475"/>
    <w:pPr>
      <w:spacing w:after="0" w:line="240" w:lineRule="auto"/>
    </w:pPr>
    <w:rPr>
      <w:rFonts w:ascii="Arial" w:eastAsia="Times New Roman" w:hAnsi="Arial" w:cs="Times New Roman"/>
      <w:sz w:val="20"/>
      <w:szCs w:val="20"/>
      <w:lang w:eastAsia="en-AU"/>
    </w:rPr>
    <w:tblPr>
      <w:jc w:val="center"/>
      <w:tblBorders>
        <w:top w:val="single" w:sz="12" w:space="0" w:color="002776"/>
        <w:insideH w:val="single" w:sz="4" w:space="0" w:color="A6A6A6"/>
        <w:insideV w:val="single" w:sz="4" w:space="0" w:color="A6A6A6"/>
      </w:tblBorders>
    </w:tblPr>
    <w:trPr>
      <w:cantSplit/>
      <w:jc w:val="center"/>
    </w:trPr>
    <w:tblStylePr w:type="firstRow">
      <w:tblPr/>
      <w:tcPr>
        <w:tcBorders>
          <w:top w:val="single" w:sz="12" w:space="0" w:color="002776"/>
          <w:left w:val="nil"/>
          <w:bottom w:val="single" w:sz="8" w:space="0" w:color="002776"/>
          <w:right w:val="nil"/>
          <w:insideH w:val="nil"/>
          <w:insideV w:val="single" w:sz="4" w:space="0" w:color="A6A6A6"/>
          <w:tl2br w:val="nil"/>
          <w:tr2bl w:val="nil"/>
        </w:tcBorders>
      </w:tcPr>
    </w:tblStylePr>
    <w:tblStylePr w:type="lastRow">
      <w:tblPr/>
      <w:tcPr>
        <w:tcBorders>
          <w:top w:val="single" w:sz="12" w:space="0" w:color="002776"/>
          <w:left w:val="nil"/>
          <w:bottom w:val="single" w:sz="12" w:space="0" w:color="002776"/>
          <w:right w:val="nil"/>
          <w:insideH w:val="nil"/>
          <w:insideV w:val="single" w:sz="4" w:space="0" w:color="A6A6A6"/>
          <w:tl2br w:val="nil"/>
          <w:tr2bl w:val="nil"/>
        </w:tcBorders>
      </w:tcPr>
    </w:tblStylePr>
  </w:style>
  <w:style w:type="paragraph" w:customStyle="1" w:styleId="CaptionTable">
    <w:name w:val="Caption_Table"/>
    <w:basedOn w:val="Normal"/>
    <w:next w:val="BodyText"/>
    <w:qFormat/>
    <w:rsid w:val="00CF4475"/>
    <w:pPr>
      <w:keepNext/>
      <w:keepLines/>
      <w:numPr>
        <w:ilvl w:val="6"/>
        <w:numId w:val="1"/>
      </w:numPr>
      <w:spacing w:after="240" w:line="240" w:lineRule="auto"/>
      <w:jc w:val="center"/>
    </w:pPr>
    <w:rPr>
      <w:rFonts w:ascii="Calibri" w:eastAsia="Times New Roman" w:hAnsi="Calibri" w:cs="Times New Roman"/>
      <w:b/>
      <w:color w:val="002776"/>
      <w:szCs w:val="24"/>
    </w:rPr>
  </w:style>
  <w:style w:type="paragraph" w:customStyle="1" w:styleId="CaptionFigure">
    <w:name w:val="Caption_Figure"/>
    <w:basedOn w:val="CaptionTable"/>
    <w:next w:val="BodyText"/>
    <w:qFormat/>
    <w:rsid w:val="00CF4475"/>
    <w:pPr>
      <w:numPr>
        <w:ilvl w:val="8"/>
      </w:numPr>
    </w:pPr>
    <w:rPr>
      <w:bCs/>
      <w:szCs w:val="22"/>
    </w:rPr>
  </w:style>
  <w:style w:type="paragraph" w:customStyle="1" w:styleId="CaptionChart">
    <w:name w:val="Caption_Chart"/>
    <w:basedOn w:val="CaptionFigure"/>
    <w:next w:val="BodyText"/>
    <w:qFormat/>
    <w:rsid w:val="00CF4475"/>
    <w:pPr>
      <w:numPr>
        <w:ilvl w:val="7"/>
      </w:numPr>
    </w:pPr>
  </w:style>
  <w:style w:type="paragraph" w:styleId="BodyText">
    <w:name w:val="Body Text"/>
    <w:basedOn w:val="Normal"/>
    <w:link w:val="BodyTextChar"/>
    <w:uiPriority w:val="99"/>
    <w:semiHidden/>
    <w:unhideWhenUsed/>
    <w:rsid w:val="00CF4475"/>
    <w:pPr>
      <w:spacing w:after="120"/>
    </w:pPr>
  </w:style>
  <w:style w:type="character" w:customStyle="1" w:styleId="BodyTextChar">
    <w:name w:val="Body Text Char"/>
    <w:basedOn w:val="DefaultParagraphFont"/>
    <w:link w:val="BodyText"/>
    <w:uiPriority w:val="99"/>
    <w:semiHidden/>
    <w:rsid w:val="00CF4475"/>
  </w:style>
  <w:style w:type="paragraph" w:styleId="ListParagraph">
    <w:name w:val="List Paragraph"/>
    <w:basedOn w:val="Normal"/>
    <w:uiPriority w:val="34"/>
    <w:qFormat/>
    <w:rsid w:val="00CF4475"/>
    <w:pPr>
      <w:ind w:left="720"/>
      <w:contextualSpacing/>
    </w:pPr>
  </w:style>
  <w:style w:type="table" w:styleId="TableGrid8">
    <w:name w:val="Table Grid 8"/>
    <w:basedOn w:val="TableNormal"/>
    <w:rsid w:val="003E0222"/>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097588"/>
    <w:rPr>
      <w:sz w:val="16"/>
      <w:szCs w:val="16"/>
    </w:rPr>
  </w:style>
  <w:style w:type="paragraph" w:styleId="CommentText">
    <w:name w:val="annotation text"/>
    <w:basedOn w:val="Normal"/>
    <w:link w:val="CommentTextChar"/>
    <w:uiPriority w:val="99"/>
    <w:semiHidden/>
    <w:unhideWhenUsed/>
    <w:rsid w:val="00097588"/>
    <w:pPr>
      <w:spacing w:line="240" w:lineRule="auto"/>
    </w:pPr>
    <w:rPr>
      <w:sz w:val="20"/>
      <w:szCs w:val="20"/>
    </w:rPr>
  </w:style>
  <w:style w:type="character" w:customStyle="1" w:styleId="CommentTextChar">
    <w:name w:val="Comment Text Char"/>
    <w:basedOn w:val="DefaultParagraphFont"/>
    <w:link w:val="CommentText"/>
    <w:uiPriority w:val="99"/>
    <w:semiHidden/>
    <w:rsid w:val="00097588"/>
    <w:rPr>
      <w:sz w:val="20"/>
      <w:szCs w:val="20"/>
    </w:rPr>
  </w:style>
  <w:style w:type="paragraph" w:styleId="CommentSubject">
    <w:name w:val="annotation subject"/>
    <w:basedOn w:val="CommentText"/>
    <w:next w:val="CommentText"/>
    <w:link w:val="CommentSubjectChar"/>
    <w:uiPriority w:val="99"/>
    <w:semiHidden/>
    <w:unhideWhenUsed/>
    <w:rsid w:val="00097588"/>
    <w:rPr>
      <w:b/>
      <w:bCs/>
    </w:rPr>
  </w:style>
  <w:style w:type="character" w:customStyle="1" w:styleId="CommentSubjectChar">
    <w:name w:val="Comment Subject Char"/>
    <w:basedOn w:val="CommentTextChar"/>
    <w:link w:val="CommentSubject"/>
    <w:uiPriority w:val="99"/>
    <w:semiHidden/>
    <w:rsid w:val="00097588"/>
    <w:rPr>
      <w:b/>
      <w:bCs/>
      <w:sz w:val="20"/>
      <w:szCs w:val="20"/>
    </w:rPr>
  </w:style>
  <w:style w:type="paragraph" w:styleId="BalloonText">
    <w:name w:val="Balloon Text"/>
    <w:basedOn w:val="Normal"/>
    <w:link w:val="BalloonTextChar"/>
    <w:uiPriority w:val="99"/>
    <w:semiHidden/>
    <w:unhideWhenUsed/>
    <w:rsid w:val="00097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588"/>
    <w:rPr>
      <w:rFonts w:ascii="Segoe UI" w:hAnsi="Segoe UI" w:cs="Segoe UI"/>
      <w:sz w:val="18"/>
      <w:szCs w:val="18"/>
    </w:rPr>
  </w:style>
  <w:style w:type="paragraph" w:styleId="Header">
    <w:name w:val="header"/>
    <w:basedOn w:val="Normal"/>
    <w:link w:val="HeaderChar"/>
    <w:unhideWhenUsed/>
    <w:rsid w:val="00BD5492"/>
    <w:pPr>
      <w:tabs>
        <w:tab w:val="center" w:pos="4513"/>
        <w:tab w:val="right" w:pos="9026"/>
      </w:tabs>
      <w:spacing w:after="0" w:line="240" w:lineRule="auto"/>
    </w:pPr>
  </w:style>
  <w:style w:type="character" w:customStyle="1" w:styleId="HeaderChar">
    <w:name w:val="Header Char"/>
    <w:basedOn w:val="DefaultParagraphFont"/>
    <w:link w:val="Header"/>
    <w:rsid w:val="00BD5492"/>
  </w:style>
  <w:style w:type="paragraph" w:styleId="Footer">
    <w:name w:val="footer"/>
    <w:basedOn w:val="Normal"/>
    <w:link w:val="FooterChar"/>
    <w:uiPriority w:val="99"/>
    <w:unhideWhenUsed/>
    <w:rsid w:val="00BD5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92"/>
  </w:style>
  <w:style w:type="paragraph" w:styleId="TOCHeading">
    <w:name w:val="TOC Heading"/>
    <w:basedOn w:val="Heading1"/>
    <w:next w:val="Normal"/>
    <w:uiPriority w:val="39"/>
    <w:unhideWhenUsed/>
    <w:qFormat/>
    <w:rsid w:val="003B4196"/>
    <w:pPr>
      <w:pageBreakBefore w:val="0"/>
      <w:spacing w:before="480"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 w:type="paragraph" w:styleId="TOC2">
    <w:name w:val="toc 2"/>
    <w:basedOn w:val="Normal"/>
    <w:next w:val="Normal"/>
    <w:autoRedefine/>
    <w:uiPriority w:val="39"/>
    <w:unhideWhenUsed/>
    <w:qFormat/>
    <w:rsid w:val="003B4196"/>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3B4196"/>
    <w:pPr>
      <w:spacing w:after="100" w:line="276" w:lineRule="auto"/>
    </w:pPr>
    <w:rPr>
      <w:rFonts w:eastAsiaTheme="minorEastAsia"/>
      <w:lang w:val="en-US" w:eastAsia="ja-JP"/>
    </w:rPr>
  </w:style>
  <w:style w:type="paragraph" w:styleId="TOC3">
    <w:name w:val="toc 3"/>
    <w:basedOn w:val="Normal"/>
    <w:next w:val="Normal"/>
    <w:autoRedefine/>
    <w:uiPriority w:val="39"/>
    <w:unhideWhenUsed/>
    <w:qFormat/>
    <w:rsid w:val="003B4196"/>
    <w:pPr>
      <w:spacing w:after="100" w:line="276" w:lineRule="auto"/>
      <w:ind w:left="440"/>
    </w:pPr>
    <w:rPr>
      <w:rFonts w:eastAsiaTheme="minorEastAsia"/>
      <w:lang w:val="en-US" w:eastAsia="ja-JP"/>
    </w:rPr>
  </w:style>
  <w:style w:type="character" w:styleId="Hyperlink">
    <w:name w:val="Hyperlink"/>
    <w:basedOn w:val="DefaultParagraphFont"/>
    <w:uiPriority w:val="99"/>
    <w:unhideWhenUsed/>
    <w:rsid w:val="00CB25A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8"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BodyText"/>
    <w:link w:val="Heading1Char"/>
    <w:uiPriority w:val="9"/>
    <w:qFormat/>
    <w:rsid w:val="0056559B"/>
    <w:pPr>
      <w:keepNext/>
      <w:keepLines/>
      <w:pageBreakBefore/>
      <w:spacing w:after="480" w:line="240" w:lineRule="auto"/>
      <w:outlineLvl w:val="0"/>
    </w:pPr>
    <w:rPr>
      <w:rFonts w:eastAsia="Times New Roman" w:cs="Times New Roman"/>
      <w:color w:val="002776"/>
      <w:kern w:val="28"/>
      <w:sz w:val="56"/>
      <w:szCs w:val="20"/>
    </w:rPr>
  </w:style>
  <w:style w:type="paragraph" w:styleId="Heading2">
    <w:name w:val="heading 2"/>
    <w:basedOn w:val="Normal"/>
    <w:next w:val="BodyText"/>
    <w:link w:val="Heading2Char"/>
    <w:uiPriority w:val="9"/>
    <w:qFormat/>
    <w:rsid w:val="0056559B"/>
    <w:pPr>
      <w:keepNext/>
      <w:tabs>
        <w:tab w:val="left" w:pos="851"/>
      </w:tabs>
      <w:spacing w:after="240" w:line="240" w:lineRule="auto"/>
      <w:outlineLvl w:val="1"/>
    </w:pPr>
    <w:rPr>
      <w:rFonts w:ascii="Calibri" w:eastAsia="Times" w:hAnsi="Calibri" w:cs="Times New Roman"/>
      <w:b/>
      <w:noProof/>
      <w:color w:val="5B9BD5" w:themeColor="accent1"/>
      <w:sz w:val="28"/>
      <w:szCs w:val="28"/>
      <w:lang w:val="en-GB"/>
    </w:rPr>
  </w:style>
  <w:style w:type="paragraph" w:styleId="Heading3">
    <w:name w:val="heading 3"/>
    <w:basedOn w:val="Normal"/>
    <w:next w:val="BodyText"/>
    <w:link w:val="Heading3Char"/>
    <w:uiPriority w:val="9"/>
    <w:qFormat/>
    <w:rsid w:val="00CB25A6"/>
    <w:pPr>
      <w:keepNext/>
      <w:spacing w:before="120" w:after="240" w:line="240" w:lineRule="auto"/>
      <w:outlineLvl w:val="2"/>
    </w:pPr>
    <w:rPr>
      <w:rFonts w:ascii="Calibri" w:eastAsia="Times New Roman" w:hAnsi="Calibri" w:cs="Times New Roman"/>
      <w:b/>
      <w:sz w:val="28"/>
      <w:szCs w:val="24"/>
    </w:rPr>
  </w:style>
  <w:style w:type="paragraph" w:styleId="Heading4">
    <w:name w:val="heading 4"/>
    <w:basedOn w:val="Normal"/>
    <w:next w:val="BodyText"/>
    <w:link w:val="Heading4Char"/>
    <w:uiPriority w:val="9"/>
    <w:qFormat/>
    <w:rsid w:val="00CF4475"/>
    <w:pPr>
      <w:keepNext/>
      <w:numPr>
        <w:ilvl w:val="3"/>
        <w:numId w:val="1"/>
      </w:numPr>
      <w:spacing w:before="180" w:after="60" w:line="240" w:lineRule="auto"/>
      <w:outlineLvl w:val="3"/>
    </w:pPr>
    <w:rPr>
      <w:rFonts w:ascii="Calibri" w:eastAsia="Times New Roman" w:hAnsi="Calibri" w:cs="Times New Roman"/>
      <w:b/>
      <w:color w:val="00A1DE"/>
      <w:sz w:val="24"/>
      <w:szCs w:val="24"/>
    </w:rPr>
  </w:style>
  <w:style w:type="paragraph" w:styleId="Heading5">
    <w:name w:val="heading 5"/>
    <w:basedOn w:val="Normal"/>
    <w:next w:val="BodyText"/>
    <w:link w:val="Heading5Char"/>
    <w:uiPriority w:val="9"/>
    <w:qFormat/>
    <w:rsid w:val="00CF4475"/>
    <w:pPr>
      <w:keepNext/>
      <w:numPr>
        <w:ilvl w:val="4"/>
        <w:numId w:val="1"/>
      </w:numPr>
      <w:pBdr>
        <w:top w:val="single" w:sz="12" w:space="5" w:color="931638"/>
        <w:left w:val="single" w:sz="12" w:space="5" w:color="931638"/>
        <w:bottom w:val="single" w:sz="12" w:space="5" w:color="931638"/>
        <w:right w:val="single" w:sz="12" w:space="5" w:color="931638"/>
      </w:pBdr>
      <w:shd w:val="clear" w:color="auto" w:fill="931638"/>
      <w:spacing w:after="0" w:line="240" w:lineRule="auto"/>
      <w:ind w:right="284"/>
      <w:outlineLvl w:val="4"/>
    </w:pPr>
    <w:rPr>
      <w:rFonts w:ascii="Times New Roman" w:eastAsia="Times New Roman" w:hAnsi="Times New Roman" w:cs="Times New Roman"/>
      <w:b/>
      <w:color w:val="FFFFF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59B"/>
    <w:rPr>
      <w:rFonts w:eastAsia="Times New Roman" w:cs="Times New Roman"/>
      <w:color w:val="002776"/>
      <w:kern w:val="28"/>
      <w:sz w:val="56"/>
      <w:szCs w:val="20"/>
    </w:rPr>
  </w:style>
  <w:style w:type="character" w:customStyle="1" w:styleId="Heading2Char">
    <w:name w:val="Heading 2 Char"/>
    <w:basedOn w:val="DefaultParagraphFont"/>
    <w:link w:val="Heading2"/>
    <w:uiPriority w:val="9"/>
    <w:rsid w:val="0056559B"/>
    <w:rPr>
      <w:rFonts w:ascii="Calibri" w:eastAsia="Times" w:hAnsi="Calibri" w:cs="Times New Roman"/>
      <w:b/>
      <w:noProof/>
      <w:color w:val="5B9BD5" w:themeColor="accent1"/>
      <w:sz w:val="28"/>
      <w:szCs w:val="28"/>
      <w:lang w:val="en-GB"/>
    </w:rPr>
  </w:style>
  <w:style w:type="character" w:customStyle="1" w:styleId="Heading3Char">
    <w:name w:val="Heading 3 Char"/>
    <w:basedOn w:val="DefaultParagraphFont"/>
    <w:link w:val="Heading3"/>
    <w:uiPriority w:val="9"/>
    <w:rsid w:val="00CB25A6"/>
    <w:rPr>
      <w:rFonts w:ascii="Calibri" w:eastAsia="Times New Roman" w:hAnsi="Calibri" w:cs="Times New Roman"/>
      <w:b/>
      <w:sz w:val="28"/>
      <w:szCs w:val="24"/>
    </w:rPr>
  </w:style>
  <w:style w:type="character" w:customStyle="1" w:styleId="Heading4Char">
    <w:name w:val="Heading 4 Char"/>
    <w:basedOn w:val="DefaultParagraphFont"/>
    <w:link w:val="Heading4"/>
    <w:uiPriority w:val="9"/>
    <w:rsid w:val="00CF4475"/>
    <w:rPr>
      <w:rFonts w:ascii="Calibri" w:eastAsia="Times New Roman" w:hAnsi="Calibri" w:cs="Times New Roman"/>
      <w:b/>
      <w:color w:val="00A1DE"/>
      <w:sz w:val="24"/>
      <w:szCs w:val="24"/>
    </w:rPr>
  </w:style>
  <w:style w:type="character" w:customStyle="1" w:styleId="Heading5Char">
    <w:name w:val="Heading 5 Char"/>
    <w:basedOn w:val="DefaultParagraphFont"/>
    <w:link w:val="Heading5"/>
    <w:uiPriority w:val="9"/>
    <w:rsid w:val="00CF4475"/>
    <w:rPr>
      <w:rFonts w:ascii="Times New Roman" w:eastAsia="Times New Roman" w:hAnsi="Times New Roman" w:cs="Times New Roman"/>
      <w:b/>
      <w:color w:val="FFFFFF"/>
      <w:sz w:val="24"/>
      <w:szCs w:val="24"/>
      <w:shd w:val="clear" w:color="auto" w:fill="931638"/>
    </w:rPr>
  </w:style>
  <w:style w:type="table" w:customStyle="1" w:styleId="TableAEGreyTotals">
    <w:name w:val="Table AE Grey Totals"/>
    <w:basedOn w:val="TableNormal"/>
    <w:rsid w:val="00CF4475"/>
    <w:pPr>
      <w:spacing w:after="0" w:line="240" w:lineRule="auto"/>
    </w:pPr>
    <w:rPr>
      <w:rFonts w:ascii="Arial" w:eastAsia="Times New Roman" w:hAnsi="Arial" w:cs="Times New Roman"/>
      <w:sz w:val="20"/>
      <w:szCs w:val="20"/>
      <w:lang w:eastAsia="en-AU"/>
    </w:rPr>
    <w:tblPr>
      <w:jc w:val="center"/>
      <w:tblBorders>
        <w:top w:val="single" w:sz="12" w:space="0" w:color="002776"/>
        <w:insideH w:val="single" w:sz="4" w:space="0" w:color="A6A6A6"/>
        <w:insideV w:val="single" w:sz="4" w:space="0" w:color="A6A6A6"/>
      </w:tblBorders>
    </w:tblPr>
    <w:trPr>
      <w:cantSplit/>
      <w:jc w:val="center"/>
    </w:trPr>
    <w:tblStylePr w:type="firstRow">
      <w:tblPr/>
      <w:tcPr>
        <w:tcBorders>
          <w:top w:val="single" w:sz="12" w:space="0" w:color="002776"/>
          <w:left w:val="nil"/>
          <w:bottom w:val="single" w:sz="8" w:space="0" w:color="002776"/>
          <w:right w:val="nil"/>
          <w:insideH w:val="nil"/>
          <w:insideV w:val="single" w:sz="4" w:space="0" w:color="A6A6A6"/>
          <w:tl2br w:val="nil"/>
          <w:tr2bl w:val="nil"/>
        </w:tcBorders>
      </w:tcPr>
    </w:tblStylePr>
    <w:tblStylePr w:type="lastRow">
      <w:tblPr/>
      <w:tcPr>
        <w:tcBorders>
          <w:top w:val="single" w:sz="12" w:space="0" w:color="002776"/>
          <w:left w:val="nil"/>
          <w:bottom w:val="single" w:sz="12" w:space="0" w:color="002776"/>
          <w:right w:val="nil"/>
          <w:insideH w:val="nil"/>
          <w:insideV w:val="single" w:sz="4" w:space="0" w:color="A6A6A6"/>
          <w:tl2br w:val="nil"/>
          <w:tr2bl w:val="nil"/>
        </w:tcBorders>
      </w:tcPr>
    </w:tblStylePr>
  </w:style>
  <w:style w:type="paragraph" w:customStyle="1" w:styleId="CaptionTable">
    <w:name w:val="Caption_Table"/>
    <w:basedOn w:val="Normal"/>
    <w:next w:val="BodyText"/>
    <w:qFormat/>
    <w:rsid w:val="00CF4475"/>
    <w:pPr>
      <w:keepNext/>
      <w:keepLines/>
      <w:numPr>
        <w:ilvl w:val="6"/>
        <w:numId w:val="1"/>
      </w:numPr>
      <w:spacing w:after="240" w:line="240" w:lineRule="auto"/>
      <w:jc w:val="center"/>
    </w:pPr>
    <w:rPr>
      <w:rFonts w:ascii="Calibri" w:eastAsia="Times New Roman" w:hAnsi="Calibri" w:cs="Times New Roman"/>
      <w:b/>
      <w:color w:val="002776"/>
      <w:szCs w:val="24"/>
    </w:rPr>
  </w:style>
  <w:style w:type="paragraph" w:customStyle="1" w:styleId="CaptionFigure">
    <w:name w:val="Caption_Figure"/>
    <w:basedOn w:val="CaptionTable"/>
    <w:next w:val="BodyText"/>
    <w:qFormat/>
    <w:rsid w:val="00CF4475"/>
    <w:pPr>
      <w:numPr>
        <w:ilvl w:val="8"/>
      </w:numPr>
    </w:pPr>
    <w:rPr>
      <w:bCs/>
      <w:szCs w:val="22"/>
    </w:rPr>
  </w:style>
  <w:style w:type="paragraph" w:customStyle="1" w:styleId="CaptionChart">
    <w:name w:val="Caption_Chart"/>
    <w:basedOn w:val="CaptionFigure"/>
    <w:next w:val="BodyText"/>
    <w:qFormat/>
    <w:rsid w:val="00CF4475"/>
    <w:pPr>
      <w:numPr>
        <w:ilvl w:val="7"/>
      </w:numPr>
    </w:pPr>
  </w:style>
  <w:style w:type="paragraph" w:styleId="BodyText">
    <w:name w:val="Body Text"/>
    <w:basedOn w:val="Normal"/>
    <w:link w:val="BodyTextChar"/>
    <w:uiPriority w:val="99"/>
    <w:semiHidden/>
    <w:unhideWhenUsed/>
    <w:rsid w:val="00CF4475"/>
    <w:pPr>
      <w:spacing w:after="120"/>
    </w:pPr>
  </w:style>
  <w:style w:type="character" w:customStyle="1" w:styleId="BodyTextChar">
    <w:name w:val="Body Text Char"/>
    <w:basedOn w:val="DefaultParagraphFont"/>
    <w:link w:val="BodyText"/>
    <w:uiPriority w:val="99"/>
    <w:semiHidden/>
    <w:rsid w:val="00CF4475"/>
  </w:style>
  <w:style w:type="paragraph" w:styleId="ListParagraph">
    <w:name w:val="List Paragraph"/>
    <w:basedOn w:val="Normal"/>
    <w:uiPriority w:val="34"/>
    <w:qFormat/>
    <w:rsid w:val="00CF4475"/>
    <w:pPr>
      <w:ind w:left="720"/>
      <w:contextualSpacing/>
    </w:pPr>
  </w:style>
  <w:style w:type="table" w:styleId="TableGrid8">
    <w:name w:val="Table Grid 8"/>
    <w:basedOn w:val="TableNormal"/>
    <w:rsid w:val="003E0222"/>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unhideWhenUsed/>
    <w:rsid w:val="00097588"/>
    <w:rPr>
      <w:sz w:val="16"/>
      <w:szCs w:val="16"/>
    </w:rPr>
  </w:style>
  <w:style w:type="paragraph" w:styleId="CommentText">
    <w:name w:val="annotation text"/>
    <w:basedOn w:val="Normal"/>
    <w:link w:val="CommentTextChar"/>
    <w:uiPriority w:val="99"/>
    <w:semiHidden/>
    <w:unhideWhenUsed/>
    <w:rsid w:val="00097588"/>
    <w:pPr>
      <w:spacing w:line="240" w:lineRule="auto"/>
    </w:pPr>
    <w:rPr>
      <w:sz w:val="20"/>
      <w:szCs w:val="20"/>
    </w:rPr>
  </w:style>
  <w:style w:type="character" w:customStyle="1" w:styleId="CommentTextChar">
    <w:name w:val="Comment Text Char"/>
    <w:basedOn w:val="DefaultParagraphFont"/>
    <w:link w:val="CommentText"/>
    <w:uiPriority w:val="99"/>
    <w:semiHidden/>
    <w:rsid w:val="00097588"/>
    <w:rPr>
      <w:sz w:val="20"/>
      <w:szCs w:val="20"/>
    </w:rPr>
  </w:style>
  <w:style w:type="paragraph" w:styleId="CommentSubject">
    <w:name w:val="annotation subject"/>
    <w:basedOn w:val="CommentText"/>
    <w:next w:val="CommentText"/>
    <w:link w:val="CommentSubjectChar"/>
    <w:uiPriority w:val="99"/>
    <w:semiHidden/>
    <w:unhideWhenUsed/>
    <w:rsid w:val="00097588"/>
    <w:rPr>
      <w:b/>
      <w:bCs/>
    </w:rPr>
  </w:style>
  <w:style w:type="character" w:customStyle="1" w:styleId="CommentSubjectChar">
    <w:name w:val="Comment Subject Char"/>
    <w:basedOn w:val="CommentTextChar"/>
    <w:link w:val="CommentSubject"/>
    <w:uiPriority w:val="99"/>
    <w:semiHidden/>
    <w:rsid w:val="00097588"/>
    <w:rPr>
      <w:b/>
      <w:bCs/>
      <w:sz w:val="20"/>
      <w:szCs w:val="20"/>
    </w:rPr>
  </w:style>
  <w:style w:type="paragraph" w:styleId="BalloonText">
    <w:name w:val="Balloon Text"/>
    <w:basedOn w:val="Normal"/>
    <w:link w:val="BalloonTextChar"/>
    <w:uiPriority w:val="99"/>
    <w:semiHidden/>
    <w:unhideWhenUsed/>
    <w:rsid w:val="000975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588"/>
    <w:rPr>
      <w:rFonts w:ascii="Segoe UI" w:hAnsi="Segoe UI" w:cs="Segoe UI"/>
      <w:sz w:val="18"/>
      <w:szCs w:val="18"/>
    </w:rPr>
  </w:style>
  <w:style w:type="paragraph" w:styleId="Header">
    <w:name w:val="header"/>
    <w:basedOn w:val="Normal"/>
    <w:link w:val="HeaderChar"/>
    <w:unhideWhenUsed/>
    <w:rsid w:val="00BD5492"/>
    <w:pPr>
      <w:tabs>
        <w:tab w:val="center" w:pos="4513"/>
        <w:tab w:val="right" w:pos="9026"/>
      </w:tabs>
      <w:spacing w:after="0" w:line="240" w:lineRule="auto"/>
    </w:pPr>
  </w:style>
  <w:style w:type="character" w:customStyle="1" w:styleId="HeaderChar">
    <w:name w:val="Header Char"/>
    <w:basedOn w:val="DefaultParagraphFont"/>
    <w:link w:val="Header"/>
    <w:rsid w:val="00BD5492"/>
  </w:style>
  <w:style w:type="paragraph" w:styleId="Footer">
    <w:name w:val="footer"/>
    <w:basedOn w:val="Normal"/>
    <w:link w:val="FooterChar"/>
    <w:uiPriority w:val="99"/>
    <w:unhideWhenUsed/>
    <w:rsid w:val="00BD54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492"/>
  </w:style>
  <w:style w:type="paragraph" w:styleId="TOCHeading">
    <w:name w:val="TOC Heading"/>
    <w:basedOn w:val="Heading1"/>
    <w:next w:val="Normal"/>
    <w:uiPriority w:val="39"/>
    <w:unhideWhenUsed/>
    <w:qFormat/>
    <w:rsid w:val="003B4196"/>
    <w:pPr>
      <w:pageBreakBefore w:val="0"/>
      <w:spacing w:before="480" w:after="0" w:line="276" w:lineRule="auto"/>
      <w:outlineLvl w:val="9"/>
    </w:pPr>
    <w:rPr>
      <w:rFonts w:asciiTheme="majorHAnsi" w:eastAsiaTheme="majorEastAsia" w:hAnsiTheme="majorHAnsi" w:cstheme="majorBidi"/>
      <w:b/>
      <w:bCs/>
      <w:color w:val="2E74B5" w:themeColor="accent1" w:themeShade="BF"/>
      <w:kern w:val="0"/>
      <w:sz w:val="28"/>
      <w:szCs w:val="28"/>
      <w:lang w:val="en-US" w:eastAsia="ja-JP"/>
    </w:rPr>
  </w:style>
  <w:style w:type="paragraph" w:styleId="TOC2">
    <w:name w:val="toc 2"/>
    <w:basedOn w:val="Normal"/>
    <w:next w:val="Normal"/>
    <w:autoRedefine/>
    <w:uiPriority w:val="39"/>
    <w:unhideWhenUsed/>
    <w:qFormat/>
    <w:rsid w:val="003B4196"/>
    <w:pPr>
      <w:spacing w:after="100" w:line="276" w:lineRule="auto"/>
      <w:ind w:left="220"/>
    </w:pPr>
    <w:rPr>
      <w:rFonts w:eastAsiaTheme="minorEastAsia"/>
      <w:lang w:val="en-US" w:eastAsia="ja-JP"/>
    </w:rPr>
  </w:style>
  <w:style w:type="paragraph" w:styleId="TOC1">
    <w:name w:val="toc 1"/>
    <w:basedOn w:val="Normal"/>
    <w:next w:val="Normal"/>
    <w:autoRedefine/>
    <w:uiPriority w:val="39"/>
    <w:unhideWhenUsed/>
    <w:qFormat/>
    <w:rsid w:val="003B4196"/>
    <w:pPr>
      <w:spacing w:after="100" w:line="276" w:lineRule="auto"/>
    </w:pPr>
    <w:rPr>
      <w:rFonts w:eastAsiaTheme="minorEastAsia"/>
      <w:lang w:val="en-US" w:eastAsia="ja-JP"/>
    </w:rPr>
  </w:style>
  <w:style w:type="paragraph" w:styleId="TOC3">
    <w:name w:val="toc 3"/>
    <w:basedOn w:val="Normal"/>
    <w:next w:val="Normal"/>
    <w:autoRedefine/>
    <w:uiPriority w:val="39"/>
    <w:unhideWhenUsed/>
    <w:qFormat/>
    <w:rsid w:val="003B4196"/>
    <w:pPr>
      <w:spacing w:after="100" w:line="276" w:lineRule="auto"/>
      <w:ind w:left="440"/>
    </w:pPr>
    <w:rPr>
      <w:rFonts w:eastAsiaTheme="minorEastAsia"/>
      <w:lang w:val="en-US" w:eastAsia="ja-JP"/>
    </w:rPr>
  </w:style>
  <w:style w:type="character" w:styleId="Hyperlink">
    <w:name w:val="Hyperlink"/>
    <w:basedOn w:val="DefaultParagraphFont"/>
    <w:uiPriority w:val="99"/>
    <w:unhideWhenUsed/>
    <w:rsid w:val="00CB25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4.jpe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3.jpe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6.jpeg"/><Relationship Id="rId28" Type="http://schemas.openxmlformats.org/officeDocument/2006/relationships/image" Target="media/image11.png"/><Relationship Id="rId10" Type="http://schemas.openxmlformats.org/officeDocument/2006/relationships/footnotes" Target="footnotes.xml"/><Relationship Id="rId19" Type="http://schemas.openxmlformats.org/officeDocument/2006/relationships/chart" Target="charts/chart1.xm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image" Target="media/image5.jpeg"/><Relationship Id="rId27" Type="http://schemas.openxmlformats.org/officeDocument/2006/relationships/image" Target="media/image10.png"/><Relationship Id="rId30" Type="http://schemas.openxmlformats.org/officeDocument/2006/relationships/image" Target="media/image13.jpeg"/></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53374508483839"/>
          <c:y val="7.5070021841675383E-2"/>
          <c:w val="0.61282225409556146"/>
          <c:h val="0.73774682010902481"/>
        </c:manualLayout>
      </c:layout>
      <c:lineChart>
        <c:grouping val="standard"/>
        <c:varyColors val="0"/>
        <c:ser>
          <c:idx val="0"/>
          <c:order val="0"/>
          <c:tx>
            <c:strRef>
              <c:f>Sheet1!$B$14</c:f>
              <c:strCache>
                <c:ptCount val="1"/>
                <c:pt idx="0">
                  <c:v>EBITDA p.r.p.a</c:v>
                </c:pt>
              </c:strCache>
            </c:strRef>
          </c:tx>
          <c:marker>
            <c:symbol val="none"/>
          </c:marker>
          <c:cat>
            <c:strRef>
              <c:f>Sheet1!$C$13:$L$13</c:f>
              <c:strCache>
                <c:ptCount val="8"/>
                <c:pt idx="0">
                  <c:v>2009-10</c:v>
                </c:pt>
                <c:pt idx="1">
                  <c:v>2010-11</c:v>
                </c:pt>
                <c:pt idx="2">
                  <c:v>2011-12</c:v>
                </c:pt>
                <c:pt idx="3">
                  <c:v>2012-13</c:v>
                </c:pt>
                <c:pt idx="4">
                  <c:v>2013-14</c:v>
                </c:pt>
                <c:pt idx="5">
                  <c:v>2014-15</c:v>
                </c:pt>
                <c:pt idx="6">
                  <c:v>2015-16</c:v>
                </c:pt>
                <c:pt idx="7">
                  <c:v>2016-17</c:v>
                </c:pt>
              </c:strCache>
            </c:strRef>
          </c:cat>
          <c:val>
            <c:numRef>
              <c:f>Sheet1!$C$14:$L$14</c:f>
              <c:numCache>
                <c:formatCode>"$"#,##0_);[Red]\("$"#,##0\)</c:formatCode>
                <c:ptCount val="8"/>
                <c:pt idx="0">
                  <c:v>6417</c:v>
                </c:pt>
                <c:pt idx="1">
                  <c:v>8054</c:v>
                </c:pt>
                <c:pt idx="2">
                  <c:v>9274</c:v>
                </c:pt>
                <c:pt idx="3">
                  <c:v>8660</c:v>
                </c:pt>
                <c:pt idx="4">
                  <c:v>9224</c:v>
                </c:pt>
                <c:pt idx="5">
                  <c:v>10222</c:v>
                </c:pt>
                <c:pt idx="6">
                  <c:v>11134</c:v>
                </c:pt>
                <c:pt idx="7">
                  <c:v>11481</c:v>
                </c:pt>
              </c:numCache>
            </c:numRef>
          </c:val>
          <c:smooth val="0"/>
          <c:extLst xmlns:c16r2="http://schemas.microsoft.com/office/drawing/2015/06/chart">
            <c:ext xmlns:c16="http://schemas.microsoft.com/office/drawing/2014/chart" uri="{C3380CC4-5D6E-409C-BE32-E72D297353CC}">
              <c16:uniqueId val="{00000000-F8B0-42A9-9928-D0199247ACDB}"/>
            </c:ext>
          </c:extLst>
        </c:ser>
        <c:ser>
          <c:idx val="1"/>
          <c:order val="1"/>
          <c:tx>
            <c:strRef>
              <c:f>Sheet1!$B$15</c:f>
              <c:strCache>
                <c:ptCount val="1"/>
                <c:pt idx="0">
                  <c:v>NPBT p.r.p.a</c:v>
                </c:pt>
              </c:strCache>
            </c:strRef>
          </c:tx>
          <c:marker>
            <c:symbol val="none"/>
          </c:marker>
          <c:cat>
            <c:strRef>
              <c:f>Sheet1!$C$13:$L$13</c:f>
              <c:strCache>
                <c:ptCount val="8"/>
                <c:pt idx="0">
                  <c:v>2009-10</c:v>
                </c:pt>
                <c:pt idx="1">
                  <c:v>2010-11</c:v>
                </c:pt>
                <c:pt idx="2">
                  <c:v>2011-12</c:v>
                </c:pt>
                <c:pt idx="3">
                  <c:v>2012-13</c:v>
                </c:pt>
                <c:pt idx="4">
                  <c:v>2013-14</c:v>
                </c:pt>
                <c:pt idx="5">
                  <c:v>2014-15</c:v>
                </c:pt>
                <c:pt idx="6">
                  <c:v>2015-16</c:v>
                </c:pt>
                <c:pt idx="7">
                  <c:v>2016-17</c:v>
                </c:pt>
              </c:strCache>
            </c:strRef>
          </c:cat>
          <c:val>
            <c:numRef>
              <c:f>Sheet1!$C$15:$L$15</c:f>
              <c:numCache>
                <c:formatCode>"$"#,##0_);[Red]\("$"#,##0\)</c:formatCode>
                <c:ptCount val="8"/>
                <c:pt idx="0">
                  <c:v>1845</c:v>
                </c:pt>
                <c:pt idx="1">
                  <c:v>3175</c:v>
                </c:pt>
                <c:pt idx="2">
                  <c:v>4360</c:v>
                </c:pt>
                <c:pt idx="3">
                  <c:v>3492</c:v>
                </c:pt>
                <c:pt idx="4">
                  <c:v>4150</c:v>
                </c:pt>
                <c:pt idx="5">
                  <c:v>5221</c:v>
                </c:pt>
                <c:pt idx="6">
                  <c:v>5962</c:v>
                </c:pt>
                <c:pt idx="7">
                  <c:v>5572</c:v>
                </c:pt>
              </c:numCache>
            </c:numRef>
          </c:val>
          <c:smooth val="0"/>
          <c:extLst xmlns:c16r2="http://schemas.microsoft.com/office/drawing/2015/06/chart">
            <c:ext xmlns:c16="http://schemas.microsoft.com/office/drawing/2014/chart" uri="{C3380CC4-5D6E-409C-BE32-E72D297353CC}">
              <c16:uniqueId val="{00000001-F8B0-42A9-9928-D0199247ACDB}"/>
            </c:ext>
          </c:extLst>
        </c:ser>
        <c:dLbls>
          <c:showLegendKey val="0"/>
          <c:showVal val="0"/>
          <c:showCatName val="0"/>
          <c:showSerName val="0"/>
          <c:showPercent val="0"/>
          <c:showBubbleSize val="0"/>
        </c:dLbls>
        <c:marker val="1"/>
        <c:smooth val="0"/>
        <c:axId val="73779456"/>
        <c:axId val="242245632"/>
      </c:lineChart>
      <c:catAx>
        <c:axId val="73779456"/>
        <c:scaling>
          <c:orientation val="minMax"/>
        </c:scaling>
        <c:delete val="0"/>
        <c:axPos val="b"/>
        <c:numFmt formatCode="General" sourceLinked="1"/>
        <c:majorTickMark val="out"/>
        <c:minorTickMark val="none"/>
        <c:tickLblPos val="nextTo"/>
        <c:crossAx val="242245632"/>
        <c:crosses val="autoZero"/>
        <c:auto val="1"/>
        <c:lblAlgn val="ctr"/>
        <c:lblOffset val="100"/>
        <c:noMultiLvlLbl val="0"/>
      </c:catAx>
      <c:valAx>
        <c:axId val="242245632"/>
        <c:scaling>
          <c:orientation val="minMax"/>
        </c:scaling>
        <c:delete val="0"/>
        <c:axPos val="l"/>
        <c:majorGridlines/>
        <c:numFmt formatCode="&quot;$&quot;#,##0_);[Red]\(&quot;$&quot;#,##0\)" sourceLinked="1"/>
        <c:majorTickMark val="out"/>
        <c:minorTickMark val="none"/>
        <c:tickLblPos val="nextTo"/>
        <c:crossAx val="7377945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8A277EF3AB304DA7F9DEE4E5EC9593" ma:contentTypeVersion="" ma:contentTypeDescription="PDMS Document Site Content Type" ma:contentTypeScope="" ma:versionID="90c842cc4e6aca40b0fdedec75171659">
  <xsd:schema xmlns:xsd="http://www.w3.org/2001/XMLSchema" xmlns:xs="http://www.w3.org/2001/XMLSchema" xmlns:p="http://schemas.microsoft.com/office/2006/metadata/properties" xmlns:ns2="D06F820F-7692-4307-B1B1-D346BE0AFEB6" targetNamespace="http://schemas.microsoft.com/office/2006/metadata/properties" ma:root="true" ma:fieldsID="15225cea15c7a894343cf222c29d193f" ns2:_="">
    <xsd:import namespace="D06F820F-7692-4307-B1B1-D346BE0AFEB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6F820F-7692-4307-B1B1-D346BE0AFEB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D06F820F-7692-4307-B1B1-D346BE0AFEB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CD701-8058-4C2D-946F-89DC1879E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6F820F-7692-4307-B1B1-D346BE0AF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6DC30-E0AA-4B78-BEEE-A387E1CCFFF9}">
  <ds:schemaRefs>
    <ds:schemaRef ds:uri="http://schemas.microsoft.com/sharepoint/v3/contenttype/forms"/>
  </ds:schemaRefs>
</ds:datastoreItem>
</file>

<file path=customXml/itemProps3.xml><?xml version="1.0" encoding="utf-8"?>
<ds:datastoreItem xmlns:ds="http://schemas.openxmlformats.org/officeDocument/2006/customXml" ds:itemID="{5A16BC2E-CE75-4BB4-9CE6-2E1135D6EAE9}">
  <ds:schemaRefs>
    <ds:schemaRef ds:uri="http://www.w3.org/XML/1998/namespace"/>
    <ds:schemaRef ds:uri="http://schemas.microsoft.com/office/2006/documentManagement/types"/>
    <ds:schemaRef ds:uri="http://purl.org/dc/elements/1.1/"/>
    <ds:schemaRef ds:uri="http://schemas.openxmlformats.org/package/2006/metadata/core-properties"/>
    <ds:schemaRef ds:uri="http://purl.org/dc/dcmitype/"/>
    <ds:schemaRef ds:uri="D06F820F-7692-4307-B1B1-D346BE0AFEB6"/>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F464A3F5-14F7-4224-BE66-14DAB611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29</Pages>
  <Words>9647</Words>
  <Characters>54992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Huard John</cp:lastModifiedBy>
  <cp:revision>5</cp:revision>
  <cp:lastPrinted>2018-09-19T04:55:00Z</cp:lastPrinted>
  <dcterms:created xsi:type="dcterms:W3CDTF">2018-10-23T02:31:00Z</dcterms:created>
  <dcterms:modified xsi:type="dcterms:W3CDTF">2018-11-01T00:00:00Z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0x010100266966F133664895A6EE3632470D45F500738A277EF3AB304DA7F9DEE4E5EC9593</vt:lpwstr>
  </property>
</Properties>
</file>