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10329A" w14:textId="77777777" w:rsidR="00F83B3D" w:rsidRPr="00DA09DF" w:rsidRDefault="00F83B3D" w:rsidP="00E03606">
      <w:pPr>
        <w:pStyle w:val="Title"/>
        <w:jc w:val="center"/>
      </w:pPr>
      <w:r w:rsidRPr="00DA09DF">
        <w:t>Aged Care Financing Authority</w:t>
      </w:r>
    </w:p>
    <w:p w14:paraId="49720D4B" w14:textId="77777777" w:rsidR="00DA09DF" w:rsidRDefault="00DA09DF" w:rsidP="00F83B3D">
      <w:pPr>
        <w:jc w:val="center"/>
        <w:rPr>
          <w:b/>
          <w:sz w:val="36"/>
          <w:szCs w:val="36"/>
        </w:rPr>
      </w:pPr>
    </w:p>
    <w:p w14:paraId="3774DDCC" w14:textId="77777777" w:rsidR="00DA09DF" w:rsidRPr="00DA09DF" w:rsidRDefault="00DA09DF" w:rsidP="00F83B3D">
      <w:pPr>
        <w:jc w:val="center"/>
        <w:rPr>
          <w:b/>
          <w:sz w:val="36"/>
          <w:szCs w:val="36"/>
        </w:rPr>
      </w:pPr>
    </w:p>
    <w:p w14:paraId="196DB600" w14:textId="77777777" w:rsidR="00DA09DF" w:rsidRDefault="00DA09DF" w:rsidP="0067226F">
      <w:pPr>
        <w:pStyle w:val="Title2"/>
      </w:pPr>
      <w:r w:rsidRPr="00DA09DF">
        <w:t xml:space="preserve">Submission </w:t>
      </w:r>
      <w:r w:rsidR="00A20DB4" w:rsidRPr="00DA09DF">
        <w:t>to Royal</w:t>
      </w:r>
      <w:r w:rsidRPr="00DA09DF">
        <w:t xml:space="preserve"> Commission</w:t>
      </w:r>
      <w:r w:rsidR="00A269B1">
        <w:t xml:space="preserve"> into Aged Care Quality and Safety</w:t>
      </w:r>
    </w:p>
    <w:p w14:paraId="435E9540" w14:textId="77777777" w:rsidR="003230E4" w:rsidRPr="00DA09DF" w:rsidRDefault="00544334" w:rsidP="0067226F">
      <w:pPr>
        <w:pStyle w:val="Title2"/>
        <w:spacing w:before="720"/>
      </w:pPr>
      <w:r>
        <w:t>April 2019</w:t>
      </w:r>
    </w:p>
    <w:p w14:paraId="1E9096A9" w14:textId="77777777" w:rsidR="00DA09DF" w:rsidRDefault="00DA09DF">
      <w:pPr>
        <w:rPr>
          <w:b/>
          <w:sz w:val="28"/>
          <w:szCs w:val="28"/>
        </w:rPr>
      </w:pPr>
      <w:r>
        <w:rPr>
          <w:b/>
          <w:sz w:val="28"/>
          <w:szCs w:val="28"/>
        </w:rPr>
        <w:br w:type="page"/>
      </w:r>
    </w:p>
    <w:p w14:paraId="2BF0A624" w14:textId="77777777" w:rsidR="0008345D" w:rsidRPr="00E03606" w:rsidRDefault="00DA09DF" w:rsidP="00E03606">
      <w:pPr>
        <w:pStyle w:val="Heading1"/>
      </w:pPr>
      <w:r w:rsidRPr="00E03606">
        <w:lastRenderedPageBreak/>
        <w:t>Executive summary</w:t>
      </w:r>
    </w:p>
    <w:p w14:paraId="4A227743" w14:textId="77777777" w:rsidR="0008345D" w:rsidRPr="00E03606" w:rsidRDefault="0008345D" w:rsidP="00E03606">
      <w:pPr>
        <w:pStyle w:val="Heading2"/>
      </w:pPr>
      <w:r w:rsidRPr="00E03606">
        <w:t>Role of ACFA</w:t>
      </w:r>
    </w:p>
    <w:p w14:paraId="27462A6C" w14:textId="77777777" w:rsidR="008B69F5" w:rsidRDefault="0008345D">
      <w:r w:rsidRPr="004E56D8">
        <w:t xml:space="preserve">The Aged Care Financing Authority (ACFA) is a statutory committee established to </w:t>
      </w:r>
      <w:r>
        <w:t xml:space="preserve">provide the Australian Government with independent and transparent advice on the impact of funding and financing arrangements on the viability and sustainability of the aged care sector, the ability of </w:t>
      </w:r>
      <w:r w:rsidR="00A20DB4">
        <w:t>consumers to</w:t>
      </w:r>
      <w:r>
        <w:t xml:space="preserve"> access quality aged care and the aged care workforce. ACFA also considers other matters </w:t>
      </w:r>
      <w:r w:rsidR="00992F82">
        <w:t>referred</w:t>
      </w:r>
      <w:r>
        <w:t xml:space="preserve"> to it by the Minister. A key aspect of ACFA’s activities is the monitoring and analysis of the overall state of financial developments in the sector</w:t>
      </w:r>
      <w:r w:rsidR="00992F82">
        <w:t xml:space="preserve"> and</w:t>
      </w:r>
      <w:r>
        <w:t xml:space="preserve"> the financial performance of </w:t>
      </w:r>
      <w:r w:rsidR="00992F82">
        <w:t xml:space="preserve">aged care </w:t>
      </w:r>
      <w:r w:rsidR="00FB791B">
        <w:t>providers</w:t>
      </w:r>
      <w:r w:rsidR="00992F82">
        <w:t>.</w:t>
      </w:r>
      <w:r w:rsidR="00FB791B">
        <w:t xml:space="preserve"> In providing advice on the sustainability of the aged care sector, a key aspect is whether the funding and financing arrangements are such as to support the level of investment needed to meet existing and prospective demand for quality aged care services.</w:t>
      </w:r>
    </w:p>
    <w:p w14:paraId="49D625FC" w14:textId="77777777" w:rsidR="00544334" w:rsidRDefault="00544334" w:rsidP="006A1809">
      <w:pPr>
        <w:spacing w:after="0"/>
      </w:pPr>
    </w:p>
    <w:p w14:paraId="377C0997" w14:textId="77777777" w:rsidR="008B69F5" w:rsidRPr="008B69F5" w:rsidRDefault="008B69F5" w:rsidP="00E03606">
      <w:pPr>
        <w:pStyle w:val="Heading2"/>
      </w:pPr>
      <w:r w:rsidRPr="008B69F5">
        <w:t>Performance of aged care providers in 2017-18</w:t>
      </w:r>
    </w:p>
    <w:p w14:paraId="2C88C5EA" w14:textId="72328F61" w:rsidR="00BC7C67" w:rsidRDefault="008B69F5">
      <w:r>
        <w:t xml:space="preserve">2017-18 was a difficult year for both home care and </w:t>
      </w:r>
      <w:r w:rsidR="00A20DB4">
        <w:t>residential care providers</w:t>
      </w:r>
      <w:r>
        <w:t>.</w:t>
      </w:r>
      <w:r w:rsidR="00D50A8B">
        <w:t xml:space="preserve"> For home care providers, average </w:t>
      </w:r>
      <w:r w:rsidR="003134B0">
        <w:t>Earnings Before Interest, Tax, Depreciation Amortisation (</w:t>
      </w:r>
      <w:r w:rsidR="00D50A8B">
        <w:t>EBITDA</w:t>
      </w:r>
      <w:r w:rsidR="003134B0">
        <w:t>)</w:t>
      </w:r>
      <w:r w:rsidR="00D50A8B">
        <w:t xml:space="preserve"> per consumer dropped to $1</w:t>
      </w:r>
      <w:r w:rsidR="005A321F">
        <w:t>,</w:t>
      </w:r>
      <w:r w:rsidR="00D50A8B">
        <w:t>217 from around $3</w:t>
      </w:r>
      <w:r w:rsidR="005A321F">
        <w:t>,</w:t>
      </w:r>
      <w:r w:rsidR="00D50A8B">
        <w:t>000 for the previous three years. For residential care providers</w:t>
      </w:r>
      <w:r w:rsidR="00AE58BC">
        <w:t>, after improving for five years</w:t>
      </w:r>
      <w:r w:rsidR="006025FB">
        <w:t>,</w:t>
      </w:r>
      <w:r w:rsidR="00AE58BC">
        <w:t xml:space="preserve"> the average EBITDA per resident fell by 24 per cent to $8</w:t>
      </w:r>
      <w:r w:rsidR="005A321F">
        <w:t>,</w:t>
      </w:r>
      <w:r w:rsidR="00AE58BC">
        <w:t>746 in 2017</w:t>
      </w:r>
      <w:r w:rsidR="00D75BA6">
        <w:noBreakHyphen/>
      </w:r>
      <w:r w:rsidR="00AE58BC">
        <w:t>18 compared with $11</w:t>
      </w:r>
      <w:r w:rsidR="005A321F">
        <w:t>,</w:t>
      </w:r>
      <w:r w:rsidR="00AE58BC">
        <w:t xml:space="preserve">481 in 2016-17. </w:t>
      </w:r>
      <w:r w:rsidR="00544334">
        <w:t>Fifty-six</w:t>
      </w:r>
      <w:r w:rsidR="00AE58BC">
        <w:t xml:space="preserve"> per cent of residential providers </w:t>
      </w:r>
      <w:r w:rsidR="006D761E">
        <w:t>reported</w:t>
      </w:r>
      <w:r w:rsidR="00AE58BC">
        <w:t xml:space="preserve"> a net profit in 2017-18 compared with 68 per cent in 2016-17.</w:t>
      </w:r>
    </w:p>
    <w:p w14:paraId="161D769B" w14:textId="77777777" w:rsidR="00544334" w:rsidRDefault="00544334" w:rsidP="006A1809">
      <w:pPr>
        <w:spacing w:after="0"/>
      </w:pPr>
    </w:p>
    <w:p w14:paraId="035BCE90" w14:textId="77777777" w:rsidR="00AE58BC" w:rsidRDefault="00AE58BC" w:rsidP="00E03606">
      <w:pPr>
        <w:pStyle w:val="Heading2"/>
      </w:pPr>
      <w:r>
        <w:t>Policy changes impacting on financial performance of providers</w:t>
      </w:r>
    </w:p>
    <w:p w14:paraId="74100AE7" w14:textId="77777777" w:rsidR="006025FB" w:rsidRDefault="00AE58BC">
      <w:r>
        <w:t>The</w:t>
      </w:r>
      <w:r w:rsidRPr="00AB28DB">
        <w:t xml:space="preserve"> overall deterioration in the financial performance of residential aged ca</w:t>
      </w:r>
      <w:r>
        <w:t xml:space="preserve">re </w:t>
      </w:r>
      <w:r w:rsidR="00A20DB4">
        <w:t>providers in</w:t>
      </w:r>
      <w:r>
        <w:t xml:space="preserve"> 2017-18 </w:t>
      </w:r>
      <w:r w:rsidRPr="00AB28DB">
        <w:t xml:space="preserve">in large part reflects the changes to </w:t>
      </w:r>
      <w:r w:rsidR="003134B0">
        <w:t>the Aged Care Funding Instrument (</w:t>
      </w:r>
      <w:r w:rsidRPr="00AB28DB">
        <w:t>ACFI</w:t>
      </w:r>
      <w:r w:rsidR="003134B0">
        <w:t>)</w:t>
      </w:r>
      <w:r w:rsidRPr="00AB28DB">
        <w:t xml:space="preserve"> in 2016 and 2017 and the p</w:t>
      </w:r>
      <w:r w:rsidR="005A321F">
        <w:t>ause in ACFI indexation in 2017</w:t>
      </w:r>
      <w:r w:rsidR="005A321F">
        <w:noBreakHyphen/>
      </w:r>
      <w:r w:rsidRPr="00AB28DB">
        <w:t>18, along with rising staff costs.</w:t>
      </w:r>
      <w:r>
        <w:t xml:space="preserve"> </w:t>
      </w:r>
    </w:p>
    <w:p w14:paraId="267F40A6" w14:textId="77777777" w:rsidR="00AE58BC" w:rsidRDefault="00CE0C9A">
      <w:r>
        <w:t>The Government said its decision to change ACFI arrangements and pause indexation was because real growth in ACFI expenditure per resident per day was considered to be higher than the frailty growth in the population</w:t>
      </w:r>
      <w:r w:rsidR="006025FB">
        <w:t>,</w:t>
      </w:r>
      <w:r>
        <w:t xml:space="preserve"> and was higher than what had been budgeted.</w:t>
      </w:r>
      <w:r w:rsidR="00315FED">
        <w:t xml:space="preserve"> The Government </w:t>
      </w:r>
      <w:r w:rsidR="00A20DB4">
        <w:t>said this</w:t>
      </w:r>
      <w:r w:rsidR="00315FED">
        <w:t xml:space="preserve"> was the result of providers se</w:t>
      </w:r>
      <w:r w:rsidR="00A269B1">
        <w:t>eking to maximise claims</w:t>
      </w:r>
      <w:r w:rsidR="00315FED">
        <w:t xml:space="preserve">, particularly since there </w:t>
      </w:r>
      <w:r w:rsidR="00A20DB4">
        <w:t>was sharp</w:t>
      </w:r>
      <w:r w:rsidR="00EF3963">
        <w:t xml:space="preserve"> growth in certain</w:t>
      </w:r>
      <w:r w:rsidR="00315FED">
        <w:t xml:space="preserve"> areas of ACFI rather than </w:t>
      </w:r>
      <w:r w:rsidR="005733E4">
        <w:t xml:space="preserve">growth </w:t>
      </w:r>
      <w:r w:rsidR="00315FED">
        <w:t xml:space="preserve">being spread across all ACFI </w:t>
      </w:r>
      <w:r w:rsidR="0000548F">
        <w:t xml:space="preserve">areas which </w:t>
      </w:r>
      <w:r w:rsidR="00315FED">
        <w:t xml:space="preserve">would be expected </w:t>
      </w:r>
      <w:r w:rsidR="00A20DB4">
        <w:t>if claims</w:t>
      </w:r>
      <w:r w:rsidR="00315FED">
        <w:t xml:space="preserve"> were increasing in line with the growth in frailty. </w:t>
      </w:r>
      <w:r w:rsidR="0000548F">
        <w:t xml:space="preserve">The Government said this behaviour </w:t>
      </w:r>
      <w:r w:rsidR="00315FED">
        <w:t xml:space="preserve">was widespread and was not concentrated </w:t>
      </w:r>
      <w:r w:rsidR="005733E4">
        <w:t>i</w:t>
      </w:r>
      <w:r w:rsidR="00315FED">
        <w:t>n a small group of providers.</w:t>
      </w:r>
      <w:r w:rsidR="00EF3963">
        <w:t xml:space="preserve"> </w:t>
      </w:r>
      <w:r>
        <w:t>P</w:t>
      </w:r>
      <w:r w:rsidR="00A35242" w:rsidRPr="000C1171">
        <w:t xml:space="preserve">roviders </w:t>
      </w:r>
      <w:r>
        <w:t xml:space="preserve">say their ACFI </w:t>
      </w:r>
      <w:r w:rsidR="00A35242" w:rsidRPr="000C1171">
        <w:t>claim</w:t>
      </w:r>
      <w:r>
        <w:t xml:space="preserve">s, which are subject to an audit program, reflected the care needs of residents and </w:t>
      </w:r>
      <w:r w:rsidR="00A20DB4">
        <w:t>the frailty</w:t>
      </w:r>
      <w:r>
        <w:t xml:space="preserve"> of </w:t>
      </w:r>
      <w:r w:rsidR="00A20DB4">
        <w:t>residents was</w:t>
      </w:r>
      <w:r w:rsidR="0000548F">
        <w:t xml:space="preserve"> increasing</w:t>
      </w:r>
      <w:r>
        <w:t>.</w:t>
      </w:r>
      <w:r w:rsidR="00A35242">
        <w:t xml:space="preserve"> Providers also argue that if the Government was concerned about the claiming behaviour of some providers, th</w:t>
      </w:r>
      <w:r w:rsidR="00B6618A">
        <w:t xml:space="preserve">ose </w:t>
      </w:r>
      <w:r w:rsidR="0061030A">
        <w:t>providers should</w:t>
      </w:r>
      <w:r w:rsidR="00A35242">
        <w:t xml:space="preserve"> have been targeted rather than changing ACFI such that </w:t>
      </w:r>
      <w:r w:rsidR="00AE23AB">
        <w:t xml:space="preserve">most </w:t>
      </w:r>
      <w:r w:rsidR="00A35242">
        <w:t>providers were negatively impacted.</w:t>
      </w:r>
      <w:r w:rsidR="006025FB">
        <w:t xml:space="preserve"> </w:t>
      </w:r>
    </w:p>
    <w:p w14:paraId="6BF138C2" w14:textId="77777777" w:rsidR="00E338C2" w:rsidRDefault="00AE58BC" w:rsidP="00AE58BC">
      <w:r>
        <w:t xml:space="preserve">The major recent reform initiative in the home care sector </w:t>
      </w:r>
      <w:r w:rsidR="00B6618A">
        <w:t xml:space="preserve">that impacted on the financial performance of providers </w:t>
      </w:r>
      <w:r>
        <w:t xml:space="preserve">was the introduction of </w:t>
      </w:r>
      <w:r w:rsidR="00B6618A">
        <w:t xml:space="preserve">consumer directed care and home care </w:t>
      </w:r>
      <w:r>
        <w:t>packages following consumers</w:t>
      </w:r>
      <w:r w:rsidR="00B6618A">
        <w:t xml:space="preserve"> rather than being allocated to providers. </w:t>
      </w:r>
      <w:r>
        <w:t xml:space="preserve">This </w:t>
      </w:r>
      <w:r w:rsidR="00B6618A">
        <w:t xml:space="preserve">reform </w:t>
      </w:r>
      <w:r>
        <w:t xml:space="preserve">allows consumers to direct their care package to the provider of their choice as well as </w:t>
      </w:r>
      <w:r w:rsidR="006025FB">
        <w:t xml:space="preserve">to </w:t>
      </w:r>
      <w:r w:rsidR="00A20DB4">
        <w:t>change providers</w:t>
      </w:r>
      <w:r w:rsidR="00C512E0">
        <w:t>. T</w:t>
      </w:r>
      <w:r>
        <w:t xml:space="preserve">his has resulted in a substantial increase in the number of </w:t>
      </w:r>
      <w:r w:rsidR="006025FB">
        <w:t xml:space="preserve">approved </w:t>
      </w:r>
      <w:r>
        <w:t xml:space="preserve">home care providers and in turn </w:t>
      </w:r>
      <w:r w:rsidR="00B6618A">
        <w:t xml:space="preserve">greater </w:t>
      </w:r>
      <w:r>
        <w:t>competition between providers</w:t>
      </w:r>
      <w:r w:rsidR="00B6618A">
        <w:t xml:space="preserve"> which has resulted </w:t>
      </w:r>
      <w:r w:rsidR="0061030A">
        <w:t>in a</w:t>
      </w:r>
      <w:r w:rsidR="00B6618A">
        <w:t xml:space="preserve"> decline in </w:t>
      </w:r>
      <w:r w:rsidR="00EF3963">
        <w:t xml:space="preserve">profit </w:t>
      </w:r>
      <w:r w:rsidR="00B6618A">
        <w:t>margins</w:t>
      </w:r>
      <w:r w:rsidR="0061030A">
        <w:t>.</w:t>
      </w:r>
      <w:r>
        <w:t xml:space="preserve"> The increase in provider numbers comprised both for-profit and not-for-profit providers, although the proportion of for-profit providers has increased</w:t>
      </w:r>
      <w:r w:rsidR="00D35B39">
        <w:t xml:space="preserve"> from a low base</w:t>
      </w:r>
      <w:r>
        <w:t>.</w:t>
      </w:r>
    </w:p>
    <w:p w14:paraId="5551788C" w14:textId="77777777" w:rsidR="00E338C2" w:rsidRDefault="00E338C2" w:rsidP="006A1809">
      <w:pPr>
        <w:spacing w:after="0"/>
      </w:pPr>
    </w:p>
    <w:p w14:paraId="78286D30" w14:textId="77777777" w:rsidR="00A35242" w:rsidRDefault="00A35242" w:rsidP="00E03606">
      <w:pPr>
        <w:pStyle w:val="Heading2"/>
      </w:pPr>
      <w:r w:rsidRPr="00A35242">
        <w:t>Issues surrounding the outlook for the financial performance of providers</w:t>
      </w:r>
    </w:p>
    <w:p w14:paraId="41F1B98E" w14:textId="3946A663" w:rsidR="00D35B39" w:rsidRDefault="00672958" w:rsidP="00AE58BC">
      <w:r>
        <w:t xml:space="preserve">For </w:t>
      </w:r>
      <w:r w:rsidR="00A20DB4">
        <w:t>residential care</w:t>
      </w:r>
      <w:r w:rsidR="00EF3963">
        <w:t xml:space="preserve"> </w:t>
      </w:r>
      <w:r>
        <w:t xml:space="preserve">providers, there is the prospect that growth in ACFI will not return to levels seen in the past. If this is the case, it will </w:t>
      </w:r>
      <w:r w:rsidR="00A20DB4">
        <w:t>have implications</w:t>
      </w:r>
      <w:r>
        <w:t xml:space="preserve"> for the financial performance of </w:t>
      </w:r>
      <w:r w:rsidR="00EA1FB1">
        <w:t>providers</w:t>
      </w:r>
      <w:r>
        <w:t xml:space="preserve">. Some </w:t>
      </w:r>
      <w:r w:rsidR="00D40D37">
        <w:t xml:space="preserve">providers have indicated that they </w:t>
      </w:r>
      <w:r>
        <w:t>are concerned that they would not be viable if over future years ACFI payments increased by around 1.5 per</w:t>
      </w:r>
      <w:r w:rsidR="003230E4">
        <w:t xml:space="preserve"> </w:t>
      </w:r>
      <w:r>
        <w:t>cent (1.4 per cent w</w:t>
      </w:r>
      <w:r w:rsidR="005A321F">
        <w:t>as the</w:t>
      </w:r>
      <w:r w:rsidR="003134B0">
        <w:t xml:space="preserve"> rate of Wage Cost Index  </w:t>
      </w:r>
      <w:r w:rsidR="005A321F">
        <w:t>for 2017</w:t>
      </w:r>
      <w:r w:rsidR="005A321F">
        <w:noBreakHyphen/>
      </w:r>
      <w:r>
        <w:t>18</w:t>
      </w:r>
      <w:r w:rsidR="003134B0">
        <w:t xml:space="preserve"> which is the rate used for ACFI</w:t>
      </w:r>
      <w:r>
        <w:t>) and wages continued to increase by 2.5 to 3 per cent.</w:t>
      </w:r>
    </w:p>
    <w:p w14:paraId="716864CF" w14:textId="6669F33D" w:rsidR="00A35242" w:rsidRDefault="007F0886" w:rsidP="00AE58BC">
      <w:r>
        <w:t>The deterioration in financial pe</w:t>
      </w:r>
      <w:r w:rsidR="005A321F">
        <w:t xml:space="preserve">rformance and uncertainty over </w:t>
      </w:r>
      <w:r>
        <w:t xml:space="preserve">future </w:t>
      </w:r>
      <w:r w:rsidR="005733E4">
        <w:t>developments in the industry</w:t>
      </w:r>
      <w:r>
        <w:t xml:space="preserve"> is holding back investment</w:t>
      </w:r>
      <w:r w:rsidR="005733E4">
        <w:t xml:space="preserve"> in residential aged care</w:t>
      </w:r>
      <w:r>
        <w:t>.</w:t>
      </w:r>
      <w:r w:rsidR="00544334">
        <w:t xml:space="preserve"> </w:t>
      </w:r>
      <w:r w:rsidR="0023691C">
        <w:t xml:space="preserve">Such a situation is not consistent with establishing the environment necessary for facilitating the level of investment needed to meet the demand for </w:t>
      </w:r>
      <w:r w:rsidR="006A774F">
        <w:t xml:space="preserve">residential </w:t>
      </w:r>
      <w:r w:rsidR="0023691C">
        <w:t>care services from an</w:t>
      </w:r>
      <w:r w:rsidR="00F5117D">
        <w:t xml:space="preserve"> ageing</w:t>
      </w:r>
      <w:r w:rsidR="0023691C">
        <w:t xml:space="preserve"> population. </w:t>
      </w:r>
      <w:r>
        <w:t xml:space="preserve">A number of providers </w:t>
      </w:r>
      <w:r w:rsidR="00D40D37">
        <w:t xml:space="preserve">have advised they </w:t>
      </w:r>
      <w:r>
        <w:t xml:space="preserve">are investing in retirement living rather than residential aged care in order to diversify revenue sources. Some </w:t>
      </w:r>
      <w:r w:rsidR="00D40D37">
        <w:t xml:space="preserve">providers say they </w:t>
      </w:r>
      <w:r>
        <w:t xml:space="preserve">are concerned that </w:t>
      </w:r>
      <w:r w:rsidR="005733E4">
        <w:t xml:space="preserve">while the decline in margins is </w:t>
      </w:r>
      <w:r w:rsidR="00780493">
        <w:t xml:space="preserve">resulting in pressure </w:t>
      </w:r>
      <w:r w:rsidR="005733E4">
        <w:t xml:space="preserve">to reduce staff </w:t>
      </w:r>
      <w:r w:rsidR="00A20DB4">
        <w:t>costs, the</w:t>
      </w:r>
      <w:r>
        <w:t xml:space="preserve"> enhanced activity of the Quality and </w:t>
      </w:r>
      <w:r w:rsidR="00EA1FB1">
        <w:t>Safety</w:t>
      </w:r>
      <w:r>
        <w:t xml:space="preserve"> </w:t>
      </w:r>
      <w:r w:rsidR="00B6618A">
        <w:t>Commission is increasing cost</w:t>
      </w:r>
      <w:r w:rsidR="005733E4">
        <w:t xml:space="preserve"> pressures</w:t>
      </w:r>
      <w:r w:rsidR="00B6618A">
        <w:t xml:space="preserve"> and </w:t>
      </w:r>
      <w:r>
        <w:t xml:space="preserve">impacting on staff </w:t>
      </w:r>
      <w:r w:rsidR="0061030A">
        <w:t>morale</w:t>
      </w:r>
      <w:r w:rsidR="00B6618A">
        <w:t>.</w:t>
      </w:r>
      <w:r>
        <w:t xml:space="preserve"> </w:t>
      </w:r>
      <w:r w:rsidR="00D40D37">
        <w:t>Feedback from consultations suggest t</w:t>
      </w:r>
      <w:r>
        <w:t xml:space="preserve">here </w:t>
      </w:r>
      <w:r w:rsidR="00D40D37">
        <w:t>is an</w:t>
      </w:r>
      <w:r w:rsidR="00544334">
        <w:t xml:space="preserve"> </w:t>
      </w:r>
      <w:r>
        <w:t xml:space="preserve">increasing number of </w:t>
      </w:r>
      <w:r w:rsidR="00D35B39">
        <w:t xml:space="preserve">mainly </w:t>
      </w:r>
      <w:r>
        <w:t xml:space="preserve">small providers facing financial and quality problems </w:t>
      </w:r>
      <w:r w:rsidR="003134B0">
        <w:t xml:space="preserve">who </w:t>
      </w:r>
      <w:r>
        <w:t>are seeking to leave the industry.</w:t>
      </w:r>
    </w:p>
    <w:p w14:paraId="4CF04C70" w14:textId="77777777" w:rsidR="007F0886" w:rsidRDefault="007F0886" w:rsidP="00AE58BC">
      <w:pPr>
        <w:rPr>
          <w:sz w:val="24"/>
          <w:szCs w:val="24"/>
        </w:rPr>
      </w:pPr>
      <w:r w:rsidRPr="005A321F">
        <w:t xml:space="preserve">Home care providers are likely to continue to experience a challenging business environment as they adjust to the introduction of home care packages following consumers. </w:t>
      </w:r>
      <w:r w:rsidR="00D40D37" w:rsidRPr="005A321F">
        <w:t>The home care sector is in a period of transition.</w:t>
      </w:r>
      <w:r w:rsidR="00544334">
        <w:t xml:space="preserve"> </w:t>
      </w:r>
      <w:r w:rsidR="008C6D81" w:rsidRPr="005A321F">
        <w:t xml:space="preserve">Providers </w:t>
      </w:r>
      <w:r w:rsidR="00A20DB4" w:rsidRPr="005A321F">
        <w:t>have</w:t>
      </w:r>
      <w:r w:rsidR="008C6D81" w:rsidRPr="005A321F">
        <w:t xml:space="preserve"> to change their operations and processes to respond to consumer preferences and provide consumers with the information </w:t>
      </w:r>
      <w:r w:rsidR="005A7018" w:rsidRPr="005A321F">
        <w:t xml:space="preserve">they require to </w:t>
      </w:r>
      <w:r w:rsidR="008C6D81" w:rsidRPr="005A321F">
        <w:t xml:space="preserve">make informed </w:t>
      </w:r>
      <w:r w:rsidR="00A20DB4" w:rsidRPr="005A321F">
        <w:t>decisions</w:t>
      </w:r>
      <w:r w:rsidR="008C6D81" w:rsidRPr="005A321F">
        <w:t xml:space="preserve">. </w:t>
      </w:r>
      <w:r w:rsidRPr="005A321F">
        <w:t>The initial impact of th</w:t>
      </w:r>
      <w:r w:rsidR="008C6D81" w:rsidRPr="005A321F">
        <w:t>e</w:t>
      </w:r>
      <w:r w:rsidRPr="005A321F">
        <w:t xml:space="preserve"> reform has increased costs for providers while the increased competition sparked by the large increase in approved </w:t>
      </w:r>
      <w:r w:rsidR="006A774F">
        <w:t xml:space="preserve">home care </w:t>
      </w:r>
      <w:r w:rsidRPr="005A321F">
        <w:t>providers has put downward pressure on prices. The increase in the number of packages will increase potential consumers for all providers, although given the extent of the increase in the number of providers</w:t>
      </w:r>
      <w:r w:rsidR="00D35B39" w:rsidRPr="005A321F">
        <w:t>,</w:t>
      </w:r>
      <w:r w:rsidRPr="005A321F">
        <w:t xml:space="preserve"> it is likely that there will be a shake-out and a number of providers will leave the market. Established providers are concerned that new entrants are compromising quality in their </w:t>
      </w:r>
      <w:r w:rsidR="00EA1FB1" w:rsidRPr="005A321F">
        <w:t>efforts</w:t>
      </w:r>
      <w:r w:rsidR="00B6618A" w:rsidRPr="005A321F">
        <w:t xml:space="preserve"> to undercut more established providers</w:t>
      </w:r>
      <w:r>
        <w:rPr>
          <w:sz w:val="24"/>
          <w:szCs w:val="24"/>
        </w:rPr>
        <w:t>.</w:t>
      </w:r>
    </w:p>
    <w:p w14:paraId="61D4FA66" w14:textId="3CA562ED" w:rsidR="0023691C" w:rsidRDefault="0023691C" w:rsidP="00BD075A">
      <w:pPr>
        <w:pStyle w:val="Heading2"/>
      </w:pPr>
      <w:r w:rsidRPr="00BD075A">
        <w:t>Characteristics of a viable and sustainable aged care system</w:t>
      </w:r>
    </w:p>
    <w:p w14:paraId="42971351" w14:textId="242D6A95" w:rsidR="0023691C" w:rsidRDefault="0023691C" w:rsidP="00BD075A">
      <w:r>
        <w:t>To provide the level and quality of aged care services that older Australians require now and into the future, it is essential that the aged care sector is financially viable, stable, efficient, effective, responsive and sustainable. It is evident from developments in the sector over recent years that it faces many hurdles in achieving this objective.</w:t>
      </w:r>
      <w:r w:rsidR="003E6E20">
        <w:t xml:space="preserve"> </w:t>
      </w:r>
      <w:r w:rsidR="00B6618A">
        <w:t>From a funding perspective, some of t</w:t>
      </w:r>
      <w:r w:rsidR="003E6E20">
        <w:t>he characteristics of a viable and sustainable aged care sector include:</w:t>
      </w:r>
    </w:p>
    <w:p w14:paraId="38CCD25C" w14:textId="77777777" w:rsidR="003E6E20" w:rsidRDefault="00EF3963" w:rsidP="00AE58BC">
      <w:r w:rsidRPr="00BC7C67">
        <w:rPr>
          <w:b/>
          <w:i/>
        </w:rPr>
        <w:t xml:space="preserve">Confidence and </w:t>
      </w:r>
      <w:r w:rsidR="003E6E20" w:rsidRPr="00BC7C67">
        <w:rPr>
          <w:b/>
          <w:i/>
        </w:rPr>
        <w:t>Trust</w:t>
      </w:r>
      <w:r w:rsidR="003E6E20" w:rsidRPr="00BC7C67">
        <w:t xml:space="preserve">: </w:t>
      </w:r>
      <w:r w:rsidR="008C6D81" w:rsidRPr="00BC7C67">
        <w:t>An essential overall ingredient for a sustainable aged care industry is c</w:t>
      </w:r>
      <w:r w:rsidRPr="00BC7C67">
        <w:t>onfidence and</w:t>
      </w:r>
      <w:r>
        <w:rPr>
          <w:b/>
        </w:rPr>
        <w:t xml:space="preserve"> </w:t>
      </w:r>
      <w:r>
        <w:t>t</w:t>
      </w:r>
      <w:r w:rsidR="003E6E20">
        <w:t>r</w:t>
      </w:r>
      <w:r w:rsidR="007C51DC">
        <w:t>ust in the Government</w:t>
      </w:r>
      <w:r w:rsidR="00D35B39">
        <w:t>’</w:t>
      </w:r>
      <w:r w:rsidR="007C51DC">
        <w:t>s funding</w:t>
      </w:r>
      <w:r w:rsidR="003E6E20">
        <w:t xml:space="preserve"> and regulatory arrangements</w:t>
      </w:r>
      <w:r w:rsidR="00A20DB4">
        <w:t>.</w:t>
      </w:r>
      <w:r w:rsidR="003E6E20">
        <w:t xml:space="preserve"> While the Government is the main source of funding for aged care, the services are provided largely by non-</w:t>
      </w:r>
      <w:r w:rsidR="00FE4956">
        <w:t>g</w:t>
      </w:r>
      <w:r w:rsidR="003E6E20">
        <w:t xml:space="preserve">overnment providers. The extent to which these providers are prepared to </w:t>
      </w:r>
      <w:r w:rsidR="00A20DB4">
        <w:t>make</w:t>
      </w:r>
      <w:r w:rsidR="00186A84">
        <w:t xml:space="preserve"> long-term i</w:t>
      </w:r>
      <w:r w:rsidR="003E6E20">
        <w:t>nvest</w:t>
      </w:r>
      <w:r w:rsidR="00186A84">
        <w:t>ments</w:t>
      </w:r>
      <w:r w:rsidR="003E6E20">
        <w:t xml:space="preserve"> in the sector will depend on their confidence in the </w:t>
      </w:r>
      <w:r w:rsidR="007C51DC">
        <w:t>direction and consistency</w:t>
      </w:r>
      <w:r w:rsidR="003E6E20">
        <w:t xml:space="preserve"> of Government policies.</w:t>
      </w:r>
    </w:p>
    <w:p w14:paraId="24AED549" w14:textId="77777777" w:rsidR="003E6E20" w:rsidRDefault="00254555" w:rsidP="00AE58BC">
      <w:r w:rsidRPr="00BC7C67">
        <w:rPr>
          <w:b/>
          <w:i/>
        </w:rPr>
        <w:t>S</w:t>
      </w:r>
      <w:r w:rsidR="003E6E20" w:rsidRPr="00BC7C67">
        <w:rPr>
          <w:b/>
          <w:i/>
        </w:rPr>
        <w:t xml:space="preserve">table Government funding </w:t>
      </w:r>
      <w:r w:rsidRPr="00BC7C67">
        <w:rPr>
          <w:b/>
          <w:i/>
        </w:rPr>
        <w:t>arrangements</w:t>
      </w:r>
      <w:r w:rsidR="006A774F">
        <w:rPr>
          <w:b/>
          <w:i/>
        </w:rPr>
        <w:t>:</w:t>
      </w:r>
      <w:r w:rsidR="003E6E20">
        <w:rPr>
          <w:b/>
        </w:rPr>
        <w:t xml:space="preserve"> </w:t>
      </w:r>
      <w:r w:rsidR="003E6E20">
        <w:t xml:space="preserve">There needs to be a stable, </w:t>
      </w:r>
      <w:r w:rsidR="00EA1FB1">
        <w:t>efficient,</w:t>
      </w:r>
      <w:r w:rsidR="003E6E20">
        <w:t xml:space="preserve"> effective and </w:t>
      </w:r>
      <w:r w:rsidR="00EA1FB1">
        <w:t>equitable</w:t>
      </w:r>
      <w:r w:rsidR="00D35B39">
        <w:t xml:space="preserve"> </w:t>
      </w:r>
      <w:r>
        <w:t>residential</w:t>
      </w:r>
      <w:r w:rsidR="006A774F">
        <w:t xml:space="preserve"> care</w:t>
      </w:r>
      <w:r>
        <w:t xml:space="preserve"> </w:t>
      </w:r>
      <w:r w:rsidR="00E05A08">
        <w:t xml:space="preserve">funding tool which provides financial stability for both the residential aged care sector and the Government. The tool needs to be administratively simple, involve assessments </w:t>
      </w:r>
      <w:r w:rsidR="00E05A08">
        <w:lastRenderedPageBreak/>
        <w:t>external to the provider, ensure the equitable allocation of funds based o</w:t>
      </w:r>
      <w:r w:rsidR="007C51DC">
        <w:t xml:space="preserve">n the needs of residents, </w:t>
      </w:r>
      <w:r w:rsidR="00EF3963">
        <w:t xml:space="preserve">and </w:t>
      </w:r>
      <w:r w:rsidR="00A20DB4">
        <w:t>be based</w:t>
      </w:r>
      <w:r w:rsidR="00E05A08">
        <w:t xml:space="preserve"> on transparent studies to determine the cost of care</w:t>
      </w:r>
      <w:r w:rsidR="007C51DC">
        <w:t>.</w:t>
      </w:r>
      <w:r>
        <w:t xml:space="preserve"> Similarly, there needs to be stable and efficient fund</w:t>
      </w:r>
      <w:r w:rsidR="007D4F75">
        <w:t>ing arrangements for home care</w:t>
      </w:r>
      <w:r>
        <w:t xml:space="preserve"> th</w:t>
      </w:r>
      <w:r w:rsidR="007A0839">
        <w:t xml:space="preserve">at </w:t>
      </w:r>
      <w:r w:rsidR="007D4F75">
        <w:t>ensure</w:t>
      </w:r>
      <w:r w:rsidR="00EF3963">
        <w:t>s</w:t>
      </w:r>
      <w:r w:rsidR="007D4F75">
        <w:t xml:space="preserve"> targeted care </w:t>
      </w:r>
      <w:r w:rsidR="00E62569">
        <w:t>is available for</w:t>
      </w:r>
      <w:r>
        <w:t xml:space="preserve"> </w:t>
      </w:r>
      <w:r w:rsidR="007A0839">
        <w:t xml:space="preserve">all </w:t>
      </w:r>
      <w:r>
        <w:t xml:space="preserve">consumers. </w:t>
      </w:r>
      <w:r w:rsidR="00E62569">
        <w:t>The funding arrangements should also be based on transparent studies to determine the cost of care.</w:t>
      </w:r>
    </w:p>
    <w:p w14:paraId="62391E65" w14:textId="77777777" w:rsidR="00E05A08" w:rsidRDefault="00EA1FB1" w:rsidP="00AE58BC">
      <w:r w:rsidRPr="00BC7C67">
        <w:rPr>
          <w:b/>
          <w:i/>
        </w:rPr>
        <w:t>Appropriate</w:t>
      </w:r>
      <w:r w:rsidR="00E05A08" w:rsidRPr="00BC7C67">
        <w:rPr>
          <w:b/>
          <w:i/>
        </w:rPr>
        <w:t xml:space="preserve"> overall </w:t>
      </w:r>
      <w:r w:rsidR="007A0839" w:rsidRPr="00BC7C67">
        <w:rPr>
          <w:b/>
          <w:i/>
        </w:rPr>
        <w:t xml:space="preserve">Government </w:t>
      </w:r>
      <w:r w:rsidR="00E05A08" w:rsidRPr="00BC7C67">
        <w:rPr>
          <w:b/>
          <w:i/>
        </w:rPr>
        <w:t>funding</w:t>
      </w:r>
      <w:r w:rsidR="00E05A08">
        <w:rPr>
          <w:b/>
        </w:rPr>
        <w:t xml:space="preserve">: </w:t>
      </w:r>
      <w:r w:rsidR="007A0839">
        <w:t>E</w:t>
      </w:r>
      <w:r w:rsidR="00E05A08">
        <w:t xml:space="preserve">fficient </w:t>
      </w:r>
      <w:r w:rsidR="007A0839">
        <w:t xml:space="preserve">arrangements for allocating Government </w:t>
      </w:r>
      <w:r w:rsidR="00E05A08">
        <w:t xml:space="preserve">funding </w:t>
      </w:r>
      <w:r w:rsidR="007A0839">
        <w:t>to</w:t>
      </w:r>
      <w:r w:rsidR="00E62569">
        <w:t xml:space="preserve"> residential</w:t>
      </w:r>
      <w:r w:rsidR="007A0839">
        <w:t xml:space="preserve"> </w:t>
      </w:r>
      <w:r w:rsidR="006A774F">
        <w:t xml:space="preserve">care </w:t>
      </w:r>
      <w:r w:rsidR="00A20DB4">
        <w:t>providers and</w:t>
      </w:r>
      <w:r w:rsidR="00E62569">
        <w:t xml:space="preserve"> home care consumers</w:t>
      </w:r>
      <w:r w:rsidR="00E05A08">
        <w:t xml:space="preserve"> </w:t>
      </w:r>
      <w:r w:rsidR="00E62569">
        <w:t>are</w:t>
      </w:r>
      <w:r w:rsidR="00E05A08">
        <w:t xml:space="preserve"> necessary, but it is important that the overall funding pool for the aged care system is adequate and sustainable.</w:t>
      </w:r>
      <w:r w:rsidR="00544334">
        <w:t xml:space="preserve"> </w:t>
      </w:r>
      <w:r w:rsidR="00E05A08">
        <w:t xml:space="preserve">The funding has to be sufficient to meet the level and quality of aged care needs of </w:t>
      </w:r>
      <w:r w:rsidR="006E3C09">
        <w:t xml:space="preserve">consumers </w:t>
      </w:r>
      <w:r w:rsidR="00A20DB4">
        <w:t>and meet</w:t>
      </w:r>
      <w:r w:rsidR="006E3C09">
        <w:t xml:space="preserve"> community expectations,</w:t>
      </w:r>
      <w:r w:rsidR="00E05A08">
        <w:t xml:space="preserve"> and in doing so provide the incentive for providers to invest in the industry. The level of funding provided by the Government has to support the delivery of quality aged care </w:t>
      </w:r>
      <w:r w:rsidR="00A20DB4">
        <w:t>services, but</w:t>
      </w:r>
      <w:r w:rsidR="00E05A08">
        <w:t xml:space="preserve"> it should not support inefficient or poorly managed providers </w:t>
      </w:r>
      <w:r w:rsidR="006E3C09">
        <w:t>or</w:t>
      </w:r>
      <w:r w:rsidR="00E05A08">
        <w:t xml:space="preserve"> provide higher than necessary funding.</w:t>
      </w:r>
    </w:p>
    <w:p w14:paraId="444FF078" w14:textId="77777777" w:rsidR="00E05A08" w:rsidRDefault="00E05A08" w:rsidP="00E05A08">
      <w:r w:rsidRPr="00BC7C67">
        <w:rPr>
          <w:b/>
          <w:i/>
        </w:rPr>
        <w:t>Funding that is flexible and adaptable to changing demographics and demands:</w:t>
      </w:r>
      <w:r>
        <w:rPr>
          <w:b/>
        </w:rPr>
        <w:t xml:space="preserve"> </w:t>
      </w:r>
      <w:r>
        <w:t xml:space="preserve">The demographics of the Australian population </w:t>
      </w:r>
      <w:r w:rsidR="007C51DC">
        <w:t>are such</w:t>
      </w:r>
      <w:r>
        <w:t xml:space="preserve"> that there will be increasing pressure on funding for aged care, both residential and home care. Demand </w:t>
      </w:r>
      <w:r w:rsidR="0063366F">
        <w:t>and consumer preference</w:t>
      </w:r>
      <w:r w:rsidR="007C51DC">
        <w:t xml:space="preserve"> for particular services </w:t>
      </w:r>
      <w:r>
        <w:t xml:space="preserve">will </w:t>
      </w:r>
      <w:r w:rsidR="007C51DC">
        <w:t xml:space="preserve">likely </w:t>
      </w:r>
      <w:r>
        <w:t>change and there will be innovations in the way services are delivered</w:t>
      </w:r>
      <w:r w:rsidR="00544334">
        <w:t xml:space="preserve"> </w:t>
      </w:r>
      <w:r w:rsidR="007C51DC">
        <w:t>along with the</w:t>
      </w:r>
      <w:r>
        <w:t xml:space="preserve"> interaction between </w:t>
      </w:r>
      <w:r w:rsidR="006E3C09">
        <w:t>home care and residential care and with</w:t>
      </w:r>
      <w:r>
        <w:t xml:space="preserve"> other sectors, such as retirement living and hospitals. The funding </w:t>
      </w:r>
      <w:r w:rsidR="0061030A">
        <w:t>arrangements have</w:t>
      </w:r>
      <w:r>
        <w:t xml:space="preserve"> to be responsive to these changes and should not deter but rather encourage innovation.</w:t>
      </w:r>
    </w:p>
    <w:p w14:paraId="49C8F506" w14:textId="77777777" w:rsidR="00E05A08" w:rsidRDefault="00E05A08" w:rsidP="00E05A08">
      <w:r w:rsidRPr="00BC7C67">
        <w:rPr>
          <w:b/>
          <w:i/>
        </w:rPr>
        <w:t>Equitable con</w:t>
      </w:r>
      <w:r w:rsidR="00DF31DF" w:rsidRPr="00BC7C67">
        <w:rPr>
          <w:b/>
          <w:i/>
        </w:rPr>
        <w:t>tribution to costs by consumers</w:t>
      </w:r>
      <w:r w:rsidR="00DF31DF">
        <w:rPr>
          <w:b/>
        </w:rPr>
        <w:t xml:space="preserve">: </w:t>
      </w:r>
      <w:r>
        <w:t>Sustainable aged care funding arrangements will require that consumers who can afford to do so mak</w:t>
      </w:r>
      <w:r w:rsidR="00EF3963">
        <w:t>e</w:t>
      </w:r>
      <w:r>
        <w:t xml:space="preserve"> a greater financial contribution towards their residential everyday living expenses and care costs, compl</w:t>
      </w:r>
      <w:r w:rsidR="000D7092">
        <w:t>e</w:t>
      </w:r>
      <w:r>
        <w:t>mented by a greater choice of higher quality services</w:t>
      </w:r>
      <w:r w:rsidR="000D7092">
        <w:t xml:space="preserve"> and service types</w:t>
      </w:r>
      <w:r>
        <w:t>.</w:t>
      </w:r>
      <w:r w:rsidR="00DF31DF">
        <w:t xml:space="preserve"> This would involve stronger means testing arrangements for care fees and uncapping the basic daily </w:t>
      </w:r>
      <w:r w:rsidR="00EF3963">
        <w:t xml:space="preserve">fee in </w:t>
      </w:r>
      <w:r w:rsidR="00A20DB4">
        <w:t>residential care</w:t>
      </w:r>
      <w:r w:rsidR="00DF31DF">
        <w:t xml:space="preserve">, which </w:t>
      </w:r>
      <w:r w:rsidR="00EF3963">
        <w:t xml:space="preserve">may reduce the reliance </w:t>
      </w:r>
      <w:r w:rsidR="00A20DB4">
        <w:t>on charging</w:t>
      </w:r>
      <w:r w:rsidR="00DF31DF">
        <w:t xml:space="preserve"> fees for additional services</w:t>
      </w:r>
      <w:r w:rsidR="000D7092">
        <w:t>.</w:t>
      </w:r>
      <w:r w:rsidR="00DF31DF">
        <w:t xml:space="preserve"> Home care consumers should be required to pay the income tested care fee. </w:t>
      </w:r>
    </w:p>
    <w:p w14:paraId="3D6CC152" w14:textId="77777777" w:rsidR="00DF31DF" w:rsidRDefault="00DF31DF" w:rsidP="00DF31DF">
      <w:r w:rsidRPr="00BC7C67">
        <w:rPr>
          <w:b/>
          <w:i/>
        </w:rPr>
        <w:t>Effective prudential oversight</w:t>
      </w:r>
      <w:r>
        <w:rPr>
          <w:b/>
        </w:rPr>
        <w:t xml:space="preserve">: </w:t>
      </w:r>
      <w:r>
        <w:t>Effective prudential oversight of the aged care sector is necessary given that the range of current and prospective reforms and developments are likely to be disruptive to a number of providers. An increasing number of marginal providers will likely need to sell or merge with other providers. Such a trend will lead to a more efficient and resilient aged care sector, however the adjustment should be orderly and any impact on consumers should be minimised.</w:t>
      </w:r>
      <w:r w:rsidR="00C512E0">
        <w:t xml:space="preserve"> This will require more proactive prudential oversight of the sector and polices to minimise disruptive adjustments.</w:t>
      </w:r>
    </w:p>
    <w:p w14:paraId="10412DF9" w14:textId="77777777" w:rsidR="00C512E0" w:rsidRPr="00E05A08" w:rsidRDefault="00C512E0" w:rsidP="00C512E0">
      <w:r w:rsidRPr="00BC7C67">
        <w:rPr>
          <w:b/>
          <w:i/>
        </w:rPr>
        <w:t>Sound management and governance arrangements</w:t>
      </w:r>
      <w:r>
        <w:rPr>
          <w:b/>
        </w:rPr>
        <w:t>:</w:t>
      </w:r>
      <w:r w:rsidR="00544334">
        <w:rPr>
          <w:b/>
        </w:rPr>
        <w:t xml:space="preserve"> </w:t>
      </w:r>
      <w:r>
        <w:t xml:space="preserve">A sustainable aged care system will require well managed aged care providers with sound governance arrangements. Providers need to look at their internal operations to ensure they are delivering care in the most efficient and effective </w:t>
      </w:r>
      <w:r w:rsidR="00354C4A">
        <w:t>way. There</w:t>
      </w:r>
      <w:r w:rsidR="006F2551">
        <w:t xml:space="preserve"> will need to be adequate sources of financing to support the level of investment required to meet current and future demand for aged care services. </w:t>
      </w:r>
      <w:r>
        <w:t xml:space="preserve">Under the current funding </w:t>
      </w:r>
      <w:r w:rsidR="006F2551">
        <w:t>and financing arrangements</w:t>
      </w:r>
      <w:r w:rsidR="00544334">
        <w:t xml:space="preserve"> </w:t>
      </w:r>
      <w:r>
        <w:t>there are very diverse financial outcomes, with the top quartile of providers in terms of profit continuing to achieve significantly better results than the lowest quartile. The very wide variation in financial performance across the sector suggests there is scope for many providers to pursue greater efficiencies and improve their results.</w:t>
      </w:r>
    </w:p>
    <w:p w14:paraId="2F8D725D" w14:textId="77777777" w:rsidR="00DA09DF" w:rsidRPr="004E56D8" w:rsidRDefault="00DA09DF" w:rsidP="006A1809">
      <w:pPr>
        <w:spacing w:after="0"/>
        <w:rPr>
          <w:sz w:val="28"/>
          <w:szCs w:val="28"/>
        </w:rPr>
      </w:pPr>
      <w:r w:rsidRPr="004E56D8">
        <w:rPr>
          <w:sz w:val="28"/>
          <w:szCs w:val="28"/>
        </w:rPr>
        <w:br w:type="page"/>
      </w:r>
    </w:p>
    <w:p w14:paraId="3D6A4442" w14:textId="77777777" w:rsidR="00F83B3D" w:rsidRPr="00E03606" w:rsidRDefault="00F83B3D" w:rsidP="00E03606">
      <w:pPr>
        <w:pStyle w:val="Heading1Numbered"/>
      </w:pPr>
      <w:r w:rsidRPr="00E03606">
        <w:lastRenderedPageBreak/>
        <w:t>Introduction</w:t>
      </w:r>
    </w:p>
    <w:p w14:paraId="30C95E43" w14:textId="341C84BD" w:rsidR="00F83B3D" w:rsidRDefault="007D0208">
      <w:r>
        <w:t xml:space="preserve">This submission by the Aged Care Financing Authority (ACFA) to the </w:t>
      </w:r>
      <w:r w:rsidR="00516144">
        <w:t xml:space="preserve">Royal Commission into </w:t>
      </w:r>
      <w:r>
        <w:t xml:space="preserve">Aged Care </w:t>
      </w:r>
      <w:r w:rsidR="00516144">
        <w:t>Quality and Safety</w:t>
      </w:r>
      <w:r>
        <w:t xml:space="preserve"> provides background on ACFA, its output and methodology, and comments on the contribution </w:t>
      </w:r>
      <w:r w:rsidR="00BC7C67">
        <w:t>ACFA</w:t>
      </w:r>
      <w:r>
        <w:t xml:space="preserve"> can make towards achieving a sustainable aged care system. The submission provides an overview of the financial performance of </w:t>
      </w:r>
      <w:r w:rsidR="00121F93">
        <w:t xml:space="preserve">residential and home care </w:t>
      </w:r>
      <w:r>
        <w:t xml:space="preserve">providers and the policy changes that have impacted on this performance. It also comments on some of the issues surrounding the outlook for the financial performance of providers as well as the future demand for aged care services. It concludes by summarising the funding and financing </w:t>
      </w:r>
      <w:r w:rsidR="00DF186C">
        <w:t xml:space="preserve">challenges in the sector and against this background </w:t>
      </w:r>
      <w:r w:rsidR="0061030A">
        <w:t>identifies some</w:t>
      </w:r>
      <w:r w:rsidR="007C51DC">
        <w:t xml:space="preserve"> of </w:t>
      </w:r>
      <w:r w:rsidR="00DF186C">
        <w:t>the characteristics of a viable and sustainable aged care sector.</w:t>
      </w:r>
    </w:p>
    <w:p w14:paraId="3831F25A" w14:textId="77777777" w:rsidR="00E22E4D" w:rsidRDefault="00E22E4D">
      <w:pPr>
        <w:rPr>
          <w:b/>
          <w:sz w:val="28"/>
          <w:szCs w:val="28"/>
        </w:rPr>
      </w:pPr>
    </w:p>
    <w:p w14:paraId="6F2B4181" w14:textId="77777777" w:rsidR="00ED1FFB" w:rsidRPr="00CE1DD4" w:rsidRDefault="00050E28" w:rsidP="00E03606">
      <w:pPr>
        <w:pStyle w:val="Heading1Numbered"/>
      </w:pPr>
      <w:r w:rsidRPr="00CE1DD4">
        <w:t>Background on ACFA</w:t>
      </w:r>
    </w:p>
    <w:p w14:paraId="697CF7C2" w14:textId="77777777" w:rsidR="00050E28" w:rsidRDefault="00050E28" w:rsidP="00050E28">
      <w:r>
        <w:t xml:space="preserve">ACFA is a statutory committee established under </w:t>
      </w:r>
      <w:r w:rsidR="008C2F0C">
        <w:t xml:space="preserve">the </w:t>
      </w:r>
      <w:r w:rsidR="008C2F0C" w:rsidRPr="00551327">
        <w:rPr>
          <w:i/>
        </w:rPr>
        <w:t>Aged Care Act</w:t>
      </w:r>
      <w:r w:rsidR="00186A84" w:rsidRPr="00551327">
        <w:rPr>
          <w:i/>
        </w:rPr>
        <w:t xml:space="preserve"> 1997</w:t>
      </w:r>
      <w:r w:rsidR="008C2F0C">
        <w:t>.</w:t>
      </w:r>
      <w:r>
        <w:t xml:space="preserve"> </w:t>
      </w:r>
      <w:r w:rsidR="00AA2B4B">
        <w:t>Its role</w:t>
      </w:r>
      <w:r>
        <w:t xml:space="preserve"> is to provide independent, transparent advice to the Australian Government on funding and financing issues in the aged care sector.</w:t>
      </w:r>
      <w:r w:rsidR="00544334">
        <w:t xml:space="preserve"> </w:t>
      </w:r>
      <w:r>
        <w:t>ACFA does not have a regulatory or administrative role.</w:t>
      </w:r>
      <w:r w:rsidR="00544334">
        <w:t xml:space="preserve"> </w:t>
      </w:r>
      <w:r>
        <w:t xml:space="preserve">It is </w:t>
      </w:r>
      <w:r w:rsidR="00AA2B4B">
        <w:t>an advisory</w:t>
      </w:r>
      <w:r>
        <w:t xml:space="preserve"> committee that looks at </w:t>
      </w:r>
      <w:r w:rsidR="0061030A">
        <w:t>issues from</w:t>
      </w:r>
      <w:r>
        <w:t xml:space="preserve"> a whole of sector strategic perspective.</w:t>
      </w:r>
    </w:p>
    <w:p w14:paraId="7A39BE17" w14:textId="41000F72" w:rsidR="00516144" w:rsidRDefault="00050E28" w:rsidP="006B62AF">
      <w:pPr>
        <w:spacing w:after="0"/>
      </w:pPr>
      <w:r>
        <w:t xml:space="preserve">ACFA was </w:t>
      </w:r>
      <w:r w:rsidR="00AA2B4B">
        <w:t>established in</w:t>
      </w:r>
      <w:r>
        <w:t xml:space="preserve"> 2012 with its responsibilities and operation</w:t>
      </w:r>
      <w:r w:rsidR="008C2F0C">
        <w:t>s</w:t>
      </w:r>
      <w:r>
        <w:t xml:space="preserve"> guided by the </w:t>
      </w:r>
      <w:r w:rsidRPr="00551327">
        <w:rPr>
          <w:i/>
        </w:rPr>
        <w:t xml:space="preserve">Committee Principles </w:t>
      </w:r>
      <w:r w:rsidR="00551327" w:rsidRPr="00551327">
        <w:rPr>
          <w:i/>
        </w:rPr>
        <w:t>2014</w:t>
      </w:r>
      <w:r w:rsidR="00551327">
        <w:t xml:space="preserve"> </w:t>
      </w:r>
      <w:r>
        <w:t xml:space="preserve">made under the </w:t>
      </w:r>
      <w:r w:rsidRPr="00551327">
        <w:rPr>
          <w:i/>
        </w:rPr>
        <w:t>Aged Care Act</w:t>
      </w:r>
      <w:r w:rsidR="00516144" w:rsidRPr="00551327">
        <w:rPr>
          <w:i/>
        </w:rPr>
        <w:t xml:space="preserve"> 1997</w:t>
      </w:r>
      <w:r w:rsidR="005A321F">
        <w:t xml:space="preserve">. </w:t>
      </w:r>
      <w:r>
        <w:t xml:space="preserve">All ACFA reports to Government are required to be published within 28 days of being provided to Government and are available on the ACFA website at </w:t>
      </w:r>
      <w:hyperlink w:history="1"/>
      <w:hyperlink r:id="rId8" w:tooltip="Link to ACFA's webpage" w:history="1">
        <w:r w:rsidR="00516144">
          <w:rPr>
            <w:rStyle w:val="Hyperlink"/>
          </w:rPr>
          <w:t>https://agedcare.health.gov.au/aged-care-reform/aged-care-financing-authority</w:t>
        </w:r>
      </w:hyperlink>
      <w:r w:rsidR="006B62AF">
        <w:t xml:space="preserve">. A full list of all completed reports published by ACFA is </w:t>
      </w:r>
      <w:r w:rsidR="00822013">
        <w:t xml:space="preserve">at </w:t>
      </w:r>
      <w:r w:rsidR="006B62AF">
        <w:t>Appendix B.</w:t>
      </w:r>
    </w:p>
    <w:p w14:paraId="143E78C9" w14:textId="77777777" w:rsidR="00394C0D" w:rsidRDefault="00394C0D" w:rsidP="006B62AF">
      <w:pPr>
        <w:spacing w:before="240"/>
      </w:pPr>
      <w:r>
        <w:t xml:space="preserve">As outlined </w:t>
      </w:r>
      <w:r w:rsidR="00AA2B4B">
        <w:t>in the</w:t>
      </w:r>
      <w:r w:rsidR="00050E28">
        <w:t xml:space="preserve"> </w:t>
      </w:r>
      <w:r w:rsidR="00050E28" w:rsidRPr="00822013">
        <w:rPr>
          <w:i/>
        </w:rPr>
        <w:t>Committee Principles</w:t>
      </w:r>
      <w:r w:rsidR="00551327" w:rsidRPr="00822013">
        <w:rPr>
          <w:i/>
        </w:rPr>
        <w:t xml:space="preserve"> 2014</w:t>
      </w:r>
      <w:r w:rsidR="00050E28">
        <w:t>, the functions of ACFA</w:t>
      </w:r>
      <w:r>
        <w:t xml:space="preserve"> are: </w:t>
      </w:r>
    </w:p>
    <w:p w14:paraId="3BAC7762" w14:textId="77777777" w:rsidR="00394C0D" w:rsidRDefault="00394C0D" w:rsidP="00231403">
      <w:pPr>
        <w:pStyle w:val="ListParagraph"/>
        <w:numPr>
          <w:ilvl w:val="0"/>
          <w:numId w:val="1"/>
        </w:numPr>
      </w:pPr>
      <w:r>
        <w:t>at the request of the Minister, provide advice in relation to any specific issues relating to the funding and financing of aged care services;</w:t>
      </w:r>
      <w:r w:rsidR="00544334">
        <w:t xml:space="preserve"> </w:t>
      </w:r>
    </w:p>
    <w:p w14:paraId="626CC590" w14:textId="77777777" w:rsidR="00231403" w:rsidRDefault="00394C0D" w:rsidP="00231403">
      <w:pPr>
        <w:pStyle w:val="ListParagraph"/>
        <w:numPr>
          <w:ilvl w:val="0"/>
          <w:numId w:val="1"/>
        </w:numPr>
      </w:pPr>
      <w:r>
        <w:t>provide advice to the Minister by 30 June each year on the impact of funding and financing arrangements on: the viabilit</w:t>
      </w:r>
      <w:r w:rsidR="00231403">
        <w:t>y and sustainability of the aged</w:t>
      </w:r>
      <w:r>
        <w:t xml:space="preserve"> care sector, the ability of </w:t>
      </w:r>
      <w:r w:rsidR="0063366F">
        <w:t>consumers</w:t>
      </w:r>
      <w:r w:rsidR="00544334">
        <w:t xml:space="preserve"> </w:t>
      </w:r>
      <w:r>
        <w:t>to access quality aged care</w:t>
      </w:r>
      <w:r w:rsidR="00525C6E">
        <w:t>,</w:t>
      </w:r>
      <w:r>
        <w:t xml:space="preserve"> and the aged care </w:t>
      </w:r>
      <w:r w:rsidR="00951623">
        <w:t>workforce; and</w:t>
      </w:r>
      <w:r w:rsidR="00231403">
        <w:t xml:space="preserve"> </w:t>
      </w:r>
    </w:p>
    <w:p w14:paraId="01E412C9" w14:textId="77777777" w:rsidR="00050E28" w:rsidRDefault="00951623" w:rsidP="00231403">
      <w:pPr>
        <w:pStyle w:val="ListParagraph"/>
        <w:numPr>
          <w:ilvl w:val="0"/>
          <w:numId w:val="1"/>
        </w:numPr>
      </w:pPr>
      <w:r>
        <w:t>t</w:t>
      </w:r>
      <w:r w:rsidR="00231403">
        <w:t xml:space="preserve">o consider other matters referred </w:t>
      </w:r>
      <w:r w:rsidR="00516144">
        <w:t xml:space="preserve">to the Authority </w:t>
      </w:r>
      <w:r w:rsidR="00231403">
        <w:t>by the Minister</w:t>
      </w:r>
      <w:r w:rsidR="00AA2B4B">
        <w:t>.</w:t>
      </w:r>
      <w:r w:rsidR="00050E28">
        <w:t xml:space="preserve"> </w:t>
      </w:r>
    </w:p>
    <w:p w14:paraId="25B16AF5" w14:textId="77777777" w:rsidR="00050E28" w:rsidRDefault="00050E28" w:rsidP="00050E28">
      <w:r>
        <w:t xml:space="preserve">ACFA is required to consult broadly on all </w:t>
      </w:r>
      <w:r w:rsidR="006B62AF">
        <w:t xml:space="preserve">of </w:t>
      </w:r>
      <w:r>
        <w:t>its reports and has in place a rolling program of meetings and discussions with key stakeholders in the sector, including provider and consumer groups.</w:t>
      </w:r>
      <w:r w:rsidR="00544334">
        <w:t xml:space="preserve"> </w:t>
      </w:r>
      <w:r>
        <w:t xml:space="preserve">It </w:t>
      </w:r>
      <w:r w:rsidR="00A20DB4">
        <w:t>holds roundtables</w:t>
      </w:r>
      <w:r>
        <w:t xml:space="preserve"> after its annual reports are released and participates in industry conferences.</w:t>
      </w:r>
    </w:p>
    <w:p w14:paraId="22610CDA" w14:textId="77777777" w:rsidR="00DF186C" w:rsidRDefault="00050E28" w:rsidP="00050E28">
      <w:r>
        <w:t>ACFA</w:t>
      </w:r>
      <w:r w:rsidR="00231403">
        <w:t xml:space="preserve"> members are appoint</w:t>
      </w:r>
      <w:r w:rsidR="00FA7F0F">
        <w:t>ed b</w:t>
      </w:r>
      <w:r w:rsidR="006B62AF">
        <w:t>y the Minister responsible for Aged C</w:t>
      </w:r>
      <w:r w:rsidR="00FA7F0F">
        <w:t>are</w:t>
      </w:r>
      <w:r w:rsidR="00231403">
        <w:t xml:space="preserve">. </w:t>
      </w:r>
      <w:r w:rsidR="00BA055B">
        <w:t xml:space="preserve">ACFA is led by an independent </w:t>
      </w:r>
      <w:r w:rsidR="00AA2B4B">
        <w:t>Chair and</w:t>
      </w:r>
      <w:r w:rsidR="00BA055B">
        <w:t xml:space="preserve"> Deputy Chair, complemented by </w:t>
      </w:r>
      <w:r w:rsidR="00516144">
        <w:t>seven</w:t>
      </w:r>
      <w:r w:rsidR="00BA055B">
        <w:t xml:space="preserve"> members with a mixture of aged care, consumer </w:t>
      </w:r>
      <w:r w:rsidR="00AA2B4B">
        <w:t>and finance</w:t>
      </w:r>
      <w:r w:rsidR="00BA055B">
        <w:t xml:space="preserve"> sector expertise. The ACFA membership and structure are provided in Appendix A. There are also three ex-officio Australian Government representatives on ACFA</w:t>
      </w:r>
      <w:r w:rsidR="006B62AF">
        <w:t>.</w:t>
      </w:r>
    </w:p>
    <w:p w14:paraId="0036DB7E" w14:textId="77777777" w:rsidR="00050E28" w:rsidRDefault="00DF186C" w:rsidP="00050E28">
      <w:r>
        <w:br w:type="page"/>
      </w:r>
    </w:p>
    <w:p w14:paraId="538F3183" w14:textId="3A0F10CA" w:rsidR="00231403" w:rsidRPr="00CE1DD4" w:rsidRDefault="00231403" w:rsidP="00E03606">
      <w:pPr>
        <w:pStyle w:val="Heading1Numbered"/>
      </w:pPr>
      <w:r w:rsidRPr="00CE1DD4">
        <w:lastRenderedPageBreak/>
        <w:t xml:space="preserve">ACFA’s </w:t>
      </w:r>
      <w:r w:rsidR="00822013">
        <w:t>o</w:t>
      </w:r>
      <w:r w:rsidRPr="00CE1DD4">
        <w:t>utput</w:t>
      </w:r>
      <w:r w:rsidR="004F63A7" w:rsidRPr="00CE1DD4">
        <w:t xml:space="preserve"> and </w:t>
      </w:r>
      <w:r w:rsidR="00822013">
        <w:t>m</w:t>
      </w:r>
      <w:r w:rsidR="004F63A7" w:rsidRPr="00CE1DD4">
        <w:t>ethodology</w:t>
      </w:r>
    </w:p>
    <w:p w14:paraId="376B4609" w14:textId="77777777" w:rsidR="006778C9" w:rsidRPr="006778C9" w:rsidRDefault="006778C9" w:rsidP="00E03606">
      <w:pPr>
        <w:pStyle w:val="Heading2"/>
      </w:pPr>
      <w:r>
        <w:t xml:space="preserve">Annual </w:t>
      </w:r>
      <w:r w:rsidR="006B62AF">
        <w:t>r</w:t>
      </w:r>
      <w:r>
        <w:t>eports</w:t>
      </w:r>
    </w:p>
    <w:p w14:paraId="296A8829" w14:textId="77777777" w:rsidR="001205BF" w:rsidRDefault="00FA7F0F" w:rsidP="00050E28">
      <w:r>
        <w:t xml:space="preserve">Each year ACFA provides the Minister responsible for aged care with a report on the funding and financing of the aged care sector in accordance with the </w:t>
      </w:r>
      <w:r w:rsidR="00287C28">
        <w:t xml:space="preserve">requirements of the </w:t>
      </w:r>
      <w:r w:rsidRPr="00551327">
        <w:rPr>
          <w:i/>
        </w:rPr>
        <w:t>Committee Principles</w:t>
      </w:r>
      <w:r w:rsidR="00551327" w:rsidRPr="00551327">
        <w:rPr>
          <w:i/>
        </w:rPr>
        <w:t xml:space="preserve"> 2014</w:t>
      </w:r>
      <w:r>
        <w:t xml:space="preserve">. </w:t>
      </w:r>
      <w:r w:rsidR="00951623">
        <w:t xml:space="preserve">ACFA’s 2019 annual report will be the </w:t>
      </w:r>
      <w:r w:rsidR="00C86C3D">
        <w:t>seventh it has</w:t>
      </w:r>
      <w:r>
        <w:t xml:space="preserve"> provided to the Minister, and </w:t>
      </w:r>
      <w:r w:rsidR="00AA2B4B">
        <w:t>published</w:t>
      </w:r>
      <w:r w:rsidR="00C86C3D">
        <w:t>, since</w:t>
      </w:r>
      <w:r w:rsidR="001205BF">
        <w:t xml:space="preserve"> it was established.</w:t>
      </w:r>
    </w:p>
    <w:p w14:paraId="76F64BE8" w14:textId="77777777" w:rsidR="00231403" w:rsidRDefault="00FA7F0F" w:rsidP="00050E28">
      <w:r>
        <w:t xml:space="preserve">ACFA’s annual reports are based on data supplied </w:t>
      </w:r>
      <w:r w:rsidR="00AA2B4B">
        <w:t>by aged</w:t>
      </w:r>
      <w:r w:rsidR="00287C28">
        <w:t xml:space="preserve"> care providers to the Department of Health</w:t>
      </w:r>
      <w:r w:rsidR="00004186">
        <w:t xml:space="preserve">, </w:t>
      </w:r>
      <w:r w:rsidR="00AA2B4B">
        <w:t>primarily in</w:t>
      </w:r>
      <w:r w:rsidR="00287C28">
        <w:t xml:space="preserve"> their Aged Care Financial Reports. This is the most </w:t>
      </w:r>
      <w:r w:rsidR="00A20DB4">
        <w:t xml:space="preserve">comprehensive </w:t>
      </w:r>
      <w:r w:rsidR="006B62AF">
        <w:t xml:space="preserve">financial </w:t>
      </w:r>
      <w:r w:rsidR="00A20DB4">
        <w:t>data</w:t>
      </w:r>
      <w:r w:rsidR="00287C28">
        <w:t xml:space="preserve"> available on the aged care sector</w:t>
      </w:r>
      <w:r w:rsidR="001205BF">
        <w:t xml:space="preserve"> and provides a unique basis to analyse the overall financial position of aged care providers</w:t>
      </w:r>
      <w:r w:rsidR="00210901">
        <w:t xml:space="preserve">. </w:t>
      </w:r>
      <w:r w:rsidR="00004186">
        <w:t>ACFA only sees the aggregate data collected by the Department of Health and does not have access to data provided by individual providers</w:t>
      </w:r>
      <w:r w:rsidR="0063366F">
        <w:t>, nor data at the facility level</w:t>
      </w:r>
      <w:r w:rsidR="00004186">
        <w:t xml:space="preserve">. </w:t>
      </w:r>
      <w:r w:rsidR="00210901">
        <w:t>Most providers repo</w:t>
      </w:r>
      <w:r w:rsidR="004F63A7">
        <w:t xml:space="preserve">rt on the financial </w:t>
      </w:r>
      <w:r w:rsidR="00AA2B4B">
        <w:t>year ended</w:t>
      </w:r>
      <w:r w:rsidR="00210901">
        <w:t xml:space="preserve"> 30 June </w:t>
      </w:r>
      <w:r w:rsidR="00D75999">
        <w:t xml:space="preserve">and submit the </w:t>
      </w:r>
      <w:r w:rsidR="00AA2B4B">
        <w:t>required</w:t>
      </w:r>
      <w:r w:rsidR="00D75999">
        <w:t xml:space="preserve"> data by 31 October of the same year.</w:t>
      </w:r>
      <w:r w:rsidR="00544334">
        <w:t xml:space="preserve"> </w:t>
      </w:r>
      <w:r w:rsidR="00210901">
        <w:t xml:space="preserve">However </w:t>
      </w:r>
      <w:r w:rsidR="00CB785C">
        <w:t xml:space="preserve">some </w:t>
      </w:r>
      <w:r w:rsidR="00210901">
        <w:t xml:space="preserve">providers who report on an end December </w:t>
      </w:r>
      <w:r w:rsidR="00142019">
        <w:t>basis submit</w:t>
      </w:r>
      <w:r w:rsidR="00210901">
        <w:t xml:space="preserve"> their requested data </w:t>
      </w:r>
      <w:r w:rsidR="00D75999">
        <w:t xml:space="preserve">by 30 April the following year. The result is that ACFA’s </w:t>
      </w:r>
      <w:r w:rsidR="00516144">
        <w:t>a</w:t>
      </w:r>
      <w:r w:rsidR="00D75999">
        <w:t xml:space="preserve">nnual </w:t>
      </w:r>
      <w:r w:rsidR="00516144">
        <w:t>r</w:t>
      </w:r>
      <w:r w:rsidR="00D75999">
        <w:t xml:space="preserve">eports are based on data which, in the majority of </w:t>
      </w:r>
      <w:r w:rsidR="00AA2B4B">
        <w:t>cases,</w:t>
      </w:r>
      <w:r w:rsidR="00D75999">
        <w:t xml:space="preserve"> is over a year old a</w:t>
      </w:r>
      <w:r w:rsidR="004F63A7">
        <w:t xml:space="preserve">t the time of publication. </w:t>
      </w:r>
    </w:p>
    <w:p w14:paraId="61CAFA44" w14:textId="77777777" w:rsidR="004F63A7" w:rsidRDefault="004F63A7" w:rsidP="00050E28">
      <w:r>
        <w:t xml:space="preserve">In ACFA’s 2018 </w:t>
      </w:r>
      <w:r w:rsidR="00516144">
        <w:t>a</w:t>
      </w:r>
      <w:r>
        <w:t xml:space="preserve">nnual </w:t>
      </w:r>
      <w:r w:rsidR="00516144">
        <w:t>r</w:t>
      </w:r>
      <w:r>
        <w:t xml:space="preserve">eport, which was based on 2016-17 data, it was noted that a number of </w:t>
      </w:r>
      <w:r w:rsidR="006778C9">
        <w:t xml:space="preserve">significant </w:t>
      </w:r>
      <w:r>
        <w:t>policy changes, particularly th</w:t>
      </w:r>
      <w:r w:rsidR="00C86C3D">
        <w:t>e</w:t>
      </w:r>
      <w:r>
        <w:t xml:space="preserve"> changes to ACFI that took effect in 2016 and 2017, were only partially im</w:t>
      </w:r>
      <w:r w:rsidR="006778C9">
        <w:t xml:space="preserve">pacting on the 2016-17 financial results of providers. </w:t>
      </w:r>
      <w:r w:rsidR="00C86C3D">
        <w:t>However</w:t>
      </w:r>
      <w:r w:rsidR="006778C9">
        <w:t>, survey results by the accounting firm St</w:t>
      </w:r>
      <w:r w:rsidR="00525C6E">
        <w:t>ew</w:t>
      </w:r>
      <w:r w:rsidR="006778C9">
        <w:t xml:space="preserve">artBrown suggested a notable decline in the overall financial performance of the residential aged care sector in 2017-18. Given these </w:t>
      </w:r>
      <w:r w:rsidR="00AA2B4B">
        <w:t>developments,</w:t>
      </w:r>
      <w:r w:rsidR="006778C9">
        <w:t xml:space="preserve"> ACFA provided the Minister in September 2018 with an update of its assessment of developments in the residential aged care sector. This update was based on consultations with a cross section of providers. </w:t>
      </w:r>
      <w:r w:rsidR="0061030A">
        <w:t>In</w:t>
      </w:r>
      <w:r w:rsidR="006778C9">
        <w:t xml:space="preserve"> order to have a more contemporaneous assessment of financial developments in the aged care </w:t>
      </w:r>
      <w:r w:rsidR="00835217">
        <w:t xml:space="preserve">sector, ACFA has undertaken an extensive program of consultations with providers in preparing its 2019 </w:t>
      </w:r>
      <w:r w:rsidR="00516144">
        <w:t>a</w:t>
      </w:r>
      <w:r w:rsidR="00835217">
        <w:t xml:space="preserve">nnual </w:t>
      </w:r>
      <w:r w:rsidR="00516144">
        <w:t>r</w:t>
      </w:r>
      <w:r w:rsidR="00835217">
        <w:t>eport.</w:t>
      </w:r>
    </w:p>
    <w:p w14:paraId="42EFEDA0" w14:textId="77777777" w:rsidR="00835217" w:rsidRDefault="00835217" w:rsidP="00835217">
      <w:r>
        <w:t xml:space="preserve">Over time, each annual report builds upon the last, producing a substantial body </w:t>
      </w:r>
      <w:r w:rsidR="00AA2B4B">
        <w:t>of data</w:t>
      </w:r>
      <w:r>
        <w:t xml:space="preserve"> on the funding and financing </w:t>
      </w:r>
      <w:r w:rsidR="00342730">
        <w:t xml:space="preserve">developments </w:t>
      </w:r>
      <w:r w:rsidR="00AA2B4B">
        <w:t>in the</w:t>
      </w:r>
      <w:r>
        <w:t xml:space="preserve"> aged care sector. A particul</w:t>
      </w:r>
      <w:r w:rsidR="009C4147">
        <w:t>ar focus of the annual report is on</w:t>
      </w:r>
      <w:r>
        <w:t xml:space="preserve"> monitoring the financial performance of aged care providers. The main measure used to assess profitability is Earnings Before Interest, Taxes, Depreciation and Amortisation (EBITDA). By excluding factors that vary depending </w:t>
      </w:r>
      <w:r w:rsidR="00A20DB4">
        <w:t>on organisations</w:t>
      </w:r>
      <w:r>
        <w:t xml:space="preserve"> financing </w:t>
      </w:r>
      <w:r w:rsidR="002E404E">
        <w:t>decisions</w:t>
      </w:r>
      <w:r>
        <w:t xml:space="preserve"> and the size and age of facilities, EBITDA provides a measure of core profitability</w:t>
      </w:r>
      <w:r w:rsidR="00342730">
        <w:t xml:space="preserve">. The reports also refer to Net Profit Before </w:t>
      </w:r>
      <w:r w:rsidR="002E404E">
        <w:t>Tax (NPBT</w:t>
      </w:r>
      <w:r w:rsidR="00342730">
        <w:t>).</w:t>
      </w:r>
    </w:p>
    <w:p w14:paraId="7366A414" w14:textId="77777777" w:rsidR="00342730" w:rsidRDefault="00342730" w:rsidP="000C062D">
      <w:pPr>
        <w:pStyle w:val="Heading2"/>
      </w:pPr>
      <w:r>
        <w:t xml:space="preserve">Other </w:t>
      </w:r>
      <w:r w:rsidRPr="000C062D">
        <w:t>ACFA</w:t>
      </w:r>
      <w:r>
        <w:t xml:space="preserve"> reports</w:t>
      </w:r>
    </w:p>
    <w:p w14:paraId="43B1908C" w14:textId="6B2F416B" w:rsidR="00342730" w:rsidRDefault="00342730" w:rsidP="000C062D">
      <w:r w:rsidRPr="006B62AF">
        <w:t xml:space="preserve">In addition to the </w:t>
      </w:r>
      <w:r w:rsidR="00516144" w:rsidRPr="006B62AF">
        <w:t>a</w:t>
      </w:r>
      <w:r w:rsidRPr="006B62AF">
        <w:t xml:space="preserve">nnual </w:t>
      </w:r>
      <w:r w:rsidR="00516144" w:rsidRPr="006B62AF">
        <w:t>r</w:t>
      </w:r>
      <w:r w:rsidRPr="006B62AF">
        <w:t>eport</w:t>
      </w:r>
      <w:r w:rsidR="00C86C3D" w:rsidRPr="006B62AF">
        <w:t>,</w:t>
      </w:r>
      <w:r w:rsidRPr="006B62AF">
        <w:t xml:space="preserve"> </w:t>
      </w:r>
      <w:r>
        <w:t xml:space="preserve">ACFA reports to Government on specific </w:t>
      </w:r>
      <w:r w:rsidR="0061030A">
        <w:t>issues</w:t>
      </w:r>
      <w:r w:rsidR="00516144">
        <w:t xml:space="preserve"> that the Government </w:t>
      </w:r>
      <w:r w:rsidR="00C86C3D">
        <w:t xml:space="preserve">has </w:t>
      </w:r>
      <w:r>
        <w:t>referred to ACFA</w:t>
      </w:r>
      <w:r w:rsidR="00C86C3D">
        <w:t>.</w:t>
      </w:r>
      <w:r w:rsidR="00544334">
        <w:t xml:space="preserve"> </w:t>
      </w:r>
      <w:r w:rsidR="00540D64">
        <w:t xml:space="preserve">At Appendix B is a list of all the reports ACFA has provided </w:t>
      </w:r>
      <w:r w:rsidR="0060432F">
        <w:t xml:space="preserve">to </w:t>
      </w:r>
      <w:r w:rsidR="00540D64">
        <w:t>the Governm</w:t>
      </w:r>
      <w:r w:rsidR="0060432F">
        <w:t xml:space="preserve">ent </w:t>
      </w:r>
      <w:r w:rsidR="002E404E">
        <w:t>since 2012</w:t>
      </w:r>
      <w:r w:rsidR="00540D64">
        <w:t xml:space="preserve">. </w:t>
      </w:r>
      <w:r w:rsidR="00CB785C">
        <w:t>These are all available on ACFA’s website</w:t>
      </w:r>
      <w:r w:rsidR="00822013">
        <w:t xml:space="preserve"> at:</w:t>
      </w:r>
      <w:r w:rsidR="00CB785C">
        <w:t xml:space="preserve"> </w:t>
      </w:r>
      <w:hyperlink r:id="rId9" w:tooltip="Link to the ACFA webpage." w:history="1">
        <w:r w:rsidR="00516144" w:rsidRPr="00516144">
          <w:rPr>
            <w:rStyle w:val="Hyperlink"/>
          </w:rPr>
          <w:t>https://agedcare.health.gov.au/aged-care-reform/aged-care-financing-authority</w:t>
        </w:r>
      </w:hyperlink>
    </w:p>
    <w:p w14:paraId="0E031950" w14:textId="77777777" w:rsidR="0060432F" w:rsidRDefault="0060432F" w:rsidP="00342730">
      <w:r>
        <w:t>At the request of the Government, ACFA has provided independent advice on specific design feature</w:t>
      </w:r>
      <w:r w:rsidR="00C86C3D">
        <w:t xml:space="preserve">s of the funding of aged </w:t>
      </w:r>
      <w:r w:rsidR="0061030A">
        <w:t>care, such</w:t>
      </w:r>
      <w:r>
        <w:t xml:space="preserve"> as: reports on the definition of significant refurbishment; accommodation payments</w:t>
      </w:r>
      <w:r w:rsidR="002E404E">
        <w:t>; methodology</w:t>
      </w:r>
      <w:r>
        <w:t xml:space="preserve"> for ensuring equivalence between a Daily Accommodation Payment (DAP) and Refundable Accommodation Deposit (RAD); base interest rate; the Bond </w:t>
      </w:r>
      <w:r>
        <w:lastRenderedPageBreak/>
        <w:t xml:space="preserve">Guarantee Scheme; and access to care for supported residents. </w:t>
      </w:r>
      <w:r w:rsidR="00147903">
        <w:t xml:space="preserve">Between July 2014 and September 2016 </w:t>
      </w:r>
      <w:r w:rsidR="002E404E">
        <w:t>ACFA provided</w:t>
      </w:r>
      <w:r w:rsidR="00147903">
        <w:t xml:space="preserve"> the Government with </w:t>
      </w:r>
      <w:r w:rsidR="00CB7C32">
        <w:t>regular</w:t>
      </w:r>
      <w:r w:rsidR="00147903">
        <w:t xml:space="preserve"> reports on the impact of the 1 July 2014 financial reforms on the aged care sector.</w:t>
      </w:r>
      <w:r w:rsidR="00544334">
        <w:t xml:space="preserve"> </w:t>
      </w:r>
      <w:r w:rsidR="00147903">
        <w:t>ACFA has also reported on factors influencing the financial performance of aged care providers along with a report on issues affecting the financial performance of rural and remote providers, both residential and home care.</w:t>
      </w:r>
      <w:r w:rsidR="00CC7A27">
        <w:t xml:space="preserve"> Other reports have covered the operation of the aged care sector – such as the use of respite care and how consumers plan and finance their aged care. ACFA’s most comprehensive assessment of the funding and financing issues arising from the 2014 reforms was its report to inform the </w:t>
      </w:r>
      <w:r w:rsidR="0063366F" w:rsidRPr="002C5289">
        <w:rPr>
          <w:i/>
        </w:rPr>
        <w:t>Legislated Review of Aged Care Reforms 2017</w:t>
      </w:r>
      <w:r w:rsidR="0063366F">
        <w:t xml:space="preserve"> </w:t>
      </w:r>
      <w:r w:rsidR="00CB785C">
        <w:t xml:space="preserve">(known as the Tune Review). </w:t>
      </w:r>
    </w:p>
    <w:p w14:paraId="27EECC5C" w14:textId="77777777" w:rsidR="006B62AF" w:rsidRDefault="006B62AF" w:rsidP="00342730"/>
    <w:p w14:paraId="0F22A50A" w14:textId="77777777" w:rsidR="00E77252" w:rsidRPr="00CE1DD4" w:rsidRDefault="00C12D10" w:rsidP="00E03606">
      <w:pPr>
        <w:pStyle w:val="Heading1Numbered"/>
      </w:pPr>
      <w:r w:rsidRPr="00CE1DD4">
        <w:t>ACFA’s c</w:t>
      </w:r>
      <w:r w:rsidR="00E77252" w:rsidRPr="00CE1DD4">
        <w:t xml:space="preserve">ontribution </w:t>
      </w:r>
      <w:r w:rsidRPr="00CE1DD4">
        <w:t xml:space="preserve">in </w:t>
      </w:r>
      <w:r w:rsidR="00E77252" w:rsidRPr="00CE1DD4">
        <w:t>providing independent advice</w:t>
      </w:r>
    </w:p>
    <w:p w14:paraId="3F222C47" w14:textId="77777777" w:rsidR="0063366F" w:rsidRPr="006B62AF" w:rsidRDefault="00E77252" w:rsidP="00342730">
      <w:r w:rsidRPr="006B62AF">
        <w:t xml:space="preserve">The </w:t>
      </w:r>
      <w:r w:rsidR="00A20DB4" w:rsidRPr="006B62AF">
        <w:t>nature of the funding and financing arrangements in the aged care sector is</w:t>
      </w:r>
      <w:r w:rsidRPr="006B62AF">
        <w:t xml:space="preserve"> such that an independent and transparent adviser to the Government can play an important role. The Government is the main source of funding for aged care services as well as controlling the supply of subsidised residential </w:t>
      </w:r>
      <w:r w:rsidR="006B62AF" w:rsidRPr="006B62AF">
        <w:t xml:space="preserve">aged care </w:t>
      </w:r>
      <w:r w:rsidRPr="006B62AF">
        <w:t xml:space="preserve">places and home care packages, along with determining the size of the Commonwealth Home Support Program. </w:t>
      </w:r>
      <w:r w:rsidR="001D4C87" w:rsidRPr="006B62AF">
        <w:t xml:space="preserve">The Government also sets the limit </w:t>
      </w:r>
      <w:r w:rsidR="009C4147" w:rsidRPr="006B62AF">
        <w:t xml:space="preserve">that </w:t>
      </w:r>
      <w:r w:rsidR="001D4C87" w:rsidRPr="006B62AF">
        <w:t xml:space="preserve">consumers </w:t>
      </w:r>
      <w:r w:rsidR="009C4147" w:rsidRPr="006B62AF">
        <w:t xml:space="preserve">are required to </w:t>
      </w:r>
      <w:r w:rsidR="00C86C3D" w:rsidRPr="006B62AF">
        <w:t>contribute towards the co</w:t>
      </w:r>
      <w:r w:rsidR="001D4C87" w:rsidRPr="006B62AF">
        <w:t>st of their aged care</w:t>
      </w:r>
      <w:r w:rsidR="00342902" w:rsidRPr="006B62AF">
        <w:t xml:space="preserve"> as well as </w:t>
      </w:r>
      <w:r w:rsidR="00A20DB4" w:rsidRPr="006B62AF">
        <w:t>setting the</w:t>
      </w:r>
      <w:r w:rsidR="0066304F" w:rsidRPr="006B62AF">
        <w:t xml:space="preserve"> quality standards providers have to meet</w:t>
      </w:r>
      <w:r w:rsidR="009C4147" w:rsidRPr="006B62AF">
        <w:t>.</w:t>
      </w:r>
    </w:p>
    <w:p w14:paraId="1D0969C0" w14:textId="61F4576C" w:rsidR="0066304F" w:rsidRPr="006B62AF" w:rsidRDefault="001D4C87" w:rsidP="00342730">
      <w:r w:rsidRPr="006B62AF">
        <w:t xml:space="preserve">While the Government is the main source of funding for aged </w:t>
      </w:r>
      <w:r w:rsidR="002E404E" w:rsidRPr="006B62AF">
        <w:t xml:space="preserve">care, </w:t>
      </w:r>
      <w:r w:rsidR="0063366F" w:rsidRPr="006B62AF">
        <w:t>non-government</w:t>
      </w:r>
      <w:r w:rsidRPr="006B62AF">
        <w:t xml:space="preserve"> providers</w:t>
      </w:r>
      <w:r w:rsidR="002C5289">
        <w:t xml:space="preserve">, </w:t>
      </w:r>
      <w:r w:rsidRPr="006B62AF">
        <w:t>both for</w:t>
      </w:r>
      <w:r w:rsidR="002C5289">
        <w:noBreakHyphen/>
      </w:r>
      <w:r w:rsidRPr="006B62AF">
        <w:t>profit and not-for-profit</w:t>
      </w:r>
      <w:r w:rsidR="002C5289">
        <w:t xml:space="preserve">, </w:t>
      </w:r>
      <w:r w:rsidRPr="006B62AF">
        <w:t xml:space="preserve">are the main source of </w:t>
      </w:r>
      <w:r w:rsidR="008D1791" w:rsidRPr="006B62AF">
        <w:t xml:space="preserve">delivery of aged care services. As such, </w:t>
      </w:r>
      <w:r w:rsidR="00A20DB4" w:rsidRPr="006B62AF">
        <w:t>Government policy settings have a major impact on the financial performance of aged care providers and, along with the management and business skills of providers, influence</w:t>
      </w:r>
      <w:r w:rsidR="009E3E4B" w:rsidRPr="006B62AF">
        <w:t xml:space="preserve"> </w:t>
      </w:r>
      <w:r w:rsidR="00142019" w:rsidRPr="006B62AF">
        <w:t>the financial</w:t>
      </w:r>
      <w:r w:rsidR="008D1791" w:rsidRPr="006B62AF">
        <w:t xml:space="preserve"> viability</w:t>
      </w:r>
      <w:r w:rsidR="009E3E4B" w:rsidRPr="006B62AF">
        <w:t xml:space="preserve"> of many providers</w:t>
      </w:r>
      <w:r w:rsidR="008D1791" w:rsidRPr="006B62AF">
        <w:t>. While individual aged care providers may not succeed and will</w:t>
      </w:r>
      <w:r w:rsidR="009C4147" w:rsidRPr="006B62AF">
        <w:t xml:space="preserve"> leave the industry, a key </w:t>
      </w:r>
      <w:r w:rsidR="00142019" w:rsidRPr="006B62AF">
        <w:t>requirement for</w:t>
      </w:r>
      <w:r w:rsidR="008D1791" w:rsidRPr="006B62AF">
        <w:t xml:space="preserve"> a sustainable aged care sector </w:t>
      </w:r>
      <w:r w:rsidR="00142019" w:rsidRPr="006B62AF">
        <w:t>is funding</w:t>
      </w:r>
      <w:r w:rsidR="008D1791" w:rsidRPr="006B62AF">
        <w:t xml:space="preserve"> and financing </w:t>
      </w:r>
      <w:r w:rsidR="00142019" w:rsidRPr="006B62AF">
        <w:t>arrangements that support</w:t>
      </w:r>
      <w:r w:rsidR="008D1791" w:rsidRPr="006B62AF">
        <w:t xml:space="preserve"> </w:t>
      </w:r>
      <w:r w:rsidR="0061030A" w:rsidRPr="006B62AF">
        <w:t>the financial</w:t>
      </w:r>
      <w:r w:rsidR="008D1791" w:rsidRPr="006B62AF">
        <w:t xml:space="preserve"> viability of </w:t>
      </w:r>
      <w:r w:rsidR="009E3E4B" w:rsidRPr="006B62AF">
        <w:t xml:space="preserve">efficient </w:t>
      </w:r>
      <w:r w:rsidR="008D1791" w:rsidRPr="006B62AF">
        <w:t>providers.</w:t>
      </w:r>
      <w:r w:rsidR="0066304F" w:rsidRPr="006B62AF">
        <w:t xml:space="preserve"> </w:t>
      </w:r>
    </w:p>
    <w:p w14:paraId="0D2AA8F2" w14:textId="551473F1" w:rsidR="00631B6C" w:rsidRPr="006B62AF" w:rsidRDefault="009E3E4B" w:rsidP="00342730">
      <w:r w:rsidRPr="006B62AF">
        <w:t xml:space="preserve">The Government’s funding arrangements for the aged care sector should seek </w:t>
      </w:r>
      <w:r w:rsidR="00142019" w:rsidRPr="006B62AF">
        <w:t>to avoid</w:t>
      </w:r>
      <w:r w:rsidRPr="006B62AF">
        <w:t xml:space="preserve"> overly generous support for inefficient providers </w:t>
      </w:r>
      <w:r w:rsidR="00142019" w:rsidRPr="006B62AF">
        <w:t>and providing</w:t>
      </w:r>
      <w:r w:rsidRPr="006B62AF">
        <w:t xml:space="preserve"> a greater rate of return than necessary for providers to maintain their involvement in the industry. </w:t>
      </w:r>
      <w:r w:rsidR="00055477" w:rsidRPr="006B62AF">
        <w:t>There</w:t>
      </w:r>
      <w:r w:rsidR="00630FD5" w:rsidRPr="006B62AF">
        <w:t xml:space="preserve"> is an element of tension between </w:t>
      </w:r>
      <w:r w:rsidR="00142019" w:rsidRPr="006B62AF">
        <w:t>the objective</w:t>
      </w:r>
      <w:r w:rsidR="00055477" w:rsidRPr="006B62AF">
        <w:t xml:space="preserve"> of ensuring</w:t>
      </w:r>
      <w:r w:rsidR="00630FD5" w:rsidRPr="006B62AF">
        <w:t xml:space="preserve"> that subsidies for aged care ar</w:t>
      </w:r>
      <w:r w:rsidR="00055477" w:rsidRPr="006B62AF">
        <w:t>e not ‘excessive’ nor support</w:t>
      </w:r>
      <w:r w:rsidR="00630FD5" w:rsidRPr="006B62AF">
        <w:t xml:space="preserve"> inefficiencies and/or excessive profit, and providers who have an incentive to see Government subsidies increase. The Productivity Commission’s 2011 report </w:t>
      </w:r>
      <w:r w:rsidR="00822013">
        <w:rPr>
          <w:i/>
        </w:rPr>
        <w:t>Caring for Older Australians</w:t>
      </w:r>
      <w:r w:rsidR="00630FD5" w:rsidRPr="006B62AF">
        <w:rPr>
          <w:i/>
        </w:rPr>
        <w:t xml:space="preserve"> </w:t>
      </w:r>
      <w:r w:rsidR="00630FD5" w:rsidRPr="006B62AF">
        <w:t>proposed addressing this tension by recommending that an independent Australian Aged Care Commission set the price for aged care services as well as recommending the level of consumer co-contribution.</w:t>
      </w:r>
    </w:p>
    <w:p w14:paraId="389FF640" w14:textId="77777777" w:rsidR="00E77252" w:rsidRPr="006B62AF" w:rsidRDefault="00630FD5" w:rsidP="00342730">
      <w:r w:rsidRPr="006B62AF">
        <w:t>The Government did not adopt this recommendation, but it did establish ACFA as an independent authority to advise on funding and financing issues in the aged care sector.</w:t>
      </w:r>
      <w:r w:rsidR="00544334" w:rsidRPr="006B62AF">
        <w:t xml:space="preserve"> </w:t>
      </w:r>
      <w:r w:rsidR="00BA055B" w:rsidRPr="006B62AF">
        <w:t xml:space="preserve">In many respects, ACFA acts as an ‘honest broker’ between the Government and aged care providers. It canvasses the views of aged care providers, assesses the aggregate data provided to the Department of Health, and makes its own assessment of the overall state </w:t>
      </w:r>
      <w:r w:rsidR="002E404E" w:rsidRPr="006B62AF">
        <w:t>of financial</w:t>
      </w:r>
      <w:r w:rsidR="00BA055B" w:rsidRPr="006B62AF">
        <w:t xml:space="preserve"> de</w:t>
      </w:r>
      <w:r w:rsidR="00C61981" w:rsidRPr="006B62AF">
        <w:t>velopments in the sector and its</w:t>
      </w:r>
      <w:r w:rsidR="00BA055B" w:rsidRPr="006B62AF">
        <w:t xml:space="preserve"> main drivers. While the secretariat supporting ACFA comes from the Department of Health, along with the technical assistance for the analysis it undertakes, the views and recommendations submitted to the Minister are independent of the Department. For ACFA</w:t>
      </w:r>
      <w:r w:rsidR="00C12D10" w:rsidRPr="006B62AF">
        <w:t xml:space="preserve"> </w:t>
      </w:r>
      <w:r w:rsidR="00BA055B" w:rsidRPr="006B62AF">
        <w:t xml:space="preserve">to be effective in providing this ‘honest broker’ role, it is </w:t>
      </w:r>
      <w:r w:rsidR="002E404E" w:rsidRPr="006B62AF">
        <w:t>important</w:t>
      </w:r>
      <w:r w:rsidR="00BA055B" w:rsidRPr="006B62AF">
        <w:t xml:space="preserve"> that all parties </w:t>
      </w:r>
      <w:r w:rsidR="00C12D10" w:rsidRPr="006B62AF">
        <w:t>recognise and accept that it is independent.</w:t>
      </w:r>
    </w:p>
    <w:p w14:paraId="6BB6C0C6" w14:textId="77777777" w:rsidR="00C12D10" w:rsidRPr="00C40948" w:rsidRDefault="00C12D10" w:rsidP="00342730">
      <w:pPr>
        <w:rPr>
          <w:b/>
        </w:rPr>
      </w:pPr>
      <w:r w:rsidRPr="00C40948">
        <w:t xml:space="preserve">ACFA does not advise on the </w:t>
      </w:r>
      <w:r w:rsidR="002E404E" w:rsidRPr="00C40948">
        <w:t>appropriateness</w:t>
      </w:r>
      <w:r w:rsidRPr="00C40948">
        <w:t xml:space="preserve"> of the overall level of Government expenditure on aged care</w:t>
      </w:r>
      <w:r w:rsidR="00174B49" w:rsidRPr="00C40948">
        <w:t xml:space="preserve">, which depends on the level and quality of aged care required by the Australian </w:t>
      </w:r>
      <w:r w:rsidR="00174B49" w:rsidRPr="00C40948">
        <w:lastRenderedPageBreak/>
        <w:t>community</w:t>
      </w:r>
      <w:r w:rsidRPr="00C40948">
        <w:t>.</w:t>
      </w:r>
      <w:r w:rsidR="00C61981" w:rsidRPr="00C40948">
        <w:t xml:space="preserve"> As noted previously, one of ACFA’s</w:t>
      </w:r>
      <w:r w:rsidRPr="00C40948">
        <w:t xml:space="preserve"> main roles is to advise the Government on the impact of </w:t>
      </w:r>
      <w:r w:rsidR="00174B49" w:rsidRPr="00C40948">
        <w:t xml:space="preserve">existing </w:t>
      </w:r>
      <w:r w:rsidRPr="00C40948">
        <w:t>funding and financing arrangements on the financial performance of providers and the overall viability and sustainability of the sector. In addition, ACFA considers factors that may be impacting on the overall efficiency of aged care providers.</w:t>
      </w:r>
    </w:p>
    <w:p w14:paraId="5D0E6FBA" w14:textId="77777777" w:rsidR="00631B6C" w:rsidRDefault="00356213" w:rsidP="00342730">
      <w:r>
        <w:t>The ageing of the Australian population will see a marked increase in the number of Australians likely to</w:t>
      </w:r>
      <w:r w:rsidR="00F5117D">
        <w:t xml:space="preserve"> need aged care. The structural ageing</w:t>
      </w:r>
      <w:r>
        <w:t xml:space="preserve"> of the population over the next 20 years will see the size of the 70 years and over cohort </w:t>
      </w:r>
      <w:r w:rsidR="002E404E">
        <w:t>increase</w:t>
      </w:r>
      <w:r>
        <w:t xml:space="preserve"> by around 1 million people each decade. Within this cohort, older age groups will more than double. This rapid expansion in the oldest age groups will result in a marked increase in demand for aged care services. The proportion of each age group who use aged care services </w:t>
      </w:r>
      <w:r w:rsidR="002E404E">
        <w:t>increases</w:t>
      </w:r>
      <w:r>
        <w:t xml:space="preserve"> dramatically with age. </w:t>
      </w:r>
    </w:p>
    <w:p w14:paraId="0DE11FE5" w14:textId="0CB0D792" w:rsidR="00C015E2" w:rsidRDefault="00356213" w:rsidP="00342730">
      <w:r>
        <w:t xml:space="preserve">As noted further below, ACFA has canvassed projections for the future demand for residential aged care in its </w:t>
      </w:r>
      <w:r w:rsidR="00CB7C32">
        <w:t>a</w:t>
      </w:r>
      <w:r>
        <w:t xml:space="preserve">nnual </w:t>
      </w:r>
      <w:r w:rsidR="00CB7C32">
        <w:t>r</w:t>
      </w:r>
      <w:r>
        <w:t>eports and while it is evident that over the coming decade the demand for aged care services will increase,</w:t>
      </w:r>
      <w:r w:rsidR="00F64655">
        <w:t xml:space="preserve"> there are a range of factors that </w:t>
      </w:r>
      <w:r w:rsidR="002E404E">
        <w:t>will influence</w:t>
      </w:r>
      <w:r w:rsidR="00F64655">
        <w:t xml:space="preserve"> the composition of this demand, in particular the interaction between the growing preference for home care and the demand for residential care. In fulfilling its role in providing advice to the Government on the sustainability of the aged care sector and continuing access to aged care services, an </w:t>
      </w:r>
      <w:r w:rsidR="002E404E">
        <w:t>aspect of</w:t>
      </w:r>
      <w:r w:rsidR="00F64655">
        <w:t xml:space="preserve"> ACFA’s consideration is providing advice on whether the funding and financing conditions in the sector are such so as to support the level of </w:t>
      </w:r>
      <w:r w:rsidR="00631B6C">
        <w:t>non-</w:t>
      </w:r>
      <w:r w:rsidR="00354C4A">
        <w:t>government sector</w:t>
      </w:r>
      <w:r w:rsidR="00F64655">
        <w:t xml:space="preserve"> investment needed to meet the expected future demand for aged care. Such factors that </w:t>
      </w:r>
      <w:r w:rsidR="008C7D8B">
        <w:t>will have a bearing include the overall financial position and outlook for providers, the stabi</w:t>
      </w:r>
      <w:r w:rsidR="00174B49">
        <w:t>lity of funding arrangements,</w:t>
      </w:r>
      <w:r w:rsidR="008C7D8B">
        <w:t xml:space="preserve"> the level of trust in the overall direction of policies</w:t>
      </w:r>
      <w:r w:rsidR="00174B49">
        <w:t>, and the availability of financing</w:t>
      </w:r>
      <w:r w:rsidR="008C7D8B">
        <w:t>.</w:t>
      </w:r>
    </w:p>
    <w:p w14:paraId="10914832" w14:textId="77777777" w:rsidR="00F5117D" w:rsidRDefault="00F5117D" w:rsidP="00342730"/>
    <w:p w14:paraId="308B5BE4" w14:textId="77777777" w:rsidR="00174B49" w:rsidRPr="00CE1DD4" w:rsidRDefault="003E5D6D" w:rsidP="00E03606">
      <w:pPr>
        <w:pStyle w:val="Heading1Numbered"/>
      </w:pPr>
      <w:r w:rsidRPr="00CE1DD4">
        <w:t>F</w:t>
      </w:r>
      <w:r w:rsidR="00174B49" w:rsidRPr="00CE1DD4">
        <w:t>inancial performance of aged care providers</w:t>
      </w:r>
      <w:r w:rsidRPr="00CE1DD4">
        <w:t xml:space="preserve"> </w:t>
      </w:r>
      <w:r w:rsidR="00CB7C32">
        <w:t xml:space="preserve">in </w:t>
      </w:r>
      <w:r w:rsidRPr="00CE1DD4">
        <w:t>2017-18</w:t>
      </w:r>
    </w:p>
    <w:p w14:paraId="6D50F65E" w14:textId="77777777" w:rsidR="00C0795A" w:rsidRDefault="00C0795A" w:rsidP="00E03606">
      <w:pPr>
        <w:pStyle w:val="Heading2"/>
      </w:pPr>
      <w:r>
        <w:t>Provider numbers</w:t>
      </w:r>
    </w:p>
    <w:p w14:paraId="56086B5C" w14:textId="774AA88B" w:rsidR="004E56D8" w:rsidRDefault="00C0795A" w:rsidP="00342730">
      <w:r>
        <w:t xml:space="preserve">The number of home care providers was stable until 2015-16 but has since increased significantly, from 496 approved providers in 2015-16 to 873 providers in 2017-18 </w:t>
      </w:r>
      <w:r w:rsidR="00551327">
        <w:t>(C</w:t>
      </w:r>
      <w:r w:rsidR="0061030A">
        <w:t>hart</w:t>
      </w:r>
      <w:r>
        <w:t xml:space="preserve"> </w:t>
      </w:r>
      <w:r w:rsidR="00CE1DD4">
        <w:t>1</w:t>
      </w:r>
      <w:r>
        <w:t xml:space="preserve">). The increase in home care providers was in response to the introduction of </w:t>
      </w:r>
      <w:r w:rsidR="00CB7C32">
        <w:t xml:space="preserve">Increasing Choice in Home </w:t>
      </w:r>
      <w:r w:rsidR="00A20DB4">
        <w:t xml:space="preserve">Care. </w:t>
      </w:r>
      <w:r>
        <w:t xml:space="preserve">In contrast, the number of residential care providers has been steadily declining </w:t>
      </w:r>
      <w:r w:rsidR="00FD22B5">
        <w:t>from a peak of 1,121 in 2010-11</w:t>
      </w:r>
      <w:r w:rsidR="009D2FF4">
        <w:t xml:space="preserve">. </w:t>
      </w:r>
      <w:r>
        <w:t xml:space="preserve">The number fell from 902 in 2016-17 to 886 in 2017-18 (Chart </w:t>
      </w:r>
      <w:r w:rsidR="00CE1DD4">
        <w:t>2</w:t>
      </w:r>
      <w:r>
        <w:t>).</w:t>
      </w:r>
      <w:r w:rsidR="004E56D8">
        <w:t xml:space="preserve"> </w:t>
      </w:r>
    </w:p>
    <w:p w14:paraId="1C0B81F7" w14:textId="77777777" w:rsidR="004E56D8" w:rsidRDefault="004E56D8">
      <w:r>
        <w:br w:type="page"/>
      </w:r>
    </w:p>
    <w:p w14:paraId="00859688" w14:textId="77777777" w:rsidR="000D23C1" w:rsidRPr="00BC1A1C" w:rsidRDefault="000D23C1" w:rsidP="00342730">
      <w:pPr>
        <w:rPr>
          <w:rFonts w:eastAsia="Times New Roman" w:cstheme="minorHAnsi"/>
          <w:b/>
          <w:bCs/>
          <w:sz w:val="24"/>
        </w:rPr>
      </w:pPr>
    </w:p>
    <w:p w14:paraId="1FECA2EB" w14:textId="77777777" w:rsidR="000D23C1" w:rsidRPr="00BC1A1C" w:rsidRDefault="000D23C1" w:rsidP="00E03606">
      <w:pPr>
        <w:pStyle w:val="ChartTitle"/>
      </w:pPr>
      <w:r w:rsidRPr="00BC1A1C">
        <w:t>Chart</w:t>
      </w:r>
      <w:r w:rsidR="00C40948" w:rsidRPr="00BC1A1C">
        <w:t xml:space="preserve"> </w:t>
      </w:r>
      <w:r w:rsidR="00CE1DD4" w:rsidRPr="00BC1A1C">
        <w:t>1</w:t>
      </w:r>
      <w:r w:rsidRPr="00BC1A1C">
        <w:t xml:space="preserve">: Number of home care providers, </w:t>
      </w:r>
      <w:r w:rsidR="00CB7C32" w:rsidRPr="00BC1A1C">
        <w:t>2012 -</w:t>
      </w:r>
      <w:r w:rsidRPr="00BC1A1C">
        <w:t xml:space="preserve">13 to </w:t>
      </w:r>
      <w:r w:rsidR="00CB7C32" w:rsidRPr="00BC1A1C">
        <w:t>2017-</w:t>
      </w:r>
      <w:r w:rsidRPr="00BC1A1C">
        <w:t>18</w:t>
      </w:r>
    </w:p>
    <w:p w14:paraId="5432DE19" w14:textId="77777777" w:rsidR="00BC1A1C" w:rsidRDefault="00BC1A1C" w:rsidP="00342730">
      <w:r>
        <w:rPr>
          <w:noProof/>
          <w:lang w:eastAsia="en-AU"/>
        </w:rPr>
        <w:drawing>
          <wp:inline distT="0" distB="0" distL="0" distR="0" wp14:anchorId="32603151" wp14:editId="22BCADF9">
            <wp:extent cx="5731510" cy="2191568"/>
            <wp:effectExtent l="0" t="0" r="2540" b="0"/>
            <wp:docPr id="8" name="Chart 8" descr="This chart shows the number of home care providers from 2012-13 to 2017-18." title="Chart 1: Number of home care providers, 2012 -13 to 2017-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3E7F4A6C" w14:textId="04C8A3B5" w:rsidR="000D23C1" w:rsidRPr="00A037FC" w:rsidRDefault="000D23C1" w:rsidP="00E03606">
      <w:pPr>
        <w:pStyle w:val="ChartTitle"/>
      </w:pPr>
      <w:bookmarkStart w:id="0" w:name="_Ref2812318"/>
      <w:bookmarkStart w:id="1" w:name="_Toc2536780"/>
      <w:bookmarkStart w:id="2" w:name="_Toc2807351"/>
      <w:r w:rsidRPr="004E56D8">
        <w:t>Chart</w:t>
      </w:r>
      <w:r w:rsidR="00C40948">
        <w:t xml:space="preserve"> </w:t>
      </w:r>
      <w:bookmarkEnd w:id="0"/>
      <w:r w:rsidR="00CE1DD4">
        <w:t>2</w:t>
      </w:r>
      <w:r w:rsidRPr="004E56D8">
        <w:t>: Number of residential care providers, 201</w:t>
      </w:r>
      <w:r w:rsidR="00492C23">
        <w:t>0-1</w:t>
      </w:r>
      <w:r w:rsidR="002A0908">
        <w:t>1</w:t>
      </w:r>
      <w:r w:rsidRPr="004E56D8">
        <w:t xml:space="preserve"> to 2017-18</w:t>
      </w:r>
      <w:bookmarkEnd w:id="1"/>
      <w:bookmarkEnd w:id="2"/>
    </w:p>
    <w:p w14:paraId="3456F198" w14:textId="494CF527" w:rsidR="00CE137C" w:rsidRDefault="003E587F" w:rsidP="00174B49">
      <w:pPr>
        <w:rPr>
          <w:b/>
        </w:rPr>
      </w:pPr>
      <w:r>
        <w:rPr>
          <w:noProof/>
          <w:color w:val="1F497D"/>
          <w:lang w:eastAsia="en-AU"/>
        </w:rPr>
        <w:drawing>
          <wp:inline distT="0" distB="0" distL="0" distR="0" wp14:anchorId="0B27F13E" wp14:editId="3568DAD3">
            <wp:extent cx="5731510" cy="2362131"/>
            <wp:effectExtent l="0" t="0" r="2540" b="635"/>
            <wp:docPr id="10" name="Picture 10" descr="cid:image001.png@01D4F1FF.720CE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4F1FF.720CE83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5731510" cy="2362131"/>
                    </a:xfrm>
                    <a:prstGeom prst="rect">
                      <a:avLst/>
                    </a:prstGeom>
                    <a:noFill/>
                    <a:ln>
                      <a:noFill/>
                    </a:ln>
                  </pic:spPr>
                </pic:pic>
              </a:graphicData>
            </a:graphic>
          </wp:inline>
        </w:drawing>
      </w:r>
    </w:p>
    <w:p w14:paraId="067F1E54" w14:textId="77777777" w:rsidR="000D23C1" w:rsidRDefault="00CE137C" w:rsidP="00E03606">
      <w:pPr>
        <w:pStyle w:val="Heading2"/>
      </w:pPr>
      <w:r w:rsidRPr="004E56D8">
        <w:t>Access to aged care</w:t>
      </w:r>
    </w:p>
    <w:p w14:paraId="55BB2247" w14:textId="77777777" w:rsidR="00A037FC" w:rsidRDefault="00837E0D" w:rsidP="00174B49">
      <w:r w:rsidRPr="00837E0D">
        <w:t xml:space="preserve">The number of consumers of home care </w:t>
      </w:r>
      <w:r>
        <w:t>increased</w:t>
      </w:r>
      <w:r w:rsidRPr="00837E0D">
        <w:t xml:space="preserve"> </w:t>
      </w:r>
      <w:r w:rsidR="009D2FF4">
        <w:t>from 97</w:t>
      </w:r>
      <w:r>
        <w:t>,516 in 2016-17 to 116,843 in 2017-18. The number of consumers in residential care increased from 239,37</w:t>
      </w:r>
      <w:r w:rsidR="002A0908">
        <w:t>9 in 2016-17 to 241,723 in 2017</w:t>
      </w:r>
      <w:r w:rsidR="002A0908">
        <w:noBreakHyphen/>
      </w:r>
      <w:r>
        <w:t>18. The average occupancy in residential care continued to fall, 90.3 per cent in 2017-18, down from 91.8 per cent in 2016-17 and 92.4 per cent in 2015-16</w:t>
      </w:r>
      <w:r w:rsidR="00A037FC">
        <w:t xml:space="preserve"> (</w:t>
      </w:r>
      <w:r w:rsidR="00CE1DD4">
        <w:t>Table 1</w:t>
      </w:r>
      <w:r w:rsidR="00A037FC">
        <w:t>)</w:t>
      </w:r>
      <w:r w:rsidR="00FD22B5">
        <w:t>, and a peak of 97.1</w:t>
      </w:r>
      <w:r w:rsidR="002A0908">
        <w:t xml:space="preserve"> per cent</w:t>
      </w:r>
      <w:r w:rsidR="00FD22B5">
        <w:t xml:space="preserve"> in 2003-04</w:t>
      </w:r>
      <w:r>
        <w:t>.</w:t>
      </w:r>
    </w:p>
    <w:p w14:paraId="071EEC9E" w14:textId="1BAECCD7" w:rsidR="00A037FC" w:rsidRPr="0067226F" w:rsidRDefault="00A037FC" w:rsidP="0067226F">
      <w:pPr>
        <w:pStyle w:val="TableTitle"/>
      </w:pPr>
      <w:r w:rsidRPr="0067226F">
        <w:t>Table</w:t>
      </w:r>
      <w:r w:rsidR="00822013" w:rsidRPr="0067226F">
        <w:t xml:space="preserve"> 1:</w:t>
      </w:r>
      <w:r w:rsidRPr="0067226F">
        <w:t xml:space="preserve"> Occupancy rates</w:t>
      </w:r>
      <w:r w:rsidR="00822013" w:rsidRPr="0067226F">
        <w:t xml:space="preserve"> in residential care</w:t>
      </w:r>
      <w:r w:rsidRPr="0067226F">
        <w:t xml:space="preserve">, by </w:t>
      </w:r>
      <w:r w:rsidR="00822013" w:rsidRPr="0067226F">
        <w:t>ownership</w:t>
      </w:r>
      <w:r w:rsidRPr="0067226F">
        <w:t xml:space="preserve"> type, 2013-14 to 2017-18</w:t>
      </w:r>
    </w:p>
    <w:tbl>
      <w:tblPr>
        <w:tblW w:w="9440" w:type="dxa"/>
        <w:tblInd w:w="108" w:type="dxa"/>
        <w:tblLook w:val="04A0" w:firstRow="1" w:lastRow="0" w:firstColumn="1" w:lastColumn="0" w:noHBand="0" w:noVBand="1"/>
      </w:tblPr>
      <w:tblGrid>
        <w:gridCol w:w="2640"/>
        <w:gridCol w:w="1360"/>
        <w:gridCol w:w="1360"/>
        <w:gridCol w:w="1360"/>
        <w:gridCol w:w="1360"/>
        <w:gridCol w:w="1360"/>
      </w:tblGrid>
      <w:tr w:rsidR="00A037FC" w14:paraId="524F2D62" w14:textId="77777777" w:rsidTr="00ED1FFB">
        <w:trPr>
          <w:trHeight w:val="424"/>
        </w:trPr>
        <w:tc>
          <w:tcPr>
            <w:tcW w:w="2640" w:type="dxa"/>
            <w:tcBorders>
              <w:top w:val="single" w:sz="12" w:space="0" w:color="00B0F0"/>
              <w:left w:val="nil"/>
              <w:bottom w:val="single" w:sz="4" w:space="0" w:color="00B0F0"/>
              <w:right w:val="nil"/>
            </w:tcBorders>
            <w:shd w:val="clear" w:color="auto" w:fill="auto"/>
            <w:noWrap/>
            <w:vAlign w:val="center"/>
            <w:hideMark/>
          </w:tcPr>
          <w:p w14:paraId="48680F50" w14:textId="35687FCC" w:rsidR="00A037FC" w:rsidRPr="00E4431D" w:rsidRDefault="003567C9" w:rsidP="00ED1FFB">
            <w:pPr>
              <w:rPr>
                <w:rFonts w:ascii="Calibri" w:hAnsi="Calibri" w:cs="Calibri"/>
                <w:color w:val="00B0F0"/>
                <w:sz w:val="18"/>
                <w:szCs w:val="18"/>
                <w:lang w:eastAsia="en-AU"/>
              </w:rPr>
            </w:pPr>
            <w:r>
              <w:rPr>
                <w:rFonts w:ascii="Calibri" w:hAnsi="Calibri" w:cs="Calibri"/>
                <w:color w:val="00B0F0"/>
                <w:sz w:val="18"/>
                <w:szCs w:val="18"/>
              </w:rPr>
              <w:t>Ownership</w:t>
            </w:r>
            <w:r w:rsidR="00D45620">
              <w:rPr>
                <w:rFonts w:ascii="Calibri" w:hAnsi="Calibri" w:cs="Calibri"/>
                <w:color w:val="00B0F0"/>
                <w:sz w:val="18"/>
                <w:szCs w:val="18"/>
              </w:rPr>
              <w:t xml:space="preserve"> Type</w:t>
            </w:r>
          </w:p>
        </w:tc>
        <w:tc>
          <w:tcPr>
            <w:tcW w:w="1360" w:type="dxa"/>
            <w:tcBorders>
              <w:top w:val="single" w:sz="12" w:space="0" w:color="00B0F0"/>
              <w:left w:val="nil"/>
              <w:bottom w:val="single" w:sz="4" w:space="0" w:color="00B0F0"/>
              <w:right w:val="nil"/>
            </w:tcBorders>
            <w:shd w:val="clear" w:color="auto" w:fill="auto"/>
            <w:vAlign w:val="center"/>
            <w:hideMark/>
          </w:tcPr>
          <w:p w14:paraId="5B204674" w14:textId="77777777" w:rsidR="00A037FC" w:rsidRPr="00E4431D" w:rsidRDefault="00A037FC" w:rsidP="00ED1FFB">
            <w:pPr>
              <w:jc w:val="right"/>
              <w:rPr>
                <w:rFonts w:ascii="Calibri" w:hAnsi="Calibri" w:cs="Calibri"/>
                <w:color w:val="00B0F0"/>
                <w:sz w:val="18"/>
                <w:szCs w:val="18"/>
              </w:rPr>
            </w:pPr>
            <w:r w:rsidRPr="00E4431D">
              <w:rPr>
                <w:rFonts w:ascii="Calibri" w:hAnsi="Calibri" w:cs="Calibri"/>
                <w:color w:val="00B0F0"/>
                <w:sz w:val="18"/>
                <w:szCs w:val="18"/>
              </w:rPr>
              <w:t>2013-14</w:t>
            </w:r>
          </w:p>
        </w:tc>
        <w:tc>
          <w:tcPr>
            <w:tcW w:w="1360" w:type="dxa"/>
            <w:tcBorders>
              <w:top w:val="single" w:sz="12" w:space="0" w:color="00B0F0"/>
              <w:left w:val="nil"/>
              <w:bottom w:val="single" w:sz="4" w:space="0" w:color="00B0F0"/>
              <w:right w:val="nil"/>
            </w:tcBorders>
            <w:shd w:val="clear" w:color="auto" w:fill="auto"/>
            <w:vAlign w:val="center"/>
            <w:hideMark/>
          </w:tcPr>
          <w:p w14:paraId="003BBA8B" w14:textId="77777777" w:rsidR="00A037FC" w:rsidRPr="00E4431D" w:rsidRDefault="00A037FC" w:rsidP="00ED1FFB">
            <w:pPr>
              <w:jc w:val="right"/>
              <w:rPr>
                <w:rFonts w:ascii="Calibri" w:hAnsi="Calibri" w:cs="Calibri"/>
                <w:color w:val="00B0F0"/>
                <w:sz w:val="18"/>
                <w:szCs w:val="18"/>
              </w:rPr>
            </w:pPr>
            <w:r w:rsidRPr="00E4431D">
              <w:rPr>
                <w:rFonts w:ascii="Calibri" w:hAnsi="Calibri" w:cs="Calibri"/>
                <w:color w:val="00B0F0"/>
                <w:sz w:val="18"/>
                <w:szCs w:val="18"/>
              </w:rPr>
              <w:t>2014-15</w:t>
            </w:r>
          </w:p>
        </w:tc>
        <w:tc>
          <w:tcPr>
            <w:tcW w:w="1360" w:type="dxa"/>
            <w:tcBorders>
              <w:top w:val="single" w:sz="12" w:space="0" w:color="00B0F0"/>
              <w:left w:val="nil"/>
              <w:bottom w:val="single" w:sz="4" w:space="0" w:color="00B0F0"/>
              <w:right w:val="nil"/>
            </w:tcBorders>
            <w:shd w:val="clear" w:color="auto" w:fill="auto"/>
            <w:vAlign w:val="center"/>
            <w:hideMark/>
          </w:tcPr>
          <w:p w14:paraId="0E701747" w14:textId="77777777" w:rsidR="00A037FC" w:rsidRPr="00E4431D" w:rsidRDefault="00A037FC" w:rsidP="00ED1FFB">
            <w:pPr>
              <w:jc w:val="right"/>
              <w:rPr>
                <w:rFonts w:ascii="Calibri" w:hAnsi="Calibri" w:cs="Calibri"/>
                <w:color w:val="00B0F0"/>
                <w:sz w:val="18"/>
                <w:szCs w:val="18"/>
              </w:rPr>
            </w:pPr>
            <w:r w:rsidRPr="00E4431D">
              <w:rPr>
                <w:rFonts w:ascii="Calibri" w:hAnsi="Calibri" w:cs="Calibri"/>
                <w:color w:val="00B0F0"/>
                <w:sz w:val="18"/>
                <w:szCs w:val="18"/>
              </w:rPr>
              <w:t>2015-16</w:t>
            </w:r>
          </w:p>
        </w:tc>
        <w:tc>
          <w:tcPr>
            <w:tcW w:w="1360" w:type="dxa"/>
            <w:tcBorders>
              <w:top w:val="single" w:sz="12" w:space="0" w:color="00B0F0"/>
              <w:left w:val="nil"/>
              <w:bottom w:val="single" w:sz="4" w:space="0" w:color="00B0F0"/>
              <w:right w:val="nil"/>
            </w:tcBorders>
            <w:shd w:val="clear" w:color="auto" w:fill="auto"/>
            <w:noWrap/>
            <w:vAlign w:val="center"/>
            <w:hideMark/>
          </w:tcPr>
          <w:p w14:paraId="7D39BBC8" w14:textId="77777777" w:rsidR="00A037FC" w:rsidRPr="00E4431D" w:rsidRDefault="00A037FC" w:rsidP="00ED1FFB">
            <w:pPr>
              <w:jc w:val="right"/>
              <w:rPr>
                <w:rFonts w:ascii="Calibri" w:hAnsi="Calibri" w:cs="Calibri"/>
                <w:color w:val="00B0F0"/>
                <w:sz w:val="18"/>
                <w:szCs w:val="18"/>
              </w:rPr>
            </w:pPr>
            <w:r w:rsidRPr="00E4431D">
              <w:rPr>
                <w:rFonts w:ascii="Calibri" w:hAnsi="Calibri" w:cs="Calibri"/>
                <w:color w:val="00B0F0"/>
                <w:sz w:val="18"/>
                <w:szCs w:val="18"/>
              </w:rPr>
              <w:t>2016-17</w:t>
            </w:r>
          </w:p>
        </w:tc>
        <w:tc>
          <w:tcPr>
            <w:tcW w:w="1360" w:type="dxa"/>
            <w:tcBorders>
              <w:top w:val="single" w:sz="12" w:space="0" w:color="00B0F0"/>
              <w:left w:val="nil"/>
              <w:bottom w:val="single" w:sz="4" w:space="0" w:color="00B0F0"/>
              <w:right w:val="nil"/>
            </w:tcBorders>
            <w:shd w:val="clear" w:color="auto" w:fill="auto"/>
            <w:noWrap/>
            <w:vAlign w:val="center"/>
            <w:hideMark/>
          </w:tcPr>
          <w:p w14:paraId="2AE5F0AF" w14:textId="77777777" w:rsidR="00A037FC" w:rsidRPr="00E4431D" w:rsidRDefault="00A037FC" w:rsidP="00ED1FFB">
            <w:pPr>
              <w:jc w:val="right"/>
              <w:rPr>
                <w:rFonts w:ascii="Calibri" w:hAnsi="Calibri" w:cs="Calibri"/>
                <w:color w:val="00B0F0"/>
                <w:sz w:val="18"/>
                <w:szCs w:val="18"/>
              </w:rPr>
            </w:pPr>
            <w:r w:rsidRPr="00E4431D">
              <w:rPr>
                <w:rFonts w:ascii="Calibri" w:hAnsi="Calibri" w:cs="Calibri"/>
                <w:color w:val="00B0F0"/>
                <w:sz w:val="18"/>
                <w:szCs w:val="18"/>
              </w:rPr>
              <w:t>2017-18</w:t>
            </w:r>
          </w:p>
        </w:tc>
      </w:tr>
      <w:tr w:rsidR="00A037FC" w14:paraId="0B3DD3B6" w14:textId="77777777" w:rsidTr="00ED1FFB">
        <w:trPr>
          <w:trHeight w:val="424"/>
        </w:trPr>
        <w:tc>
          <w:tcPr>
            <w:tcW w:w="2640" w:type="dxa"/>
            <w:tcBorders>
              <w:top w:val="single" w:sz="4" w:space="0" w:color="00B0F0"/>
              <w:left w:val="nil"/>
              <w:bottom w:val="single" w:sz="4" w:space="0" w:color="auto"/>
              <w:right w:val="nil"/>
            </w:tcBorders>
            <w:shd w:val="clear" w:color="auto" w:fill="auto"/>
            <w:noWrap/>
            <w:vAlign w:val="center"/>
            <w:hideMark/>
          </w:tcPr>
          <w:p w14:paraId="428CF134" w14:textId="77777777" w:rsidR="00A037FC" w:rsidRDefault="00A037FC" w:rsidP="00ED1FFB">
            <w:pPr>
              <w:rPr>
                <w:rFonts w:ascii="Calibri" w:hAnsi="Calibri" w:cs="Calibri"/>
                <w:color w:val="000000"/>
                <w:sz w:val="18"/>
                <w:szCs w:val="18"/>
              </w:rPr>
            </w:pPr>
            <w:r>
              <w:rPr>
                <w:rFonts w:ascii="Calibri" w:hAnsi="Calibri" w:cs="Calibri"/>
                <w:color w:val="000000"/>
                <w:sz w:val="18"/>
                <w:szCs w:val="18"/>
              </w:rPr>
              <w:t>Not-for-profit</w:t>
            </w:r>
          </w:p>
        </w:tc>
        <w:tc>
          <w:tcPr>
            <w:tcW w:w="1360" w:type="dxa"/>
            <w:tcBorders>
              <w:top w:val="single" w:sz="4" w:space="0" w:color="00B0F0"/>
              <w:left w:val="nil"/>
              <w:bottom w:val="single" w:sz="4" w:space="0" w:color="auto"/>
              <w:right w:val="nil"/>
            </w:tcBorders>
            <w:shd w:val="clear" w:color="auto" w:fill="auto"/>
            <w:noWrap/>
            <w:vAlign w:val="center"/>
            <w:hideMark/>
          </w:tcPr>
          <w:p w14:paraId="340E213F"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94.6% </w:t>
            </w:r>
          </w:p>
        </w:tc>
        <w:tc>
          <w:tcPr>
            <w:tcW w:w="1360" w:type="dxa"/>
            <w:tcBorders>
              <w:top w:val="single" w:sz="4" w:space="0" w:color="00B0F0"/>
              <w:left w:val="nil"/>
              <w:bottom w:val="single" w:sz="4" w:space="0" w:color="auto"/>
              <w:right w:val="nil"/>
            </w:tcBorders>
            <w:shd w:val="clear" w:color="auto" w:fill="auto"/>
            <w:noWrap/>
            <w:vAlign w:val="center"/>
            <w:hideMark/>
          </w:tcPr>
          <w:p w14:paraId="1D1E410F"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94.0%</w:t>
            </w:r>
          </w:p>
        </w:tc>
        <w:tc>
          <w:tcPr>
            <w:tcW w:w="1360" w:type="dxa"/>
            <w:tcBorders>
              <w:top w:val="single" w:sz="4" w:space="0" w:color="00B0F0"/>
              <w:left w:val="nil"/>
              <w:bottom w:val="single" w:sz="4" w:space="0" w:color="auto"/>
              <w:right w:val="nil"/>
            </w:tcBorders>
            <w:shd w:val="clear" w:color="auto" w:fill="auto"/>
            <w:noWrap/>
            <w:vAlign w:val="center"/>
          </w:tcPr>
          <w:p w14:paraId="2CB2A7C1"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94.0%</w:t>
            </w:r>
          </w:p>
        </w:tc>
        <w:tc>
          <w:tcPr>
            <w:tcW w:w="1360" w:type="dxa"/>
            <w:tcBorders>
              <w:top w:val="single" w:sz="4" w:space="0" w:color="00B0F0"/>
              <w:left w:val="nil"/>
              <w:bottom w:val="single" w:sz="4" w:space="0" w:color="auto"/>
              <w:right w:val="nil"/>
            </w:tcBorders>
            <w:shd w:val="clear" w:color="auto" w:fill="auto"/>
            <w:noWrap/>
            <w:vAlign w:val="center"/>
          </w:tcPr>
          <w:p w14:paraId="5CDA5FA4"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93.0%</w:t>
            </w:r>
          </w:p>
        </w:tc>
        <w:tc>
          <w:tcPr>
            <w:tcW w:w="1360" w:type="dxa"/>
            <w:tcBorders>
              <w:top w:val="single" w:sz="4" w:space="0" w:color="00B0F0"/>
              <w:left w:val="nil"/>
              <w:bottom w:val="single" w:sz="4" w:space="0" w:color="auto"/>
              <w:right w:val="nil"/>
            </w:tcBorders>
            <w:shd w:val="clear" w:color="auto" w:fill="auto"/>
            <w:noWrap/>
            <w:vAlign w:val="center"/>
          </w:tcPr>
          <w:p w14:paraId="40941030"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92.1%</w:t>
            </w:r>
          </w:p>
        </w:tc>
      </w:tr>
      <w:tr w:rsidR="00A037FC" w14:paraId="41FED9FF" w14:textId="77777777" w:rsidTr="00ED1FFB">
        <w:trPr>
          <w:trHeight w:val="424"/>
        </w:trPr>
        <w:tc>
          <w:tcPr>
            <w:tcW w:w="2640" w:type="dxa"/>
            <w:tcBorders>
              <w:top w:val="nil"/>
              <w:left w:val="nil"/>
              <w:bottom w:val="single" w:sz="4" w:space="0" w:color="auto"/>
              <w:right w:val="nil"/>
            </w:tcBorders>
            <w:shd w:val="clear" w:color="auto" w:fill="auto"/>
            <w:noWrap/>
            <w:vAlign w:val="center"/>
            <w:hideMark/>
          </w:tcPr>
          <w:p w14:paraId="5DEFB186" w14:textId="77777777" w:rsidR="00A037FC" w:rsidRDefault="00A037FC" w:rsidP="00ED1FFB">
            <w:pPr>
              <w:rPr>
                <w:rFonts w:ascii="Calibri" w:hAnsi="Calibri" w:cs="Calibri"/>
                <w:color w:val="000000"/>
                <w:sz w:val="18"/>
                <w:szCs w:val="18"/>
              </w:rPr>
            </w:pPr>
            <w:r>
              <w:rPr>
                <w:rFonts w:ascii="Calibri" w:hAnsi="Calibri" w:cs="Calibri"/>
                <w:color w:val="000000"/>
                <w:sz w:val="18"/>
                <w:szCs w:val="18"/>
              </w:rPr>
              <w:t xml:space="preserve">For-profit </w:t>
            </w:r>
          </w:p>
        </w:tc>
        <w:tc>
          <w:tcPr>
            <w:tcW w:w="1360" w:type="dxa"/>
            <w:tcBorders>
              <w:top w:val="nil"/>
              <w:left w:val="nil"/>
              <w:bottom w:val="single" w:sz="4" w:space="0" w:color="auto"/>
              <w:right w:val="nil"/>
            </w:tcBorders>
            <w:shd w:val="clear" w:color="auto" w:fill="auto"/>
            <w:noWrap/>
            <w:vAlign w:val="center"/>
            <w:hideMark/>
          </w:tcPr>
          <w:p w14:paraId="4F7A5BAA"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91.0% </w:t>
            </w:r>
          </w:p>
        </w:tc>
        <w:tc>
          <w:tcPr>
            <w:tcW w:w="1360" w:type="dxa"/>
            <w:tcBorders>
              <w:top w:val="nil"/>
              <w:left w:val="nil"/>
              <w:bottom w:val="single" w:sz="4" w:space="0" w:color="auto"/>
              <w:right w:val="nil"/>
            </w:tcBorders>
            <w:shd w:val="clear" w:color="auto" w:fill="auto"/>
            <w:noWrap/>
            <w:vAlign w:val="center"/>
            <w:hideMark/>
          </w:tcPr>
          <w:p w14:paraId="241B5782"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 91.0%</w:t>
            </w:r>
          </w:p>
        </w:tc>
        <w:tc>
          <w:tcPr>
            <w:tcW w:w="1360" w:type="dxa"/>
            <w:tcBorders>
              <w:top w:val="nil"/>
              <w:left w:val="nil"/>
              <w:bottom w:val="single" w:sz="4" w:space="0" w:color="auto"/>
              <w:right w:val="nil"/>
            </w:tcBorders>
            <w:shd w:val="clear" w:color="auto" w:fill="auto"/>
            <w:noWrap/>
            <w:vAlign w:val="center"/>
          </w:tcPr>
          <w:p w14:paraId="47F8EC65"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91.0%</w:t>
            </w:r>
          </w:p>
        </w:tc>
        <w:tc>
          <w:tcPr>
            <w:tcW w:w="1360" w:type="dxa"/>
            <w:tcBorders>
              <w:top w:val="nil"/>
              <w:left w:val="nil"/>
              <w:bottom w:val="single" w:sz="4" w:space="0" w:color="auto"/>
              <w:right w:val="nil"/>
            </w:tcBorders>
            <w:shd w:val="clear" w:color="auto" w:fill="auto"/>
            <w:noWrap/>
            <w:vAlign w:val="center"/>
          </w:tcPr>
          <w:p w14:paraId="3391B430"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90.0%</w:t>
            </w:r>
          </w:p>
        </w:tc>
        <w:tc>
          <w:tcPr>
            <w:tcW w:w="1360" w:type="dxa"/>
            <w:tcBorders>
              <w:top w:val="nil"/>
              <w:left w:val="nil"/>
              <w:bottom w:val="single" w:sz="4" w:space="0" w:color="auto"/>
              <w:right w:val="nil"/>
            </w:tcBorders>
            <w:shd w:val="clear" w:color="auto" w:fill="auto"/>
            <w:noWrap/>
            <w:vAlign w:val="center"/>
          </w:tcPr>
          <w:p w14:paraId="77BA5293"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87.9%</w:t>
            </w:r>
          </w:p>
        </w:tc>
      </w:tr>
      <w:tr w:rsidR="00A037FC" w14:paraId="5C42EBDD" w14:textId="77777777" w:rsidTr="00ED1FFB">
        <w:trPr>
          <w:trHeight w:val="424"/>
        </w:trPr>
        <w:tc>
          <w:tcPr>
            <w:tcW w:w="2640" w:type="dxa"/>
            <w:tcBorders>
              <w:top w:val="nil"/>
              <w:left w:val="nil"/>
              <w:bottom w:val="single" w:sz="4" w:space="0" w:color="auto"/>
              <w:right w:val="nil"/>
            </w:tcBorders>
            <w:shd w:val="clear" w:color="auto" w:fill="auto"/>
            <w:noWrap/>
            <w:vAlign w:val="center"/>
            <w:hideMark/>
          </w:tcPr>
          <w:p w14:paraId="68FDEA92" w14:textId="77777777" w:rsidR="00A037FC" w:rsidRDefault="00A037FC" w:rsidP="00ED1FFB">
            <w:pPr>
              <w:rPr>
                <w:rFonts w:ascii="Calibri" w:hAnsi="Calibri" w:cs="Calibri"/>
                <w:color w:val="000000"/>
                <w:sz w:val="18"/>
                <w:szCs w:val="18"/>
              </w:rPr>
            </w:pPr>
            <w:r>
              <w:rPr>
                <w:rFonts w:ascii="Calibri" w:hAnsi="Calibri" w:cs="Calibri"/>
                <w:color w:val="000000"/>
                <w:sz w:val="18"/>
                <w:szCs w:val="18"/>
              </w:rPr>
              <w:t xml:space="preserve">Government </w:t>
            </w:r>
          </w:p>
        </w:tc>
        <w:tc>
          <w:tcPr>
            <w:tcW w:w="1360" w:type="dxa"/>
            <w:tcBorders>
              <w:top w:val="nil"/>
              <w:left w:val="nil"/>
              <w:bottom w:val="single" w:sz="4" w:space="0" w:color="auto"/>
              <w:right w:val="nil"/>
            </w:tcBorders>
            <w:shd w:val="clear" w:color="auto" w:fill="auto"/>
            <w:noWrap/>
            <w:vAlign w:val="center"/>
            <w:hideMark/>
          </w:tcPr>
          <w:p w14:paraId="701CC232"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90.0% </w:t>
            </w:r>
          </w:p>
        </w:tc>
        <w:tc>
          <w:tcPr>
            <w:tcW w:w="1360" w:type="dxa"/>
            <w:tcBorders>
              <w:top w:val="nil"/>
              <w:left w:val="nil"/>
              <w:bottom w:val="single" w:sz="4" w:space="0" w:color="auto"/>
              <w:right w:val="nil"/>
            </w:tcBorders>
            <w:shd w:val="clear" w:color="auto" w:fill="auto"/>
            <w:noWrap/>
            <w:vAlign w:val="center"/>
            <w:hideMark/>
          </w:tcPr>
          <w:p w14:paraId="1A52EC3B"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 89.0%</w:t>
            </w:r>
          </w:p>
        </w:tc>
        <w:tc>
          <w:tcPr>
            <w:tcW w:w="1360" w:type="dxa"/>
            <w:tcBorders>
              <w:top w:val="nil"/>
              <w:left w:val="nil"/>
              <w:bottom w:val="single" w:sz="4" w:space="0" w:color="auto"/>
              <w:right w:val="nil"/>
            </w:tcBorders>
            <w:shd w:val="clear" w:color="auto" w:fill="auto"/>
            <w:noWrap/>
            <w:vAlign w:val="center"/>
          </w:tcPr>
          <w:p w14:paraId="7A3D54D8"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90.0%</w:t>
            </w:r>
          </w:p>
        </w:tc>
        <w:tc>
          <w:tcPr>
            <w:tcW w:w="1360" w:type="dxa"/>
            <w:tcBorders>
              <w:top w:val="nil"/>
              <w:left w:val="nil"/>
              <w:bottom w:val="single" w:sz="4" w:space="0" w:color="auto"/>
              <w:right w:val="nil"/>
            </w:tcBorders>
            <w:shd w:val="clear" w:color="auto" w:fill="auto"/>
            <w:noWrap/>
            <w:vAlign w:val="center"/>
          </w:tcPr>
          <w:p w14:paraId="1DECD244"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90.0%</w:t>
            </w:r>
          </w:p>
        </w:tc>
        <w:tc>
          <w:tcPr>
            <w:tcW w:w="1360" w:type="dxa"/>
            <w:tcBorders>
              <w:top w:val="nil"/>
              <w:left w:val="nil"/>
              <w:bottom w:val="single" w:sz="4" w:space="0" w:color="auto"/>
              <w:right w:val="nil"/>
            </w:tcBorders>
            <w:shd w:val="clear" w:color="auto" w:fill="auto"/>
            <w:noWrap/>
            <w:vAlign w:val="center"/>
          </w:tcPr>
          <w:p w14:paraId="214B2E7B" w14:textId="77777777" w:rsidR="00A037FC" w:rsidRDefault="00A037FC" w:rsidP="00ED1FFB">
            <w:pPr>
              <w:jc w:val="right"/>
              <w:rPr>
                <w:rFonts w:ascii="Calibri" w:hAnsi="Calibri" w:cs="Calibri"/>
                <w:color w:val="000000"/>
                <w:sz w:val="18"/>
                <w:szCs w:val="18"/>
              </w:rPr>
            </w:pPr>
            <w:r>
              <w:rPr>
                <w:rFonts w:ascii="Calibri" w:hAnsi="Calibri" w:cs="Calibri"/>
                <w:color w:val="000000"/>
                <w:sz w:val="18"/>
                <w:szCs w:val="18"/>
              </w:rPr>
              <w:t>90.3%</w:t>
            </w:r>
          </w:p>
        </w:tc>
      </w:tr>
      <w:tr w:rsidR="00A037FC" w14:paraId="520786BF" w14:textId="77777777" w:rsidTr="00ED1FFB">
        <w:trPr>
          <w:trHeight w:val="424"/>
        </w:trPr>
        <w:tc>
          <w:tcPr>
            <w:tcW w:w="2640" w:type="dxa"/>
            <w:tcBorders>
              <w:top w:val="single" w:sz="4" w:space="0" w:color="auto"/>
              <w:left w:val="nil"/>
              <w:bottom w:val="single" w:sz="12" w:space="0" w:color="auto"/>
              <w:right w:val="nil"/>
            </w:tcBorders>
            <w:shd w:val="clear" w:color="auto" w:fill="auto"/>
            <w:noWrap/>
            <w:vAlign w:val="center"/>
            <w:hideMark/>
          </w:tcPr>
          <w:p w14:paraId="0E5F6C8F" w14:textId="77777777" w:rsidR="00A037FC" w:rsidRDefault="00A037FC" w:rsidP="00ED1FFB">
            <w:pPr>
              <w:rPr>
                <w:rFonts w:ascii="Calibri" w:hAnsi="Calibri" w:cs="Calibri"/>
                <w:b/>
                <w:bCs/>
                <w:color w:val="000000"/>
                <w:sz w:val="18"/>
                <w:szCs w:val="18"/>
              </w:rPr>
            </w:pPr>
            <w:r>
              <w:rPr>
                <w:rFonts w:ascii="Calibri" w:hAnsi="Calibri" w:cs="Calibri"/>
                <w:b/>
                <w:bCs/>
                <w:color w:val="000000"/>
                <w:sz w:val="18"/>
                <w:szCs w:val="18"/>
              </w:rPr>
              <w:t>Australia</w:t>
            </w:r>
          </w:p>
        </w:tc>
        <w:tc>
          <w:tcPr>
            <w:tcW w:w="1360" w:type="dxa"/>
            <w:tcBorders>
              <w:top w:val="single" w:sz="4" w:space="0" w:color="auto"/>
              <w:left w:val="nil"/>
              <w:bottom w:val="single" w:sz="12" w:space="0" w:color="auto"/>
              <w:right w:val="nil"/>
            </w:tcBorders>
            <w:shd w:val="clear" w:color="auto" w:fill="auto"/>
            <w:noWrap/>
            <w:vAlign w:val="center"/>
            <w:hideMark/>
          </w:tcPr>
          <w:p w14:paraId="7DD4534E" w14:textId="77777777" w:rsidR="00A037FC" w:rsidRDefault="00A037FC" w:rsidP="00ED1FFB">
            <w:pPr>
              <w:jc w:val="right"/>
              <w:rPr>
                <w:rFonts w:ascii="Calibri" w:hAnsi="Calibri" w:cs="Calibri"/>
                <w:b/>
                <w:bCs/>
                <w:color w:val="000000"/>
                <w:sz w:val="18"/>
                <w:szCs w:val="18"/>
              </w:rPr>
            </w:pPr>
            <w:r>
              <w:rPr>
                <w:rFonts w:ascii="Calibri" w:hAnsi="Calibri" w:cs="Calibri"/>
                <w:b/>
                <w:bCs/>
                <w:color w:val="000000"/>
                <w:sz w:val="18"/>
                <w:szCs w:val="18"/>
              </w:rPr>
              <w:t>93.0% </w:t>
            </w:r>
          </w:p>
        </w:tc>
        <w:tc>
          <w:tcPr>
            <w:tcW w:w="1360" w:type="dxa"/>
            <w:tcBorders>
              <w:top w:val="single" w:sz="4" w:space="0" w:color="auto"/>
              <w:left w:val="nil"/>
              <w:bottom w:val="single" w:sz="12" w:space="0" w:color="auto"/>
              <w:right w:val="nil"/>
            </w:tcBorders>
            <w:shd w:val="clear" w:color="auto" w:fill="auto"/>
            <w:noWrap/>
            <w:vAlign w:val="center"/>
            <w:hideMark/>
          </w:tcPr>
          <w:p w14:paraId="558CE1BA" w14:textId="77777777" w:rsidR="00A037FC" w:rsidRDefault="00A037FC" w:rsidP="00ED1FFB">
            <w:pPr>
              <w:jc w:val="right"/>
              <w:rPr>
                <w:rFonts w:ascii="Calibri" w:hAnsi="Calibri" w:cs="Calibri"/>
                <w:b/>
                <w:bCs/>
                <w:color w:val="000000"/>
                <w:sz w:val="18"/>
                <w:szCs w:val="18"/>
              </w:rPr>
            </w:pPr>
            <w:r>
              <w:rPr>
                <w:rFonts w:ascii="Calibri" w:hAnsi="Calibri" w:cs="Calibri"/>
                <w:b/>
                <w:bCs/>
                <w:color w:val="000000"/>
                <w:sz w:val="18"/>
                <w:szCs w:val="18"/>
              </w:rPr>
              <w:t>92.5% </w:t>
            </w:r>
          </w:p>
        </w:tc>
        <w:tc>
          <w:tcPr>
            <w:tcW w:w="1360" w:type="dxa"/>
            <w:tcBorders>
              <w:top w:val="single" w:sz="4" w:space="0" w:color="auto"/>
              <w:left w:val="nil"/>
              <w:bottom w:val="single" w:sz="12" w:space="0" w:color="auto"/>
              <w:right w:val="nil"/>
            </w:tcBorders>
            <w:shd w:val="clear" w:color="auto" w:fill="auto"/>
            <w:noWrap/>
            <w:vAlign w:val="center"/>
          </w:tcPr>
          <w:p w14:paraId="18BC894B" w14:textId="77777777" w:rsidR="00A037FC" w:rsidRDefault="00A037FC" w:rsidP="00ED1FFB">
            <w:pPr>
              <w:jc w:val="right"/>
              <w:rPr>
                <w:rFonts w:ascii="Calibri" w:hAnsi="Calibri" w:cs="Calibri"/>
                <w:b/>
                <w:bCs/>
                <w:color w:val="000000"/>
                <w:sz w:val="18"/>
                <w:szCs w:val="18"/>
              </w:rPr>
            </w:pPr>
            <w:r>
              <w:rPr>
                <w:rFonts w:ascii="Calibri" w:hAnsi="Calibri" w:cs="Calibri"/>
                <w:b/>
                <w:bCs/>
                <w:color w:val="000000"/>
                <w:sz w:val="18"/>
                <w:szCs w:val="18"/>
              </w:rPr>
              <w:t>92.4%</w:t>
            </w:r>
          </w:p>
        </w:tc>
        <w:tc>
          <w:tcPr>
            <w:tcW w:w="1360" w:type="dxa"/>
            <w:tcBorders>
              <w:top w:val="single" w:sz="4" w:space="0" w:color="auto"/>
              <w:left w:val="nil"/>
              <w:bottom w:val="single" w:sz="12" w:space="0" w:color="auto"/>
              <w:right w:val="nil"/>
            </w:tcBorders>
            <w:shd w:val="clear" w:color="auto" w:fill="auto"/>
            <w:noWrap/>
            <w:vAlign w:val="center"/>
          </w:tcPr>
          <w:p w14:paraId="13EBCB3B" w14:textId="77777777" w:rsidR="00A037FC" w:rsidRDefault="00A037FC" w:rsidP="00ED1FFB">
            <w:pPr>
              <w:jc w:val="right"/>
              <w:rPr>
                <w:rFonts w:ascii="Calibri" w:hAnsi="Calibri" w:cs="Calibri"/>
                <w:b/>
                <w:bCs/>
                <w:color w:val="000000"/>
                <w:sz w:val="18"/>
                <w:szCs w:val="18"/>
              </w:rPr>
            </w:pPr>
            <w:r>
              <w:rPr>
                <w:rFonts w:ascii="Calibri" w:hAnsi="Calibri" w:cs="Calibri"/>
                <w:b/>
                <w:bCs/>
                <w:color w:val="000000"/>
                <w:sz w:val="18"/>
                <w:szCs w:val="18"/>
              </w:rPr>
              <w:t>91.8%</w:t>
            </w:r>
          </w:p>
        </w:tc>
        <w:tc>
          <w:tcPr>
            <w:tcW w:w="1360" w:type="dxa"/>
            <w:tcBorders>
              <w:top w:val="single" w:sz="4" w:space="0" w:color="auto"/>
              <w:left w:val="nil"/>
              <w:bottom w:val="single" w:sz="12" w:space="0" w:color="auto"/>
              <w:right w:val="nil"/>
            </w:tcBorders>
            <w:shd w:val="clear" w:color="auto" w:fill="auto"/>
            <w:noWrap/>
            <w:vAlign w:val="center"/>
          </w:tcPr>
          <w:p w14:paraId="57E046C3" w14:textId="77777777" w:rsidR="00A037FC" w:rsidRDefault="00A037FC" w:rsidP="00ED1FFB">
            <w:pPr>
              <w:jc w:val="right"/>
              <w:rPr>
                <w:rFonts w:ascii="Calibri" w:hAnsi="Calibri" w:cs="Calibri"/>
                <w:b/>
                <w:bCs/>
                <w:color w:val="000000"/>
                <w:sz w:val="18"/>
                <w:szCs w:val="18"/>
              </w:rPr>
            </w:pPr>
            <w:r>
              <w:rPr>
                <w:rFonts w:ascii="Calibri" w:hAnsi="Calibri" w:cs="Calibri"/>
                <w:b/>
                <w:bCs/>
                <w:color w:val="000000"/>
                <w:sz w:val="18"/>
                <w:szCs w:val="18"/>
              </w:rPr>
              <w:t>90.3%</w:t>
            </w:r>
          </w:p>
        </w:tc>
      </w:tr>
    </w:tbl>
    <w:p w14:paraId="05C93A69" w14:textId="77777777" w:rsidR="00A037FC" w:rsidRDefault="00FD22B5" w:rsidP="00174B49">
      <w:r>
        <w:lastRenderedPageBreak/>
        <w:t>While occupancy has been falling in residential care, new data available since the creation of the National Prioritisation System for home care packages</w:t>
      </w:r>
      <w:r w:rsidR="00D345FF">
        <w:t>,</w:t>
      </w:r>
      <w:r>
        <w:t xml:space="preserve"> following the assignment of packages to consumers </w:t>
      </w:r>
      <w:r w:rsidR="00C65A61">
        <w:t>rather than allocation to providers</w:t>
      </w:r>
      <w:r w:rsidR="00D345FF">
        <w:t>,</w:t>
      </w:r>
      <w:r w:rsidR="00C65A61">
        <w:t xml:space="preserve"> </w:t>
      </w:r>
      <w:r>
        <w:t xml:space="preserve">has provided information for the first time about the level of unmet demand for home care packages. At 30 September 2018, there were 127,748 consumers registered on the National Prioritisation System as either waiting for a package or accessing a package </w:t>
      </w:r>
      <w:r w:rsidR="00C65A61">
        <w:t xml:space="preserve">whose funding level was </w:t>
      </w:r>
      <w:r>
        <w:t>below their assessed need.</w:t>
      </w:r>
    </w:p>
    <w:p w14:paraId="0F6A0F6D" w14:textId="77777777" w:rsidR="00CE137C" w:rsidRDefault="00A037FC" w:rsidP="0067226F">
      <w:pPr>
        <w:pStyle w:val="Heading2"/>
        <w:spacing w:before="240"/>
      </w:pPr>
      <w:r>
        <w:t>Financial performance of providers</w:t>
      </w:r>
    </w:p>
    <w:p w14:paraId="72DE83A3" w14:textId="77777777" w:rsidR="00A037FC" w:rsidRPr="0067226F" w:rsidRDefault="00A037FC" w:rsidP="0067226F">
      <w:pPr>
        <w:pStyle w:val="Heading3"/>
      </w:pPr>
      <w:r w:rsidRPr="0067226F">
        <w:t>Home care</w:t>
      </w:r>
    </w:p>
    <w:p w14:paraId="5D6D0983" w14:textId="77777777" w:rsidR="00F459A5" w:rsidRDefault="00C03AC1" w:rsidP="00551327">
      <w:r w:rsidRPr="00551327">
        <w:t>In terms of profit</w:t>
      </w:r>
      <w:r w:rsidR="00975A4F" w:rsidRPr="00551327">
        <w:t xml:space="preserve"> </w:t>
      </w:r>
      <w:r w:rsidRPr="00551327">
        <w:t xml:space="preserve">per consumer, both Earnings Before Interest Tax Depreciation and Amortization </w:t>
      </w:r>
      <w:r w:rsidR="0061030A" w:rsidRPr="00551327">
        <w:t>(EBITDA</w:t>
      </w:r>
      <w:r w:rsidRPr="00551327">
        <w:t xml:space="preserve">) and Net Profit Before Tax </w:t>
      </w:r>
      <w:r w:rsidR="0061030A" w:rsidRPr="00551327">
        <w:t>(NPBT</w:t>
      </w:r>
      <w:r w:rsidRPr="00551327">
        <w:t xml:space="preserve">) for home care providers fell significantly in 2017-18. Average EBITDA per consumer </w:t>
      </w:r>
      <w:r w:rsidR="00E45982" w:rsidRPr="00551327">
        <w:t>dropped to $1</w:t>
      </w:r>
      <w:r w:rsidR="000B644B" w:rsidRPr="00551327">
        <w:t>,</w:t>
      </w:r>
      <w:r w:rsidR="00E45982" w:rsidRPr="00551327">
        <w:t>217 from around $3</w:t>
      </w:r>
      <w:r w:rsidR="000B644B" w:rsidRPr="00551327">
        <w:t>,</w:t>
      </w:r>
      <w:r w:rsidR="00E45982" w:rsidRPr="00551327">
        <w:t>000 for the previous three years. Average NPBT per consumer declined to $947 in 2017-18 from $2</w:t>
      </w:r>
      <w:r w:rsidR="000B644B" w:rsidRPr="00551327">
        <w:t>,</w:t>
      </w:r>
      <w:r w:rsidR="00E45982" w:rsidRPr="00551327">
        <w:t xml:space="preserve">837 in 2016-17 </w:t>
      </w:r>
      <w:r w:rsidR="00EA1FB1" w:rsidRPr="00551327">
        <w:t>(Chart</w:t>
      </w:r>
      <w:r w:rsidR="00E45982" w:rsidRPr="00551327">
        <w:t xml:space="preserve"> </w:t>
      </w:r>
      <w:r w:rsidR="0061030A" w:rsidRPr="00551327">
        <w:t>3)</w:t>
      </w:r>
      <w:r w:rsidR="00E45982" w:rsidRPr="00551327">
        <w:t>.</w:t>
      </w:r>
    </w:p>
    <w:p w14:paraId="18EEC04B" w14:textId="77777777" w:rsidR="00822013" w:rsidRPr="00551327" w:rsidRDefault="00822013" w:rsidP="00551327"/>
    <w:p w14:paraId="3B12C5D3" w14:textId="1A53CB66" w:rsidR="005071F5" w:rsidRPr="007D69AD" w:rsidRDefault="005071F5" w:rsidP="0067226F">
      <w:pPr>
        <w:pStyle w:val="ChartTitle"/>
      </w:pPr>
      <w:r>
        <w:t xml:space="preserve">Chart 3: </w:t>
      </w:r>
      <w:r w:rsidR="00F459A5">
        <w:t>Home care p</w:t>
      </w:r>
      <w:r w:rsidRPr="007D69AD">
        <w:t>rovider average EBITDA per consumer</w:t>
      </w:r>
      <w:r w:rsidR="00822013">
        <w:t>,</w:t>
      </w:r>
      <w:r w:rsidRPr="007D69AD">
        <w:t xml:space="preserve"> 2017-18, by quartile (number of providers in parentheses)</w:t>
      </w:r>
    </w:p>
    <w:p w14:paraId="5A3C0452" w14:textId="77777777" w:rsidR="005071F5" w:rsidRDefault="005071F5" w:rsidP="004E56D8">
      <w:pPr>
        <w:jc w:val="center"/>
      </w:pPr>
      <w:r>
        <w:rPr>
          <w:rFonts w:ascii="Segoe UI" w:hAnsi="Segoe UI" w:cs="Segoe UI"/>
          <w:noProof/>
          <w:lang w:eastAsia="en-AU"/>
        </w:rPr>
        <w:drawing>
          <wp:inline distT="0" distB="0" distL="0" distR="0" wp14:anchorId="228ADCB3" wp14:editId="6FFB32DF">
            <wp:extent cx="5731510" cy="3037302"/>
            <wp:effectExtent l="0" t="0" r="2540" b="0"/>
            <wp:docPr id="9" name="Picture 9" descr="This chart shows by quartile home care provider average EBITDA per consumer in 2017-18. " title="Chart 3: Home care provider average EBITDA per consumer, 2017-18, by quartile (number of providers in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3037302"/>
                    </a:xfrm>
                    <a:prstGeom prst="rect">
                      <a:avLst/>
                    </a:prstGeom>
                    <a:noFill/>
                  </pic:spPr>
                </pic:pic>
              </a:graphicData>
            </a:graphic>
          </wp:inline>
        </w:drawing>
      </w:r>
    </w:p>
    <w:p w14:paraId="4B7EA15E" w14:textId="4E0D8418" w:rsidR="00CE137C" w:rsidRDefault="00A85A51" w:rsidP="00A85A51">
      <w:r>
        <w:t xml:space="preserve">After significantly outperforming the not-for-profit and government home care providers in the previous two years, the for-profit providers had by far the worst results in 2017-18. The for-profit home care providers recorded an average EBITDA per </w:t>
      </w:r>
      <w:r w:rsidR="005071F5">
        <w:t>consumer</w:t>
      </w:r>
      <w:r>
        <w:t xml:space="preserve"> of $169 compared with $6</w:t>
      </w:r>
      <w:r w:rsidR="000B644B">
        <w:t>,</w:t>
      </w:r>
      <w:r>
        <w:t>767 in 2016-17 and $7</w:t>
      </w:r>
      <w:r w:rsidR="000B644B">
        <w:t>,</w:t>
      </w:r>
      <w:r>
        <w:t>481 in 2015-16</w:t>
      </w:r>
      <w:r w:rsidR="00822013">
        <w:t xml:space="preserve"> </w:t>
      </w:r>
      <w:r w:rsidR="00A20DB4">
        <w:t>(Chart</w:t>
      </w:r>
      <w:r w:rsidR="005071F5">
        <w:t xml:space="preserve"> 4)</w:t>
      </w:r>
      <w:r w:rsidR="00381082">
        <w:t>.</w:t>
      </w:r>
    </w:p>
    <w:p w14:paraId="54017C59" w14:textId="4A2457C5" w:rsidR="0067226F" w:rsidRDefault="0067226F" w:rsidP="00A85A51">
      <w:r>
        <w:br w:type="page"/>
      </w:r>
    </w:p>
    <w:p w14:paraId="580C3D12" w14:textId="5B56D690" w:rsidR="00381082" w:rsidRPr="00362F23" w:rsidRDefault="00381082" w:rsidP="0067226F">
      <w:pPr>
        <w:pStyle w:val="ChartTitle"/>
      </w:pPr>
      <w:bookmarkStart w:id="3" w:name="_Ref524428373"/>
      <w:r>
        <w:t xml:space="preserve">Chart 4: </w:t>
      </w:r>
      <w:r w:rsidR="00F2733E">
        <w:t xml:space="preserve">Home care average </w:t>
      </w:r>
      <w:r w:rsidRPr="00362F23">
        <w:t>EBITDA per consumer, by ownership type, 2014</w:t>
      </w:r>
      <w:r w:rsidR="00F2733E">
        <w:noBreakHyphen/>
      </w:r>
      <w:r w:rsidRPr="00362F23">
        <w:t>15</w:t>
      </w:r>
      <w:r w:rsidR="00F2733E">
        <w:t> </w:t>
      </w:r>
      <w:r w:rsidRPr="00362F23">
        <w:t>to</w:t>
      </w:r>
      <w:r w:rsidR="00F2733E">
        <w:t> </w:t>
      </w:r>
      <w:r w:rsidRPr="00362F23">
        <w:t>201</w:t>
      </w:r>
      <w:bookmarkEnd w:id="3"/>
      <w:r w:rsidR="00CA429E">
        <w:t>7</w:t>
      </w:r>
      <w:r w:rsidR="00F2733E">
        <w:noBreakHyphen/>
      </w:r>
      <w:r w:rsidR="00CA429E">
        <w:t>18</w:t>
      </w:r>
    </w:p>
    <w:p w14:paraId="688FB41A" w14:textId="77777777" w:rsidR="00381082" w:rsidRDefault="00CA429E" w:rsidP="00A85A51">
      <w:r w:rsidRPr="00CA429E">
        <w:rPr>
          <w:rFonts w:ascii="Calibri" w:eastAsia="Calibri" w:hAnsi="Calibri" w:cs="Calibri"/>
          <w:noProof/>
          <w:lang w:eastAsia="en-AU"/>
        </w:rPr>
        <w:drawing>
          <wp:inline distT="0" distB="0" distL="0" distR="0" wp14:anchorId="218445FD" wp14:editId="4E97D583">
            <wp:extent cx="5731510" cy="2700154"/>
            <wp:effectExtent l="0" t="0" r="2540" b="5080"/>
            <wp:docPr id="1" name="Picture 1" descr="This chart shows the average EBITDA per consumer, by ownership type from 2014-15 to 2017-18 in home care." title="Chart 4: Home care average EBITDA per consumer, by ownership type, 2014 15 to 2017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2700154"/>
                    </a:xfrm>
                    <a:prstGeom prst="rect">
                      <a:avLst/>
                    </a:prstGeom>
                    <a:noFill/>
                  </pic:spPr>
                </pic:pic>
              </a:graphicData>
            </a:graphic>
          </wp:inline>
        </w:drawing>
      </w:r>
    </w:p>
    <w:p w14:paraId="6BFD3E1B" w14:textId="77777777" w:rsidR="00646BA7" w:rsidRDefault="00646BA7" w:rsidP="00A85A51">
      <w:r>
        <w:t>When performance in 2017-18 is considered by location, providers in regional and metropolitan areas reported relatively similar levels of EBITDA per consumer in 2017-18, in contrast to 2016-17 where metropolitan providers were the strongest performers.</w:t>
      </w:r>
    </w:p>
    <w:p w14:paraId="6D448AE4" w14:textId="203D0CEE" w:rsidR="00A85A51" w:rsidRDefault="00A85A51" w:rsidP="00A85A51">
      <w:r>
        <w:t xml:space="preserve">The decline in the financial performance of home care providers in 2017-18 </w:t>
      </w:r>
      <w:r w:rsidR="003541CA">
        <w:t>appears to be</w:t>
      </w:r>
      <w:r>
        <w:t xml:space="preserve"> mainly the consequence of </w:t>
      </w:r>
      <w:r w:rsidR="00BC7C67">
        <w:t>the February</w:t>
      </w:r>
      <w:r>
        <w:t xml:space="preserve"> 2017 </w:t>
      </w:r>
      <w:r w:rsidR="00A20DB4">
        <w:t>reforms which</w:t>
      </w:r>
      <w:r w:rsidR="003541CA">
        <w:t xml:space="preserve"> saw </w:t>
      </w:r>
      <w:r>
        <w:t>packages being allocated to consumers rather than providers.</w:t>
      </w:r>
    </w:p>
    <w:p w14:paraId="79913B0B" w14:textId="77777777" w:rsidR="00975A4F" w:rsidRDefault="00646BA7" w:rsidP="00A85A51">
      <w:r>
        <w:t>Unspent package funds per consumer continued to increase in 2017-18. As at 30 June 2018 the level of unspent funds was $53</w:t>
      </w:r>
      <w:r w:rsidR="003541CA">
        <w:t>9</w:t>
      </w:r>
      <w:r>
        <w:t xml:space="preserve"> million, up from $329 million as at 30 June 2017.</w:t>
      </w:r>
    </w:p>
    <w:p w14:paraId="2D72422F" w14:textId="77777777" w:rsidR="00F2733E" w:rsidRDefault="00F2733E" w:rsidP="00A85A51"/>
    <w:p w14:paraId="53931CB1" w14:textId="77777777" w:rsidR="00A85A51" w:rsidRPr="00F2733E" w:rsidRDefault="00A85A51" w:rsidP="000C062D">
      <w:pPr>
        <w:pStyle w:val="Heading3"/>
      </w:pPr>
      <w:r w:rsidRPr="00F2733E">
        <w:t>Residential care</w:t>
      </w:r>
      <w:r w:rsidR="00646BA7" w:rsidRPr="00F2733E">
        <w:t xml:space="preserve"> </w:t>
      </w:r>
    </w:p>
    <w:p w14:paraId="4DC08A57" w14:textId="77777777" w:rsidR="00646BA7" w:rsidRDefault="00646BA7" w:rsidP="00A85A51">
      <w:r>
        <w:t xml:space="preserve">There was a significant </w:t>
      </w:r>
      <w:r w:rsidR="00873E3A">
        <w:t xml:space="preserve">overall </w:t>
      </w:r>
      <w:r>
        <w:t xml:space="preserve">decline in the financial performance of residential care providers in 2017-18. After improving for five years, the average EBITDA per resident fell by 24 per </w:t>
      </w:r>
      <w:r w:rsidR="00EA1FB1">
        <w:t>cent to</w:t>
      </w:r>
      <w:r>
        <w:t xml:space="preserve"> $8</w:t>
      </w:r>
      <w:r w:rsidR="000B644B">
        <w:t>,</w:t>
      </w:r>
      <w:r>
        <w:t>746 in 2017-18 compared with $11</w:t>
      </w:r>
      <w:r w:rsidR="000B644B">
        <w:t>,</w:t>
      </w:r>
      <w:r>
        <w:t xml:space="preserve">481 in 2016-17 (Chart </w:t>
      </w:r>
      <w:r w:rsidR="000B644B">
        <w:t>5</w:t>
      </w:r>
      <w:r w:rsidR="0061030A">
        <w:t>)</w:t>
      </w:r>
      <w:r>
        <w:t>.</w:t>
      </w:r>
      <w:r w:rsidR="002A0908">
        <w:t xml:space="preserve"> Fifty-six </w:t>
      </w:r>
      <w:r w:rsidR="0022753F">
        <w:t xml:space="preserve">per cent of residential </w:t>
      </w:r>
      <w:r w:rsidR="003541CA">
        <w:t xml:space="preserve">care </w:t>
      </w:r>
      <w:r w:rsidR="0022753F">
        <w:t>providers achieved a net profit in 2017-18 comp</w:t>
      </w:r>
      <w:r w:rsidR="00D50A8B">
        <w:t>ared with 68 per cent in 2017-18</w:t>
      </w:r>
      <w:r w:rsidR="0022753F">
        <w:t>.</w:t>
      </w:r>
    </w:p>
    <w:p w14:paraId="6E8815DA" w14:textId="1902445C" w:rsidR="00F37D87" w:rsidRDefault="0022753F" w:rsidP="00A85A51">
      <w:r>
        <w:t>In 2017-18, growt</w:t>
      </w:r>
      <w:r w:rsidR="008B69F5">
        <w:t>h</w:t>
      </w:r>
      <w:r>
        <w:t xml:space="preserve"> in revenue for residential </w:t>
      </w:r>
      <w:r w:rsidR="002A0908">
        <w:t xml:space="preserve">care </w:t>
      </w:r>
      <w:r>
        <w:t>providers was constrained by the Government’s decision to change the scoring system for ACFI and pause indexation while their costs</w:t>
      </w:r>
      <w:r w:rsidR="00975A4F">
        <w:t xml:space="preserve"> </w:t>
      </w:r>
      <w:r>
        <w:t>continued to grow, particularly wages.</w:t>
      </w:r>
      <w:r w:rsidR="00F37D87">
        <w:br w:type="page"/>
      </w:r>
    </w:p>
    <w:p w14:paraId="070548E1" w14:textId="77777777" w:rsidR="0022753F" w:rsidRDefault="0022753F" w:rsidP="00A85A51"/>
    <w:p w14:paraId="75BB3BC3" w14:textId="28089E5A" w:rsidR="009B4D0E" w:rsidRDefault="009B4D0E" w:rsidP="000C062D">
      <w:pPr>
        <w:pStyle w:val="ChartTitle"/>
      </w:pPr>
      <w:bookmarkStart w:id="4" w:name="_Ref2813382"/>
      <w:bookmarkStart w:id="5" w:name="_Toc2536793"/>
      <w:bookmarkStart w:id="6" w:name="_Toc2807364"/>
      <w:r w:rsidRPr="00D02EC8">
        <w:lastRenderedPageBreak/>
        <w:t>Chart</w:t>
      </w:r>
      <w:bookmarkEnd w:id="4"/>
      <w:r>
        <w:t xml:space="preserve"> </w:t>
      </w:r>
      <w:r w:rsidR="000B644B">
        <w:t>5</w:t>
      </w:r>
      <w:r w:rsidR="0061030A">
        <w:t>:</w:t>
      </w:r>
      <w:r>
        <w:t xml:space="preserve"> Residential </w:t>
      </w:r>
      <w:r w:rsidR="003541CA">
        <w:t xml:space="preserve">care </w:t>
      </w:r>
      <w:r>
        <w:t xml:space="preserve">providers </w:t>
      </w:r>
      <w:r w:rsidR="00F2733E">
        <w:t>average</w:t>
      </w:r>
      <w:r w:rsidRPr="00D02EC8">
        <w:t xml:space="preserve"> EBITDA per</w:t>
      </w:r>
      <w:r>
        <w:t xml:space="preserve"> resident per annum, </w:t>
      </w:r>
      <w:r w:rsidR="002A0908">
        <w:t xml:space="preserve">by quartile, </w:t>
      </w:r>
      <w:r>
        <w:t>2015-16 to</w:t>
      </w:r>
      <w:r w:rsidRPr="00D02EC8">
        <w:t xml:space="preserve"> 2017-18</w:t>
      </w:r>
      <w:bookmarkEnd w:id="5"/>
      <w:bookmarkEnd w:id="6"/>
    </w:p>
    <w:p w14:paraId="2AF09383" w14:textId="77777777" w:rsidR="009B4D0E" w:rsidRDefault="009B4D0E" w:rsidP="004E56D8">
      <w:pPr>
        <w:jc w:val="center"/>
      </w:pPr>
      <w:r>
        <w:rPr>
          <w:noProof/>
          <w:lang w:eastAsia="en-AU"/>
        </w:rPr>
        <w:drawing>
          <wp:inline distT="0" distB="0" distL="0" distR="0" wp14:anchorId="764F52D4" wp14:editId="79EA998D">
            <wp:extent cx="5731510" cy="2700154"/>
            <wp:effectExtent l="0" t="0" r="2540" b="5080"/>
            <wp:docPr id="3" name="Picture 3" descr="This chart shows sesidential care providers average EBITDA per resident per annum, by quartile from 2015-16 to 2017-18." title="Chart 5: Residential care providers average EBITDA per resident per annum, by quartile, 2015-16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2700154"/>
                    </a:xfrm>
                    <a:prstGeom prst="rect">
                      <a:avLst/>
                    </a:prstGeom>
                    <a:noFill/>
                  </pic:spPr>
                </pic:pic>
              </a:graphicData>
            </a:graphic>
          </wp:inline>
        </w:drawing>
      </w:r>
    </w:p>
    <w:p w14:paraId="6A57E32D" w14:textId="6125C673" w:rsidR="00F459A5" w:rsidRDefault="009B4D0E" w:rsidP="00AB557C">
      <w:r>
        <w:t xml:space="preserve">As in previous years, financial performance varied across ownership types, location and scale. The for-profit providers continued to </w:t>
      </w:r>
      <w:r w:rsidR="00EA1FB1">
        <w:t>outperform</w:t>
      </w:r>
      <w:r>
        <w:t xml:space="preserve"> the not-for-profit providers and while the performance of both groups fell in 2017-18, the not-for-profit providers dropped significantly more than the for</w:t>
      </w:r>
      <w:r w:rsidR="00492C23">
        <w:noBreakHyphen/>
      </w:r>
      <w:r>
        <w:t>profit providers</w:t>
      </w:r>
      <w:r w:rsidR="00551327">
        <w:t xml:space="preserve"> (</w:t>
      </w:r>
      <w:r w:rsidR="000505E7">
        <w:t xml:space="preserve">Chart </w:t>
      </w:r>
      <w:r w:rsidR="000B644B">
        <w:t>6</w:t>
      </w:r>
      <w:r w:rsidR="000505E7">
        <w:t>)</w:t>
      </w:r>
      <w:r>
        <w:t>.</w:t>
      </w:r>
      <w:r w:rsidR="00AB557C">
        <w:t xml:space="preserve"> </w:t>
      </w:r>
    </w:p>
    <w:p w14:paraId="48B32657" w14:textId="77777777" w:rsidR="001A009F" w:rsidRDefault="001A009F" w:rsidP="00AB557C"/>
    <w:p w14:paraId="1BD2AE26" w14:textId="6DAFABF9" w:rsidR="001A009F" w:rsidRPr="00CB4AA8" w:rsidRDefault="001A009F" w:rsidP="000C062D">
      <w:pPr>
        <w:pStyle w:val="ChartTitle"/>
      </w:pPr>
      <w:bookmarkStart w:id="7" w:name="_Ref2813650"/>
      <w:bookmarkStart w:id="8" w:name="_Toc2536797"/>
      <w:bookmarkStart w:id="9" w:name="_Toc2807368"/>
      <w:r w:rsidRPr="00CB4AA8">
        <w:t>Chart</w:t>
      </w:r>
      <w:bookmarkEnd w:id="7"/>
      <w:r w:rsidR="00CE1DD4">
        <w:t xml:space="preserve"> </w:t>
      </w:r>
      <w:r w:rsidR="000B644B">
        <w:t>6</w:t>
      </w:r>
      <w:r>
        <w:t>: Residential</w:t>
      </w:r>
      <w:r w:rsidR="003541CA">
        <w:t xml:space="preserve"> care</w:t>
      </w:r>
      <w:r>
        <w:t xml:space="preserve"> providers</w:t>
      </w:r>
      <w:r w:rsidR="00F2733E">
        <w:t xml:space="preserve"> average</w:t>
      </w:r>
      <w:r>
        <w:t xml:space="preserve"> </w:t>
      </w:r>
      <w:r w:rsidRPr="00CB4AA8">
        <w:t xml:space="preserve">EBITDA per resident, by ownership type, </w:t>
      </w:r>
      <w:r w:rsidR="002A0908">
        <w:t>2014</w:t>
      </w:r>
      <w:r w:rsidR="002A0908">
        <w:noBreakHyphen/>
      </w:r>
      <w:r w:rsidRPr="00CB4AA8">
        <w:t>15</w:t>
      </w:r>
      <w:r w:rsidR="002A0908">
        <w:t> to </w:t>
      </w:r>
      <w:r w:rsidRPr="00CB4AA8">
        <w:t>2017-18</w:t>
      </w:r>
      <w:bookmarkEnd w:id="8"/>
      <w:bookmarkEnd w:id="9"/>
    </w:p>
    <w:p w14:paraId="6536D631" w14:textId="77777777" w:rsidR="00E9609C" w:rsidRDefault="001A009F" w:rsidP="001A009F">
      <w:pPr>
        <w:jc w:val="center"/>
      </w:pPr>
      <w:r>
        <w:rPr>
          <w:rFonts w:ascii="Segoe UI" w:hAnsi="Segoe UI" w:cs="Segoe UI"/>
          <w:noProof/>
          <w:lang w:eastAsia="en-AU"/>
        </w:rPr>
        <w:drawing>
          <wp:inline distT="0" distB="0" distL="0" distR="0" wp14:anchorId="3E23AEA6" wp14:editId="535352E7">
            <wp:extent cx="5731510" cy="2694803"/>
            <wp:effectExtent l="0" t="0" r="2540" b="0"/>
            <wp:docPr id="55" name="Picture 55" descr="This chart shows Residential care providers average EBITDA per resident, by ownership type from 2014-15 to 2017-18." title="Chart 6: Residential care providers average EBITDA per resident, by ownership type, 2014 15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510" cy="2694803"/>
                    </a:xfrm>
                    <a:prstGeom prst="rect">
                      <a:avLst/>
                    </a:prstGeom>
                    <a:noFill/>
                  </pic:spPr>
                </pic:pic>
              </a:graphicData>
            </a:graphic>
          </wp:inline>
        </w:drawing>
      </w:r>
      <w:r w:rsidR="00E9609C">
        <w:br w:type="page"/>
      </w:r>
    </w:p>
    <w:p w14:paraId="03C3F9FC" w14:textId="77777777" w:rsidR="001A009F" w:rsidRDefault="001A009F" w:rsidP="001A009F">
      <w:pPr>
        <w:jc w:val="center"/>
      </w:pPr>
    </w:p>
    <w:p w14:paraId="1059E668" w14:textId="35A33C48" w:rsidR="00646BA7" w:rsidRDefault="005B7085" w:rsidP="00A20DB4">
      <w:r>
        <w:t>In terms of location</w:t>
      </w:r>
      <w:r w:rsidR="00EA1FB1">
        <w:t>,</w:t>
      </w:r>
      <w:r w:rsidR="0022753F">
        <w:t xml:space="preserve"> the EBITDA per resident per annum for metrop</w:t>
      </w:r>
      <w:r w:rsidR="002A0908">
        <w:t>olitan providers declined by 20 </w:t>
      </w:r>
      <w:r w:rsidR="0022753F">
        <w:t>per cent to $9,920 in 2017-18. Regional providers recorded a very significant decline from $8</w:t>
      </w:r>
      <w:r w:rsidR="002A0908">
        <w:t>,</w:t>
      </w:r>
      <w:r w:rsidR="0022753F">
        <w:t>25</w:t>
      </w:r>
      <w:r w:rsidR="00822013">
        <w:t>7</w:t>
      </w:r>
      <w:r w:rsidR="0022753F">
        <w:t xml:space="preserve"> in 2017-16 to $2</w:t>
      </w:r>
      <w:r w:rsidR="002A0908">
        <w:t>,</w:t>
      </w:r>
      <w:r w:rsidR="0022753F">
        <w:t>702 in 2017-18 (Chart</w:t>
      </w:r>
      <w:r w:rsidR="00CE1DD4">
        <w:t xml:space="preserve"> </w:t>
      </w:r>
      <w:r w:rsidR="000B644B">
        <w:t>7</w:t>
      </w:r>
      <w:r w:rsidR="0022753F">
        <w:t>)</w:t>
      </w:r>
      <w:r w:rsidR="00551327">
        <w:t>.</w:t>
      </w:r>
    </w:p>
    <w:p w14:paraId="63E8DD8D" w14:textId="07656207" w:rsidR="0022753F" w:rsidRDefault="0022753F" w:rsidP="000C062D">
      <w:pPr>
        <w:pStyle w:val="ChartTitle"/>
      </w:pPr>
      <w:bookmarkStart w:id="10" w:name="_Ref2813737"/>
      <w:bookmarkStart w:id="11" w:name="_Toc2536800"/>
      <w:bookmarkStart w:id="12" w:name="_Toc2807371"/>
      <w:r w:rsidRPr="005A50F5">
        <w:t>Chart</w:t>
      </w:r>
      <w:bookmarkEnd w:id="10"/>
      <w:r w:rsidR="001A009F">
        <w:t xml:space="preserve"> </w:t>
      </w:r>
      <w:r w:rsidR="000B644B">
        <w:t>7</w:t>
      </w:r>
      <w:r w:rsidR="0061030A">
        <w:t>:</w:t>
      </w:r>
      <w:r w:rsidR="001A009F">
        <w:t xml:space="preserve"> R</w:t>
      </w:r>
      <w:r>
        <w:t xml:space="preserve">esidential </w:t>
      </w:r>
      <w:r w:rsidR="003541CA">
        <w:t xml:space="preserve">care </w:t>
      </w:r>
      <w:r>
        <w:t xml:space="preserve">providers </w:t>
      </w:r>
      <w:r w:rsidR="00F2733E">
        <w:t xml:space="preserve">average </w:t>
      </w:r>
      <w:r w:rsidRPr="005A50F5">
        <w:t>EBITDA per resident</w:t>
      </w:r>
      <w:r w:rsidR="002A0908">
        <w:t>, by provider location, 2014</w:t>
      </w:r>
      <w:r w:rsidR="002A0908">
        <w:noBreakHyphen/>
        <w:t>15 to </w:t>
      </w:r>
      <w:r w:rsidRPr="005A50F5">
        <w:t>2017-18</w:t>
      </w:r>
      <w:bookmarkEnd w:id="11"/>
      <w:bookmarkEnd w:id="12"/>
    </w:p>
    <w:p w14:paraId="778845C8" w14:textId="77777777" w:rsidR="0022753F" w:rsidRDefault="0022753F" w:rsidP="004E56D8">
      <w:pPr>
        <w:jc w:val="center"/>
      </w:pPr>
      <w:r>
        <w:rPr>
          <w:rFonts w:ascii="Segoe UI" w:hAnsi="Segoe UI" w:cs="Segoe UI"/>
          <w:noProof/>
          <w:lang w:eastAsia="en-AU"/>
        </w:rPr>
        <w:drawing>
          <wp:inline distT="0" distB="0" distL="0" distR="0" wp14:anchorId="06499CB1" wp14:editId="1AD8FD94">
            <wp:extent cx="5731510" cy="2357655"/>
            <wp:effectExtent l="0" t="0" r="2540" b="5080"/>
            <wp:docPr id="271" name="Picture 271" descr="This chart shows residential care providers average EBITDA per resident, by provider location from 2014-15 to 2017-18." title="Chart 7: Residential care providers average EBITDA per resident, by provider location, 2014 15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510" cy="2357655"/>
                    </a:xfrm>
                    <a:prstGeom prst="rect">
                      <a:avLst/>
                    </a:prstGeom>
                    <a:noFill/>
                  </pic:spPr>
                </pic:pic>
              </a:graphicData>
            </a:graphic>
          </wp:inline>
        </w:drawing>
      </w:r>
    </w:p>
    <w:p w14:paraId="71852B48" w14:textId="77777777" w:rsidR="00100766" w:rsidRDefault="00100766" w:rsidP="00A85A51">
      <w:pPr>
        <w:rPr>
          <w:b/>
        </w:rPr>
      </w:pPr>
    </w:p>
    <w:p w14:paraId="41EA0883" w14:textId="77777777" w:rsidR="00A85A51" w:rsidRPr="00975A4F" w:rsidRDefault="0022753F" w:rsidP="000C062D">
      <w:pPr>
        <w:pStyle w:val="Heading3"/>
      </w:pPr>
      <w:r w:rsidRPr="00975A4F">
        <w:t>Residential</w:t>
      </w:r>
      <w:r w:rsidR="002A0908">
        <w:t xml:space="preserve"> care</w:t>
      </w:r>
      <w:r w:rsidRPr="00975A4F">
        <w:t xml:space="preserve"> accommodation</w:t>
      </w:r>
      <w:r w:rsidR="00975A4F" w:rsidRPr="00975A4F">
        <w:t xml:space="preserve"> </w:t>
      </w:r>
      <w:r w:rsidRPr="00975A4F">
        <w:t>payments</w:t>
      </w:r>
    </w:p>
    <w:p w14:paraId="4A5550FF" w14:textId="77777777" w:rsidR="006B10C9" w:rsidRDefault="0022753F" w:rsidP="006B10C9">
      <w:r>
        <w:t xml:space="preserve">In 2017-18, Daily </w:t>
      </w:r>
      <w:r w:rsidR="00A20DB4">
        <w:t>Accommodation</w:t>
      </w:r>
      <w:r>
        <w:t xml:space="preserve"> Payments</w:t>
      </w:r>
      <w:r w:rsidR="006B10C9">
        <w:t xml:space="preserve"> </w:t>
      </w:r>
      <w:r w:rsidR="00551327">
        <w:t>(DAP)</w:t>
      </w:r>
      <w:r>
        <w:t xml:space="preserve"> and Daily </w:t>
      </w:r>
      <w:r w:rsidR="00A20DB4">
        <w:t>Accommodation</w:t>
      </w:r>
      <w:r>
        <w:t xml:space="preserve"> Contributions (DAC) were </w:t>
      </w:r>
      <w:r w:rsidR="00EA1FB1">
        <w:t>slightly more</w:t>
      </w:r>
      <w:r>
        <w:t xml:space="preserve"> popular than Refundable Accommodation </w:t>
      </w:r>
      <w:r w:rsidR="00EA1FB1">
        <w:t>Deposits (</w:t>
      </w:r>
      <w:r w:rsidR="006B10C9">
        <w:t>RAD)</w:t>
      </w:r>
      <w:r>
        <w:t xml:space="preserve"> and Refundable Accommodation Contributions</w:t>
      </w:r>
      <w:r w:rsidR="006B10C9">
        <w:t xml:space="preserve"> (RAC). The proportion of residents choosing RAD/RACs has </w:t>
      </w:r>
      <w:r w:rsidR="00A20DB4">
        <w:t>dropped</w:t>
      </w:r>
      <w:r w:rsidR="006B10C9">
        <w:t xml:space="preserve"> every year since 2014-15. The residents choosing DAP/DACs has </w:t>
      </w:r>
      <w:r w:rsidR="00A20DB4">
        <w:t>gradually</w:t>
      </w:r>
      <w:r w:rsidR="006B10C9">
        <w:t xml:space="preserve"> risen over the past few years</w:t>
      </w:r>
      <w:r w:rsidR="000B644B">
        <w:t xml:space="preserve"> (Chart 8</w:t>
      </w:r>
      <w:r w:rsidR="00CE1DD4">
        <w:t>)</w:t>
      </w:r>
      <w:r w:rsidR="006B10C9">
        <w:t>.</w:t>
      </w:r>
    </w:p>
    <w:p w14:paraId="1CDA67F0" w14:textId="77777777" w:rsidR="00100766" w:rsidRDefault="00100766" w:rsidP="006B10C9"/>
    <w:p w14:paraId="46112472" w14:textId="77777777" w:rsidR="006B10C9" w:rsidRDefault="006B10C9" w:rsidP="000C062D">
      <w:pPr>
        <w:pStyle w:val="ChartTitle"/>
      </w:pPr>
      <w:r w:rsidRPr="008A78B5">
        <w:t>Chart</w:t>
      </w:r>
      <w:r>
        <w:t xml:space="preserve"> </w:t>
      </w:r>
      <w:r w:rsidR="000B644B">
        <w:t>8</w:t>
      </w:r>
      <w:r w:rsidR="0061030A">
        <w:t>:</w:t>
      </w:r>
      <w:r>
        <w:t xml:space="preserve"> </w:t>
      </w:r>
      <w:r w:rsidRPr="008A78B5">
        <w:t>Resident method of accommodation payment, 2014-15 to 2017-18</w:t>
      </w:r>
    </w:p>
    <w:p w14:paraId="598B3A25" w14:textId="5FC7BF3F" w:rsidR="00F37D87" w:rsidRDefault="006B10C9" w:rsidP="004E56D8">
      <w:pPr>
        <w:jc w:val="center"/>
      </w:pPr>
      <w:r>
        <w:rPr>
          <w:b/>
          <w:noProof/>
          <w:color w:val="FF0000"/>
          <w:lang w:eastAsia="en-AU"/>
        </w:rPr>
        <w:drawing>
          <wp:inline distT="0" distB="0" distL="0" distR="0" wp14:anchorId="78D77DF1" wp14:editId="5003705A">
            <wp:extent cx="5731510" cy="2357655"/>
            <wp:effectExtent l="0" t="0" r="2540" b="5080"/>
            <wp:docPr id="6" name="Picture 6" descr="This chart shows the method of accommodation payment residents use from 2014-15 to 2017-18." title="Chart 8: Resident method of accommodation payment, 2014-15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1510" cy="2357655"/>
                    </a:xfrm>
                    <a:prstGeom prst="rect">
                      <a:avLst/>
                    </a:prstGeom>
                    <a:noFill/>
                  </pic:spPr>
                </pic:pic>
              </a:graphicData>
            </a:graphic>
          </wp:inline>
        </w:drawing>
      </w:r>
      <w:r w:rsidR="00F37D87">
        <w:br w:type="page"/>
      </w:r>
    </w:p>
    <w:p w14:paraId="0D00CE06" w14:textId="77777777" w:rsidR="00822013" w:rsidRDefault="00822013" w:rsidP="004E56D8">
      <w:pPr>
        <w:jc w:val="center"/>
      </w:pPr>
    </w:p>
    <w:p w14:paraId="6FDB0ADE" w14:textId="77777777" w:rsidR="006B10C9" w:rsidRPr="00975A4F" w:rsidRDefault="006B10C9" w:rsidP="000C062D">
      <w:pPr>
        <w:pStyle w:val="Heading3"/>
      </w:pPr>
      <w:r w:rsidRPr="00975A4F">
        <w:lastRenderedPageBreak/>
        <w:t>Building and investment intentions</w:t>
      </w:r>
    </w:p>
    <w:p w14:paraId="413CC8BB" w14:textId="34D2E934" w:rsidR="006B10C9" w:rsidRDefault="006B10C9" w:rsidP="00174B49">
      <w:r>
        <w:t xml:space="preserve">In 2017-18 there was a further decline in providers reporting they were planning to rebuild or upgrade their facilities </w:t>
      </w:r>
      <w:r w:rsidR="00EA1FB1">
        <w:t>(Chart</w:t>
      </w:r>
      <w:r w:rsidR="000B644B">
        <w:t xml:space="preserve"> 9</w:t>
      </w:r>
      <w:r>
        <w:t xml:space="preserve">). Providers cited depressed returns and policy and regulatory </w:t>
      </w:r>
      <w:r w:rsidR="00EA1FB1">
        <w:t>uncertainty,</w:t>
      </w:r>
      <w:r>
        <w:t xml:space="preserve"> along with the potential impact of increased home care packages</w:t>
      </w:r>
      <w:r w:rsidR="00822013">
        <w:t>,</w:t>
      </w:r>
      <w:r>
        <w:t xml:space="preserve"> as influencing decisions to defer capital investments.</w:t>
      </w:r>
    </w:p>
    <w:p w14:paraId="53ED7EEE" w14:textId="44B4D6E3" w:rsidR="006B10C9" w:rsidRDefault="004E56D8" w:rsidP="000C062D">
      <w:pPr>
        <w:pStyle w:val="ChartTitle"/>
      </w:pPr>
      <w:r w:rsidRPr="00621A72">
        <w:t>Chart</w:t>
      </w:r>
      <w:r>
        <w:t xml:space="preserve"> </w:t>
      </w:r>
      <w:r w:rsidR="000B644B">
        <w:t>9</w:t>
      </w:r>
      <w:r w:rsidR="0061030A">
        <w:t>:</w:t>
      </w:r>
      <w:r>
        <w:t xml:space="preserve"> </w:t>
      </w:r>
      <w:r w:rsidRPr="00621A72">
        <w:t xml:space="preserve">Proportion of </w:t>
      </w:r>
      <w:r w:rsidR="00F2733E">
        <w:t>facilities</w:t>
      </w:r>
      <w:r w:rsidRPr="00621A72">
        <w:t xml:space="preserve"> planning to either upgrade or </w:t>
      </w:r>
      <w:r w:rsidR="0061030A" w:rsidRPr="00621A72">
        <w:t>rebuild</w:t>
      </w:r>
      <w:r w:rsidR="00F2733E">
        <w:t>,</w:t>
      </w:r>
      <w:r w:rsidRPr="00621A72">
        <w:t xml:space="preserve"> 2013</w:t>
      </w:r>
      <w:r w:rsidRPr="00621A72">
        <w:noBreakHyphen/>
        <w:t>14 to 2017</w:t>
      </w:r>
      <w:r w:rsidRPr="00621A72">
        <w:noBreakHyphen/>
        <w:t>18</w:t>
      </w:r>
    </w:p>
    <w:p w14:paraId="592B57DC" w14:textId="77777777" w:rsidR="006B10C9" w:rsidRDefault="004E56D8" w:rsidP="004E56D8">
      <w:pPr>
        <w:jc w:val="center"/>
      </w:pPr>
      <w:r>
        <w:rPr>
          <w:rFonts w:ascii="Segoe UI" w:hAnsi="Segoe UI" w:cs="Segoe UI"/>
          <w:noProof/>
          <w:color w:val="FF0000"/>
          <w:lang w:eastAsia="en-AU"/>
        </w:rPr>
        <w:drawing>
          <wp:inline distT="0" distB="0" distL="0" distR="0" wp14:anchorId="0105F4A9" wp14:editId="65F27F9F">
            <wp:extent cx="5731510" cy="2359858"/>
            <wp:effectExtent l="0" t="0" r="2540" b="2540"/>
            <wp:docPr id="7" name="Picture 7" descr="This chart shows the proportion of facilities planning to either upgrade or rebuild from 2013-14 to 2017-18." title="Chart 9: Proportion of facilities planning to either upgrade or rebuild, 2013-14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1510" cy="2359858"/>
                    </a:xfrm>
                    <a:prstGeom prst="rect">
                      <a:avLst/>
                    </a:prstGeom>
                    <a:noFill/>
                  </pic:spPr>
                </pic:pic>
              </a:graphicData>
            </a:graphic>
          </wp:inline>
        </w:drawing>
      </w:r>
    </w:p>
    <w:p w14:paraId="6ED6863C" w14:textId="77777777" w:rsidR="002A0908" w:rsidRPr="004E56D8" w:rsidRDefault="002A0908" w:rsidP="004E56D8">
      <w:pPr>
        <w:jc w:val="center"/>
      </w:pPr>
    </w:p>
    <w:p w14:paraId="36E89A8B" w14:textId="77777777" w:rsidR="00174B49" w:rsidRPr="00CE1DD4" w:rsidRDefault="00FF5801" w:rsidP="000C062D">
      <w:pPr>
        <w:pStyle w:val="Heading1Numbered"/>
      </w:pPr>
      <w:r w:rsidRPr="00CE1DD4">
        <w:t>Financial performance of aged care providers in recent years</w:t>
      </w:r>
    </w:p>
    <w:p w14:paraId="3889EBEA" w14:textId="1E2C528A" w:rsidR="0049077E" w:rsidRPr="00F643BF" w:rsidRDefault="0049077E" w:rsidP="000C062D">
      <w:pPr>
        <w:pStyle w:val="Heading2"/>
      </w:pPr>
      <w:r w:rsidRPr="00F643BF">
        <w:t>Residential care</w:t>
      </w:r>
    </w:p>
    <w:p w14:paraId="147D8BF5" w14:textId="0453A1B0" w:rsidR="00F37D87" w:rsidRDefault="00FF5801" w:rsidP="00CE1DD4">
      <w:r>
        <w:t xml:space="preserve">The current financial performance of the aged care sector should be considered in the context of the industry over </w:t>
      </w:r>
      <w:r w:rsidR="00975E06">
        <w:t xml:space="preserve">recent years. While 2017-18 </w:t>
      </w:r>
      <w:r w:rsidR="00A20DB4">
        <w:t>was a</w:t>
      </w:r>
      <w:r w:rsidR="00975E06">
        <w:t xml:space="preserve"> difficult year f</w:t>
      </w:r>
      <w:r w:rsidR="002A0908">
        <w:t>or</w:t>
      </w:r>
      <w:r w:rsidR="005B576C">
        <w:t xml:space="preserve"> residential </w:t>
      </w:r>
      <w:r w:rsidR="002A0908">
        <w:t xml:space="preserve">aged care </w:t>
      </w:r>
      <w:r w:rsidR="002E404E">
        <w:t>providers with</w:t>
      </w:r>
      <w:r w:rsidR="00975E06">
        <w:t xml:space="preserve"> an overall decline in financial performance</w:t>
      </w:r>
      <w:r w:rsidR="005B576C">
        <w:t xml:space="preserve"> of the sector</w:t>
      </w:r>
      <w:r w:rsidR="00975E06">
        <w:t>, and these difficulties have extended into 20</w:t>
      </w:r>
      <w:r w:rsidR="005D15A4">
        <w:t>18-19</w:t>
      </w:r>
      <w:r w:rsidR="00975E06">
        <w:t xml:space="preserve">, over the period from 2009-10 to 2016-17, there has been a trend improvement in the financial performance of the </w:t>
      </w:r>
      <w:r w:rsidR="005B576C">
        <w:t xml:space="preserve">residential </w:t>
      </w:r>
      <w:r w:rsidR="00975E06">
        <w:t>aged care sector, although it has varied with an improved performance in some years followed by a lower performance in others</w:t>
      </w:r>
      <w:r w:rsidR="00B937F5">
        <w:t xml:space="preserve"> (</w:t>
      </w:r>
      <w:r w:rsidR="00157CF1">
        <w:t>Chart</w:t>
      </w:r>
      <w:r w:rsidR="00975A4F">
        <w:t xml:space="preserve"> </w:t>
      </w:r>
      <w:r w:rsidR="000B644B">
        <w:t>10</w:t>
      </w:r>
      <w:r w:rsidR="0061030A">
        <w:t>)</w:t>
      </w:r>
      <w:r w:rsidR="002A0908">
        <w:t>.</w:t>
      </w:r>
      <w:r w:rsidR="00F37D87">
        <w:br w:type="page"/>
      </w:r>
    </w:p>
    <w:p w14:paraId="2F6EF818" w14:textId="100FB6DD" w:rsidR="000A1575" w:rsidRDefault="00157CF1" w:rsidP="000C062D">
      <w:pPr>
        <w:pStyle w:val="ChartTitle"/>
      </w:pPr>
      <w:r>
        <w:t>Chart</w:t>
      </w:r>
      <w:r w:rsidR="00ED1FFB">
        <w:t xml:space="preserve"> </w:t>
      </w:r>
      <w:r w:rsidR="000B644B">
        <w:t>10</w:t>
      </w:r>
      <w:r>
        <w:t>:</w:t>
      </w:r>
      <w:r w:rsidR="00B90E3C" w:rsidRPr="00B90E3C">
        <w:t xml:space="preserve"> </w:t>
      </w:r>
      <w:r w:rsidR="00F2733E">
        <w:t>Residential care providers a</w:t>
      </w:r>
      <w:r w:rsidR="00B90E3C" w:rsidRPr="00B90E3C">
        <w:t>verage EBITDA per resident per annum, 201</w:t>
      </w:r>
      <w:r w:rsidR="006B3287">
        <w:t>0-11</w:t>
      </w:r>
      <w:r w:rsidR="00B90E3C" w:rsidRPr="00B90E3C">
        <w:t xml:space="preserve"> to 2017-18</w:t>
      </w:r>
    </w:p>
    <w:p w14:paraId="4F306C23" w14:textId="77777777" w:rsidR="000A1575" w:rsidRDefault="000A1575" w:rsidP="00CE1DD4">
      <w:pPr>
        <w:rPr>
          <w:b/>
        </w:rPr>
      </w:pPr>
      <w:r>
        <w:rPr>
          <w:rFonts w:ascii="Segoe UI" w:hAnsi="Segoe UI" w:cs="Segoe UI"/>
          <w:noProof/>
          <w:color w:val="313131"/>
          <w:lang w:eastAsia="en-AU"/>
        </w:rPr>
        <w:drawing>
          <wp:inline distT="0" distB="0" distL="0" distR="0" wp14:anchorId="58B0A158" wp14:editId="7DD255CB">
            <wp:extent cx="5731510" cy="2528905"/>
            <wp:effectExtent l="0" t="0" r="2540" b="5080"/>
            <wp:docPr id="690" name="Picture 690" descr="This chart shows residential care providers average EBITDA per resident per annum from 2010-11 to 2017-18." title="Chart 10: Residential care providers average EBITDA per resident per annum, 2010-11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1510" cy="2528905"/>
                    </a:xfrm>
                    <a:prstGeom prst="rect">
                      <a:avLst/>
                    </a:prstGeom>
                    <a:noFill/>
                  </pic:spPr>
                </pic:pic>
              </a:graphicData>
            </a:graphic>
          </wp:inline>
        </w:drawing>
      </w:r>
    </w:p>
    <w:p w14:paraId="0FB15621" w14:textId="77777777" w:rsidR="000A1575" w:rsidRDefault="000A1575" w:rsidP="00CE1DD4"/>
    <w:p w14:paraId="2141FA8B" w14:textId="4FD3CEBE" w:rsidR="005B576C" w:rsidRDefault="00A20DB4" w:rsidP="00CE1DD4">
      <w:r>
        <w:t>The financial</w:t>
      </w:r>
      <w:r w:rsidR="005B576C">
        <w:t xml:space="preserve"> performance of the residential </w:t>
      </w:r>
      <w:r w:rsidR="00B90E3C">
        <w:t xml:space="preserve">aged care </w:t>
      </w:r>
      <w:r w:rsidR="005B576C">
        <w:t>sector</w:t>
      </w:r>
      <w:r w:rsidR="00873E3A">
        <w:t xml:space="preserve"> declined</w:t>
      </w:r>
      <w:r w:rsidR="005B576C">
        <w:t xml:space="preserve"> in 2012-13 </w:t>
      </w:r>
      <w:r w:rsidR="00C65A61">
        <w:t xml:space="preserve">(from </w:t>
      </w:r>
      <w:r w:rsidR="003230E4">
        <w:t>EBITDA of $9,274 per resident per annum</w:t>
      </w:r>
      <w:r w:rsidR="00C65A61">
        <w:t xml:space="preserve"> in 2011-12 to $</w:t>
      </w:r>
      <w:r w:rsidR="003230E4">
        <w:t>8,660</w:t>
      </w:r>
      <w:r w:rsidR="00C65A61">
        <w:t xml:space="preserve"> in 2012-13) </w:t>
      </w:r>
      <w:r w:rsidR="005B576C">
        <w:t>follow</w:t>
      </w:r>
      <w:r w:rsidR="00873E3A">
        <w:t>ing</w:t>
      </w:r>
      <w:r w:rsidR="005B576C">
        <w:t xml:space="preserve"> a pause in ACFI indexation and adjustments to the ACFI funding tool. These were the same factors behind the decline in the overall financial performance of the residential </w:t>
      </w:r>
      <w:r w:rsidR="006B3287">
        <w:t xml:space="preserve">care </w:t>
      </w:r>
      <w:r w:rsidR="005B576C">
        <w:t xml:space="preserve">aged care sector in 2017-18. The performance of the residential sector recovered after the 2012-13 indexation pause was lifted, helped by a significant increase in ACFI claim per resident per day made by providers and an increase in the accommodation supplement for new and refurbished facilities. In addition, in 2013 the Government folded the $1.2 billion Aged Care Workforce Supplement into ACFI with a one-off </w:t>
      </w:r>
      <w:r w:rsidR="005F160D">
        <w:t>2.4</w:t>
      </w:r>
      <w:r w:rsidR="00100766">
        <w:t> </w:t>
      </w:r>
      <w:r w:rsidR="005F160D">
        <w:t>per</w:t>
      </w:r>
      <w:r w:rsidR="00100766">
        <w:t> </w:t>
      </w:r>
      <w:r w:rsidR="005F160D">
        <w:t>cent increase in the base subsidy</w:t>
      </w:r>
      <w:r w:rsidR="00950136">
        <w:t xml:space="preserve"> in 2014-15</w:t>
      </w:r>
      <w:r w:rsidR="005F160D">
        <w:t>, which largely offset the impact of the indexation pause.</w:t>
      </w:r>
    </w:p>
    <w:p w14:paraId="7B357611" w14:textId="77777777" w:rsidR="00631BEB" w:rsidRDefault="005F160D" w:rsidP="00CE1DD4">
      <w:r>
        <w:t xml:space="preserve">While up to 2016-17 there was a trend increase in the financial performance </w:t>
      </w:r>
      <w:r w:rsidR="002E404E">
        <w:t>of residential</w:t>
      </w:r>
      <w:r w:rsidR="006F05C6">
        <w:t xml:space="preserve"> aged care providers, there remained significant and long standing variance in performance across providers</w:t>
      </w:r>
      <w:r w:rsidR="00B937F5">
        <w:t xml:space="preserve"> (Chart </w:t>
      </w:r>
      <w:r w:rsidR="003230E4">
        <w:t>5</w:t>
      </w:r>
      <w:r w:rsidR="00B937F5">
        <w:t>)</w:t>
      </w:r>
      <w:r w:rsidR="006F05C6">
        <w:t xml:space="preserve">. This variance continued in 2017-18 when the overall financial performance of the sector declined. For example, while the average EBITDA per resident per </w:t>
      </w:r>
      <w:r w:rsidR="00631BEB">
        <w:t>annum in 2017-18 was $8</w:t>
      </w:r>
      <w:r w:rsidR="00950136">
        <w:t>,</w:t>
      </w:r>
      <w:r w:rsidR="00631BEB">
        <w:t>746, it was $21</w:t>
      </w:r>
      <w:r w:rsidR="00950136">
        <w:t>,</w:t>
      </w:r>
      <w:r w:rsidR="00631BEB">
        <w:t>812</w:t>
      </w:r>
      <w:r w:rsidR="006F05C6">
        <w:t xml:space="preserve"> for the top quartile of providers while the </w:t>
      </w:r>
      <w:r w:rsidR="00631BEB">
        <w:t>bottom quartile had a negative $10</w:t>
      </w:r>
      <w:r w:rsidR="00950136">
        <w:t>,</w:t>
      </w:r>
      <w:r w:rsidR="00631BEB">
        <w:t>355</w:t>
      </w:r>
      <w:r w:rsidR="006F05C6">
        <w:t xml:space="preserve"> per resi</w:t>
      </w:r>
      <w:r w:rsidR="00B937F5">
        <w:t>dent per annum</w:t>
      </w:r>
    </w:p>
    <w:p w14:paraId="4CFF66A2" w14:textId="3ABEF1C2" w:rsidR="001A009F" w:rsidRDefault="006F05C6" w:rsidP="00CE1DD4">
      <w:r>
        <w:t>Overall, for-profit providers have outperformed the not-for-profit and government providers in terms of EBI</w:t>
      </w:r>
      <w:r w:rsidR="00B937F5">
        <w:t xml:space="preserve">TDA margin and Net Profit margin (Chart </w:t>
      </w:r>
      <w:r w:rsidR="006B3287">
        <w:t>6</w:t>
      </w:r>
      <w:r w:rsidR="0061030A">
        <w:t>)</w:t>
      </w:r>
      <w:r>
        <w:t xml:space="preserve">. </w:t>
      </w:r>
      <w:r w:rsidR="002F6E59">
        <w:t xml:space="preserve">As regularly noted in ACFA reports, however, </w:t>
      </w:r>
      <w:r w:rsidR="00AB28DB">
        <w:t xml:space="preserve">care has to be taken in making </w:t>
      </w:r>
      <w:r w:rsidR="002F6E59">
        <w:t xml:space="preserve">such </w:t>
      </w:r>
      <w:r w:rsidR="002E404E">
        <w:t>comparisons</w:t>
      </w:r>
      <w:r w:rsidR="002F6E59">
        <w:t xml:space="preserve"> because the not-for-profit and government sectors often have different business motives, business models, funding sources and objectives including the delivery of community and social benefits to those in need</w:t>
      </w:r>
      <w:r w:rsidR="0049077E">
        <w:t>,</w:t>
      </w:r>
      <w:r w:rsidR="002F6E59">
        <w:t xml:space="preserve"> and many operate in regional and remote areas. Some providers have observed that the Government should welcome the fact that they are prepared to cross subsidise the provision of aged care services to segments of society who would otherwise be excluded. Other providers have indicated that they provide a level of care beyond that covered through Government subsidies and cover the loss from other operations.</w:t>
      </w:r>
    </w:p>
    <w:p w14:paraId="7D112373" w14:textId="77777777" w:rsidR="00A50472" w:rsidRDefault="00A50472" w:rsidP="00CE1DD4">
      <w:r>
        <w:t xml:space="preserve">The overall financial performance of providers in regional locations is traditionally lower than for those in metropolitan areas. This was also the case in 2017-18. </w:t>
      </w:r>
      <w:r w:rsidR="00535DB1">
        <w:t>Previous analysis by ACFA suggests that when compared with metropolitan providers, those in rural and remote locations:</w:t>
      </w:r>
      <w:r w:rsidR="00544334">
        <w:t xml:space="preserve"> </w:t>
      </w:r>
      <w:r w:rsidR="00535DB1">
        <w:t xml:space="preserve">receive less </w:t>
      </w:r>
      <w:r w:rsidR="00535DB1">
        <w:lastRenderedPageBreak/>
        <w:t>Government funding per resident per annum from ACFI (likely a combination of more low care residents and more limited access to health professionals to deliver higher level care); have significantly higher costs, particularly staff costs</w:t>
      </w:r>
      <w:r w:rsidR="00BC7C67">
        <w:t>;</w:t>
      </w:r>
      <w:r w:rsidR="00535DB1">
        <w:t xml:space="preserve"> receive lower average RADs</w:t>
      </w:r>
      <w:r w:rsidR="00BC7C67">
        <w:t>;</w:t>
      </w:r>
      <w:r w:rsidR="00535DB1">
        <w:t xml:space="preserve"> and have lower occupancy rates. Rural and remote </w:t>
      </w:r>
      <w:r w:rsidR="00BC7C67">
        <w:t>providers</w:t>
      </w:r>
      <w:r w:rsidR="00535DB1">
        <w:t xml:space="preserve"> receive a viability supplement and can access capital grants.</w:t>
      </w:r>
    </w:p>
    <w:p w14:paraId="4A4D7CE9" w14:textId="19BDE3E5" w:rsidR="0049077E" w:rsidRPr="00F643BF" w:rsidRDefault="0049077E" w:rsidP="000C062D">
      <w:pPr>
        <w:pStyle w:val="Heading2"/>
      </w:pPr>
      <w:r w:rsidRPr="00F643BF">
        <w:t>Home care</w:t>
      </w:r>
    </w:p>
    <w:p w14:paraId="1589E160" w14:textId="77777777" w:rsidR="0013301A" w:rsidRDefault="00C65A61" w:rsidP="00174B49">
      <w:r>
        <w:t>A</w:t>
      </w:r>
      <w:r w:rsidR="00B937F5">
        <w:t xml:space="preserve">fter years of broadly constant average returns, 2017-18 </w:t>
      </w:r>
      <w:r w:rsidR="00A20DB4">
        <w:t>saw significant</w:t>
      </w:r>
      <w:r w:rsidR="00B937F5">
        <w:t xml:space="preserve"> declines in both EBITDA </w:t>
      </w:r>
      <w:r w:rsidR="007404B2">
        <w:t xml:space="preserve">(Chart 3) </w:t>
      </w:r>
      <w:r w:rsidR="00B937F5">
        <w:t>and NPBT</w:t>
      </w:r>
      <w:r w:rsidR="007404B2">
        <w:t xml:space="preserve"> per consumer for home care. </w:t>
      </w:r>
      <w:r w:rsidR="00CF0FE8">
        <w:t xml:space="preserve">There was also a significant variation in the performance of home care providers in 2017-18. The top quartile of providers </w:t>
      </w:r>
      <w:r w:rsidR="002970B1">
        <w:t>had an average EBITDA per consumer of $7</w:t>
      </w:r>
      <w:r w:rsidR="007404B2">
        <w:t>,</w:t>
      </w:r>
      <w:r w:rsidR="002970B1">
        <w:t>766 in 2017-18 while the bottom quartile had an average loss of $3</w:t>
      </w:r>
      <w:r w:rsidR="007404B2">
        <w:t>,</w:t>
      </w:r>
      <w:r w:rsidR="002970B1">
        <w:t>409 per consumer.</w:t>
      </w:r>
    </w:p>
    <w:p w14:paraId="6597D73F" w14:textId="14B47EAA" w:rsidR="008B69F5" w:rsidRDefault="00CF0FE8" w:rsidP="00AB557C">
      <w:r>
        <w:t>After significantly outperforming the not-for-profit and government sectors in recent years, the for</w:t>
      </w:r>
      <w:r w:rsidR="0049077E">
        <w:noBreakHyphen/>
      </w:r>
      <w:r>
        <w:t>profit</w:t>
      </w:r>
      <w:r w:rsidR="0049077E">
        <w:t>s</w:t>
      </w:r>
      <w:r>
        <w:t xml:space="preserve"> reported the biggest decline in E</w:t>
      </w:r>
      <w:r w:rsidR="003230E4">
        <w:t>BITDA per consumer in 2017-18 (C</w:t>
      </w:r>
      <w:r>
        <w:t xml:space="preserve">hart </w:t>
      </w:r>
      <w:r w:rsidR="0061030A">
        <w:t>1</w:t>
      </w:r>
      <w:r w:rsidR="000B644B">
        <w:t>1</w:t>
      </w:r>
      <w:r w:rsidR="0061030A">
        <w:t>)</w:t>
      </w:r>
      <w:r>
        <w:t>.</w:t>
      </w:r>
    </w:p>
    <w:p w14:paraId="0D296EA5" w14:textId="77777777" w:rsidR="00CF0FE8" w:rsidRDefault="00CF0FE8" w:rsidP="00AB557C">
      <w:pPr>
        <w:rPr>
          <w:noProof/>
          <w:lang w:eastAsia="en-AU"/>
        </w:rPr>
      </w:pPr>
    </w:p>
    <w:p w14:paraId="098672DB" w14:textId="77777777" w:rsidR="00CF0FE8" w:rsidRPr="00A96402" w:rsidRDefault="00CF0FE8" w:rsidP="000C062D">
      <w:pPr>
        <w:pStyle w:val="ChartTitle"/>
      </w:pPr>
      <w:bookmarkStart w:id="13" w:name="_Ref2811908"/>
      <w:bookmarkStart w:id="14" w:name="_Toc2536775"/>
      <w:bookmarkStart w:id="15" w:name="_Toc2807346"/>
      <w:r w:rsidRPr="00A96402">
        <w:t>Chart</w:t>
      </w:r>
      <w:bookmarkEnd w:id="13"/>
      <w:r>
        <w:t xml:space="preserve"> </w:t>
      </w:r>
      <w:r w:rsidR="0061030A">
        <w:t>1</w:t>
      </w:r>
      <w:r w:rsidR="000B644B">
        <w:t>1</w:t>
      </w:r>
      <w:r w:rsidR="0061030A">
        <w:t>:</w:t>
      </w:r>
      <w:r w:rsidR="00157CF1">
        <w:t xml:space="preserve"> Home</w:t>
      </w:r>
      <w:r>
        <w:t xml:space="preserve"> care</w:t>
      </w:r>
      <w:r w:rsidR="00157CF1">
        <w:t xml:space="preserve"> EBITDA</w:t>
      </w:r>
      <w:r w:rsidRPr="00A96402">
        <w:t xml:space="preserve"> per consumer, by ownership type, 2014-15 to 2017-18</w:t>
      </w:r>
      <w:bookmarkEnd w:id="14"/>
      <w:bookmarkEnd w:id="15"/>
    </w:p>
    <w:p w14:paraId="083CD05E" w14:textId="77777777" w:rsidR="00CF0FE8" w:rsidRDefault="00CF0FE8" w:rsidP="00CF0FE8">
      <w:pPr>
        <w:jc w:val="center"/>
      </w:pPr>
      <w:r>
        <w:rPr>
          <w:noProof/>
          <w:lang w:eastAsia="en-AU"/>
        </w:rPr>
        <w:drawing>
          <wp:inline distT="0" distB="0" distL="0" distR="0" wp14:anchorId="79F29FD3" wp14:editId="248325A1">
            <wp:extent cx="5731510" cy="2700154"/>
            <wp:effectExtent l="0" t="0" r="2540" b="5080"/>
            <wp:docPr id="14" name="Picture 14" descr="This chart shows home care provider's EBITDA per consumer, by ownership type from 2014-15 to 2017-18." title="Chart 11: Home care EBITDA per consumer, by ownership type, 2014-15 to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2700154"/>
                    </a:xfrm>
                    <a:prstGeom prst="rect">
                      <a:avLst/>
                    </a:prstGeom>
                    <a:noFill/>
                  </pic:spPr>
                </pic:pic>
              </a:graphicData>
            </a:graphic>
          </wp:inline>
        </w:drawing>
      </w:r>
    </w:p>
    <w:p w14:paraId="20124E76" w14:textId="77777777" w:rsidR="000616C1" w:rsidRDefault="000616C1" w:rsidP="00174B49">
      <w:r>
        <w:t xml:space="preserve">A notable feature in both 2016-17 and 2017-18 was the significant increase in the number of home care </w:t>
      </w:r>
      <w:r w:rsidR="00A20DB4">
        <w:t>providers in</w:t>
      </w:r>
      <w:r>
        <w:t xml:space="preserve"> response to the introduction in February 2017 of home care packages being assigned directly to consumers rather than to providers.</w:t>
      </w:r>
    </w:p>
    <w:p w14:paraId="7958D410" w14:textId="77777777" w:rsidR="00ED1FFB" w:rsidRDefault="00A20DB4" w:rsidP="007D6E7A">
      <w:r>
        <w:t>Another feature</w:t>
      </w:r>
      <w:r w:rsidR="007D6E7A">
        <w:t xml:space="preserve"> in recent years is the rise in unspent funds in home care packages. Prior to the changes to home care in February 2017, when consumers moved between home care providers or exited care, unspent package funds could be retained by the former home care provider. As part of the </w:t>
      </w:r>
      <w:r w:rsidR="00157CF1">
        <w:t>changes</w:t>
      </w:r>
      <w:r w:rsidR="007D6E7A">
        <w:t xml:space="preserve"> </w:t>
      </w:r>
      <w:r w:rsidR="00157CF1">
        <w:t>introduced</w:t>
      </w:r>
      <w:r w:rsidR="007D6E7A">
        <w:t xml:space="preserve"> in February 2017, unspent package funds now follow the consumer to their new home care provider or are returned to the Government and the consumer (based on their respective proportions) when the consumer leaves care.</w:t>
      </w:r>
      <w:r w:rsidR="00112F06">
        <w:t xml:space="preserve"> There are a number of possible reasons for the increase in unspent package funds, including consumers</w:t>
      </w:r>
      <w:r w:rsidR="00544334">
        <w:t xml:space="preserve"> </w:t>
      </w:r>
      <w:r w:rsidR="00112F06">
        <w:t>saving a proportio</w:t>
      </w:r>
      <w:r w:rsidR="00086E95">
        <w:t>n of their allocated funds for</w:t>
      </w:r>
      <w:r w:rsidR="00544334">
        <w:t xml:space="preserve"> </w:t>
      </w:r>
      <w:r w:rsidR="00086E95">
        <w:t>future possible events or the purchase of a specific item, the services a consumer is seeking not being available, or consumers not currently requiring</w:t>
      </w:r>
      <w:r w:rsidR="00544334">
        <w:t xml:space="preserve"> </w:t>
      </w:r>
      <w:r w:rsidR="00086E95">
        <w:t xml:space="preserve">all the funds they have been </w:t>
      </w:r>
      <w:r w:rsidR="00086E95">
        <w:lastRenderedPageBreak/>
        <w:t xml:space="preserve">allocated. </w:t>
      </w:r>
      <w:r w:rsidR="007D6E7A">
        <w:t>As at June 2018, providers were holding $53</w:t>
      </w:r>
      <w:r w:rsidR="00950136">
        <w:t>9</w:t>
      </w:r>
      <w:r w:rsidR="007D6E7A">
        <w:t xml:space="preserve"> million in unspent package funds, up from $329 million at June 2017. The level of unspent funds as at June 2018 equates to providers holding average unspent funds per consumer of $5,8</w:t>
      </w:r>
      <w:r w:rsidR="00950136">
        <w:t>98</w:t>
      </w:r>
      <w:r w:rsidR="007D6E7A">
        <w:t>.</w:t>
      </w:r>
    </w:p>
    <w:p w14:paraId="5FCC69CA" w14:textId="77777777" w:rsidR="0013301A" w:rsidRDefault="0013301A" w:rsidP="0013301A">
      <w:pPr>
        <w:jc w:val="center"/>
      </w:pPr>
    </w:p>
    <w:p w14:paraId="40034D83" w14:textId="77777777" w:rsidR="002F6E59" w:rsidRPr="00CE1DD4" w:rsidRDefault="00EF17A2" w:rsidP="000C062D">
      <w:pPr>
        <w:pStyle w:val="Heading1Numbered"/>
      </w:pPr>
      <w:r w:rsidRPr="00CE1DD4">
        <w:t>Policy changes impacting on</w:t>
      </w:r>
      <w:r w:rsidR="002F6E59" w:rsidRPr="00CE1DD4">
        <w:t xml:space="preserve"> the financial performance of providers</w:t>
      </w:r>
    </w:p>
    <w:p w14:paraId="59C18057" w14:textId="77777777" w:rsidR="002F6E59" w:rsidRDefault="000434A5" w:rsidP="00174B49">
      <w:r w:rsidRPr="000434A5">
        <w:t xml:space="preserve">As noted previously, 2017-18 was a difficult year for </w:t>
      </w:r>
      <w:r w:rsidR="00A20DB4" w:rsidRPr="000434A5">
        <w:t>both</w:t>
      </w:r>
      <w:r w:rsidR="00A20DB4">
        <w:t xml:space="preserve"> residential</w:t>
      </w:r>
      <w:r>
        <w:t xml:space="preserve"> </w:t>
      </w:r>
      <w:r w:rsidR="00950136">
        <w:t xml:space="preserve">care </w:t>
      </w:r>
      <w:r>
        <w:t>and home care providers</w:t>
      </w:r>
      <w:r w:rsidR="00157CF1">
        <w:t>.</w:t>
      </w:r>
    </w:p>
    <w:p w14:paraId="6F657D11" w14:textId="77777777" w:rsidR="00AB28DB" w:rsidRDefault="00AB28DB" w:rsidP="000C062D">
      <w:pPr>
        <w:pStyle w:val="Heading2"/>
      </w:pPr>
      <w:r>
        <w:t>Residential</w:t>
      </w:r>
      <w:r w:rsidR="007404B2">
        <w:t xml:space="preserve"> care</w:t>
      </w:r>
    </w:p>
    <w:p w14:paraId="237BF1DC" w14:textId="0EC0FEF2" w:rsidR="002970B1" w:rsidRDefault="00AB28DB" w:rsidP="00AB28DB">
      <w:r>
        <w:t>The</w:t>
      </w:r>
      <w:r w:rsidRPr="00AB28DB">
        <w:t xml:space="preserve"> overall deterioration in the financial performance of residential aged ca</w:t>
      </w:r>
      <w:r>
        <w:t xml:space="preserve">re facilities in 2017-18 </w:t>
      </w:r>
      <w:r w:rsidRPr="00AB28DB">
        <w:t>in large part reflects the changes to ACFI in 2016 and 2017 and the p</w:t>
      </w:r>
      <w:r w:rsidR="006B3287">
        <w:t>ause in ACFI indexation in</w:t>
      </w:r>
      <w:r w:rsidR="00100766">
        <w:t xml:space="preserve"> </w:t>
      </w:r>
      <w:r w:rsidR="006B3287">
        <w:t>2017</w:t>
      </w:r>
      <w:r w:rsidR="006B3287">
        <w:noBreakHyphen/>
      </w:r>
      <w:r w:rsidRPr="00AB28DB">
        <w:t>18,</w:t>
      </w:r>
      <w:r w:rsidR="00100766">
        <w:t xml:space="preserve"> </w:t>
      </w:r>
      <w:r w:rsidRPr="00AB28DB">
        <w:t>along with rising staff costs. Care related funding under ACFI is the main revenue source of aged</w:t>
      </w:r>
      <w:r w:rsidR="006C2E7B">
        <w:t xml:space="preserve"> care providers, accounting </w:t>
      </w:r>
      <w:r w:rsidR="002970B1">
        <w:t>for 62</w:t>
      </w:r>
      <w:r w:rsidRPr="00AB28DB">
        <w:t xml:space="preserve"> per cent of revenue in </w:t>
      </w:r>
      <w:r w:rsidR="006C2E7B">
        <w:t>2017-18</w:t>
      </w:r>
      <w:r w:rsidR="002970B1">
        <w:t xml:space="preserve"> (</w:t>
      </w:r>
      <w:r w:rsidR="007404B2">
        <w:t>C</w:t>
      </w:r>
      <w:r w:rsidR="0061030A">
        <w:t>hart 1</w:t>
      </w:r>
      <w:r w:rsidR="000B644B">
        <w:t>2</w:t>
      </w:r>
      <w:r w:rsidR="0061030A">
        <w:t>)</w:t>
      </w:r>
      <w:r w:rsidR="002E404E">
        <w:t>.</w:t>
      </w:r>
      <w:r w:rsidR="00B12EEE">
        <w:rPr>
          <w:b/>
        </w:rPr>
        <w:t xml:space="preserve"> </w:t>
      </w:r>
      <w:r w:rsidR="006C2E7B">
        <w:rPr>
          <w:b/>
        </w:rPr>
        <w:t>T</w:t>
      </w:r>
      <w:r w:rsidR="00B12EEE">
        <w:t>he main expense item for residential</w:t>
      </w:r>
      <w:r w:rsidR="007404B2">
        <w:t xml:space="preserve"> care</w:t>
      </w:r>
      <w:r w:rsidR="00B12EEE">
        <w:t xml:space="preserve"> providers </w:t>
      </w:r>
      <w:r w:rsidR="006C2E7B">
        <w:t xml:space="preserve">in 2017-18 </w:t>
      </w:r>
      <w:r w:rsidR="00B12EEE">
        <w:t>was employee expenses, whi</w:t>
      </w:r>
      <w:r w:rsidR="002970B1">
        <w:t>ch accounted for 70</w:t>
      </w:r>
      <w:r w:rsidR="00100766">
        <w:t> </w:t>
      </w:r>
      <w:r w:rsidR="00B12EEE">
        <w:t>per</w:t>
      </w:r>
      <w:r w:rsidR="00100766">
        <w:t> </w:t>
      </w:r>
      <w:r w:rsidR="00B12EEE">
        <w:t>cent of total expenses</w:t>
      </w:r>
      <w:r w:rsidR="00EA1FB1">
        <w:t xml:space="preserve"> (</w:t>
      </w:r>
      <w:r w:rsidR="0061030A">
        <w:t>Chart 1</w:t>
      </w:r>
      <w:r w:rsidR="000B644B">
        <w:t>3</w:t>
      </w:r>
      <w:r w:rsidR="0061030A">
        <w:t>)</w:t>
      </w:r>
      <w:r w:rsidR="002970B1">
        <w:t>.</w:t>
      </w:r>
      <w:r w:rsidR="00B12EEE">
        <w:t xml:space="preserve"> </w:t>
      </w:r>
    </w:p>
    <w:p w14:paraId="64FA41FD" w14:textId="77777777" w:rsidR="002970B1" w:rsidRDefault="002970B1" w:rsidP="00AB28DB"/>
    <w:p w14:paraId="6FC2622C" w14:textId="35B4FB31" w:rsidR="002970B1" w:rsidRPr="00193BB9" w:rsidRDefault="002970B1" w:rsidP="000C062D">
      <w:pPr>
        <w:pStyle w:val="ChartTitle"/>
      </w:pPr>
      <w:bookmarkStart w:id="16" w:name="_Ref2812945"/>
      <w:bookmarkStart w:id="17" w:name="_Toc2536788"/>
      <w:bookmarkStart w:id="18" w:name="_Toc2807359"/>
      <w:r w:rsidRPr="00193BB9">
        <w:t>Chart</w:t>
      </w:r>
      <w:bookmarkEnd w:id="16"/>
      <w:r w:rsidR="000616C1">
        <w:t xml:space="preserve"> </w:t>
      </w:r>
      <w:r w:rsidR="0061030A">
        <w:t>1</w:t>
      </w:r>
      <w:r w:rsidR="000B644B">
        <w:t>2</w:t>
      </w:r>
      <w:r w:rsidR="0061030A">
        <w:t>:</w:t>
      </w:r>
      <w:r>
        <w:t xml:space="preserve"> </w:t>
      </w:r>
      <w:r w:rsidRPr="00193BB9">
        <w:t>Proportions of total residential care provider revenue, 2017-18</w:t>
      </w:r>
      <w:bookmarkEnd w:id="17"/>
      <w:bookmarkEnd w:id="18"/>
    </w:p>
    <w:p w14:paraId="0F3D14F8" w14:textId="77777777" w:rsidR="002970B1" w:rsidRDefault="002970B1" w:rsidP="002970B1">
      <w:pPr>
        <w:jc w:val="center"/>
      </w:pPr>
    </w:p>
    <w:p w14:paraId="355A1F9F" w14:textId="77777777" w:rsidR="002970B1" w:rsidRDefault="002970B1" w:rsidP="002970B1">
      <w:pPr>
        <w:jc w:val="center"/>
      </w:pPr>
      <w:r>
        <w:rPr>
          <w:rFonts w:ascii="Segoe UI" w:hAnsi="Segoe UI" w:cs="Segoe UI"/>
          <w:noProof/>
          <w:lang w:eastAsia="en-AU"/>
        </w:rPr>
        <w:drawing>
          <wp:inline distT="0" distB="0" distL="0" distR="0" wp14:anchorId="1890CD8E" wp14:editId="1B0D8A1D">
            <wp:extent cx="5731510" cy="2528905"/>
            <wp:effectExtent l="0" t="0" r="2540" b="5080"/>
            <wp:docPr id="688" name="Picture 688" descr="This chart shows the proportions of total residential care provider revenue in 2017-18." title="Chart 12: Proportions of total residential care provider revenue,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31510" cy="2528905"/>
                    </a:xfrm>
                    <a:prstGeom prst="rect">
                      <a:avLst/>
                    </a:prstGeom>
                    <a:noFill/>
                  </pic:spPr>
                </pic:pic>
              </a:graphicData>
            </a:graphic>
          </wp:inline>
        </w:drawing>
      </w:r>
    </w:p>
    <w:p w14:paraId="5D7BF312" w14:textId="3CDE7DC1" w:rsidR="00DB7FAA" w:rsidRDefault="00DB7FAA">
      <w:pPr>
        <w:rPr>
          <w:rFonts w:ascii="Calibri" w:eastAsia="Times New Roman" w:hAnsi="Calibri" w:cs="Times New Roman"/>
          <w:b/>
          <w:bCs/>
          <w:sz w:val="24"/>
        </w:rPr>
      </w:pPr>
      <w:bookmarkStart w:id="19" w:name="_Ref2813190"/>
      <w:bookmarkStart w:id="20" w:name="_Toc2536792"/>
      <w:bookmarkStart w:id="21" w:name="_Toc2807363"/>
      <w:r>
        <w:rPr>
          <w:rFonts w:ascii="Calibri" w:eastAsia="Times New Roman" w:hAnsi="Calibri" w:cs="Times New Roman"/>
          <w:b/>
          <w:bCs/>
          <w:sz w:val="24"/>
        </w:rPr>
        <w:br w:type="page"/>
      </w:r>
    </w:p>
    <w:p w14:paraId="7728F159" w14:textId="1D0145EF" w:rsidR="000616C1" w:rsidRPr="0011198A" w:rsidRDefault="000616C1" w:rsidP="000C062D">
      <w:pPr>
        <w:pStyle w:val="ChartTitle"/>
      </w:pPr>
      <w:bookmarkStart w:id="22" w:name="_GoBack"/>
      <w:bookmarkEnd w:id="22"/>
      <w:r w:rsidRPr="0011198A">
        <w:t>Chart</w:t>
      </w:r>
      <w:bookmarkEnd w:id="19"/>
      <w:r>
        <w:t xml:space="preserve"> </w:t>
      </w:r>
      <w:r w:rsidR="000B644B">
        <w:t>13</w:t>
      </w:r>
      <w:r w:rsidR="0061030A">
        <w:t>:</w:t>
      </w:r>
      <w:r>
        <w:t xml:space="preserve"> </w:t>
      </w:r>
      <w:r w:rsidRPr="0011198A">
        <w:t>Proportion</w:t>
      </w:r>
      <w:r w:rsidR="00100766">
        <w:t>s</w:t>
      </w:r>
      <w:r w:rsidRPr="0011198A">
        <w:t xml:space="preserve"> </w:t>
      </w:r>
      <w:r w:rsidR="00100766" w:rsidRPr="00193BB9">
        <w:t xml:space="preserve">of total residential care provider </w:t>
      </w:r>
      <w:r w:rsidR="00100766">
        <w:t>expenses</w:t>
      </w:r>
      <w:r w:rsidRPr="0011198A">
        <w:t>, 2017-18</w:t>
      </w:r>
      <w:bookmarkEnd w:id="20"/>
      <w:bookmarkEnd w:id="21"/>
    </w:p>
    <w:p w14:paraId="78BFCE2D" w14:textId="77777777" w:rsidR="000616C1" w:rsidRDefault="000616C1" w:rsidP="000616C1">
      <w:pPr>
        <w:jc w:val="center"/>
      </w:pPr>
      <w:r>
        <w:rPr>
          <w:noProof/>
          <w:lang w:eastAsia="en-AU"/>
        </w:rPr>
        <w:drawing>
          <wp:inline distT="0" distB="0" distL="0" distR="0" wp14:anchorId="2603D7DD" wp14:editId="2B8D2B35">
            <wp:extent cx="5041900" cy="2517775"/>
            <wp:effectExtent l="0" t="0" r="6350" b="0"/>
            <wp:docPr id="701" name="Picture 701" descr="This chart shows the Proportions of total residential care provider expenses in 2017-18." title="Chart 13: Proportions of total residential care provider expenses, 20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41900" cy="2517775"/>
                    </a:xfrm>
                    <a:prstGeom prst="rect">
                      <a:avLst/>
                    </a:prstGeom>
                    <a:noFill/>
                  </pic:spPr>
                </pic:pic>
              </a:graphicData>
            </a:graphic>
          </wp:inline>
        </w:drawing>
      </w:r>
    </w:p>
    <w:p w14:paraId="7CBC450E" w14:textId="77777777" w:rsidR="00F643BF" w:rsidRDefault="00F643BF" w:rsidP="00AB28DB"/>
    <w:p w14:paraId="7B53356A" w14:textId="26C22B00" w:rsidR="00C65A61" w:rsidRDefault="006C2E7B" w:rsidP="00AB28DB">
      <w:r w:rsidRPr="006C2E7B">
        <w:t>With A</w:t>
      </w:r>
      <w:r>
        <w:t>CFI payments representing over 6</w:t>
      </w:r>
      <w:r w:rsidR="00950136">
        <w:t>2</w:t>
      </w:r>
      <w:r w:rsidR="007404B2">
        <w:t xml:space="preserve"> per cent of the revenue of residential</w:t>
      </w:r>
      <w:r w:rsidRPr="006C2E7B">
        <w:t xml:space="preserve"> care providers, </w:t>
      </w:r>
      <w:r w:rsidR="001A009F">
        <w:t xml:space="preserve">it is not surprising that </w:t>
      </w:r>
      <w:r w:rsidR="002E404E">
        <w:t xml:space="preserve">the steps </w:t>
      </w:r>
      <w:r w:rsidR="002E404E" w:rsidRPr="006C2E7B">
        <w:t>by</w:t>
      </w:r>
      <w:r>
        <w:t xml:space="preserve"> the Government </w:t>
      </w:r>
      <w:r w:rsidRPr="006C2E7B">
        <w:t xml:space="preserve">to curb the growth in ACFI outlays </w:t>
      </w:r>
      <w:r>
        <w:t>had a significant</w:t>
      </w:r>
      <w:r w:rsidRPr="006C2E7B">
        <w:t xml:space="preserve"> impact on the financial performance of providers. The changes to the ACFI scoring system and the pause in ACFI indexation also occurred when there was continuing growth in wages in the aged care sector, with many workers impacted by the decisions by the Fair Work Commission to grant a 3.3</w:t>
      </w:r>
      <w:r w:rsidR="00100766">
        <w:t> </w:t>
      </w:r>
      <w:r w:rsidRPr="006C2E7B">
        <w:t>per</w:t>
      </w:r>
      <w:r w:rsidR="00100766">
        <w:t> </w:t>
      </w:r>
      <w:r w:rsidRPr="006C2E7B">
        <w:t>cent increase in the minimum wage in June 2017 and a 3.5 per cent increase in June 2018. This compares with wage cost indexation of subsidies of 0 per cent in 2</w:t>
      </w:r>
      <w:r w:rsidR="006B3287">
        <w:t>017-18 and 1.2 per cent in 2018</w:t>
      </w:r>
      <w:r w:rsidR="006B3287">
        <w:noBreakHyphen/>
      </w:r>
      <w:r w:rsidRPr="006C2E7B">
        <w:t>19.</w:t>
      </w:r>
      <w:r w:rsidR="00BD2F51">
        <w:t xml:space="preserve"> With employee expenses accounting for 70</w:t>
      </w:r>
      <w:r w:rsidRPr="006C2E7B">
        <w:t xml:space="preserve"> per cent of providers</w:t>
      </w:r>
      <w:r w:rsidR="009906AB">
        <w:t>’</w:t>
      </w:r>
      <w:r w:rsidRPr="006C2E7B">
        <w:t xml:space="preserve"> expenses, continued growth in the l</w:t>
      </w:r>
      <w:r w:rsidR="00BD2F51">
        <w:t xml:space="preserve">argest expense </w:t>
      </w:r>
      <w:r w:rsidR="00157CF1">
        <w:t xml:space="preserve">item </w:t>
      </w:r>
      <w:r w:rsidR="00157CF1" w:rsidRPr="006C2E7B">
        <w:t>when</w:t>
      </w:r>
      <w:r w:rsidRPr="006C2E7B">
        <w:t xml:space="preserve"> </w:t>
      </w:r>
      <w:r w:rsidR="00BD2F51">
        <w:t xml:space="preserve">income is being </w:t>
      </w:r>
      <w:r w:rsidR="00157CF1">
        <w:t>constrained clearly</w:t>
      </w:r>
      <w:r w:rsidRPr="006C2E7B">
        <w:t xml:space="preserve"> put pressure on the financial performance of the sector.</w:t>
      </w:r>
    </w:p>
    <w:p w14:paraId="42351F37" w14:textId="32BC933D" w:rsidR="006C2E7B" w:rsidRDefault="00BD2F51" w:rsidP="00AB28DB">
      <w:r>
        <w:t xml:space="preserve">As noted previously, </w:t>
      </w:r>
      <w:r w:rsidR="00157CF1" w:rsidRPr="006C2E7B">
        <w:t>the</w:t>
      </w:r>
      <w:r w:rsidR="006C2E7B" w:rsidRPr="006C2E7B">
        <w:t xml:space="preserve"> downturn in the </w:t>
      </w:r>
      <w:r w:rsidR="006B3287">
        <w:t xml:space="preserve">residential care </w:t>
      </w:r>
      <w:r w:rsidR="006C2E7B" w:rsidRPr="006C2E7B">
        <w:t>sector’s financial results in 2017-18 mirrors that which occurred in 2012-13 when on both occasions the Government made changes to ACFI and paused indexation in order to curb the growth in ACFI payments</w:t>
      </w:r>
      <w:r w:rsidR="007404B2">
        <w:t xml:space="preserve"> (T</w:t>
      </w:r>
      <w:r>
        <w:t xml:space="preserve">able </w:t>
      </w:r>
      <w:r w:rsidR="0061030A">
        <w:t>2)</w:t>
      </w:r>
      <w:r w:rsidR="006C2E7B" w:rsidRPr="006C2E7B">
        <w:t>. Conversely, the improvement in the overall financial performance of the industry in t</w:t>
      </w:r>
      <w:r w:rsidR="006C2E7B">
        <w:t>he years</w:t>
      </w:r>
      <w:r w:rsidR="00544334">
        <w:t xml:space="preserve"> </w:t>
      </w:r>
      <w:r w:rsidR="006C2E7B" w:rsidRPr="006C2E7B">
        <w:t xml:space="preserve">immediately prior to 2012-13 and 2017-18 corresponds with </w:t>
      </w:r>
      <w:r>
        <w:t xml:space="preserve">a rate of </w:t>
      </w:r>
      <w:r w:rsidR="006C2E7B" w:rsidRPr="006C2E7B">
        <w:t>growth in ACFI payments</w:t>
      </w:r>
      <w:r>
        <w:t>, and in turn the income of providers, well above the growth in providers</w:t>
      </w:r>
      <w:r w:rsidR="002D0C20">
        <w:t>’</w:t>
      </w:r>
      <w:r>
        <w:t xml:space="preserve"> expenses</w:t>
      </w:r>
      <w:r w:rsidR="006C2E7B" w:rsidRPr="006C2E7B">
        <w:t>. In the four years prior to the pause in indexation in 2012-13,</w:t>
      </w:r>
      <w:r w:rsidR="009906AB">
        <w:t xml:space="preserve"> </w:t>
      </w:r>
      <w:r w:rsidR="006C2E7B" w:rsidRPr="006C2E7B">
        <w:t xml:space="preserve">growth in ACFI payment per resident averaged 8.6 per cent and ACFI growth per resident above indexation averaged </w:t>
      </w:r>
      <w:r w:rsidR="002E404E" w:rsidRPr="006C2E7B">
        <w:t>6.7 per</w:t>
      </w:r>
      <w:r w:rsidR="003230E4">
        <w:t xml:space="preserve"> </w:t>
      </w:r>
      <w:r w:rsidR="002E404E" w:rsidRPr="006C2E7B">
        <w:t>cent</w:t>
      </w:r>
      <w:r w:rsidR="006C2E7B" w:rsidRPr="006C2E7B">
        <w:t xml:space="preserve">. In the four years prior to the pause in indexation in 2017-18, growth in ACFI payment per resident averaged 6.3 per cent and growth in ACFI per resident above indexation averaged 3.9 per cent. </w:t>
      </w:r>
    </w:p>
    <w:p w14:paraId="0AFB56A1" w14:textId="07695173" w:rsidR="00E9609C" w:rsidRDefault="006C2E7B" w:rsidP="00AB28DB">
      <w:r w:rsidRPr="006C2E7B">
        <w:t xml:space="preserve">The Government said its decision to change </w:t>
      </w:r>
      <w:r w:rsidR="00D345FF">
        <w:t xml:space="preserve">the </w:t>
      </w:r>
      <w:r w:rsidRPr="006C2E7B">
        <w:t>ACFI</w:t>
      </w:r>
      <w:r w:rsidR="00544334">
        <w:t xml:space="preserve"> </w:t>
      </w:r>
      <w:r w:rsidRPr="006C2E7B">
        <w:t>and pause indexation in 2017-18 was because real growth in ACFI expenditure per resident per day was higher than what had been budgeted for by the Government and higher than frailty growth (with sudden sharp increases in claims in particular areas of the funding tool suggesting changes in claiming behaviour). For example</w:t>
      </w:r>
      <w:r w:rsidR="009906AB">
        <w:t>,</w:t>
      </w:r>
      <w:r w:rsidRPr="006C2E7B">
        <w:t xml:space="preserve"> during 2015-16, real growth of expenditure per resident per day through ACFI was 5.5 per cent, compared with Government budgeted growth of 3.2 per </w:t>
      </w:r>
      <w:r w:rsidR="00BD2F51">
        <w:t>cent.</w:t>
      </w:r>
      <w:r w:rsidR="00544334">
        <w:t xml:space="preserve"> </w:t>
      </w:r>
      <w:r w:rsidRPr="006C2E7B">
        <w:t>The changes to ACFI that took effect in 2016 and 2017 were implemented in order to reduce the growth in ACFI expenditure</w:t>
      </w:r>
      <w:r w:rsidR="00BD2F51">
        <w:t xml:space="preserve"> so that it would be more in line with the budget projections</w:t>
      </w:r>
      <w:r w:rsidRPr="006C2E7B">
        <w:t>. It was for similar reasons that the Government adjusted the ACFI tool and paused indexation in 2012-13.</w:t>
      </w:r>
      <w:r w:rsidR="00E9609C">
        <w:br w:type="page"/>
      </w:r>
    </w:p>
    <w:p w14:paraId="67370333" w14:textId="77777777" w:rsidR="001A009F" w:rsidRDefault="001A009F" w:rsidP="00AB28DB"/>
    <w:p w14:paraId="4482BBE1" w14:textId="77777777" w:rsidR="006C2E7B" w:rsidRDefault="006C2E7B" w:rsidP="006B3287">
      <w:pPr>
        <w:spacing w:after="0"/>
      </w:pPr>
    </w:p>
    <w:p w14:paraId="666E8658" w14:textId="77777777" w:rsidR="00421607" w:rsidRDefault="0061030A" w:rsidP="000C062D">
      <w:pPr>
        <w:pStyle w:val="TableTitle"/>
      </w:pPr>
      <w:r>
        <w:t>Table</w:t>
      </w:r>
      <w:r w:rsidR="003230E4">
        <w:t xml:space="preserve"> </w:t>
      </w:r>
      <w:r>
        <w:t>2:</w:t>
      </w:r>
      <w:r w:rsidR="00421607">
        <w:t xml:space="preserve"> Annual change in selected indexes, wages, and ACFI subsidy rates</w:t>
      </w:r>
      <w:r w:rsidR="006B3287">
        <w:t>,</w:t>
      </w:r>
      <w:r w:rsidR="00421607">
        <w:t xml:space="preserve"> </w:t>
      </w:r>
    </w:p>
    <w:p w14:paraId="3924D57B" w14:textId="77777777" w:rsidR="00421607" w:rsidRPr="00421607" w:rsidRDefault="00421607" w:rsidP="000C062D">
      <w:pPr>
        <w:pStyle w:val="TableTitle"/>
      </w:pPr>
      <w:r>
        <w:t>20</w:t>
      </w:r>
      <w:r w:rsidR="00BD2F51">
        <w:t>0</w:t>
      </w:r>
      <w:r>
        <w:t>8-09 to 2017-18</w:t>
      </w:r>
    </w:p>
    <w:tbl>
      <w:tblPr>
        <w:tblStyle w:val="DefaultTable1"/>
        <w:tblW w:w="5000" w:type="pct"/>
        <w:tblCellMar>
          <w:left w:w="57" w:type="dxa"/>
          <w:right w:w="57" w:type="dxa"/>
        </w:tblCellMar>
        <w:tblLook w:val="0620" w:firstRow="1" w:lastRow="0" w:firstColumn="0" w:lastColumn="0" w:noHBand="1" w:noVBand="1"/>
        <w:tblDescription w:val="Due to the complexity of this document no table summary has been provided. If you need assistance with the structure of this table, please contact the Aged Care Financing Authority at https://agedcare.health.gov.au."/>
      </w:tblPr>
      <w:tblGrid>
        <w:gridCol w:w="2175"/>
        <w:gridCol w:w="1161"/>
        <w:gridCol w:w="1161"/>
        <w:gridCol w:w="1166"/>
        <w:gridCol w:w="1161"/>
        <w:gridCol w:w="1161"/>
        <w:gridCol w:w="1155"/>
      </w:tblGrid>
      <w:tr w:rsidR="00421607" w:rsidRPr="005153E0" w14:paraId="042FCDD4" w14:textId="77777777" w:rsidTr="00D22BE9">
        <w:trPr>
          <w:cnfStyle w:val="100000000000" w:firstRow="1" w:lastRow="0" w:firstColumn="0" w:lastColumn="0" w:oddVBand="0" w:evenVBand="0" w:oddHBand="0" w:evenHBand="0" w:firstRowFirstColumn="0" w:firstRowLastColumn="0" w:lastRowFirstColumn="0" w:lastRowLastColumn="0"/>
          <w:trHeight w:val="113"/>
          <w:tblHeader/>
        </w:trPr>
        <w:tc>
          <w:tcPr>
            <w:tcW w:w="1190" w:type="pct"/>
          </w:tcPr>
          <w:p w14:paraId="551E9EA8" w14:textId="77777777" w:rsidR="00421607" w:rsidRPr="005153E0" w:rsidRDefault="00421607" w:rsidP="00ED1FFB">
            <w:pPr>
              <w:keepNext/>
              <w:rPr>
                <w:rFonts w:ascii="Segoe UI" w:hAnsi="Segoe UI" w:cs="Segoe UI"/>
              </w:rPr>
            </w:pPr>
          </w:p>
        </w:tc>
        <w:tc>
          <w:tcPr>
            <w:tcW w:w="635" w:type="pct"/>
          </w:tcPr>
          <w:p w14:paraId="12B97E1B" w14:textId="77777777" w:rsidR="00421607" w:rsidRPr="005153E0" w:rsidRDefault="00421607" w:rsidP="00ED1FFB">
            <w:pPr>
              <w:keepNext/>
              <w:jc w:val="right"/>
              <w:rPr>
                <w:rFonts w:ascii="Segoe UI" w:hAnsi="Segoe UI" w:cs="Segoe UI"/>
              </w:rPr>
            </w:pPr>
            <w:r w:rsidRPr="00596D01">
              <w:t>CPI (change between March quarters)</w:t>
            </w:r>
          </w:p>
        </w:tc>
        <w:tc>
          <w:tcPr>
            <w:tcW w:w="635" w:type="pct"/>
          </w:tcPr>
          <w:p w14:paraId="71279AF0" w14:textId="77777777" w:rsidR="00421607" w:rsidRPr="005153E0" w:rsidRDefault="00421607" w:rsidP="00ED1FFB">
            <w:pPr>
              <w:keepNext/>
              <w:jc w:val="right"/>
              <w:rPr>
                <w:rFonts w:ascii="Segoe UI" w:hAnsi="Segoe UI" w:cs="Segoe UI"/>
              </w:rPr>
            </w:pPr>
            <w:r w:rsidRPr="00596D01">
              <w:t>WPI (Health Care and Social Assistance)</w:t>
            </w:r>
          </w:p>
        </w:tc>
        <w:tc>
          <w:tcPr>
            <w:tcW w:w="638" w:type="pct"/>
          </w:tcPr>
          <w:p w14:paraId="176FCDD2" w14:textId="66A92084" w:rsidR="00421607" w:rsidRPr="005153E0" w:rsidRDefault="00421607" w:rsidP="009906AB">
            <w:pPr>
              <w:keepNext/>
              <w:jc w:val="right"/>
              <w:rPr>
                <w:rFonts w:ascii="Segoe UI" w:hAnsi="Segoe UI" w:cs="Segoe UI"/>
              </w:rPr>
            </w:pPr>
            <w:r w:rsidRPr="00596D01">
              <w:t>Age Care Award 2010</w:t>
            </w:r>
          </w:p>
        </w:tc>
        <w:tc>
          <w:tcPr>
            <w:tcW w:w="635" w:type="pct"/>
          </w:tcPr>
          <w:p w14:paraId="3737A2AB" w14:textId="77777777" w:rsidR="00421607" w:rsidRPr="005153E0" w:rsidRDefault="00421607" w:rsidP="00ED1FFB">
            <w:pPr>
              <w:keepNext/>
              <w:jc w:val="right"/>
              <w:rPr>
                <w:rFonts w:ascii="Segoe UI" w:hAnsi="Segoe UI" w:cs="Segoe UI"/>
              </w:rPr>
            </w:pPr>
            <w:r w:rsidRPr="00596D01">
              <w:t>ACFI subsidy</w:t>
            </w:r>
            <w:r>
              <w:t xml:space="preserve"> </w:t>
            </w:r>
            <w:r w:rsidRPr="00596D01">
              <w:t>rates</w:t>
            </w:r>
          </w:p>
        </w:tc>
        <w:tc>
          <w:tcPr>
            <w:tcW w:w="635" w:type="pct"/>
          </w:tcPr>
          <w:p w14:paraId="6C68487E" w14:textId="77777777" w:rsidR="00421607" w:rsidRPr="005153E0" w:rsidRDefault="00421607" w:rsidP="00ED1FFB">
            <w:pPr>
              <w:keepNext/>
              <w:jc w:val="right"/>
              <w:rPr>
                <w:rFonts w:ascii="Segoe UI" w:hAnsi="Segoe UI" w:cs="Segoe UI"/>
              </w:rPr>
            </w:pPr>
            <w:r w:rsidRPr="00596D01">
              <w:t>Average ACFI payment per resident</w:t>
            </w:r>
          </w:p>
        </w:tc>
        <w:tc>
          <w:tcPr>
            <w:tcW w:w="632" w:type="pct"/>
          </w:tcPr>
          <w:p w14:paraId="77B209D3" w14:textId="77777777" w:rsidR="00421607" w:rsidRPr="00596D01" w:rsidRDefault="00421607" w:rsidP="00ED1FFB">
            <w:pPr>
              <w:keepNext/>
              <w:jc w:val="right"/>
            </w:pPr>
            <w:r w:rsidRPr="00596D01">
              <w:t>ACFI growth per resident above indexation</w:t>
            </w:r>
          </w:p>
        </w:tc>
      </w:tr>
      <w:tr w:rsidR="00421607" w14:paraId="04EC9D85" w14:textId="77777777" w:rsidTr="00D22BE9">
        <w:trPr>
          <w:trHeight w:val="113"/>
        </w:trPr>
        <w:tc>
          <w:tcPr>
            <w:tcW w:w="1190" w:type="pct"/>
          </w:tcPr>
          <w:p w14:paraId="38F80054"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2008</w:t>
            </w:r>
            <w:r>
              <w:rPr>
                <w:rFonts w:ascii="Segoe UI" w:hAnsi="Segoe UI" w:cs="Segoe UI"/>
                <w:color w:val="000000"/>
              </w:rPr>
              <w:t>–0</w:t>
            </w:r>
            <w:r w:rsidRPr="005153E0">
              <w:rPr>
                <w:rFonts w:ascii="Segoe UI" w:hAnsi="Segoe UI" w:cs="Segoe UI"/>
                <w:color w:val="000000"/>
              </w:rPr>
              <w:t>9</w:t>
            </w:r>
          </w:p>
        </w:tc>
        <w:tc>
          <w:tcPr>
            <w:tcW w:w="635" w:type="pct"/>
          </w:tcPr>
          <w:p w14:paraId="1D3166D7"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2.4%</w:t>
            </w:r>
          </w:p>
        </w:tc>
        <w:tc>
          <w:tcPr>
            <w:tcW w:w="635" w:type="pct"/>
          </w:tcPr>
          <w:p w14:paraId="0B431529"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4.1%</w:t>
            </w:r>
          </w:p>
        </w:tc>
        <w:tc>
          <w:tcPr>
            <w:tcW w:w="638" w:type="pct"/>
          </w:tcPr>
          <w:p w14:paraId="278F6B36"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w:t>
            </w:r>
          </w:p>
        </w:tc>
        <w:tc>
          <w:tcPr>
            <w:tcW w:w="635" w:type="pct"/>
          </w:tcPr>
          <w:p w14:paraId="4410BBA0"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1.7%</w:t>
            </w:r>
          </w:p>
        </w:tc>
        <w:tc>
          <w:tcPr>
            <w:tcW w:w="635" w:type="pct"/>
          </w:tcPr>
          <w:p w14:paraId="50FACE21"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7.4%</w:t>
            </w:r>
          </w:p>
        </w:tc>
        <w:tc>
          <w:tcPr>
            <w:tcW w:w="632" w:type="pct"/>
          </w:tcPr>
          <w:p w14:paraId="40C29C22"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5.6%</w:t>
            </w:r>
          </w:p>
        </w:tc>
      </w:tr>
      <w:tr w:rsidR="00421607" w14:paraId="45B95C6E" w14:textId="77777777" w:rsidTr="00D22BE9">
        <w:trPr>
          <w:trHeight w:val="113"/>
        </w:trPr>
        <w:tc>
          <w:tcPr>
            <w:tcW w:w="1190" w:type="pct"/>
          </w:tcPr>
          <w:p w14:paraId="0463B0A4"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2009</w:t>
            </w:r>
            <w:r>
              <w:rPr>
                <w:rFonts w:ascii="Segoe UI" w:hAnsi="Segoe UI" w:cs="Segoe UI"/>
                <w:color w:val="000000"/>
              </w:rPr>
              <w:t>–1</w:t>
            </w:r>
            <w:r w:rsidRPr="005153E0">
              <w:rPr>
                <w:rFonts w:ascii="Segoe UI" w:hAnsi="Segoe UI" w:cs="Segoe UI"/>
                <w:color w:val="000000"/>
              </w:rPr>
              <w:t>0</w:t>
            </w:r>
          </w:p>
        </w:tc>
        <w:tc>
          <w:tcPr>
            <w:tcW w:w="635" w:type="pct"/>
          </w:tcPr>
          <w:p w14:paraId="7F7C3554"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2.9%</w:t>
            </w:r>
          </w:p>
        </w:tc>
        <w:tc>
          <w:tcPr>
            <w:tcW w:w="635" w:type="pct"/>
          </w:tcPr>
          <w:p w14:paraId="5B16C8BB"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3.8%</w:t>
            </w:r>
          </w:p>
        </w:tc>
        <w:tc>
          <w:tcPr>
            <w:tcW w:w="638" w:type="pct"/>
          </w:tcPr>
          <w:p w14:paraId="141F9975"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w:t>
            </w:r>
          </w:p>
        </w:tc>
        <w:tc>
          <w:tcPr>
            <w:tcW w:w="635" w:type="pct"/>
          </w:tcPr>
          <w:p w14:paraId="1B4EEA15"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1.7%</w:t>
            </w:r>
          </w:p>
        </w:tc>
        <w:tc>
          <w:tcPr>
            <w:tcW w:w="635" w:type="pct"/>
          </w:tcPr>
          <w:p w14:paraId="3D76F388"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7.7%</w:t>
            </w:r>
          </w:p>
        </w:tc>
        <w:tc>
          <w:tcPr>
            <w:tcW w:w="632" w:type="pct"/>
          </w:tcPr>
          <w:p w14:paraId="17698253"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5.9%</w:t>
            </w:r>
          </w:p>
        </w:tc>
      </w:tr>
      <w:tr w:rsidR="00421607" w14:paraId="7D35248F" w14:textId="77777777" w:rsidTr="00D22BE9">
        <w:trPr>
          <w:trHeight w:val="113"/>
        </w:trPr>
        <w:tc>
          <w:tcPr>
            <w:tcW w:w="1190" w:type="pct"/>
          </w:tcPr>
          <w:p w14:paraId="731BBD3A"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2010</w:t>
            </w:r>
            <w:r>
              <w:rPr>
                <w:rFonts w:ascii="Segoe UI" w:hAnsi="Segoe UI" w:cs="Segoe UI"/>
                <w:color w:val="000000"/>
              </w:rPr>
              <w:t>–1</w:t>
            </w:r>
            <w:r w:rsidRPr="005153E0">
              <w:rPr>
                <w:rFonts w:ascii="Segoe UI" w:hAnsi="Segoe UI" w:cs="Segoe UI"/>
                <w:color w:val="000000"/>
              </w:rPr>
              <w:t>1</w:t>
            </w:r>
          </w:p>
        </w:tc>
        <w:tc>
          <w:tcPr>
            <w:tcW w:w="635" w:type="pct"/>
          </w:tcPr>
          <w:p w14:paraId="0A374F09"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3.3%</w:t>
            </w:r>
          </w:p>
        </w:tc>
        <w:tc>
          <w:tcPr>
            <w:tcW w:w="635" w:type="pct"/>
          </w:tcPr>
          <w:p w14:paraId="06DFD494"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3.3%</w:t>
            </w:r>
          </w:p>
        </w:tc>
        <w:tc>
          <w:tcPr>
            <w:tcW w:w="638" w:type="pct"/>
          </w:tcPr>
          <w:p w14:paraId="53EAF01B"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3.4%</w:t>
            </w:r>
          </w:p>
        </w:tc>
        <w:tc>
          <w:tcPr>
            <w:tcW w:w="635" w:type="pct"/>
          </w:tcPr>
          <w:p w14:paraId="770A1A71"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1.8%</w:t>
            </w:r>
          </w:p>
        </w:tc>
        <w:tc>
          <w:tcPr>
            <w:tcW w:w="635" w:type="pct"/>
          </w:tcPr>
          <w:p w14:paraId="59A54AB3"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10.0%</w:t>
            </w:r>
          </w:p>
        </w:tc>
        <w:tc>
          <w:tcPr>
            <w:tcW w:w="632" w:type="pct"/>
          </w:tcPr>
          <w:p w14:paraId="352F935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8.1%</w:t>
            </w:r>
          </w:p>
        </w:tc>
      </w:tr>
      <w:tr w:rsidR="00421607" w14:paraId="4CD78DF9" w14:textId="77777777" w:rsidTr="00D22BE9">
        <w:trPr>
          <w:trHeight w:val="113"/>
        </w:trPr>
        <w:tc>
          <w:tcPr>
            <w:tcW w:w="1190" w:type="pct"/>
          </w:tcPr>
          <w:p w14:paraId="7AC8709D"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2011</w:t>
            </w:r>
            <w:r>
              <w:rPr>
                <w:rFonts w:ascii="Segoe UI" w:hAnsi="Segoe UI" w:cs="Segoe UI"/>
                <w:color w:val="000000"/>
              </w:rPr>
              <w:t>–1</w:t>
            </w:r>
            <w:r w:rsidRPr="005153E0">
              <w:rPr>
                <w:rFonts w:ascii="Segoe UI" w:hAnsi="Segoe UI" w:cs="Segoe UI"/>
                <w:color w:val="000000"/>
              </w:rPr>
              <w:t>2</w:t>
            </w:r>
          </w:p>
        </w:tc>
        <w:tc>
          <w:tcPr>
            <w:tcW w:w="635" w:type="pct"/>
          </w:tcPr>
          <w:p w14:paraId="7695422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1.6%</w:t>
            </w:r>
          </w:p>
        </w:tc>
        <w:tc>
          <w:tcPr>
            <w:tcW w:w="635" w:type="pct"/>
          </w:tcPr>
          <w:p w14:paraId="57189E06"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3.0%</w:t>
            </w:r>
          </w:p>
        </w:tc>
        <w:tc>
          <w:tcPr>
            <w:tcW w:w="638" w:type="pct"/>
          </w:tcPr>
          <w:p w14:paraId="667338C0"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2.9%</w:t>
            </w:r>
          </w:p>
        </w:tc>
        <w:tc>
          <w:tcPr>
            <w:tcW w:w="635" w:type="pct"/>
          </w:tcPr>
          <w:p w14:paraId="6D54FF28"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1.9%</w:t>
            </w:r>
          </w:p>
        </w:tc>
        <w:tc>
          <w:tcPr>
            <w:tcW w:w="635" w:type="pct"/>
          </w:tcPr>
          <w:p w14:paraId="70CD8076"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9.3%</w:t>
            </w:r>
          </w:p>
        </w:tc>
        <w:tc>
          <w:tcPr>
            <w:tcW w:w="632" w:type="pct"/>
          </w:tcPr>
          <w:p w14:paraId="16C63478"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7.3%</w:t>
            </w:r>
          </w:p>
        </w:tc>
      </w:tr>
      <w:tr w:rsidR="00421607" w14:paraId="6DDD2295" w14:textId="77777777" w:rsidTr="00D22BE9">
        <w:trPr>
          <w:trHeight w:val="113"/>
        </w:trPr>
        <w:tc>
          <w:tcPr>
            <w:tcW w:w="1190" w:type="pct"/>
          </w:tcPr>
          <w:p w14:paraId="046E7402"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2012</w:t>
            </w:r>
            <w:r>
              <w:rPr>
                <w:rFonts w:ascii="Segoe UI" w:hAnsi="Segoe UI" w:cs="Segoe UI"/>
                <w:color w:val="000000"/>
              </w:rPr>
              <w:t>–1</w:t>
            </w:r>
            <w:r w:rsidRPr="005153E0">
              <w:rPr>
                <w:rFonts w:ascii="Segoe UI" w:hAnsi="Segoe UI" w:cs="Segoe UI"/>
                <w:color w:val="000000"/>
              </w:rPr>
              <w:t>3</w:t>
            </w:r>
          </w:p>
        </w:tc>
        <w:tc>
          <w:tcPr>
            <w:tcW w:w="635" w:type="pct"/>
          </w:tcPr>
          <w:p w14:paraId="1C652F72"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2.5%</w:t>
            </w:r>
          </w:p>
        </w:tc>
        <w:tc>
          <w:tcPr>
            <w:tcW w:w="635" w:type="pct"/>
          </w:tcPr>
          <w:p w14:paraId="70D9DD29"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3.3%</w:t>
            </w:r>
          </w:p>
        </w:tc>
        <w:tc>
          <w:tcPr>
            <w:tcW w:w="638" w:type="pct"/>
          </w:tcPr>
          <w:p w14:paraId="7106694C"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2.6%</w:t>
            </w:r>
          </w:p>
        </w:tc>
        <w:tc>
          <w:tcPr>
            <w:tcW w:w="635" w:type="pct"/>
          </w:tcPr>
          <w:p w14:paraId="1E028F1C"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0.0%</w:t>
            </w:r>
          </w:p>
        </w:tc>
        <w:tc>
          <w:tcPr>
            <w:tcW w:w="635" w:type="pct"/>
          </w:tcPr>
          <w:p w14:paraId="6338DA72"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3.7%</w:t>
            </w:r>
          </w:p>
        </w:tc>
        <w:tc>
          <w:tcPr>
            <w:tcW w:w="632" w:type="pct"/>
          </w:tcPr>
          <w:p w14:paraId="172126E0"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3.7%</w:t>
            </w:r>
          </w:p>
        </w:tc>
      </w:tr>
      <w:tr w:rsidR="00421607" w14:paraId="7DFCF0F0" w14:textId="77777777" w:rsidTr="00D22BE9">
        <w:trPr>
          <w:trHeight w:val="113"/>
        </w:trPr>
        <w:tc>
          <w:tcPr>
            <w:tcW w:w="1190" w:type="pct"/>
          </w:tcPr>
          <w:p w14:paraId="5784ABB5"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2013</w:t>
            </w:r>
            <w:r>
              <w:rPr>
                <w:rFonts w:ascii="Segoe UI" w:hAnsi="Segoe UI" w:cs="Segoe UI"/>
                <w:color w:val="000000"/>
              </w:rPr>
              <w:t>–1</w:t>
            </w:r>
            <w:r w:rsidRPr="005153E0">
              <w:rPr>
                <w:rFonts w:ascii="Segoe UI" w:hAnsi="Segoe UI" w:cs="Segoe UI"/>
                <w:color w:val="000000"/>
              </w:rPr>
              <w:t>4</w:t>
            </w:r>
          </w:p>
        </w:tc>
        <w:tc>
          <w:tcPr>
            <w:tcW w:w="635" w:type="pct"/>
          </w:tcPr>
          <w:p w14:paraId="17BC2914"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2.9%</w:t>
            </w:r>
          </w:p>
        </w:tc>
        <w:tc>
          <w:tcPr>
            <w:tcW w:w="635" w:type="pct"/>
          </w:tcPr>
          <w:p w14:paraId="2880B471"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2.9%</w:t>
            </w:r>
          </w:p>
        </w:tc>
        <w:tc>
          <w:tcPr>
            <w:tcW w:w="638" w:type="pct"/>
          </w:tcPr>
          <w:p w14:paraId="6C971429"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3.0%</w:t>
            </w:r>
          </w:p>
        </w:tc>
        <w:tc>
          <w:tcPr>
            <w:tcW w:w="635" w:type="pct"/>
          </w:tcPr>
          <w:p w14:paraId="7AED632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1.7%</w:t>
            </w:r>
          </w:p>
        </w:tc>
        <w:tc>
          <w:tcPr>
            <w:tcW w:w="635" w:type="pct"/>
          </w:tcPr>
          <w:p w14:paraId="00029FFA"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4.6%</w:t>
            </w:r>
          </w:p>
        </w:tc>
        <w:tc>
          <w:tcPr>
            <w:tcW w:w="632" w:type="pct"/>
          </w:tcPr>
          <w:p w14:paraId="7FBFD936"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2.8%</w:t>
            </w:r>
          </w:p>
        </w:tc>
      </w:tr>
      <w:tr w:rsidR="00421607" w14:paraId="6463C180" w14:textId="77777777" w:rsidTr="00D22BE9">
        <w:trPr>
          <w:trHeight w:val="113"/>
        </w:trPr>
        <w:tc>
          <w:tcPr>
            <w:tcW w:w="1190" w:type="pct"/>
          </w:tcPr>
          <w:p w14:paraId="6BB42CC8"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2014</w:t>
            </w:r>
            <w:r>
              <w:rPr>
                <w:rFonts w:ascii="Segoe UI" w:hAnsi="Segoe UI" w:cs="Segoe UI"/>
                <w:color w:val="000000"/>
              </w:rPr>
              <w:t>–1</w:t>
            </w:r>
            <w:r w:rsidRPr="005153E0">
              <w:rPr>
                <w:rFonts w:ascii="Segoe UI" w:hAnsi="Segoe UI" w:cs="Segoe UI"/>
                <w:color w:val="000000"/>
              </w:rPr>
              <w:t>5</w:t>
            </w:r>
          </w:p>
        </w:tc>
        <w:tc>
          <w:tcPr>
            <w:tcW w:w="635" w:type="pct"/>
          </w:tcPr>
          <w:p w14:paraId="7A26EFC3"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1.3%</w:t>
            </w:r>
          </w:p>
        </w:tc>
        <w:tc>
          <w:tcPr>
            <w:tcW w:w="635" w:type="pct"/>
          </w:tcPr>
          <w:p w14:paraId="42C8F677"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2.6%</w:t>
            </w:r>
          </w:p>
        </w:tc>
        <w:tc>
          <w:tcPr>
            <w:tcW w:w="638" w:type="pct"/>
          </w:tcPr>
          <w:p w14:paraId="32A3F8F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2.5%</w:t>
            </w:r>
          </w:p>
        </w:tc>
        <w:tc>
          <w:tcPr>
            <w:tcW w:w="635" w:type="pct"/>
          </w:tcPr>
          <w:p w14:paraId="5793DFDE"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4.3%</w:t>
            </w:r>
          </w:p>
        </w:tc>
        <w:tc>
          <w:tcPr>
            <w:tcW w:w="635" w:type="pct"/>
          </w:tcPr>
          <w:p w14:paraId="5F003F4F"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9.8%</w:t>
            </w:r>
          </w:p>
        </w:tc>
        <w:tc>
          <w:tcPr>
            <w:tcW w:w="632" w:type="pct"/>
          </w:tcPr>
          <w:p w14:paraId="2789969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5.2%</w:t>
            </w:r>
          </w:p>
        </w:tc>
      </w:tr>
      <w:tr w:rsidR="00421607" w14:paraId="25D35ED4" w14:textId="77777777" w:rsidTr="00D22BE9">
        <w:trPr>
          <w:trHeight w:val="113"/>
        </w:trPr>
        <w:tc>
          <w:tcPr>
            <w:tcW w:w="1190" w:type="pct"/>
          </w:tcPr>
          <w:p w14:paraId="62033BBE"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2015</w:t>
            </w:r>
            <w:r>
              <w:rPr>
                <w:rFonts w:ascii="Segoe UI" w:hAnsi="Segoe UI" w:cs="Segoe UI"/>
                <w:color w:val="000000"/>
              </w:rPr>
              <w:t>–1</w:t>
            </w:r>
            <w:r w:rsidRPr="005153E0">
              <w:rPr>
                <w:rFonts w:ascii="Segoe UI" w:hAnsi="Segoe UI" w:cs="Segoe UI"/>
                <w:color w:val="000000"/>
              </w:rPr>
              <w:t>6</w:t>
            </w:r>
          </w:p>
        </w:tc>
        <w:tc>
          <w:tcPr>
            <w:tcW w:w="635" w:type="pct"/>
          </w:tcPr>
          <w:p w14:paraId="3117C59C"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1.3%</w:t>
            </w:r>
          </w:p>
        </w:tc>
        <w:tc>
          <w:tcPr>
            <w:tcW w:w="635" w:type="pct"/>
          </w:tcPr>
          <w:p w14:paraId="7804C67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2.6%</w:t>
            </w:r>
          </w:p>
        </w:tc>
        <w:tc>
          <w:tcPr>
            <w:tcW w:w="638" w:type="pct"/>
          </w:tcPr>
          <w:p w14:paraId="6A3F9AED"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2.4%</w:t>
            </w:r>
          </w:p>
        </w:tc>
        <w:tc>
          <w:tcPr>
            <w:tcW w:w="635" w:type="pct"/>
          </w:tcPr>
          <w:p w14:paraId="25275722"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1.3%</w:t>
            </w:r>
          </w:p>
        </w:tc>
        <w:tc>
          <w:tcPr>
            <w:tcW w:w="635" w:type="pct"/>
          </w:tcPr>
          <w:p w14:paraId="71466F71"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6.9%</w:t>
            </w:r>
          </w:p>
        </w:tc>
        <w:tc>
          <w:tcPr>
            <w:tcW w:w="632" w:type="pct"/>
          </w:tcPr>
          <w:p w14:paraId="362E35D1"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5.5%</w:t>
            </w:r>
          </w:p>
        </w:tc>
      </w:tr>
      <w:tr w:rsidR="00421607" w14:paraId="01AE4409" w14:textId="77777777" w:rsidTr="00D22BE9">
        <w:trPr>
          <w:trHeight w:val="113"/>
        </w:trPr>
        <w:tc>
          <w:tcPr>
            <w:tcW w:w="1190" w:type="pct"/>
          </w:tcPr>
          <w:p w14:paraId="38E9C4EE"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2016</w:t>
            </w:r>
            <w:r>
              <w:rPr>
                <w:rFonts w:ascii="Segoe UI" w:hAnsi="Segoe UI" w:cs="Segoe UI"/>
                <w:color w:val="000000"/>
              </w:rPr>
              <w:t>–1</w:t>
            </w:r>
            <w:r w:rsidRPr="005153E0">
              <w:rPr>
                <w:rFonts w:ascii="Segoe UI" w:hAnsi="Segoe UI" w:cs="Segoe UI"/>
                <w:color w:val="000000"/>
              </w:rPr>
              <w:t>7</w:t>
            </w:r>
          </w:p>
        </w:tc>
        <w:tc>
          <w:tcPr>
            <w:tcW w:w="635" w:type="pct"/>
          </w:tcPr>
          <w:p w14:paraId="7B34B719"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2.1%</w:t>
            </w:r>
          </w:p>
        </w:tc>
        <w:tc>
          <w:tcPr>
            <w:tcW w:w="635" w:type="pct"/>
          </w:tcPr>
          <w:p w14:paraId="306135B7"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2.3%</w:t>
            </w:r>
          </w:p>
        </w:tc>
        <w:tc>
          <w:tcPr>
            <w:tcW w:w="638" w:type="pct"/>
          </w:tcPr>
          <w:p w14:paraId="1C567C3C"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3.3%</w:t>
            </w:r>
          </w:p>
        </w:tc>
        <w:tc>
          <w:tcPr>
            <w:tcW w:w="635" w:type="pct"/>
          </w:tcPr>
          <w:p w14:paraId="3CE8B99A"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1.5%</w:t>
            </w:r>
          </w:p>
        </w:tc>
        <w:tc>
          <w:tcPr>
            <w:tcW w:w="635" w:type="pct"/>
          </w:tcPr>
          <w:p w14:paraId="47251E70"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3.7%</w:t>
            </w:r>
          </w:p>
        </w:tc>
        <w:tc>
          <w:tcPr>
            <w:tcW w:w="632" w:type="pct"/>
          </w:tcPr>
          <w:p w14:paraId="760D9230"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2.1%</w:t>
            </w:r>
          </w:p>
        </w:tc>
      </w:tr>
      <w:tr w:rsidR="00421607" w14:paraId="5D4DF8FE" w14:textId="77777777" w:rsidTr="00D22BE9">
        <w:trPr>
          <w:trHeight w:val="113"/>
        </w:trPr>
        <w:tc>
          <w:tcPr>
            <w:tcW w:w="1190" w:type="pct"/>
          </w:tcPr>
          <w:p w14:paraId="1574C5D8" w14:textId="77777777" w:rsidR="00421607" w:rsidRPr="005153E0" w:rsidRDefault="00421607" w:rsidP="00ED1FFB">
            <w:pPr>
              <w:keepNext/>
              <w:rPr>
                <w:rFonts w:ascii="Segoe UI" w:hAnsi="Segoe UI" w:cs="Segoe UI"/>
                <w:color w:val="000000"/>
              </w:rPr>
            </w:pPr>
            <w:r w:rsidRPr="005153E0">
              <w:rPr>
                <w:rFonts w:ascii="Segoe UI" w:hAnsi="Segoe UI" w:cs="Segoe UI"/>
                <w:color w:val="000000"/>
              </w:rPr>
              <w:t>2017</w:t>
            </w:r>
            <w:r>
              <w:rPr>
                <w:rFonts w:ascii="Segoe UI" w:hAnsi="Segoe UI" w:cs="Segoe UI"/>
                <w:color w:val="000000"/>
              </w:rPr>
              <w:t>–1</w:t>
            </w:r>
            <w:r w:rsidRPr="005153E0">
              <w:rPr>
                <w:rFonts w:ascii="Segoe UI" w:hAnsi="Segoe UI" w:cs="Segoe UI"/>
                <w:color w:val="000000"/>
              </w:rPr>
              <w:t>8</w:t>
            </w:r>
          </w:p>
        </w:tc>
        <w:tc>
          <w:tcPr>
            <w:tcW w:w="635" w:type="pct"/>
          </w:tcPr>
          <w:p w14:paraId="3BD6A844"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1.9%</w:t>
            </w:r>
          </w:p>
        </w:tc>
        <w:tc>
          <w:tcPr>
            <w:tcW w:w="635" w:type="pct"/>
          </w:tcPr>
          <w:p w14:paraId="35021D68"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2.7%</w:t>
            </w:r>
          </w:p>
        </w:tc>
        <w:tc>
          <w:tcPr>
            <w:tcW w:w="638" w:type="pct"/>
          </w:tcPr>
          <w:p w14:paraId="2D2EFD6B"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3.5%</w:t>
            </w:r>
          </w:p>
        </w:tc>
        <w:tc>
          <w:tcPr>
            <w:tcW w:w="635" w:type="pct"/>
          </w:tcPr>
          <w:p w14:paraId="7EBCB527"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0.0%</w:t>
            </w:r>
          </w:p>
        </w:tc>
        <w:tc>
          <w:tcPr>
            <w:tcW w:w="635" w:type="pct"/>
          </w:tcPr>
          <w:p w14:paraId="287E9DB8" w14:textId="77777777" w:rsidR="00421607" w:rsidRPr="005153E0" w:rsidRDefault="00D22BE9" w:rsidP="00544334">
            <w:pPr>
              <w:keepNext/>
              <w:jc w:val="right"/>
              <w:rPr>
                <w:rFonts w:ascii="Segoe UI" w:hAnsi="Segoe UI" w:cs="Segoe UI"/>
                <w:color w:val="000000"/>
              </w:rPr>
            </w:pPr>
            <w:r>
              <w:rPr>
                <w:rFonts w:ascii="Segoe UI" w:hAnsi="Segoe UI" w:cs="Segoe UI"/>
                <w:color w:val="000000"/>
              </w:rPr>
              <w:t>0.1%</w:t>
            </w:r>
          </w:p>
        </w:tc>
        <w:tc>
          <w:tcPr>
            <w:tcW w:w="632" w:type="pct"/>
            <w:vAlign w:val="center"/>
          </w:tcPr>
          <w:p w14:paraId="1C755BC3" w14:textId="77777777" w:rsidR="00421607" w:rsidRPr="005153E0" w:rsidRDefault="00D22BE9" w:rsidP="00D22BE9">
            <w:pPr>
              <w:keepNext/>
              <w:jc w:val="right"/>
              <w:rPr>
                <w:rFonts w:ascii="Segoe UI" w:hAnsi="Segoe UI" w:cs="Segoe UI"/>
                <w:color w:val="000000"/>
              </w:rPr>
            </w:pPr>
            <w:r>
              <w:rPr>
                <w:rFonts w:ascii="Segoe UI" w:hAnsi="Segoe UI" w:cs="Segoe UI"/>
                <w:color w:val="000000"/>
              </w:rPr>
              <w:t>0.1%</w:t>
            </w:r>
          </w:p>
        </w:tc>
      </w:tr>
      <w:tr w:rsidR="00421607" w14:paraId="230B56A3" w14:textId="77777777" w:rsidTr="00D22BE9">
        <w:trPr>
          <w:trHeight w:val="113"/>
        </w:trPr>
        <w:tc>
          <w:tcPr>
            <w:tcW w:w="1190" w:type="pct"/>
          </w:tcPr>
          <w:p w14:paraId="1356081C" w14:textId="77777777" w:rsidR="00421607" w:rsidRPr="00596D01" w:rsidRDefault="00421607" w:rsidP="00ED1FFB">
            <w:pPr>
              <w:keepNext/>
              <w:rPr>
                <w:rStyle w:val="Emphasis"/>
              </w:rPr>
            </w:pPr>
            <w:r w:rsidRPr="00596D01">
              <w:rPr>
                <w:rStyle w:val="Emphasis"/>
              </w:rPr>
              <w:t>Average annual change</w:t>
            </w:r>
          </w:p>
        </w:tc>
        <w:tc>
          <w:tcPr>
            <w:tcW w:w="635" w:type="pct"/>
          </w:tcPr>
          <w:p w14:paraId="6681D9DC"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2.2%</w:t>
            </w:r>
          </w:p>
        </w:tc>
        <w:tc>
          <w:tcPr>
            <w:tcW w:w="635" w:type="pct"/>
          </w:tcPr>
          <w:p w14:paraId="1E8FB5E6"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3.1%</w:t>
            </w:r>
          </w:p>
        </w:tc>
        <w:tc>
          <w:tcPr>
            <w:tcW w:w="638" w:type="pct"/>
          </w:tcPr>
          <w:p w14:paraId="0A41FE64"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3.0%</w:t>
            </w:r>
          </w:p>
        </w:tc>
        <w:tc>
          <w:tcPr>
            <w:tcW w:w="635" w:type="pct"/>
          </w:tcPr>
          <w:p w14:paraId="20C900E5"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1.6%</w:t>
            </w:r>
          </w:p>
        </w:tc>
        <w:tc>
          <w:tcPr>
            <w:tcW w:w="635" w:type="pct"/>
          </w:tcPr>
          <w:p w14:paraId="5A341E5E" w14:textId="77777777" w:rsidR="00421607" w:rsidRPr="005153E0" w:rsidRDefault="00D22BE9" w:rsidP="00ED1FFB">
            <w:pPr>
              <w:jc w:val="right"/>
              <w:rPr>
                <w:rFonts w:ascii="Segoe UI" w:hAnsi="Segoe UI" w:cs="Segoe UI"/>
              </w:rPr>
            </w:pPr>
            <w:r>
              <w:rPr>
                <w:rFonts w:ascii="Segoe UI" w:hAnsi="Segoe UI" w:cs="Segoe UI"/>
              </w:rPr>
              <w:t>6.3</w:t>
            </w:r>
            <w:r w:rsidR="00421607" w:rsidRPr="005153E0">
              <w:rPr>
                <w:rFonts w:ascii="Segoe UI" w:hAnsi="Segoe UI" w:cs="Segoe UI"/>
              </w:rPr>
              <w:t>%</w:t>
            </w:r>
          </w:p>
        </w:tc>
        <w:tc>
          <w:tcPr>
            <w:tcW w:w="632" w:type="pct"/>
          </w:tcPr>
          <w:p w14:paraId="1C7DD970" w14:textId="77777777" w:rsidR="00421607" w:rsidRPr="005153E0" w:rsidRDefault="00D22BE9" w:rsidP="00ED1FFB">
            <w:pPr>
              <w:jc w:val="right"/>
              <w:rPr>
                <w:rFonts w:ascii="Segoe UI" w:hAnsi="Segoe UI" w:cs="Segoe UI"/>
              </w:rPr>
            </w:pPr>
            <w:r>
              <w:rPr>
                <w:rFonts w:ascii="Segoe UI" w:hAnsi="Segoe UI" w:cs="Segoe UI"/>
              </w:rPr>
              <w:t>4.6</w:t>
            </w:r>
            <w:r w:rsidR="00421607" w:rsidRPr="005153E0">
              <w:rPr>
                <w:rFonts w:ascii="Segoe UI" w:hAnsi="Segoe UI" w:cs="Segoe UI"/>
              </w:rPr>
              <w:t>%</w:t>
            </w:r>
          </w:p>
        </w:tc>
      </w:tr>
      <w:tr w:rsidR="00421607" w14:paraId="44BBC714" w14:textId="77777777" w:rsidTr="00D22BE9">
        <w:trPr>
          <w:trHeight w:val="113"/>
        </w:trPr>
        <w:tc>
          <w:tcPr>
            <w:tcW w:w="1190" w:type="pct"/>
          </w:tcPr>
          <w:p w14:paraId="0507607E" w14:textId="77777777" w:rsidR="00421607" w:rsidRPr="00596D01" w:rsidRDefault="00421607" w:rsidP="00ED1FFB">
            <w:pPr>
              <w:keepNext/>
              <w:rPr>
                <w:rStyle w:val="Emphasis"/>
              </w:rPr>
            </w:pPr>
            <w:r w:rsidRPr="00596D01">
              <w:rPr>
                <w:rStyle w:val="Emphasis"/>
              </w:rPr>
              <w:t>Cumulative change</w:t>
            </w:r>
          </w:p>
        </w:tc>
        <w:tc>
          <w:tcPr>
            <w:tcW w:w="635" w:type="pct"/>
          </w:tcPr>
          <w:p w14:paraId="070D7ADF"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24.7%</w:t>
            </w:r>
          </w:p>
        </w:tc>
        <w:tc>
          <w:tcPr>
            <w:tcW w:w="635" w:type="pct"/>
          </w:tcPr>
          <w:p w14:paraId="2B2F8039"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35.2%</w:t>
            </w:r>
          </w:p>
        </w:tc>
        <w:tc>
          <w:tcPr>
            <w:tcW w:w="638" w:type="pct"/>
          </w:tcPr>
          <w:p w14:paraId="5856E1EC"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_</w:t>
            </w:r>
          </w:p>
        </w:tc>
        <w:tc>
          <w:tcPr>
            <w:tcW w:w="635" w:type="pct"/>
          </w:tcPr>
          <w:p w14:paraId="1826050F" w14:textId="77777777" w:rsidR="00421607" w:rsidRPr="005153E0" w:rsidRDefault="00421607" w:rsidP="00ED1FFB">
            <w:pPr>
              <w:keepNext/>
              <w:jc w:val="right"/>
              <w:rPr>
                <w:rFonts w:ascii="Segoe UI" w:hAnsi="Segoe UI" w:cs="Segoe UI"/>
                <w:color w:val="000000"/>
              </w:rPr>
            </w:pPr>
            <w:r w:rsidRPr="005153E0">
              <w:rPr>
                <w:rFonts w:ascii="Segoe UI" w:hAnsi="Segoe UI" w:cs="Segoe UI"/>
                <w:color w:val="000000"/>
              </w:rPr>
              <w:t>17.1%</w:t>
            </w:r>
          </w:p>
        </w:tc>
        <w:tc>
          <w:tcPr>
            <w:tcW w:w="635" w:type="pct"/>
          </w:tcPr>
          <w:p w14:paraId="059CE0A0" w14:textId="77777777" w:rsidR="00421607" w:rsidRPr="005153E0" w:rsidRDefault="00D22BE9" w:rsidP="00ED1FFB">
            <w:pPr>
              <w:jc w:val="right"/>
              <w:rPr>
                <w:rFonts w:ascii="Segoe UI" w:hAnsi="Segoe UI" w:cs="Segoe UI"/>
              </w:rPr>
            </w:pPr>
            <w:r>
              <w:rPr>
                <w:rFonts w:ascii="Segoe UI" w:hAnsi="Segoe UI" w:cs="Segoe UI"/>
              </w:rPr>
              <w:t>83.6</w:t>
            </w:r>
            <w:r w:rsidR="00421607" w:rsidRPr="005153E0">
              <w:rPr>
                <w:rFonts w:ascii="Segoe UI" w:hAnsi="Segoe UI" w:cs="Segoe UI"/>
              </w:rPr>
              <w:t>%</w:t>
            </w:r>
          </w:p>
        </w:tc>
        <w:tc>
          <w:tcPr>
            <w:tcW w:w="632" w:type="pct"/>
          </w:tcPr>
          <w:p w14:paraId="6E621B3C" w14:textId="77777777" w:rsidR="00421607" w:rsidRPr="005153E0" w:rsidRDefault="00D22BE9" w:rsidP="00ED1FFB">
            <w:pPr>
              <w:jc w:val="right"/>
              <w:rPr>
                <w:rFonts w:ascii="Segoe UI" w:hAnsi="Segoe UI" w:cs="Segoe UI"/>
              </w:rPr>
            </w:pPr>
            <w:r>
              <w:rPr>
                <w:rFonts w:ascii="Segoe UI" w:hAnsi="Segoe UI" w:cs="Segoe UI"/>
              </w:rPr>
              <w:t>56.8</w:t>
            </w:r>
            <w:r w:rsidR="00421607" w:rsidRPr="005153E0">
              <w:rPr>
                <w:rFonts w:ascii="Segoe UI" w:hAnsi="Segoe UI" w:cs="Segoe UI"/>
              </w:rPr>
              <w:t>%</w:t>
            </w:r>
          </w:p>
        </w:tc>
      </w:tr>
    </w:tbl>
    <w:p w14:paraId="72D134E3" w14:textId="77777777" w:rsidR="00D22BE9" w:rsidRDefault="00D22BE9" w:rsidP="00123EEE">
      <w:pPr>
        <w:keepNext/>
        <w:spacing w:after="0" w:line="240" w:lineRule="auto"/>
        <w:rPr>
          <w:rFonts w:ascii="Arial" w:hAnsi="Arial" w:cs="Arial"/>
          <w:sz w:val="16"/>
          <w:szCs w:val="16"/>
        </w:rPr>
      </w:pPr>
      <w:r>
        <w:rPr>
          <w:rFonts w:ascii="Arial" w:hAnsi="Arial" w:cs="Arial"/>
          <w:sz w:val="16"/>
          <w:szCs w:val="16"/>
        </w:rPr>
        <w:t xml:space="preserve">Notes: </w:t>
      </w:r>
    </w:p>
    <w:p w14:paraId="5EE6D483" w14:textId="624023C4" w:rsidR="00D22BE9" w:rsidRPr="00123EEE" w:rsidRDefault="00D22BE9" w:rsidP="00123EEE">
      <w:pPr>
        <w:keepNext/>
        <w:spacing w:after="0" w:line="240" w:lineRule="auto"/>
        <w:rPr>
          <w:sz w:val="16"/>
          <w:szCs w:val="16"/>
        </w:rPr>
      </w:pPr>
      <w:r>
        <w:rPr>
          <w:rFonts w:ascii="Arial" w:hAnsi="Arial" w:cs="Arial"/>
          <w:sz w:val="16"/>
          <w:szCs w:val="16"/>
        </w:rPr>
        <w:t xml:space="preserve">1. </w:t>
      </w:r>
      <w:r w:rsidRPr="00123EEE">
        <w:rPr>
          <w:sz w:val="16"/>
          <w:szCs w:val="16"/>
        </w:rPr>
        <w:t xml:space="preserve">The Aged Care Award was not in effect in 2008-09 so growth can only </w:t>
      </w:r>
      <w:r w:rsidR="00EE023D">
        <w:rPr>
          <w:sz w:val="16"/>
          <w:szCs w:val="16"/>
        </w:rPr>
        <w:t>be calculated over the period 20</w:t>
      </w:r>
      <w:r w:rsidR="004171D0">
        <w:rPr>
          <w:sz w:val="16"/>
          <w:szCs w:val="16"/>
        </w:rPr>
        <w:t>09-10</w:t>
      </w:r>
      <w:r w:rsidRPr="00123EEE">
        <w:rPr>
          <w:sz w:val="16"/>
          <w:szCs w:val="16"/>
        </w:rPr>
        <w:t xml:space="preserve"> to 2017-18</w:t>
      </w:r>
      <w:r w:rsidR="00100766">
        <w:rPr>
          <w:sz w:val="16"/>
          <w:szCs w:val="16"/>
        </w:rPr>
        <w:t>.</w:t>
      </w:r>
    </w:p>
    <w:p w14:paraId="58737CBB" w14:textId="75E41871" w:rsidR="00D22BE9" w:rsidRPr="00123EEE" w:rsidRDefault="00D22BE9" w:rsidP="00123EEE">
      <w:pPr>
        <w:keepNext/>
        <w:spacing w:after="0" w:line="240" w:lineRule="auto"/>
        <w:rPr>
          <w:sz w:val="16"/>
          <w:szCs w:val="16"/>
        </w:rPr>
      </w:pPr>
      <w:r w:rsidRPr="00123EEE">
        <w:rPr>
          <w:sz w:val="16"/>
          <w:szCs w:val="16"/>
        </w:rPr>
        <w:t>2. ACFI subsidy rates have been adjusted to account for the Conditional Adjustment Payment that was rolled into ACFI subsidy rates in 2014-15</w:t>
      </w:r>
      <w:r w:rsidR="00100766">
        <w:rPr>
          <w:sz w:val="16"/>
          <w:szCs w:val="16"/>
        </w:rPr>
        <w:t>.</w:t>
      </w:r>
    </w:p>
    <w:p w14:paraId="6184F549" w14:textId="209145AC" w:rsidR="00D22BE9" w:rsidRPr="00123EEE" w:rsidRDefault="00D22BE9" w:rsidP="00123EEE">
      <w:pPr>
        <w:keepNext/>
        <w:spacing w:after="0" w:line="240" w:lineRule="auto"/>
        <w:rPr>
          <w:sz w:val="16"/>
          <w:szCs w:val="16"/>
        </w:rPr>
      </w:pPr>
      <w:r w:rsidRPr="00123EEE">
        <w:rPr>
          <w:sz w:val="16"/>
          <w:szCs w:val="16"/>
        </w:rPr>
        <w:t>3. Average ACFI payment per resident includes all basic subsidy payments</w:t>
      </w:r>
      <w:r w:rsidR="00100766">
        <w:rPr>
          <w:sz w:val="16"/>
          <w:szCs w:val="16"/>
        </w:rPr>
        <w:t>.</w:t>
      </w:r>
    </w:p>
    <w:p w14:paraId="44C2EC2D" w14:textId="4376036A" w:rsidR="00D22BE9" w:rsidRPr="00123EEE" w:rsidRDefault="00D22BE9" w:rsidP="00123EEE">
      <w:pPr>
        <w:keepNext/>
        <w:spacing w:after="0" w:line="240" w:lineRule="auto"/>
        <w:rPr>
          <w:sz w:val="16"/>
          <w:szCs w:val="16"/>
        </w:rPr>
      </w:pPr>
      <w:r w:rsidRPr="00123EEE">
        <w:rPr>
          <w:sz w:val="16"/>
          <w:szCs w:val="16"/>
        </w:rPr>
        <w:t>4. The change to subsidies in 2016-17 did not apply across all domains of the ACFI – the CHC domain only received half indexation</w:t>
      </w:r>
      <w:r w:rsidR="00100766">
        <w:rPr>
          <w:sz w:val="16"/>
          <w:szCs w:val="16"/>
        </w:rPr>
        <w:t>.</w:t>
      </w:r>
    </w:p>
    <w:p w14:paraId="04EB6174" w14:textId="77777777" w:rsidR="006B3287" w:rsidRDefault="006B3287" w:rsidP="00AB28DB">
      <w:r>
        <w:br w:type="page"/>
      </w:r>
    </w:p>
    <w:p w14:paraId="55065038" w14:textId="77777777" w:rsidR="000434A5" w:rsidRDefault="00421607" w:rsidP="00174B49">
      <w:r>
        <w:lastRenderedPageBreak/>
        <w:t>Providers and the Government have differing views about the reason for the increase in ACFI claims prior to 2017-18.</w:t>
      </w:r>
      <w:r w:rsidR="000C1171">
        <w:t xml:space="preserve"> </w:t>
      </w:r>
      <w:r w:rsidR="00BC7C67">
        <w:t>As noted previously, t</w:t>
      </w:r>
      <w:r w:rsidR="000C1171">
        <w:t xml:space="preserve">he Government’s view </w:t>
      </w:r>
      <w:r w:rsidR="00E902E5">
        <w:t>is</w:t>
      </w:r>
      <w:r w:rsidR="000C1171">
        <w:t xml:space="preserve"> that the</w:t>
      </w:r>
      <w:r w:rsidR="000C1171" w:rsidRPr="000C1171">
        <w:t xml:space="preserve"> rise in ACFI claims significantly above Budget projections reflected the ‘claiming behaviour’ by providers rather than the growth in the acuity levels </w:t>
      </w:r>
      <w:r w:rsidR="000C1171">
        <w:t>of residents</w:t>
      </w:r>
      <w:r w:rsidR="00C52A39">
        <w:t>.</w:t>
      </w:r>
      <w:r w:rsidR="000C1171">
        <w:t xml:space="preserve"> </w:t>
      </w:r>
      <w:r w:rsidR="00C52A39" w:rsidRPr="00142019">
        <w:t xml:space="preserve">The Government </w:t>
      </w:r>
      <w:r w:rsidR="00A20DB4">
        <w:t xml:space="preserve">notes </w:t>
      </w:r>
      <w:r w:rsidR="00A20DB4" w:rsidRPr="00142019">
        <w:t>that</w:t>
      </w:r>
      <w:r w:rsidR="00C52A39" w:rsidRPr="00142019">
        <w:t xml:space="preserve"> </w:t>
      </w:r>
      <w:r w:rsidR="00C52A39">
        <w:t xml:space="preserve">the </w:t>
      </w:r>
      <w:r w:rsidR="00C52A39" w:rsidRPr="00142019">
        <w:t>increase</w:t>
      </w:r>
      <w:r w:rsidR="00C52A39">
        <w:t xml:space="preserve"> in </w:t>
      </w:r>
      <w:r w:rsidR="00C52A39" w:rsidRPr="00142019">
        <w:t xml:space="preserve">ACFI claims </w:t>
      </w:r>
      <w:r w:rsidR="00A20DB4" w:rsidRPr="00142019">
        <w:t>w</w:t>
      </w:r>
      <w:r w:rsidR="00A20DB4">
        <w:t xml:space="preserve">as </w:t>
      </w:r>
      <w:r w:rsidR="00A20DB4" w:rsidRPr="00142019">
        <w:t>not</w:t>
      </w:r>
      <w:r w:rsidR="00755BC2">
        <w:t xml:space="preserve"> limited to</w:t>
      </w:r>
      <w:r w:rsidR="00C52A39" w:rsidRPr="00142019">
        <w:t xml:space="preserve"> a few providers and </w:t>
      </w:r>
      <w:r w:rsidR="00755BC2">
        <w:t>was focused</w:t>
      </w:r>
      <w:r w:rsidR="00C52A39">
        <w:t xml:space="preserve"> </w:t>
      </w:r>
      <w:r w:rsidR="00755BC2">
        <w:t xml:space="preserve">on </w:t>
      </w:r>
      <w:r w:rsidR="00C52A39">
        <w:t xml:space="preserve">areas of ACFI where there was more subjectivity in the </w:t>
      </w:r>
      <w:r w:rsidR="00A20DB4">
        <w:t>tool. The</w:t>
      </w:r>
      <w:r w:rsidR="000C1171">
        <w:t xml:space="preserve"> implication </w:t>
      </w:r>
      <w:r w:rsidR="00755BC2">
        <w:t xml:space="preserve">of the Government’s view </w:t>
      </w:r>
      <w:r w:rsidR="00A20DB4">
        <w:t xml:space="preserve">is </w:t>
      </w:r>
      <w:r w:rsidR="00A20DB4" w:rsidRPr="000C1171">
        <w:t>that a</w:t>
      </w:r>
      <w:r w:rsidR="000C1171" w:rsidRPr="000C1171">
        <w:t xml:space="preserve"> sizea</w:t>
      </w:r>
      <w:r w:rsidR="000C1171">
        <w:t>ble proportion of providers had</w:t>
      </w:r>
      <w:r w:rsidR="000C1171" w:rsidRPr="000C1171">
        <w:t xml:space="preserve"> been classifying residents as being in a high domain under ACFI, and claiming commensurate payments, when the actual</w:t>
      </w:r>
      <w:r w:rsidR="000C1171">
        <w:t xml:space="preserve"> care needs of the residents were</w:t>
      </w:r>
      <w:r w:rsidR="000C1171" w:rsidRPr="000C1171">
        <w:t xml:space="preserve"> lower. If this is the case, changing the scoring system under ACFI such that it is more difficult to classify residents in a category above their care needs would curtail the revenue of providers without adversely impacting on the resident’s level of care</w:t>
      </w:r>
      <w:r w:rsidR="00AD5683">
        <w:t>, and an indexation pause would help recover some of the excess claiming</w:t>
      </w:r>
      <w:r w:rsidR="000C1171" w:rsidRPr="000C1171">
        <w:t>.</w:t>
      </w:r>
    </w:p>
    <w:p w14:paraId="6E404D35" w14:textId="77777777" w:rsidR="000C1171" w:rsidRDefault="000C1171" w:rsidP="00174B49">
      <w:r w:rsidRPr="000C1171">
        <w:t xml:space="preserve">In contrast, providers claim that growth in ACFI payments per resident per day above indexation, which they point out are subject to an audit program, </w:t>
      </w:r>
      <w:r w:rsidR="001A009F">
        <w:t>reflected the care needs of residents and the frailty of residents were increasing.</w:t>
      </w:r>
      <w:r w:rsidR="00544334">
        <w:t xml:space="preserve"> </w:t>
      </w:r>
      <w:r w:rsidR="00755BC2" w:rsidRPr="00142019">
        <w:t xml:space="preserve">Providers say that changing the scoring for complex health care and freezing indexation for all providers was a blunt measure by the Government in response to concerns the Government may have had about the claiming behaviour of a few providers. </w:t>
      </w:r>
      <w:r w:rsidR="001A009F">
        <w:t xml:space="preserve">Many </w:t>
      </w:r>
      <w:r w:rsidR="0061030A">
        <w:t>providers noted</w:t>
      </w:r>
      <w:r w:rsidR="003B4A28">
        <w:t xml:space="preserve"> </w:t>
      </w:r>
      <w:r w:rsidR="0061030A">
        <w:t xml:space="preserve">that </w:t>
      </w:r>
      <w:r w:rsidR="00F6693A">
        <w:t xml:space="preserve">they </w:t>
      </w:r>
      <w:r w:rsidR="0061030A">
        <w:t>took</w:t>
      </w:r>
      <w:r w:rsidR="003B4A28">
        <w:t xml:space="preserve"> steps to lift their ACFI claims where they thought they were ‘under </w:t>
      </w:r>
      <w:r w:rsidR="0061030A">
        <w:t>claiming’</w:t>
      </w:r>
      <w:r w:rsidR="0061030A" w:rsidRPr="000C1171">
        <w:t>,</w:t>
      </w:r>
      <w:r w:rsidR="003B4A28">
        <w:t xml:space="preserve"> but stress that their claims were in line with the care needs of the residents. </w:t>
      </w:r>
      <w:r w:rsidRPr="000C1171">
        <w:t>If this is the case, then measures to reduce the growth in ACFI claims will adversely impact on the financial position of providers, which in turn may cause challenges to the level of care residents receive.</w:t>
      </w:r>
      <w:r w:rsidR="006059CC">
        <w:t xml:space="preserve"> Several providers have indicated that as a result of the ACFI changes they were confronted with either providing and absorbing the cost of the level of care a resident </w:t>
      </w:r>
      <w:r w:rsidR="005D15A4">
        <w:t xml:space="preserve">needed </w:t>
      </w:r>
      <w:r w:rsidR="006059CC">
        <w:t>but for which they were not funded, or not delivering the full care that a resident needs.</w:t>
      </w:r>
    </w:p>
    <w:p w14:paraId="33DED46E" w14:textId="77777777" w:rsidR="000C1171" w:rsidRDefault="000C1171" w:rsidP="00174B49">
      <w:r w:rsidRPr="000C1171">
        <w:t>Whether the Government’s or providers’ view is closer to reality will determine whether the impact on the financial performance of providers as a result of the ACFI changes is imposing excessive pressure on providers and/or impacting on the level of care residents are receiving, or it has brought ACFI payments back to a level more in line with the growth in acuity level of aged care residents.</w:t>
      </w:r>
      <w:r w:rsidR="00841C0A">
        <w:t xml:space="preserve"> </w:t>
      </w:r>
      <w:r w:rsidR="00F6693A">
        <w:t>Either way, the volatility in funding experienced under ACFI</w:t>
      </w:r>
      <w:r w:rsidR="00007821">
        <w:t xml:space="preserve"> </w:t>
      </w:r>
      <w:r w:rsidR="00F6693A">
        <w:t xml:space="preserve">is not </w:t>
      </w:r>
      <w:r w:rsidR="00007821">
        <w:t xml:space="preserve">beneficial for </w:t>
      </w:r>
      <w:r w:rsidR="00F6693A">
        <w:t>either Government or providers.</w:t>
      </w:r>
    </w:p>
    <w:p w14:paraId="06884247" w14:textId="77777777" w:rsidR="006B3287" w:rsidRPr="000434A5" w:rsidRDefault="006B3287" w:rsidP="00174B49"/>
    <w:p w14:paraId="346347C1" w14:textId="77777777" w:rsidR="00FF5801" w:rsidRPr="00CE1DD4" w:rsidRDefault="00841C0A" w:rsidP="000C062D">
      <w:pPr>
        <w:pStyle w:val="Heading2"/>
      </w:pPr>
      <w:r w:rsidRPr="00CE1DD4">
        <w:t>Home Care</w:t>
      </w:r>
    </w:p>
    <w:p w14:paraId="5FC48629" w14:textId="77777777" w:rsidR="009C1CB8" w:rsidRDefault="00841C0A" w:rsidP="00174B49">
      <w:r>
        <w:t>The major recent reform initiative in the home care sector</w:t>
      </w:r>
      <w:r w:rsidR="00EF17A2">
        <w:t xml:space="preserve"> was the introduction of packages</w:t>
      </w:r>
      <w:r>
        <w:t xml:space="preserve"> following consumers which took effect from February 2017. </w:t>
      </w:r>
      <w:r w:rsidR="00EF17A2">
        <w:t xml:space="preserve">This allows consumers to direct their care package to the provider of their choice as well as </w:t>
      </w:r>
      <w:r w:rsidR="00F6693A">
        <w:t xml:space="preserve">to </w:t>
      </w:r>
      <w:r w:rsidR="00A20DB4">
        <w:t>change providers</w:t>
      </w:r>
      <w:r w:rsidR="00EF17A2">
        <w:t xml:space="preserve">. </w:t>
      </w:r>
      <w:r w:rsidR="00BD2F51">
        <w:t>As noted previously, t</w:t>
      </w:r>
      <w:r w:rsidR="00EF17A2">
        <w:t xml:space="preserve">his has resulted in a substantial increase in </w:t>
      </w:r>
      <w:r w:rsidR="00BD2F51">
        <w:t xml:space="preserve">the number of home care providers and in turn </w:t>
      </w:r>
      <w:r w:rsidR="007A3886">
        <w:t xml:space="preserve">competition </w:t>
      </w:r>
      <w:r w:rsidR="00157CF1">
        <w:t>between providers</w:t>
      </w:r>
      <w:r w:rsidR="00EF17A2">
        <w:t xml:space="preserve">. </w:t>
      </w:r>
      <w:r w:rsidR="009C1CB8">
        <w:t>The increase in provider numbers comprised both for-profit and not-for-profit providers, although the proportion of for-profit providers has increased.</w:t>
      </w:r>
    </w:p>
    <w:p w14:paraId="115BC4F0" w14:textId="1FF53414" w:rsidR="005F45C8" w:rsidRDefault="009C1CB8" w:rsidP="00174B49">
      <w:r>
        <w:t xml:space="preserve">With a significantly larger number of providers competing for home care packages, </w:t>
      </w:r>
      <w:r w:rsidR="00B811AE">
        <w:t xml:space="preserve">several providers have indicated that </w:t>
      </w:r>
      <w:r>
        <w:t xml:space="preserve">the competition has </w:t>
      </w:r>
      <w:r w:rsidR="003B4A28">
        <w:t>resulted in</w:t>
      </w:r>
      <w:r>
        <w:t xml:space="preserve"> a decline in prices</w:t>
      </w:r>
      <w:r w:rsidR="005D15A4">
        <w:t xml:space="preserve"> charged to consumers</w:t>
      </w:r>
      <w:r w:rsidR="00A20DB4">
        <w:t>. (Since</w:t>
      </w:r>
      <w:r w:rsidR="005F45C8">
        <w:t xml:space="preserve"> November 2018 home care providers have been encouraged to publish their current pricing information on the Service Finder on the My Aged Care website and</w:t>
      </w:r>
      <w:r w:rsidR="00007821">
        <w:t>,</w:t>
      </w:r>
      <w:r w:rsidR="005F45C8">
        <w:t xml:space="preserve"> </w:t>
      </w:r>
      <w:r w:rsidR="00031327">
        <w:t xml:space="preserve">from </w:t>
      </w:r>
      <w:r w:rsidR="00F6693A">
        <w:t>1 July 2019</w:t>
      </w:r>
      <w:r w:rsidR="00A20DB4">
        <w:t>, providers</w:t>
      </w:r>
      <w:r w:rsidR="00031327">
        <w:t xml:space="preserve"> will be required to publish their prices</w:t>
      </w:r>
      <w:r w:rsidR="00007821">
        <w:t xml:space="preserve"> using a mandated</w:t>
      </w:r>
      <w:r w:rsidR="00F6693A">
        <w:t xml:space="preserve"> template Pricing Comparability Schedule</w:t>
      </w:r>
      <w:r w:rsidR="00B811AE">
        <w:t>)</w:t>
      </w:r>
      <w:r w:rsidR="00031327">
        <w:t xml:space="preserve">. </w:t>
      </w:r>
      <w:r w:rsidR="005F45C8">
        <w:t>While</w:t>
      </w:r>
      <w:r w:rsidR="00031327">
        <w:t xml:space="preserve"> </w:t>
      </w:r>
      <w:r w:rsidR="002E404E">
        <w:t>increased price</w:t>
      </w:r>
      <w:r w:rsidR="005F45C8">
        <w:t xml:space="preserve"> competition is a benefit to consumers, it has negatively</w:t>
      </w:r>
      <w:r>
        <w:t xml:space="preserve"> impacted on provi</w:t>
      </w:r>
      <w:r w:rsidR="005F45C8">
        <w:t xml:space="preserve">der </w:t>
      </w:r>
      <w:r w:rsidR="005F45C8">
        <w:lastRenderedPageBreak/>
        <w:t xml:space="preserve">revenue. </w:t>
      </w:r>
      <w:r w:rsidR="007A3886">
        <w:t>As noted previously, a</w:t>
      </w:r>
      <w:r w:rsidR="005F45C8">
        <w:t xml:space="preserve">nother </w:t>
      </w:r>
      <w:r w:rsidR="002E404E">
        <w:t>important development</w:t>
      </w:r>
      <w:r>
        <w:t xml:space="preserve"> since the introduction of </w:t>
      </w:r>
      <w:r w:rsidR="005F45C8">
        <w:t xml:space="preserve">home care packages following consumers is the significant increase in the amount of unspent package funds held by providers on behalf of consumers. From the </w:t>
      </w:r>
      <w:r w:rsidR="002E404E">
        <w:t>providers</w:t>
      </w:r>
      <w:r w:rsidR="002277AD">
        <w:t>’</w:t>
      </w:r>
      <w:r w:rsidR="005F45C8">
        <w:t xml:space="preserve"> perspective, unspent package funds </w:t>
      </w:r>
      <w:r w:rsidR="00A20DB4">
        <w:t>represent a</w:t>
      </w:r>
      <w:r w:rsidR="005F45C8">
        <w:t xml:space="preserve"> missed opportunity to increase their revenue and financial returns.</w:t>
      </w:r>
    </w:p>
    <w:p w14:paraId="089EF033" w14:textId="1CDB9BFD" w:rsidR="007A3886" w:rsidRDefault="007A3886" w:rsidP="00174B49">
      <w:r>
        <w:t xml:space="preserve">While the increased </w:t>
      </w:r>
      <w:r w:rsidRPr="003230E4">
        <w:t>competition</w:t>
      </w:r>
      <w:r>
        <w:t xml:space="preserve"> resulting from the February 2017 changes to home care has put pressure on </w:t>
      </w:r>
      <w:r w:rsidR="00157CF1">
        <w:t>providers’</w:t>
      </w:r>
      <w:r>
        <w:t xml:space="preserve"> revenue, the reforms also increased the costs for providers. Systems had to be changed so that each consumer had an </w:t>
      </w:r>
      <w:r w:rsidR="00157CF1">
        <w:t>itemised account</w:t>
      </w:r>
      <w:r>
        <w:t xml:space="preserve"> of expenditure under their package, along with identifying the cost and price of each service. Providers also had increased costs associated with </w:t>
      </w:r>
      <w:r w:rsidR="00157CF1">
        <w:t>marketing services</w:t>
      </w:r>
      <w:r>
        <w:t xml:space="preserve"> and targeting customers. Some providers indicated that as a result of the reform they had to attract new skill sets into their workforce.</w:t>
      </w:r>
      <w:r w:rsidR="00540A9E">
        <w:t xml:space="preserve"> </w:t>
      </w:r>
      <w:r w:rsidR="00540A9E" w:rsidRPr="003230E4">
        <w:t>The home care sector is in a period of transition.</w:t>
      </w:r>
      <w:r w:rsidR="00544334">
        <w:t xml:space="preserve"> </w:t>
      </w:r>
      <w:r w:rsidR="00540A9E" w:rsidRPr="003230E4">
        <w:t xml:space="preserve">Providers </w:t>
      </w:r>
      <w:r w:rsidR="00A20DB4" w:rsidRPr="003230E4">
        <w:t>have</w:t>
      </w:r>
      <w:r w:rsidR="00540A9E" w:rsidRPr="003230E4">
        <w:t xml:space="preserve"> to change their operations and processes to respond to consumer preferences and provide consumers with the information they require to make informed </w:t>
      </w:r>
      <w:r w:rsidR="00A20DB4" w:rsidRPr="003230E4">
        <w:t>decisions</w:t>
      </w:r>
      <w:r w:rsidR="00540A9E" w:rsidRPr="003230E4">
        <w:t>.</w:t>
      </w:r>
    </w:p>
    <w:p w14:paraId="5471932B" w14:textId="77777777" w:rsidR="00841C0A" w:rsidRDefault="00841C0A" w:rsidP="00174B49"/>
    <w:p w14:paraId="2427ACC5" w14:textId="77777777" w:rsidR="00031327" w:rsidRPr="00CE1DD4" w:rsidRDefault="003E5D6D" w:rsidP="000C062D">
      <w:pPr>
        <w:pStyle w:val="Heading1Numbered"/>
      </w:pPr>
      <w:r w:rsidRPr="00CE1DD4">
        <w:t xml:space="preserve">Issues surrounding the outlook for </w:t>
      </w:r>
      <w:r w:rsidR="00F83B3D" w:rsidRPr="00CE1DD4">
        <w:t>the financial</w:t>
      </w:r>
      <w:r w:rsidR="00031327" w:rsidRPr="00CE1DD4">
        <w:t xml:space="preserve"> performance of aged care providers</w:t>
      </w:r>
    </w:p>
    <w:p w14:paraId="211BB45F" w14:textId="2FFBFFA5" w:rsidR="00031327" w:rsidRDefault="00EC384C" w:rsidP="000C062D">
      <w:pPr>
        <w:pStyle w:val="Heading2"/>
      </w:pPr>
      <w:r>
        <w:t xml:space="preserve">Future growth in </w:t>
      </w:r>
      <w:r w:rsidR="00EB6E26">
        <w:t>ACFI</w:t>
      </w:r>
    </w:p>
    <w:p w14:paraId="3EE359D5" w14:textId="77777777" w:rsidR="00EB6E26" w:rsidRDefault="00766522" w:rsidP="00174B49">
      <w:r>
        <w:t>With ACFI contributing over 60 per</w:t>
      </w:r>
      <w:r w:rsidR="003230E4">
        <w:t xml:space="preserve"> </w:t>
      </w:r>
      <w:r>
        <w:t>cent of the revenue of aged car</w:t>
      </w:r>
      <w:r w:rsidR="007F0107">
        <w:t>e providers, it was to be</w:t>
      </w:r>
      <w:r>
        <w:t xml:space="preserve"> expected that the changes to the ACFI tool in 2016 and 2017 and the pause in indexation, combined with ongoing growth in costs – particularly wages – would have a significant impact on the financial performance of providers. </w:t>
      </w:r>
      <w:r w:rsidR="005D15A4">
        <w:t>M</w:t>
      </w:r>
      <w:r>
        <w:t>any provide</w:t>
      </w:r>
      <w:r w:rsidR="005D15A4">
        <w:t>r</w:t>
      </w:r>
      <w:r>
        <w:t xml:space="preserve">s saw a decline in their </w:t>
      </w:r>
      <w:r w:rsidR="007F0107">
        <w:t xml:space="preserve">profit/surplus in 2017-18. </w:t>
      </w:r>
      <w:r w:rsidR="00157CF1">
        <w:t>While traditionally around</w:t>
      </w:r>
      <w:r w:rsidR="007F0107">
        <w:t xml:space="preserve"> 30 per</w:t>
      </w:r>
      <w:r w:rsidR="003230E4">
        <w:t xml:space="preserve"> </w:t>
      </w:r>
      <w:r w:rsidR="007F0107">
        <w:t xml:space="preserve">cent of residential </w:t>
      </w:r>
      <w:r w:rsidR="006B3287">
        <w:t xml:space="preserve">care </w:t>
      </w:r>
      <w:r w:rsidR="007F0107">
        <w:t>providers mak</w:t>
      </w:r>
      <w:r w:rsidR="005D15A4">
        <w:t>e</w:t>
      </w:r>
      <w:r w:rsidR="007F0107">
        <w:t xml:space="preserve"> a loss for a variety of reasons, such as not-for-profits pursuing their mission objectives, in 2017-18 the number of providers making a net profit </w:t>
      </w:r>
      <w:r w:rsidR="00A96371">
        <w:t>was 56 per</w:t>
      </w:r>
      <w:r w:rsidR="00007821">
        <w:t xml:space="preserve"> </w:t>
      </w:r>
      <w:r w:rsidR="00A96371">
        <w:t>cent, down from 68 per cent in 2016-17.</w:t>
      </w:r>
      <w:r w:rsidR="00544334">
        <w:t xml:space="preserve"> </w:t>
      </w:r>
      <w:r w:rsidR="00A96371">
        <w:t>While all providers experienced margin pressure in 2017-18</w:t>
      </w:r>
      <w:r w:rsidR="00157CF1">
        <w:t xml:space="preserve">, </w:t>
      </w:r>
      <w:r w:rsidR="00121CE3">
        <w:t xml:space="preserve">some providers advised that </w:t>
      </w:r>
      <w:r w:rsidR="0061030A">
        <w:t>the</w:t>
      </w:r>
      <w:r w:rsidR="00F5129C">
        <w:t xml:space="preserve"> impact on </w:t>
      </w:r>
      <w:r w:rsidR="00A20DB4">
        <w:t>their performance</w:t>
      </w:r>
      <w:r w:rsidR="00F5129C">
        <w:t xml:space="preserve"> was </w:t>
      </w:r>
      <w:r w:rsidR="00A20DB4">
        <w:t>cushioned as</w:t>
      </w:r>
      <w:r w:rsidR="008F119D">
        <w:t xml:space="preserve"> a result of new or refurbished facilities coming on stream</w:t>
      </w:r>
      <w:r w:rsidR="00007821">
        <w:t xml:space="preserve"> which attracted a higher accommodation supplement</w:t>
      </w:r>
      <w:r w:rsidR="00A96371">
        <w:t>.</w:t>
      </w:r>
      <w:r w:rsidR="008F119D">
        <w:t xml:space="preserve"> </w:t>
      </w:r>
    </w:p>
    <w:p w14:paraId="32FA187F" w14:textId="77777777" w:rsidR="00AB5748" w:rsidRDefault="008F119D" w:rsidP="00174B49">
      <w:r>
        <w:t xml:space="preserve">In terms of </w:t>
      </w:r>
      <w:r w:rsidR="00EA1FB1">
        <w:t>the next</w:t>
      </w:r>
      <w:r w:rsidR="005D15A4">
        <w:t xml:space="preserve"> few years (prior to a potential change to a new funding tool), much will depend on whether average ACFI pay</w:t>
      </w:r>
      <w:r>
        <w:t xml:space="preserve">ments per resident per day increase in real terms </w:t>
      </w:r>
      <w:r w:rsidR="00157CF1">
        <w:t>(as</w:t>
      </w:r>
      <w:r>
        <w:t xml:space="preserve"> they did in the past), or whether more modest growth in ACFI </w:t>
      </w:r>
      <w:r w:rsidR="00AB5748">
        <w:t>remains.</w:t>
      </w:r>
    </w:p>
    <w:p w14:paraId="3F8A8AFE" w14:textId="1F1A14CF" w:rsidR="00F459A5" w:rsidRDefault="00AB5748" w:rsidP="00174B49">
      <w:r>
        <w:t xml:space="preserve">The impact of both provider claiming behaviour and government policy change is evident </w:t>
      </w:r>
      <w:r w:rsidR="00A20DB4">
        <w:t>in Chart</w:t>
      </w:r>
      <w:r w:rsidR="006B3287">
        <w:t> </w:t>
      </w:r>
      <w:r w:rsidR="00B811AE">
        <w:t>1</w:t>
      </w:r>
      <w:r w:rsidR="002277AD">
        <w:t>4</w:t>
      </w:r>
      <w:r>
        <w:t>.</w:t>
      </w:r>
      <w:r w:rsidR="00544334">
        <w:t xml:space="preserve"> </w:t>
      </w:r>
      <w:r>
        <w:t xml:space="preserve">Prior to the </w:t>
      </w:r>
      <w:r w:rsidR="00B811AE">
        <w:t xml:space="preserve">June 2016 and January </w:t>
      </w:r>
      <w:r>
        <w:t>2017 changes</w:t>
      </w:r>
      <w:r w:rsidR="00121CE3">
        <w:t>,</w:t>
      </w:r>
      <w:r>
        <w:t xml:space="preserve"> provider claims increased noticeably.</w:t>
      </w:r>
      <w:r w:rsidR="00A96371">
        <w:t xml:space="preserve"> Following the changes to ACFI in 2017, there was a </w:t>
      </w:r>
      <w:r w:rsidR="00157CF1">
        <w:t>significant</w:t>
      </w:r>
      <w:r w:rsidR="00A96371">
        <w:t xml:space="preserve"> drop in overall ACFI claims, largely driven by lower average Complex Health Care claims and little growth in other ACFI domains due to providers not reappraising residents. From April 2017, the averag</w:t>
      </w:r>
      <w:r w:rsidR="002277AD">
        <w:t>e ACFI claim has slowly grown</w:t>
      </w:r>
      <w:r w:rsidR="00A96371">
        <w:t>.</w:t>
      </w:r>
    </w:p>
    <w:p w14:paraId="4102F75C" w14:textId="77777777" w:rsidR="00F459A5" w:rsidRDefault="00F459A5">
      <w:r>
        <w:br w:type="page"/>
      </w:r>
    </w:p>
    <w:p w14:paraId="29D84A08" w14:textId="77777777" w:rsidR="00A96371" w:rsidRDefault="009674C1" w:rsidP="000C062D">
      <w:pPr>
        <w:pStyle w:val="ChartTitle"/>
      </w:pPr>
      <w:bookmarkStart w:id="23" w:name="_Ref2812706"/>
      <w:bookmarkStart w:id="24" w:name="_Toc2807357"/>
      <w:bookmarkStart w:id="25" w:name="_Toc2536786"/>
      <w:r w:rsidRPr="00576A1E">
        <w:lastRenderedPageBreak/>
        <w:t>Chart</w:t>
      </w:r>
      <w:bookmarkEnd w:id="23"/>
      <w:r>
        <w:t xml:space="preserve"> </w:t>
      </w:r>
      <w:r w:rsidR="000B644B">
        <w:t>14</w:t>
      </w:r>
      <w:r w:rsidR="0061030A">
        <w:t>:</w:t>
      </w:r>
      <w:r>
        <w:t xml:space="preserve"> </w:t>
      </w:r>
      <w:r w:rsidRPr="00576A1E">
        <w:t xml:space="preserve">Average monthly ACFI payments, January 2016 to </w:t>
      </w:r>
      <w:r>
        <w:t>June 2018</w:t>
      </w:r>
      <w:bookmarkEnd w:id="24"/>
      <w:bookmarkEnd w:id="25"/>
    </w:p>
    <w:p w14:paraId="43075800" w14:textId="77777777" w:rsidR="00A96371" w:rsidRDefault="00A96371" w:rsidP="00174B49">
      <w:r>
        <w:rPr>
          <w:rFonts w:ascii="Segoe UI" w:hAnsi="Segoe UI" w:cs="Segoe UI"/>
          <w:noProof/>
          <w:color w:val="313131"/>
          <w:lang w:eastAsia="en-AU"/>
        </w:rPr>
        <w:drawing>
          <wp:inline distT="0" distB="0" distL="0" distR="0" wp14:anchorId="6536C597" wp14:editId="2F658122">
            <wp:extent cx="5731510" cy="3031356"/>
            <wp:effectExtent l="0" t="0" r="2540" b="0"/>
            <wp:docPr id="34" name="Picture 34" descr="This chart shows the average monthly ACFI payments from January 2016 to June 2018." title="Chart 14: Average monthly ACFI payments, January 2016 to June 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31510" cy="3031356"/>
                    </a:xfrm>
                    <a:prstGeom prst="rect">
                      <a:avLst/>
                    </a:prstGeom>
                    <a:noFill/>
                  </pic:spPr>
                </pic:pic>
              </a:graphicData>
            </a:graphic>
          </wp:inline>
        </w:drawing>
      </w:r>
    </w:p>
    <w:p w14:paraId="0BC7D42A" w14:textId="77777777" w:rsidR="00A96371" w:rsidRDefault="00A96371" w:rsidP="00174B49"/>
    <w:p w14:paraId="0C2312C6" w14:textId="4998DE48" w:rsidR="00F5129C" w:rsidRDefault="008F119D" w:rsidP="00174B49">
      <w:r>
        <w:t>A number of providers expressed the concern that they would not be viable if over future years ACFI payments increased by around 1.5 per</w:t>
      </w:r>
      <w:r w:rsidR="003230E4">
        <w:t xml:space="preserve"> </w:t>
      </w:r>
      <w:r>
        <w:t xml:space="preserve">cent </w:t>
      </w:r>
      <w:r w:rsidR="002E404E">
        <w:t>(1.</w:t>
      </w:r>
      <w:r w:rsidR="00121CE3">
        <w:t>2</w:t>
      </w:r>
      <w:r>
        <w:t xml:space="preserve"> per cent was the </w:t>
      </w:r>
      <w:r w:rsidR="00121CE3">
        <w:t xml:space="preserve">effective </w:t>
      </w:r>
      <w:r>
        <w:t>ind</w:t>
      </w:r>
      <w:r w:rsidR="006B3287">
        <w:t>exation rate for 2018</w:t>
      </w:r>
      <w:r w:rsidR="006B3287">
        <w:noBreakHyphen/>
      </w:r>
      <w:r w:rsidR="00121CE3">
        <w:t>19</w:t>
      </w:r>
      <w:r w:rsidR="00995E8F">
        <w:t xml:space="preserve"> though the rate would have been 1.4</w:t>
      </w:r>
      <w:r w:rsidR="00100766">
        <w:t> per cent</w:t>
      </w:r>
      <w:r w:rsidR="00995E8F">
        <w:t xml:space="preserve"> but for a 50</w:t>
      </w:r>
      <w:r w:rsidR="00100766">
        <w:t> per cent</w:t>
      </w:r>
      <w:r w:rsidR="00995E8F">
        <w:t xml:space="preserve"> reduction in indexation in Complex Health Care for that year which is to be </w:t>
      </w:r>
      <w:r w:rsidR="00886C4E">
        <w:t>lifted in 2019</w:t>
      </w:r>
      <w:r w:rsidR="00995E8F">
        <w:t>-20</w:t>
      </w:r>
      <w:r>
        <w:t>) and wages continued to increase by 2.5 to 3 per cent.</w:t>
      </w:r>
      <w:r w:rsidR="004447E7">
        <w:t xml:space="preserve"> There is the prospect that growth in ACFI will not return to levels seen in the past. At the end of the first full year of ACFI in 2008-09, around 7 per cent of res</w:t>
      </w:r>
      <w:r w:rsidR="00EC384C">
        <w:t>idents with ACFI classifications were High-High-High classifications. This has grown to 31</w:t>
      </w:r>
      <w:r w:rsidR="00100766">
        <w:t> </w:t>
      </w:r>
      <w:r w:rsidR="00EC384C">
        <w:t>per</w:t>
      </w:r>
      <w:r w:rsidR="00100766">
        <w:t> </w:t>
      </w:r>
      <w:r w:rsidR="00EC384C">
        <w:t xml:space="preserve">cent in 2017-18. This growth may not have reflected the underlying </w:t>
      </w:r>
      <w:r w:rsidR="00F5129C">
        <w:t>frailty</w:t>
      </w:r>
      <w:r w:rsidR="00EC384C">
        <w:t xml:space="preserve"> growth in the population, but providers shifting their focus from low to high care residents and potential low care residents having lower demand to enter residential </w:t>
      </w:r>
      <w:r w:rsidR="00A20DB4">
        <w:t>care because</w:t>
      </w:r>
      <w:r w:rsidR="00F5129C">
        <w:t xml:space="preserve"> of the expansion of home care packages</w:t>
      </w:r>
      <w:r w:rsidR="00EC384C">
        <w:t xml:space="preserve">. </w:t>
      </w:r>
    </w:p>
    <w:p w14:paraId="3893DC4B" w14:textId="77777777" w:rsidR="00C37687" w:rsidRDefault="00B811AE" w:rsidP="00174B49">
      <w:r>
        <w:t>M</w:t>
      </w:r>
      <w:r w:rsidR="00121CE3">
        <w:t xml:space="preserve">any providers </w:t>
      </w:r>
      <w:r>
        <w:t xml:space="preserve">indicated </w:t>
      </w:r>
      <w:r w:rsidR="00A20DB4">
        <w:t>they reviewed</w:t>
      </w:r>
      <w:r w:rsidR="00121CE3">
        <w:t xml:space="preserve"> their ACFI claiming procedures to ensure that they were not under claiming. Such adjustments may have resulted in sizeable growth </w:t>
      </w:r>
      <w:r w:rsidR="00A20DB4">
        <w:t>in ACFI</w:t>
      </w:r>
      <w:r w:rsidR="00121CE3">
        <w:t xml:space="preserve"> claims</w:t>
      </w:r>
      <w:r>
        <w:t xml:space="preserve"> </w:t>
      </w:r>
      <w:r w:rsidR="00A20DB4">
        <w:t>but it</w:t>
      </w:r>
      <w:r w:rsidR="00121CE3">
        <w:t xml:space="preserve"> would not result in ongoing strong growth in ACFI revenue. </w:t>
      </w:r>
      <w:r w:rsidR="00EC384C">
        <w:t xml:space="preserve">If this is the case, the future growth in ACFI may be more in line with the underlying </w:t>
      </w:r>
      <w:r w:rsidR="00AB5748">
        <w:t>frailty</w:t>
      </w:r>
      <w:r w:rsidR="00EC384C">
        <w:t xml:space="preserve"> growth in the population and this would represent a notable </w:t>
      </w:r>
      <w:r w:rsidR="002E404E">
        <w:t>slowing in</w:t>
      </w:r>
      <w:r w:rsidR="00EC384C">
        <w:t xml:space="preserve"> the rate of growth in ACFI compared </w:t>
      </w:r>
      <w:r w:rsidR="00F5129C">
        <w:t>with</w:t>
      </w:r>
      <w:r w:rsidR="00EC384C">
        <w:t xml:space="preserve"> </w:t>
      </w:r>
      <w:r w:rsidR="00121CE3">
        <w:t>years prior to 2017-18. Such an outcome</w:t>
      </w:r>
      <w:r w:rsidR="009674C1">
        <w:t xml:space="preserve"> would</w:t>
      </w:r>
      <w:r w:rsidR="00EC384C">
        <w:t xml:space="preserve"> have implications for the business model some providers have been pursuing.</w:t>
      </w:r>
    </w:p>
    <w:p w14:paraId="1B770316" w14:textId="77777777" w:rsidR="00C37687" w:rsidRDefault="00C37687">
      <w:r>
        <w:br w:type="page"/>
      </w:r>
    </w:p>
    <w:p w14:paraId="3FBE34AA" w14:textId="77777777" w:rsidR="00EC384C" w:rsidRPr="006059CC" w:rsidRDefault="003E5D6D" w:rsidP="000C062D">
      <w:pPr>
        <w:pStyle w:val="Heading2"/>
      </w:pPr>
      <w:r>
        <w:lastRenderedPageBreak/>
        <w:t>Uncertainty around</w:t>
      </w:r>
      <w:r w:rsidR="002E404E">
        <w:t xml:space="preserve"> policy</w:t>
      </w:r>
      <w:r w:rsidR="00890265">
        <w:t xml:space="preserve"> settings</w:t>
      </w:r>
    </w:p>
    <w:p w14:paraId="7EF73725" w14:textId="77777777" w:rsidR="00E902E5" w:rsidRDefault="002F0DC6" w:rsidP="00E902E5">
      <w:pPr>
        <w:pStyle w:val="CommentText"/>
        <w:rPr>
          <w:sz w:val="22"/>
          <w:szCs w:val="22"/>
        </w:rPr>
      </w:pPr>
      <w:r w:rsidRPr="00142019">
        <w:rPr>
          <w:sz w:val="22"/>
          <w:szCs w:val="22"/>
        </w:rPr>
        <w:t>The rationale for the changes to ACFI in 2016 and 2017 remains a point of contention with providers</w:t>
      </w:r>
      <w:r w:rsidR="009674C1" w:rsidRPr="00142019">
        <w:rPr>
          <w:sz w:val="22"/>
          <w:szCs w:val="22"/>
        </w:rPr>
        <w:t xml:space="preserve"> and is contributing </w:t>
      </w:r>
      <w:r w:rsidR="00157CF1" w:rsidRPr="00142019">
        <w:rPr>
          <w:sz w:val="22"/>
          <w:szCs w:val="22"/>
        </w:rPr>
        <w:t xml:space="preserve">to </w:t>
      </w:r>
      <w:r w:rsidR="00C37687">
        <w:rPr>
          <w:sz w:val="22"/>
          <w:szCs w:val="22"/>
        </w:rPr>
        <w:t xml:space="preserve">providers indicating that there is a degree of </w:t>
      </w:r>
      <w:r w:rsidR="00157CF1" w:rsidRPr="00142019">
        <w:rPr>
          <w:sz w:val="22"/>
          <w:szCs w:val="22"/>
        </w:rPr>
        <w:t>uncertainty</w:t>
      </w:r>
      <w:r w:rsidR="009674C1" w:rsidRPr="00142019">
        <w:rPr>
          <w:sz w:val="22"/>
          <w:szCs w:val="22"/>
        </w:rPr>
        <w:t xml:space="preserve"> over </w:t>
      </w:r>
      <w:r w:rsidR="00C37687">
        <w:rPr>
          <w:sz w:val="22"/>
          <w:szCs w:val="22"/>
        </w:rPr>
        <w:t>the direction of future</w:t>
      </w:r>
      <w:r w:rsidR="009674C1" w:rsidRPr="00142019">
        <w:rPr>
          <w:sz w:val="22"/>
          <w:szCs w:val="22"/>
        </w:rPr>
        <w:t xml:space="preserve"> policies</w:t>
      </w:r>
    </w:p>
    <w:p w14:paraId="6D0B7B07" w14:textId="469D0045" w:rsidR="00174B49" w:rsidRDefault="006059CC" w:rsidP="00A20DB4">
      <w:pPr>
        <w:pStyle w:val="CommentText"/>
        <w:rPr>
          <w:sz w:val="22"/>
          <w:szCs w:val="22"/>
        </w:rPr>
      </w:pPr>
      <w:r w:rsidRPr="00E902E5">
        <w:rPr>
          <w:sz w:val="22"/>
          <w:szCs w:val="22"/>
        </w:rPr>
        <w:t>As outlined further below, a major factor raised by providers that is hindering future investment in the residential aged care sector is uncertainty over policy settings. The fact that providers continue to dispute the reasons for the changes to ACFI in 2016 and 2017</w:t>
      </w:r>
      <w:r w:rsidR="003C4504" w:rsidRPr="00E902E5">
        <w:rPr>
          <w:sz w:val="22"/>
          <w:szCs w:val="22"/>
        </w:rPr>
        <w:t xml:space="preserve"> may </w:t>
      </w:r>
      <w:r w:rsidR="0061030A" w:rsidRPr="00E902E5">
        <w:rPr>
          <w:sz w:val="22"/>
          <w:szCs w:val="22"/>
        </w:rPr>
        <w:t>mean they</w:t>
      </w:r>
      <w:r w:rsidR="003C4504" w:rsidRPr="00E902E5">
        <w:rPr>
          <w:sz w:val="22"/>
          <w:szCs w:val="22"/>
        </w:rPr>
        <w:t xml:space="preserve"> will have doubts</w:t>
      </w:r>
      <w:r w:rsidR="00AB5748" w:rsidRPr="00E902E5">
        <w:rPr>
          <w:sz w:val="22"/>
          <w:szCs w:val="22"/>
        </w:rPr>
        <w:t xml:space="preserve"> over</w:t>
      </w:r>
      <w:r w:rsidRPr="00E902E5">
        <w:rPr>
          <w:sz w:val="22"/>
          <w:szCs w:val="22"/>
        </w:rPr>
        <w:t xml:space="preserve"> the rationale for future policy measures. </w:t>
      </w:r>
      <w:r w:rsidR="00890265" w:rsidRPr="00E902E5">
        <w:rPr>
          <w:sz w:val="22"/>
          <w:szCs w:val="22"/>
        </w:rPr>
        <w:t xml:space="preserve">For example, </w:t>
      </w:r>
      <w:r w:rsidR="008D5F7C" w:rsidRPr="00E902E5">
        <w:rPr>
          <w:sz w:val="22"/>
          <w:szCs w:val="22"/>
        </w:rPr>
        <w:t xml:space="preserve">while there is wide recognition of the problems with ACFI and many providers support </w:t>
      </w:r>
      <w:r w:rsidRPr="00E902E5">
        <w:rPr>
          <w:sz w:val="22"/>
          <w:szCs w:val="22"/>
        </w:rPr>
        <w:t xml:space="preserve">the current review of alternative funding </w:t>
      </w:r>
      <w:r w:rsidR="008D5F7C" w:rsidRPr="00E902E5">
        <w:rPr>
          <w:sz w:val="22"/>
          <w:szCs w:val="22"/>
        </w:rPr>
        <w:t>models</w:t>
      </w:r>
      <w:r w:rsidRPr="00E902E5">
        <w:rPr>
          <w:sz w:val="22"/>
          <w:szCs w:val="22"/>
        </w:rPr>
        <w:t xml:space="preserve"> through the Resource Utilisation and Classification Study (RUCS</w:t>
      </w:r>
      <w:r w:rsidR="00157CF1" w:rsidRPr="00E902E5">
        <w:rPr>
          <w:sz w:val="22"/>
          <w:szCs w:val="22"/>
        </w:rPr>
        <w:t>),</w:t>
      </w:r>
      <w:r w:rsidR="003C4504" w:rsidRPr="00E902E5">
        <w:rPr>
          <w:sz w:val="22"/>
          <w:szCs w:val="22"/>
        </w:rPr>
        <w:t xml:space="preserve"> and in particular welcome a new model which will reduce their administrative costs, </w:t>
      </w:r>
      <w:r w:rsidR="008D5F7C" w:rsidRPr="00E902E5">
        <w:rPr>
          <w:sz w:val="22"/>
          <w:szCs w:val="22"/>
        </w:rPr>
        <w:t xml:space="preserve">some </w:t>
      </w:r>
      <w:r w:rsidR="00CC4884" w:rsidRPr="00E902E5">
        <w:rPr>
          <w:sz w:val="22"/>
          <w:szCs w:val="22"/>
        </w:rPr>
        <w:t>remain sceptical</w:t>
      </w:r>
      <w:r w:rsidR="002277AD">
        <w:rPr>
          <w:sz w:val="22"/>
          <w:szCs w:val="22"/>
        </w:rPr>
        <w:t>, believing</w:t>
      </w:r>
      <w:r w:rsidR="00CC4884" w:rsidRPr="00E902E5">
        <w:rPr>
          <w:sz w:val="22"/>
          <w:szCs w:val="22"/>
        </w:rPr>
        <w:t xml:space="preserve"> </w:t>
      </w:r>
      <w:r w:rsidR="003C4504" w:rsidRPr="00E902E5">
        <w:rPr>
          <w:sz w:val="22"/>
          <w:szCs w:val="22"/>
        </w:rPr>
        <w:t>that the Government’s focus will continue to be on restraining future budget outlays and any new funding model will not address the margin squeeze they are currently facing. The Government has</w:t>
      </w:r>
      <w:r w:rsidRPr="00E902E5">
        <w:rPr>
          <w:sz w:val="22"/>
          <w:szCs w:val="22"/>
        </w:rPr>
        <w:t xml:space="preserve"> indicated that the issue of overall funding is separate to reviewing the funding tool. </w:t>
      </w:r>
    </w:p>
    <w:p w14:paraId="6C7BADA8" w14:textId="77777777" w:rsidR="006B3287" w:rsidRPr="00E902E5" w:rsidRDefault="006B3287" w:rsidP="00A20DB4">
      <w:pPr>
        <w:pStyle w:val="CommentText"/>
      </w:pPr>
    </w:p>
    <w:p w14:paraId="5FC1F872" w14:textId="77777777" w:rsidR="00890265" w:rsidRDefault="00890265" w:rsidP="000C062D">
      <w:pPr>
        <w:pStyle w:val="Heading2"/>
      </w:pPr>
      <w:r w:rsidRPr="00890265">
        <w:t>Ince</w:t>
      </w:r>
      <w:r>
        <w:t>ntive to diversify revenue strea</w:t>
      </w:r>
      <w:r w:rsidRPr="00890265">
        <w:t>ms</w:t>
      </w:r>
    </w:p>
    <w:p w14:paraId="2F651557" w14:textId="77777777" w:rsidR="000B34BB" w:rsidRDefault="00FF779C" w:rsidP="00174B49">
      <w:r>
        <w:t xml:space="preserve">While all </w:t>
      </w:r>
      <w:r w:rsidR="00710C2C">
        <w:t xml:space="preserve">residential </w:t>
      </w:r>
      <w:r w:rsidR="00CA4E37">
        <w:t>care</w:t>
      </w:r>
      <w:r w:rsidR="00710C2C">
        <w:t xml:space="preserve"> </w:t>
      </w:r>
      <w:r>
        <w:t xml:space="preserve">providers </w:t>
      </w:r>
      <w:r w:rsidR="00710C2C">
        <w:t xml:space="preserve">indicated that 2017-18 was </w:t>
      </w:r>
      <w:r w:rsidR="009A0CD9">
        <w:t xml:space="preserve">a difficult year given the changes to ACFI, the extent of concern appears to be influenced by the level of exposure to residential aged care. For example, listed </w:t>
      </w:r>
      <w:r w:rsidR="002E404E">
        <w:t>providers</w:t>
      </w:r>
      <w:r w:rsidR="009A0CD9">
        <w:t xml:space="preserve"> </w:t>
      </w:r>
      <w:r w:rsidR="008B3B6D">
        <w:t>are particularly sensitive to</w:t>
      </w:r>
      <w:r w:rsidR="009A0CD9">
        <w:t xml:space="preserve"> developments given their continuous exposure to market scrutiny and shareholder expectations.</w:t>
      </w:r>
      <w:r w:rsidR="00753C79">
        <w:t xml:space="preserve"> In addition, providers who were exclusively or predominantly concentrated on residential aged care</w:t>
      </w:r>
      <w:r w:rsidR="001776D7">
        <w:t xml:space="preserve"> were very concerned about developments and the ongoing viability of their organisations. </w:t>
      </w:r>
    </w:p>
    <w:p w14:paraId="53F081F9" w14:textId="77777777" w:rsidR="00DF186C" w:rsidRDefault="001776D7" w:rsidP="00174B49">
      <w:r>
        <w:t xml:space="preserve">In </w:t>
      </w:r>
      <w:r w:rsidR="002E404E">
        <w:t>contr</w:t>
      </w:r>
      <w:r w:rsidR="002562C9">
        <w:t>ast</w:t>
      </w:r>
      <w:r>
        <w:t xml:space="preserve">, residential care providers that are part of an organisation with a diverse range of activities and income streams </w:t>
      </w:r>
      <w:r w:rsidR="00E902E5">
        <w:t>are</w:t>
      </w:r>
      <w:r>
        <w:t xml:space="preserve"> concerned about the financial performance of their residential aged care activities, but </w:t>
      </w:r>
      <w:r w:rsidR="00E902E5">
        <w:t>are</w:t>
      </w:r>
      <w:r>
        <w:t xml:space="preserve"> inclined to take a longer-term view of developments, particularly in terms of future investment in the</w:t>
      </w:r>
      <w:r w:rsidR="00761D27">
        <w:t xml:space="preserve"> industry.</w:t>
      </w:r>
      <w:r w:rsidR="00544334">
        <w:t xml:space="preserve"> </w:t>
      </w:r>
      <w:r w:rsidR="00AA2B4B">
        <w:t xml:space="preserve">As noted further below in the discussion on capital investment, a </w:t>
      </w:r>
      <w:r w:rsidR="002E404E">
        <w:t>number</w:t>
      </w:r>
      <w:r w:rsidR="00AA2B4B">
        <w:t xml:space="preserve"> </w:t>
      </w:r>
      <w:r w:rsidR="002E404E">
        <w:t>of residential</w:t>
      </w:r>
      <w:r w:rsidR="00AA2B4B">
        <w:t xml:space="preserve"> aged care</w:t>
      </w:r>
      <w:r w:rsidR="00544334">
        <w:t xml:space="preserve"> </w:t>
      </w:r>
      <w:r w:rsidR="00AA2B4B">
        <w:t xml:space="preserve">providers </w:t>
      </w:r>
      <w:r w:rsidR="00E902E5">
        <w:t xml:space="preserve">have indicated they </w:t>
      </w:r>
      <w:r w:rsidR="00AA2B4B">
        <w:t>are seeking to diversify their revenue streams though increasing investment in other activities, such as independent retiremen</w:t>
      </w:r>
      <w:r w:rsidR="00F60CDA">
        <w:t xml:space="preserve">t living. If policy changes are constraining the range of organisations prepared to expand aged care operations, </w:t>
      </w:r>
      <w:r w:rsidR="00761D27">
        <w:t xml:space="preserve">particularly the participation of entities that specialise </w:t>
      </w:r>
      <w:r w:rsidR="00CA4E37">
        <w:t>i</w:t>
      </w:r>
      <w:r w:rsidR="00761D27">
        <w:t xml:space="preserve">n aged care, </w:t>
      </w:r>
      <w:r w:rsidR="00F60CDA">
        <w:t>this will constrain the overall efficiency of the industry and limit its capacity to meet the demands coming from the</w:t>
      </w:r>
      <w:r w:rsidR="00F5117D">
        <w:t xml:space="preserve"> ageing</w:t>
      </w:r>
      <w:r w:rsidR="00F60CDA">
        <w:t xml:space="preserve"> of the Australian population.</w:t>
      </w:r>
    </w:p>
    <w:p w14:paraId="4CB6FF5A" w14:textId="77777777" w:rsidR="00FF779C" w:rsidRPr="00FF779C" w:rsidRDefault="00FF779C" w:rsidP="00174B49"/>
    <w:p w14:paraId="236F0DFE" w14:textId="77777777" w:rsidR="00342730" w:rsidRDefault="00E17023" w:rsidP="000C062D">
      <w:pPr>
        <w:pStyle w:val="Heading2"/>
      </w:pPr>
      <w:r>
        <w:t>Curtailing costs and quality considerations</w:t>
      </w:r>
    </w:p>
    <w:p w14:paraId="76788B22" w14:textId="77777777" w:rsidR="00E17023" w:rsidRDefault="00E17023" w:rsidP="00342730">
      <w:r>
        <w:t xml:space="preserve">The squeeze in margins as a result of </w:t>
      </w:r>
      <w:r w:rsidR="00F83B3D">
        <w:t>changes</w:t>
      </w:r>
      <w:r>
        <w:t xml:space="preserve"> in ACFI put pressure on </w:t>
      </w:r>
      <w:r w:rsidR="00E902E5">
        <w:t xml:space="preserve">residential care </w:t>
      </w:r>
      <w:r>
        <w:t xml:space="preserve">providers to constrain the growth in costs. With staff costs representing such a large proportion of expenditure, many providers have </w:t>
      </w:r>
      <w:r w:rsidR="00F83B3D">
        <w:t>reviewed</w:t>
      </w:r>
      <w:r>
        <w:t xml:space="preserve"> rosters in an effort to reduce staff hours. Some providers report that they have achieved savings, including redundancies, without impacting on care outco</w:t>
      </w:r>
      <w:r w:rsidR="00761D27">
        <w:t>mes. Some note they have reduced</w:t>
      </w:r>
      <w:r>
        <w:t xml:space="preserve"> ancillary workers</w:t>
      </w:r>
      <w:r w:rsidR="00B05064">
        <w:t xml:space="preserve"> and the provision of such services as life style activities, </w:t>
      </w:r>
      <w:r w:rsidR="00F83B3D">
        <w:t>spiritual</w:t>
      </w:r>
      <w:r w:rsidR="00B05064">
        <w:t xml:space="preserve"> and pastoral care. </w:t>
      </w:r>
      <w:r w:rsidR="00761D27">
        <w:t xml:space="preserve">Feedback from some providers suggests there was scope for significant efficiency gains and cost </w:t>
      </w:r>
      <w:r w:rsidR="0061030A">
        <w:t>savings. The</w:t>
      </w:r>
      <w:r w:rsidR="009E5681">
        <w:t xml:space="preserve"> s</w:t>
      </w:r>
      <w:r w:rsidR="00B05064">
        <w:t xml:space="preserve">cale of operations is </w:t>
      </w:r>
      <w:r w:rsidR="009E5681">
        <w:t xml:space="preserve">also </w:t>
      </w:r>
      <w:r w:rsidR="00B05064">
        <w:t xml:space="preserve">becoming increasingly </w:t>
      </w:r>
      <w:r w:rsidR="00F83B3D">
        <w:t>important,</w:t>
      </w:r>
      <w:r w:rsidR="00B05064">
        <w:t xml:space="preserve"> particularly with respect to administration and IT activities.</w:t>
      </w:r>
    </w:p>
    <w:p w14:paraId="097E8A98" w14:textId="78523457" w:rsidR="00B05064" w:rsidRDefault="00B05064" w:rsidP="00342730">
      <w:r>
        <w:lastRenderedPageBreak/>
        <w:t>As regards wages</w:t>
      </w:r>
      <w:r w:rsidR="007F6BF0">
        <w:t xml:space="preserve">, the Enterprise Bargaining </w:t>
      </w:r>
      <w:r w:rsidR="00F83B3D">
        <w:t>Agreements (</w:t>
      </w:r>
      <w:r w:rsidR="007F6BF0">
        <w:t>EBA) of ma</w:t>
      </w:r>
      <w:r w:rsidR="009E5681">
        <w:t>n</w:t>
      </w:r>
      <w:r w:rsidR="007F6BF0">
        <w:t xml:space="preserve">y providers </w:t>
      </w:r>
      <w:r w:rsidR="0061030A">
        <w:t>has</w:t>
      </w:r>
      <w:r w:rsidR="007F6BF0">
        <w:t xml:space="preserve"> </w:t>
      </w:r>
      <w:r w:rsidR="00CA4E37">
        <w:t xml:space="preserve">seen </w:t>
      </w:r>
      <w:r w:rsidR="007F6BF0">
        <w:t xml:space="preserve">wage </w:t>
      </w:r>
      <w:r w:rsidR="00F83B3D">
        <w:t>increases</w:t>
      </w:r>
      <w:r w:rsidR="007F6BF0">
        <w:t xml:space="preserve"> of between </w:t>
      </w:r>
      <w:r w:rsidR="006B3287">
        <w:t>2</w:t>
      </w:r>
      <w:r w:rsidR="007F6BF0">
        <w:t xml:space="preserve"> to </w:t>
      </w:r>
      <w:r w:rsidR="006B3287">
        <w:t>3</w:t>
      </w:r>
      <w:r w:rsidR="007F6BF0">
        <w:t xml:space="preserve"> per cent.</w:t>
      </w:r>
      <w:r w:rsidR="0077628D">
        <w:t xml:space="preserve"> </w:t>
      </w:r>
      <w:r w:rsidR="00F83B3D">
        <w:t>Wage</w:t>
      </w:r>
      <w:r w:rsidR="0077628D">
        <w:t xml:space="preserve"> increase</w:t>
      </w:r>
      <w:r w:rsidR="002562C9">
        <w:t>s</w:t>
      </w:r>
      <w:r w:rsidR="0077628D">
        <w:t xml:space="preserve"> in the aged care sector have been higher than elsewhere in the economy because many aged care workers</w:t>
      </w:r>
      <w:r w:rsidR="008A526F">
        <w:t>’</w:t>
      </w:r>
      <w:r w:rsidR="0077628D">
        <w:t xml:space="preserve"> pay rates are at or close to the minimum wage and the increase in the minimum wage was 3.3 per cent in 2017 and 3.5 per cent in 2018.</w:t>
      </w:r>
      <w:r w:rsidR="00544334">
        <w:t xml:space="preserve"> </w:t>
      </w:r>
      <w:r w:rsidR="009E5681">
        <w:t>Providers have emphasised that a</w:t>
      </w:r>
      <w:r w:rsidR="00F83B3D">
        <w:t xml:space="preserve"> significant</w:t>
      </w:r>
      <w:r w:rsidR="0077628D">
        <w:t xml:space="preserve"> increase in </w:t>
      </w:r>
      <w:r w:rsidR="009E5681">
        <w:t xml:space="preserve">the minimum wage in the future will have a </w:t>
      </w:r>
      <w:r w:rsidR="00157CF1">
        <w:t>major impact</w:t>
      </w:r>
      <w:r w:rsidR="0077628D">
        <w:t xml:space="preserve"> on the</w:t>
      </w:r>
      <w:r w:rsidR="009E5681">
        <w:t>ir</w:t>
      </w:r>
      <w:r w:rsidR="0077628D">
        <w:t xml:space="preserve"> financial position</w:t>
      </w:r>
      <w:r w:rsidR="009E5681">
        <w:t xml:space="preserve">. </w:t>
      </w:r>
    </w:p>
    <w:p w14:paraId="5697AAC8" w14:textId="77777777" w:rsidR="0085773F" w:rsidRDefault="0085773F" w:rsidP="00342730">
      <w:r>
        <w:t xml:space="preserve">The ongoing pressure to keep costs as low </w:t>
      </w:r>
      <w:r w:rsidR="00F83B3D">
        <w:t>as</w:t>
      </w:r>
      <w:r>
        <w:t xml:space="preserve"> possible and achieve economies of scale is likely to increase the pace of consolidation in the residential age care sector</w:t>
      </w:r>
      <w:r w:rsidR="009E5681">
        <w:t xml:space="preserve"> </w:t>
      </w:r>
      <w:r w:rsidR="00157CF1">
        <w:t>(this</w:t>
      </w:r>
      <w:r w:rsidR="009E5681">
        <w:t xml:space="preserve"> is discussed further below)</w:t>
      </w:r>
      <w:r>
        <w:t xml:space="preserve">. </w:t>
      </w:r>
    </w:p>
    <w:p w14:paraId="137F9207" w14:textId="77777777" w:rsidR="0085773F" w:rsidRDefault="0085773F" w:rsidP="00342730">
      <w:r>
        <w:t xml:space="preserve">Providers have indicated that the increased activity of the Aged Care Quality Agency, now the Aged Care Quality and Safety Commission, has resulted in them having to devote additional resources to deal with quality audits. In the short-term, </w:t>
      </w:r>
      <w:r w:rsidR="00F83B3D">
        <w:t>providers also</w:t>
      </w:r>
      <w:r>
        <w:t xml:space="preserve"> note that they have borne additional costs as a result of the Royal Commission process. Feedback from many provide</w:t>
      </w:r>
      <w:r w:rsidR="002562C9">
        <w:t>r</w:t>
      </w:r>
      <w:r>
        <w:t xml:space="preserve">s suggest that they feel they are being squeezed between pressure from increased </w:t>
      </w:r>
      <w:r w:rsidR="00B14523">
        <w:t>quality audit activity – along with rising community expectations – to increase staff costs</w:t>
      </w:r>
      <w:r w:rsidR="009E5681">
        <w:t>, and pressure to reduce</w:t>
      </w:r>
      <w:r w:rsidR="00544334">
        <w:t xml:space="preserve"> </w:t>
      </w:r>
      <w:r w:rsidR="009E5681">
        <w:t>costs in response to the constraints on the growth in their revenue</w:t>
      </w:r>
      <w:r w:rsidR="00B14523">
        <w:t xml:space="preserve">. The impact of current pressures, both financial and quality, on staff morale appears to be significant and is reducing the attractiveness of the aged care sector as a place where people want to work when </w:t>
      </w:r>
      <w:r w:rsidR="00F83B3D">
        <w:t>providers</w:t>
      </w:r>
      <w:r w:rsidR="00B14523">
        <w:t xml:space="preserve"> say a major challenge they face is attracting and retaining staff.</w:t>
      </w:r>
    </w:p>
    <w:p w14:paraId="2011C214" w14:textId="77777777" w:rsidR="006B3287" w:rsidRDefault="006B3287" w:rsidP="00342730"/>
    <w:p w14:paraId="644F4132" w14:textId="77777777" w:rsidR="00B14523" w:rsidRDefault="00B14523" w:rsidP="000C062D">
      <w:pPr>
        <w:pStyle w:val="Heading2"/>
      </w:pPr>
      <w:r>
        <w:t>Investment plans</w:t>
      </w:r>
    </w:p>
    <w:p w14:paraId="4F850364" w14:textId="556177CA" w:rsidR="00B14523" w:rsidRDefault="002562C9" w:rsidP="00342730">
      <w:r>
        <w:t>The financial results of some providers in 2017-18 and 2018-19 have benefited from new and significantly refurbished facilities coming on stream which are eligible for a higher rate of accommodation supplement from Government for lower means residents.</w:t>
      </w:r>
      <w:r w:rsidR="00544334">
        <w:t xml:space="preserve"> </w:t>
      </w:r>
      <w:r>
        <w:t>The higher supplement was introduced from 1 July 2014 to encourage new investment and support access for lower means residents.</w:t>
      </w:r>
      <w:r w:rsidR="001C3202">
        <w:t xml:space="preserve"> This supplement, along with </w:t>
      </w:r>
      <w:r w:rsidR="00F83B3D">
        <w:t>higher</w:t>
      </w:r>
      <w:r w:rsidR="001C3202">
        <w:t xml:space="preserve"> DAPs/RADs as a result of the refurbished or new faciliti</w:t>
      </w:r>
      <w:r w:rsidR="0030017D">
        <w:t xml:space="preserve">es, has boosted provider revenue and helped offset the squeeze on margins as a result of the changes to ACFI. In addition, new and refurbished facilities are normally more </w:t>
      </w:r>
      <w:r w:rsidR="00A20DB4">
        <w:t>efficient than</w:t>
      </w:r>
      <w:r w:rsidR="009E5681">
        <w:t xml:space="preserve"> older facilities</w:t>
      </w:r>
      <w:r w:rsidR="0030017D">
        <w:t>. The accommodation sup</w:t>
      </w:r>
      <w:r w:rsidR="009E5681">
        <w:t xml:space="preserve">plement </w:t>
      </w:r>
      <w:r w:rsidR="00157CF1">
        <w:t>has helped</w:t>
      </w:r>
      <w:r w:rsidR="0030017D">
        <w:t xml:space="preserve"> reduce </w:t>
      </w:r>
      <w:r w:rsidR="008A526F">
        <w:t>the large stock of older, multi</w:t>
      </w:r>
      <w:r w:rsidR="008A526F">
        <w:noBreakHyphen/>
      </w:r>
      <w:r w:rsidR="000F0DFC">
        <w:t>bed</w:t>
      </w:r>
      <w:r w:rsidR="008A526F">
        <w:t xml:space="preserve"> style </w:t>
      </w:r>
      <w:r w:rsidR="0030017D">
        <w:t xml:space="preserve">room facilities. Another incentive </w:t>
      </w:r>
      <w:r w:rsidR="00F35CC0">
        <w:t>for investment in rural and remote areas is the Government’s capital grants program, which has recently been increased.</w:t>
      </w:r>
    </w:p>
    <w:p w14:paraId="3CDFE034" w14:textId="77777777" w:rsidR="00B66E2C" w:rsidRDefault="00F35CC0" w:rsidP="00342730">
      <w:r>
        <w:t xml:space="preserve">The investment decision for the new and refurbished facilities that have come on stream in 2017-18 and 2018-19 was taken several years ago. </w:t>
      </w:r>
      <w:r w:rsidR="00DB52BC">
        <w:t xml:space="preserve">As evident in Chart </w:t>
      </w:r>
      <w:r w:rsidR="000B644B">
        <w:t>15</w:t>
      </w:r>
      <w:r w:rsidR="00DB52BC">
        <w:t xml:space="preserve">, a large number of providers have curtailed or delayed future investment plans in the residential aged care sector. Providers cite </w:t>
      </w:r>
      <w:r w:rsidR="00BE78C5">
        <w:t>comp</w:t>
      </w:r>
      <w:r w:rsidR="00026F75">
        <w:t xml:space="preserve">ression in margins </w:t>
      </w:r>
      <w:r w:rsidR="0061030A">
        <w:t>and uncertainty</w:t>
      </w:r>
      <w:r w:rsidR="00026F75">
        <w:t>, including</w:t>
      </w:r>
      <w:r w:rsidR="00BE78C5">
        <w:t xml:space="preserve"> regulatory uncertainty, as factors influencing </w:t>
      </w:r>
      <w:r w:rsidR="00F83B3D">
        <w:t>decisions</w:t>
      </w:r>
      <w:r w:rsidR="00BE78C5">
        <w:t xml:space="preserve"> to put investment plans on hold. Many for-profit providers say that the current return on capital employed in the residential sector is below the cost of capital and in the absence of any change, these providers will continue to reduce or hold-back investment in aged care. </w:t>
      </w:r>
    </w:p>
    <w:p w14:paraId="73A912AA" w14:textId="77777777" w:rsidR="00B66E2C" w:rsidRDefault="00B66E2C">
      <w:r>
        <w:br w:type="page"/>
      </w:r>
    </w:p>
    <w:p w14:paraId="383DF38D" w14:textId="5CA5DAE9" w:rsidR="00FC0762" w:rsidRPr="00621A72" w:rsidRDefault="00FC0762" w:rsidP="000C062D">
      <w:pPr>
        <w:pStyle w:val="ChartTitle"/>
      </w:pPr>
      <w:bookmarkStart w:id="26" w:name="_Ref3109349"/>
      <w:bookmarkStart w:id="27" w:name="_Toc2536817"/>
      <w:bookmarkStart w:id="28" w:name="_Toc2807388"/>
      <w:r w:rsidRPr="00621A72">
        <w:lastRenderedPageBreak/>
        <w:t>Chart</w:t>
      </w:r>
      <w:bookmarkEnd w:id="26"/>
      <w:r>
        <w:t xml:space="preserve"> </w:t>
      </w:r>
      <w:r w:rsidR="0061030A">
        <w:t>1</w:t>
      </w:r>
      <w:r w:rsidR="000B644B">
        <w:t>5</w:t>
      </w:r>
      <w:r w:rsidR="0061030A">
        <w:t>:</w:t>
      </w:r>
      <w:r>
        <w:t xml:space="preserve"> </w:t>
      </w:r>
      <w:r w:rsidRPr="00621A72">
        <w:t xml:space="preserve">Proportion of </w:t>
      </w:r>
      <w:r w:rsidR="00D14B0E">
        <w:t>facilities</w:t>
      </w:r>
      <w:r w:rsidRPr="00621A72">
        <w:t xml:space="preserve"> planning to either upgrade or </w:t>
      </w:r>
      <w:r w:rsidR="00A20DB4" w:rsidRPr="00621A72">
        <w:t>rebuild</w:t>
      </w:r>
      <w:r w:rsidR="00851536">
        <w:t>,</w:t>
      </w:r>
      <w:r w:rsidRPr="00621A72">
        <w:t xml:space="preserve"> 2013</w:t>
      </w:r>
      <w:r w:rsidRPr="00621A72">
        <w:noBreakHyphen/>
        <w:t>14 to 2017</w:t>
      </w:r>
      <w:r w:rsidRPr="00621A72">
        <w:noBreakHyphen/>
        <w:t>18</w:t>
      </w:r>
      <w:bookmarkEnd w:id="27"/>
      <w:bookmarkEnd w:id="28"/>
    </w:p>
    <w:p w14:paraId="3BB5425D" w14:textId="77777777" w:rsidR="009E5681" w:rsidRDefault="009E5681" w:rsidP="00FC0762">
      <w:pPr>
        <w:jc w:val="center"/>
      </w:pPr>
    </w:p>
    <w:p w14:paraId="33BFB0F8" w14:textId="77777777" w:rsidR="009E5681" w:rsidRDefault="009E5681" w:rsidP="009E5681">
      <w:pPr>
        <w:jc w:val="center"/>
      </w:pPr>
      <w:r>
        <w:rPr>
          <w:rFonts w:ascii="Segoe UI" w:hAnsi="Segoe UI" w:cs="Segoe UI"/>
          <w:noProof/>
          <w:color w:val="FF0000"/>
          <w:lang w:eastAsia="en-AU"/>
        </w:rPr>
        <w:drawing>
          <wp:inline distT="0" distB="0" distL="0" distR="0" wp14:anchorId="1DF47933" wp14:editId="3A7A1892">
            <wp:extent cx="5731510" cy="2359858"/>
            <wp:effectExtent l="0" t="0" r="2540" b="2540"/>
            <wp:docPr id="36" name="Picture 36" descr="This chart shows the proportion of facilities planning to either upgrade or rebuild from 2013-14 to 2017-18." title="Chart 15: Proportion of facilities planning to either upgrade or rebuild, 2013 14 to 2017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1510" cy="2359858"/>
                    </a:xfrm>
                    <a:prstGeom prst="rect">
                      <a:avLst/>
                    </a:prstGeom>
                    <a:noFill/>
                  </pic:spPr>
                </pic:pic>
              </a:graphicData>
            </a:graphic>
          </wp:inline>
        </w:drawing>
      </w:r>
    </w:p>
    <w:p w14:paraId="5BF4E2FF" w14:textId="77777777" w:rsidR="009E5681" w:rsidRDefault="009E5681" w:rsidP="00342730"/>
    <w:p w14:paraId="5CB546B9" w14:textId="77777777" w:rsidR="00FC0762" w:rsidRDefault="00FC0762" w:rsidP="00342730">
      <w:r>
        <w:t>S</w:t>
      </w:r>
      <w:r w:rsidR="00BE78C5">
        <w:t xml:space="preserve">ome providers </w:t>
      </w:r>
      <w:r w:rsidR="00F27D78">
        <w:t xml:space="preserve">have expressed concern over the apparent shift from RADs to DAPs and RAD/DAP </w:t>
      </w:r>
      <w:r w:rsidR="00F83B3D">
        <w:t>combinations</w:t>
      </w:r>
      <w:r>
        <w:t xml:space="preserve"> </w:t>
      </w:r>
      <w:r w:rsidR="00157CF1">
        <w:t>(Chart</w:t>
      </w:r>
      <w:r>
        <w:t xml:space="preserve"> </w:t>
      </w:r>
      <w:r w:rsidR="000B644B">
        <w:t>8</w:t>
      </w:r>
      <w:r w:rsidR="0061030A">
        <w:t>)</w:t>
      </w:r>
      <w:r w:rsidR="00F27D78">
        <w:t xml:space="preserve">. </w:t>
      </w:r>
      <w:r w:rsidR="002562C9">
        <w:t>This is mainly noticeable in the for-profit sector and s</w:t>
      </w:r>
      <w:r w:rsidR="00F27D78">
        <w:t xml:space="preserve">hould the move away from RADs be maintained, this will impact on the capital funding model of </w:t>
      </w:r>
      <w:r w:rsidR="002562C9">
        <w:t>affected</w:t>
      </w:r>
      <w:r w:rsidR="00F27D78">
        <w:t xml:space="preserve"> providers and will require a restructuring of their business plans.</w:t>
      </w:r>
    </w:p>
    <w:p w14:paraId="31670B3D" w14:textId="77777777" w:rsidR="00F35CC0" w:rsidRDefault="00F27D78" w:rsidP="00342730">
      <w:r>
        <w:t xml:space="preserve">A further factor influencing investment plans is concern over occupancy rates. </w:t>
      </w:r>
      <w:r w:rsidR="00FD7FD8">
        <w:t>In 2017-18, the occupancy rate across all residential care p</w:t>
      </w:r>
      <w:r w:rsidR="006B3287">
        <w:t>roviders</w:t>
      </w:r>
      <w:r w:rsidR="00FD7FD8">
        <w:t xml:space="preserve"> was 90.3 per cent, down from 91.8 in 2016-17 and 92.4 per cent in 2015-16. This decline has occurred in the last two years following relative stability above 92 per cent for several years. But it is not the average occupancy rate which is relevant to an individual provider, but the occupancy rate they are experiencing. Some providers with occupancy rates in the high 90 per</w:t>
      </w:r>
      <w:r w:rsidR="000B34BB">
        <w:t xml:space="preserve"> </w:t>
      </w:r>
      <w:r w:rsidR="00FD7FD8">
        <w:t xml:space="preserve">cent range indicated that </w:t>
      </w:r>
      <w:r w:rsidR="005B6E78">
        <w:t xml:space="preserve">a fall in their </w:t>
      </w:r>
      <w:r w:rsidR="00157CF1">
        <w:t>occupancy rate</w:t>
      </w:r>
      <w:r w:rsidR="00026F75">
        <w:t xml:space="preserve"> by</w:t>
      </w:r>
      <w:r w:rsidR="005B6E78">
        <w:t xml:space="preserve"> a few percentage points would bring their viability into question. Similarly, they suggested that they would only contemplate new investment if there was the prospect of achieving a very high occupancy rate.</w:t>
      </w:r>
    </w:p>
    <w:p w14:paraId="5926E971" w14:textId="77777777" w:rsidR="00F27D78" w:rsidRDefault="00F27D78" w:rsidP="00342730">
      <w:r>
        <w:t>Given uncertainties in the outlook for residential aged care, along with the related desire of many providers to diversify their income streams and reduce th</w:t>
      </w:r>
      <w:r w:rsidR="00C56007">
        <w:t xml:space="preserve">eir exposure to </w:t>
      </w:r>
      <w:r w:rsidR="00F83B3D">
        <w:t>residential care</w:t>
      </w:r>
      <w:r w:rsidR="00C56007">
        <w:t>, a n</w:t>
      </w:r>
      <w:r>
        <w:t>umber of providers have indicated that over the next few years they are planning to increase investment in other activities, particularly retirement living, rather than aged care.</w:t>
      </w:r>
      <w:r w:rsidR="00C56007">
        <w:t xml:space="preserve"> Supporting this trend is the concept of establishing integrated aged care operations involving retirement living, home care and residential </w:t>
      </w:r>
      <w:r w:rsidR="00F83B3D">
        <w:t>a</w:t>
      </w:r>
      <w:r w:rsidR="00C56007">
        <w:t>ged care.</w:t>
      </w:r>
    </w:p>
    <w:p w14:paraId="44D67C6D" w14:textId="77777777" w:rsidR="00C56007" w:rsidRDefault="00C56007" w:rsidP="00342730">
      <w:r>
        <w:t xml:space="preserve">The implications of the curtailment of investment plans in terms of meeting the expected future demand for aged care services is discussed further in </w:t>
      </w:r>
      <w:r w:rsidR="0061030A">
        <w:t>Section 9</w:t>
      </w:r>
      <w:r>
        <w:t>.</w:t>
      </w:r>
    </w:p>
    <w:p w14:paraId="73703C68" w14:textId="77777777" w:rsidR="006B3287" w:rsidRDefault="006B3287" w:rsidP="00342730">
      <w:r>
        <w:br w:type="page"/>
      </w:r>
    </w:p>
    <w:p w14:paraId="33CA67AE" w14:textId="77777777" w:rsidR="00342730" w:rsidRDefault="00C56007" w:rsidP="000C062D">
      <w:pPr>
        <w:pStyle w:val="Heading2"/>
      </w:pPr>
      <w:r>
        <w:lastRenderedPageBreak/>
        <w:t>Viability of</w:t>
      </w:r>
      <w:r w:rsidR="004D2DB7">
        <w:t xml:space="preserve"> r</w:t>
      </w:r>
      <w:r w:rsidR="00520676">
        <w:t xml:space="preserve">esidential </w:t>
      </w:r>
      <w:r w:rsidR="004D2DB7">
        <w:t>a</w:t>
      </w:r>
      <w:r>
        <w:t xml:space="preserve">ged </w:t>
      </w:r>
      <w:r w:rsidR="004D2DB7">
        <w:t>c</w:t>
      </w:r>
      <w:r w:rsidR="00A20DB4">
        <w:t xml:space="preserve">are </w:t>
      </w:r>
      <w:r w:rsidR="004D2DB7">
        <w:t>p</w:t>
      </w:r>
      <w:r w:rsidR="00A20DB4">
        <w:t>roviders</w:t>
      </w:r>
    </w:p>
    <w:p w14:paraId="76F84876" w14:textId="28B12397" w:rsidR="00B20A23" w:rsidRPr="006B3287" w:rsidRDefault="001C2C1F" w:rsidP="00835217">
      <w:r w:rsidRPr="006B3287">
        <w:t>2017-18 was a difficult year for residential aged care providers given the changes to ACFI and rising costs. It is evident that 201</w:t>
      </w:r>
      <w:r w:rsidR="002562C9" w:rsidRPr="006B3287">
        <w:t>8-19</w:t>
      </w:r>
      <w:r w:rsidRPr="006B3287">
        <w:t xml:space="preserve"> is also </w:t>
      </w:r>
      <w:r w:rsidR="005B6E78" w:rsidRPr="006B3287">
        <w:t>a challenging yea</w:t>
      </w:r>
      <w:r w:rsidR="00B20A23" w:rsidRPr="006B3287">
        <w:t>r</w:t>
      </w:r>
      <w:r w:rsidRPr="006B3287">
        <w:t xml:space="preserve"> for</w:t>
      </w:r>
      <w:r w:rsidR="005C7C95">
        <w:t>,</w:t>
      </w:r>
      <w:r w:rsidRPr="006B3287">
        <w:t xml:space="preserve"> while indexation of ACFI has returned, </w:t>
      </w:r>
      <w:r w:rsidR="00F83B3D" w:rsidRPr="006B3287">
        <w:t>providers</w:t>
      </w:r>
      <w:r w:rsidRPr="006B3287">
        <w:t xml:space="preserve"> note that the </w:t>
      </w:r>
      <w:r w:rsidR="005B6E78" w:rsidRPr="006B3287">
        <w:t>rate of indexation is well below</w:t>
      </w:r>
      <w:r w:rsidRPr="006B3287">
        <w:t xml:space="preserve"> the increase in their costs</w:t>
      </w:r>
      <w:r w:rsidR="005B6E78" w:rsidRPr="006B3287">
        <w:t>. As mentioned above, a number of providers are also concerned about</w:t>
      </w:r>
      <w:r w:rsidRPr="006B3287">
        <w:t xml:space="preserve"> lower occupancy rates </w:t>
      </w:r>
      <w:r w:rsidR="005B6E78" w:rsidRPr="006B3287">
        <w:t>and fear that adverse publicity over quality issues in the industry will further depress their occupancy rate.</w:t>
      </w:r>
      <w:r w:rsidRPr="006B3287">
        <w:t xml:space="preserve"> </w:t>
      </w:r>
    </w:p>
    <w:p w14:paraId="2E00D74C" w14:textId="77777777" w:rsidR="005B6E78" w:rsidRPr="006B3287" w:rsidRDefault="001C2C1F" w:rsidP="00835217">
      <w:r w:rsidRPr="006B3287">
        <w:t xml:space="preserve">In ACFA’s consultations with providers, </w:t>
      </w:r>
      <w:r w:rsidR="00F83B3D" w:rsidRPr="006B3287">
        <w:t>many welcomed</w:t>
      </w:r>
      <w:r w:rsidRPr="006B3287">
        <w:t xml:space="preserve"> the $320 million </w:t>
      </w:r>
      <w:r w:rsidR="0082159D" w:rsidRPr="006B3287">
        <w:t xml:space="preserve">increase </w:t>
      </w:r>
      <w:r w:rsidR="00157CF1" w:rsidRPr="006B3287">
        <w:t>in</w:t>
      </w:r>
      <w:r w:rsidR="0082159D" w:rsidRPr="006B3287">
        <w:t xml:space="preserve"> </w:t>
      </w:r>
      <w:r w:rsidRPr="006B3287">
        <w:t xml:space="preserve">general subsidies for residential </w:t>
      </w:r>
      <w:r w:rsidR="00520676" w:rsidRPr="006B3287">
        <w:t xml:space="preserve">care </w:t>
      </w:r>
      <w:r w:rsidRPr="006B3287">
        <w:t>providers in 2018-19 announced by the</w:t>
      </w:r>
      <w:r w:rsidR="005B6E78" w:rsidRPr="006B3287">
        <w:t xml:space="preserve"> Government on 10</w:t>
      </w:r>
      <w:r w:rsidR="004D2DB7" w:rsidRPr="006B3287">
        <w:t> </w:t>
      </w:r>
      <w:r w:rsidR="005B6E78" w:rsidRPr="006B3287">
        <w:t>February. Providers</w:t>
      </w:r>
      <w:r w:rsidRPr="006B3287">
        <w:t xml:space="preserve"> note</w:t>
      </w:r>
      <w:r w:rsidR="005B6E78" w:rsidRPr="006B3287">
        <w:t xml:space="preserve">d that this will </w:t>
      </w:r>
      <w:r w:rsidR="0082159D" w:rsidRPr="006B3287">
        <w:t>assist</w:t>
      </w:r>
      <w:r w:rsidR="005B6E78" w:rsidRPr="006B3287">
        <w:t xml:space="preserve"> their financial </w:t>
      </w:r>
      <w:r w:rsidR="00157CF1" w:rsidRPr="006B3287">
        <w:t>results in</w:t>
      </w:r>
      <w:r w:rsidR="00B614B5" w:rsidRPr="006B3287">
        <w:t xml:space="preserve"> 2018-19 although </w:t>
      </w:r>
      <w:r w:rsidR="005B6E78" w:rsidRPr="006B3287">
        <w:t xml:space="preserve">many </w:t>
      </w:r>
      <w:r w:rsidR="00B614B5" w:rsidRPr="006B3287">
        <w:t>emphasised it was a one-off financial boost and did not deal with ongoin</w:t>
      </w:r>
      <w:r w:rsidR="005B6E78" w:rsidRPr="006B3287">
        <w:t>g financial concerns</w:t>
      </w:r>
      <w:r w:rsidR="00B614B5" w:rsidRPr="006B3287">
        <w:t xml:space="preserve">. </w:t>
      </w:r>
    </w:p>
    <w:p w14:paraId="71503EF8" w14:textId="3B12D6E1" w:rsidR="00B20A23" w:rsidRPr="006B3287" w:rsidRDefault="00B614B5" w:rsidP="00835217">
      <w:r w:rsidRPr="006B3287">
        <w:t xml:space="preserve">Notwithstanding the financial pressures confronting providers in recent years, there is no indication that a large number are intending to reduce or cease operations. </w:t>
      </w:r>
      <w:r w:rsidR="00A230FA" w:rsidRPr="006B3287">
        <w:t>In particular, many of the not</w:t>
      </w:r>
      <w:r w:rsidR="00100766">
        <w:noBreakHyphen/>
      </w:r>
      <w:r w:rsidR="00A230FA" w:rsidRPr="006B3287">
        <w:t>for</w:t>
      </w:r>
      <w:r w:rsidR="00100766">
        <w:noBreakHyphen/>
      </w:r>
      <w:r w:rsidR="00A230FA" w:rsidRPr="006B3287">
        <w:t xml:space="preserve">profit providers have </w:t>
      </w:r>
      <w:r w:rsidR="0061030A" w:rsidRPr="006B3287">
        <w:t>very large reserves which provide</w:t>
      </w:r>
      <w:r w:rsidR="00A230FA" w:rsidRPr="006B3287">
        <w:t xml:space="preserve"> a significant buffer to fluctuations in their financial performance. </w:t>
      </w:r>
      <w:r w:rsidR="005B6E78" w:rsidRPr="006B3287">
        <w:t xml:space="preserve">Many of the for-profit providers are more exposed to volatility in their financial performance. </w:t>
      </w:r>
      <w:r w:rsidR="00157CF1" w:rsidRPr="006B3287">
        <w:t>A number</w:t>
      </w:r>
      <w:r w:rsidR="00F83B3D" w:rsidRPr="006B3287">
        <w:t xml:space="preserve"> </w:t>
      </w:r>
      <w:r w:rsidR="005B6E78" w:rsidRPr="006B3287">
        <w:t>of providers, both for</w:t>
      </w:r>
      <w:r w:rsidR="004D2DB7" w:rsidRPr="006B3287">
        <w:noBreakHyphen/>
      </w:r>
      <w:r w:rsidR="005B6E78" w:rsidRPr="006B3287">
        <w:t>profit and not</w:t>
      </w:r>
      <w:r w:rsidR="004D2DB7" w:rsidRPr="006B3287">
        <w:noBreakHyphen/>
      </w:r>
      <w:r w:rsidR="005B6E78" w:rsidRPr="006B3287">
        <w:t>for</w:t>
      </w:r>
      <w:r w:rsidR="004D2DB7" w:rsidRPr="006B3287">
        <w:noBreakHyphen/>
      </w:r>
      <w:r w:rsidR="005B6E78" w:rsidRPr="006B3287">
        <w:t xml:space="preserve">profit, </w:t>
      </w:r>
      <w:r w:rsidR="00F83B3D" w:rsidRPr="006B3287">
        <w:t>have</w:t>
      </w:r>
      <w:r w:rsidRPr="006B3287">
        <w:t xml:space="preserve"> registered that if the current co</w:t>
      </w:r>
      <w:r w:rsidR="005B6E78" w:rsidRPr="006B3287">
        <w:t xml:space="preserve">mpression of margins </w:t>
      </w:r>
      <w:r w:rsidR="00157CF1" w:rsidRPr="006B3287">
        <w:t>continues for</w:t>
      </w:r>
      <w:r w:rsidRPr="006B3287">
        <w:t xml:space="preserve"> an extended period</w:t>
      </w:r>
      <w:r w:rsidR="00B20A23" w:rsidRPr="006B3287">
        <w:t>,</w:t>
      </w:r>
      <w:r w:rsidRPr="006B3287">
        <w:t xml:space="preserve"> it will bring into question their long-ter</w:t>
      </w:r>
      <w:r w:rsidR="00026F75" w:rsidRPr="006B3287">
        <w:t xml:space="preserve">m viability. </w:t>
      </w:r>
    </w:p>
    <w:p w14:paraId="2E8CB16C" w14:textId="77777777" w:rsidR="00B20A23" w:rsidRPr="006B3287" w:rsidRDefault="0093486A" w:rsidP="00835217">
      <w:r w:rsidRPr="006B3287">
        <w:t>The feedback from consultations suggests</w:t>
      </w:r>
      <w:r w:rsidR="0061030A" w:rsidRPr="006B3287">
        <w:t>,</w:t>
      </w:r>
      <w:r w:rsidR="00026F75" w:rsidRPr="006B3287">
        <w:t xml:space="preserve"> however, </w:t>
      </w:r>
      <w:r w:rsidRPr="006B3287">
        <w:t>that</w:t>
      </w:r>
      <w:r w:rsidR="00B614B5" w:rsidRPr="006B3287">
        <w:t xml:space="preserve"> a growing number of smaller p</w:t>
      </w:r>
      <w:r w:rsidR="00A230FA" w:rsidRPr="006B3287">
        <w:t xml:space="preserve">roviders, particularly in rural and remote areas </w:t>
      </w:r>
      <w:r w:rsidR="00F83B3D" w:rsidRPr="006B3287">
        <w:t>(but</w:t>
      </w:r>
      <w:r w:rsidR="00A230FA" w:rsidRPr="006B3287">
        <w:t xml:space="preserve"> not exclusively) </w:t>
      </w:r>
      <w:r w:rsidRPr="006B3287">
        <w:t xml:space="preserve">are </w:t>
      </w:r>
      <w:r w:rsidR="00A230FA" w:rsidRPr="006B3287">
        <w:t>facing such pressures that they are considering or seeking to leave the industry. A number of providers, particularly in t</w:t>
      </w:r>
      <w:r w:rsidR="00A0330D" w:rsidRPr="006B3287">
        <w:t>he not</w:t>
      </w:r>
      <w:r w:rsidR="004D2DB7" w:rsidRPr="006B3287">
        <w:noBreakHyphen/>
      </w:r>
      <w:r w:rsidR="00A0330D" w:rsidRPr="006B3287">
        <w:t>for</w:t>
      </w:r>
      <w:r w:rsidR="004D2DB7" w:rsidRPr="006B3287">
        <w:noBreakHyphen/>
      </w:r>
      <w:r w:rsidR="00A0330D" w:rsidRPr="006B3287">
        <w:t>profit category</w:t>
      </w:r>
      <w:r w:rsidR="00157CF1" w:rsidRPr="006B3287">
        <w:t>, said</w:t>
      </w:r>
      <w:r w:rsidR="00A230FA" w:rsidRPr="006B3287">
        <w:t xml:space="preserve"> they have </w:t>
      </w:r>
      <w:r w:rsidR="00F83B3D" w:rsidRPr="006B3287">
        <w:t>received</w:t>
      </w:r>
      <w:r w:rsidR="00A0330D" w:rsidRPr="006B3287">
        <w:t xml:space="preserve"> an increasing</w:t>
      </w:r>
      <w:r w:rsidR="00A230FA" w:rsidRPr="006B3287">
        <w:t xml:space="preserve"> number of approaches </w:t>
      </w:r>
      <w:r w:rsidR="00A0330D" w:rsidRPr="006B3287">
        <w:t xml:space="preserve">from smaller providers </w:t>
      </w:r>
      <w:r w:rsidR="00A230FA" w:rsidRPr="006B3287">
        <w:t xml:space="preserve">facing financial and quality concerns </w:t>
      </w:r>
      <w:r w:rsidR="00A0330D" w:rsidRPr="006B3287">
        <w:t xml:space="preserve">and </w:t>
      </w:r>
      <w:r w:rsidR="00A230FA" w:rsidRPr="006B3287">
        <w:t xml:space="preserve">who are seeking to sell their operations. </w:t>
      </w:r>
    </w:p>
    <w:p w14:paraId="1BDCDB94" w14:textId="77777777" w:rsidR="00BD075A" w:rsidRDefault="00BD075A" w:rsidP="00BD075A"/>
    <w:p w14:paraId="667F437D" w14:textId="26AED2E1" w:rsidR="00101C30" w:rsidRPr="006B3287" w:rsidRDefault="00A230FA" w:rsidP="00835217">
      <w:r w:rsidRPr="006B3287">
        <w:t xml:space="preserve">Many of </w:t>
      </w:r>
      <w:r w:rsidR="00F83B3D" w:rsidRPr="006B3287">
        <w:t>the providers</w:t>
      </w:r>
      <w:r w:rsidRPr="006B3287">
        <w:t xml:space="preserve"> facing financial difficulties may be eligible for the viability supplement, which was recently increased, and </w:t>
      </w:r>
      <w:r w:rsidR="00026F75" w:rsidRPr="006B3287">
        <w:t xml:space="preserve">they </w:t>
      </w:r>
      <w:r w:rsidRPr="006B3287">
        <w:t xml:space="preserve">could take advantage of the announcement by the Government providing an advisory service for both residential and home care providers. </w:t>
      </w:r>
      <w:r w:rsidR="008949DF" w:rsidRPr="006B3287">
        <w:t xml:space="preserve">The Government has said that this advisory service would be prioritised on rural and remote areas and smaller operators. However the feedback is that those providers facing financial difficulties leave it very late before seeking assistance or seek to sell their operation. Most of the providers receiving the approaches had declined taking over the </w:t>
      </w:r>
      <w:r w:rsidR="00F83B3D" w:rsidRPr="006B3287">
        <w:t>provider in</w:t>
      </w:r>
      <w:r w:rsidR="00A0330D" w:rsidRPr="006B3287">
        <w:t xml:space="preserve"> financial difficulties, mainly because t</w:t>
      </w:r>
      <w:r w:rsidR="008949DF" w:rsidRPr="006B3287">
        <w:t>he prov</w:t>
      </w:r>
      <w:r w:rsidR="00A0330D" w:rsidRPr="006B3287">
        <w:t>ider seeking</w:t>
      </w:r>
      <w:r w:rsidR="0082159D" w:rsidRPr="006B3287">
        <w:t xml:space="preserve"> </w:t>
      </w:r>
      <w:r w:rsidR="00157CF1" w:rsidRPr="006B3287">
        <w:t>takeover is</w:t>
      </w:r>
      <w:r w:rsidR="00A0330D" w:rsidRPr="006B3287">
        <w:t xml:space="preserve"> not only experiencing</w:t>
      </w:r>
      <w:r w:rsidR="008949DF" w:rsidRPr="006B3287">
        <w:t xml:space="preserve"> financial </w:t>
      </w:r>
      <w:r w:rsidR="00A0330D" w:rsidRPr="006B3287">
        <w:t xml:space="preserve">pressures but also </w:t>
      </w:r>
      <w:r w:rsidR="00157CF1" w:rsidRPr="006B3287">
        <w:t>significant quality</w:t>
      </w:r>
      <w:r w:rsidR="008949DF" w:rsidRPr="006B3287">
        <w:t xml:space="preserve"> problems, with many facing sanctions. In the current environment, providers </w:t>
      </w:r>
      <w:r w:rsidR="00101C30" w:rsidRPr="006B3287">
        <w:t xml:space="preserve">observe that it is a challenging task to turn around a significantly </w:t>
      </w:r>
      <w:r w:rsidR="00F83B3D" w:rsidRPr="006B3287">
        <w:t>underperforming</w:t>
      </w:r>
      <w:r w:rsidR="00101C30" w:rsidRPr="006B3287">
        <w:t xml:space="preserve"> operation</w:t>
      </w:r>
      <w:r w:rsidR="00A0330D" w:rsidRPr="006B3287">
        <w:t xml:space="preserve"> and it poses significant reputational risks.</w:t>
      </w:r>
    </w:p>
    <w:p w14:paraId="3B4D08A6" w14:textId="77777777" w:rsidR="004D2DB7" w:rsidRDefault="004D2DB7" w:rsidP="00835217">
      <w:pPr>
        <w:rPr>
          <w:sz w:val="24"/>
          <w:szCs w:val="24"/>
        </w:rPr>
      </w:pPr>
    </w:p>
    <w:p w14:paraId="155193E9" w14:textId="77777777" w:rsidR="00101C30" w:rsidRDefault="00101C30" w:rsidP="000C062D">
      <w:pPr>
        <w:pStyle w:val="Heading2"/>
      </w:pPr>
      <w:r>
        <w:t xml:space="preserve">Home </w:t>
      </w:r>
      <w:r w:rsidR="004D2DB7">
        <w:t>c</w:t>
      </w:r>
      <w:r>
        <w:t>are</w:t>
      </w:r>
    </w:p>
    <w:p w14:paraId="75A40FAF" w14:textId="77777777" w:rsidR="00C56007" w:rsidRPr="006B3287" w:rsidRDefault="00101C30" w:rsidP="00835217">
      <w:r w:rsidRPr="006B3287">
        <w:t xml:space="preserve">Home care providers are likely </w:t>
      </w:r>
      <w:r w:rsidR="00F83B3D" w:rsidRPr="006B3287">
        <w:t>to continue</w:t>
      </w:r>
      <w:r w:rsidRPr="006B3287">
        <w:t xml:space="preserve"> to experience a challenging business environment as they adjust to the introduction </w:t>
      </w:r>
      <w:r w:rsidR="00051CFE" w:rsidRPr="006B3287">
        <w:t xml:space="preserve">of home care packages following consumers. As noted previously, the initial impact of this reform has increased costs for providers while the increased competition sparked by the large </w:t>
      </w:r>
      <w:r w:rsidR="00F83B3D" w:rsidRPr="006B3287">
        <w:t>increase</w:t>
      </w:r>
      <w:r w:rsidR="00051CFE" w:rsidRPr="006B3287">
        <w:t xml:space="preserve"> in approved providers has put downward pressure on prices. The </w:t>
      </w:r>
      <w:r w:rsidR="00F83B3D" w:rsidRPr="006B3287">
        <w:t>increase</w:t>
      </w:r>
      <w:r w:rsidR="00051CFE" w:rsidRPr="006B3287">
        <w:t xml:space="preserve"> in the number of packages w</w:t>
      </w:r>
      <w:r w:rsidR="00A0330D" w:rsidRPr="006B3287">
        <w:t>ill increase potential consumers for all providers</w:t>
      </w:r>
      <w:r w:rsidR="00051CFE" w:rsidRPr="006B3287">
        <w:t>, although given the extent of the increase in the number of providers it is likely that there will be a shake-out and a number of providers will</w:t>
      </w:r>
      <w:r w:rsidR="008949DF" w:rsidRPr="006B3287">
        <w:t xml:space="preserve"> </w:t>
      </w:r>
      <w:r w:rsidR="00051CFE" w:rsidRPr="006B3287">
        <w:t xml:space="preserve">leave the market. Feedback </w:t>
      </w:r>
      <w:r w:rsidR="00F83B3D" w:rsidRPr="006B3287">
        <w:t>from</w:t>
      </w:r>
      <w:r w:rsidR="00051CFE" w:rsidRPr="006B3287">
        <w:t xml:space="preserve"> ACFA consultations suggest that some providers are already contemplating whether they will continue to offer home care packages. Increased attention on </w:t>
      </w:r>
      <w:r w:rsidR="00F07402" w:rsidRPr="006B3287">
        <w:t xml:space="preserve">ensuring quality may accelerate this move given that many established home </w:t>
      </w:r>
      <w:r w:rsidR="00F07402" w:rsidRPr="006B3287">
        <w:lastRenderedPageBreak/>
        <w:t>care providers have questioned the quality of the services being provided by new entrants. Part of the additional funding for aged care announced by the Government on 10</w:t>
      </w:r>
      <w:r w:rsidR="004D2DB7" w:rsidRPr="006B3287">
        <w:t> </w:t>
      </w:r>
      <w:r w:rsidR="00F07402" w:rsidRPr="006B3287">
        <w:t>February</w:t>
      </w:r>
      <w:r w:rsidR="004D2DB7" w:rsidRPr="006B3287">
        <w:t xml:space="preserve"> </w:t>
      </w:r>
      <w:r w:rsidR="00A6655B" w:rsidRPr="006B3287">
        <w:t xml:space="preserve">2019 </w:t>
      </w:r>
      <w:r w:rsidR="00F07402" w:rsidRPr="006B3287">
        <w:t xml:space="preserve">included additional money for auditing the quality </w:t>
      </w:r>
      <w:r w:rsidR="00B20A23" w:rsidRPr="006B3287">
        <w:t xml:space="preserve">and integrity </w:t>
      </w:r>
      <w:r w:rsidR="00F07402" w:rsidRPr="006B3287">
        <w:t>of home care services.</w:t>
      </w:r>
    </w:p>
    <w:p w14:paraId="31FA95B3" w14:textId="77777777" w:rsidR="004D2DB7" w:rsidRPr="00593798" w:rsidRDefault="004D2DB7" w:rsidP="00835217">
      <w:pPr>
        <w:rPr>
          <w:b/>
          <w:sz w:val="28"/>
          <w:szCs w:val="28"/>
        </w:rPr>
      </w:pPr>
    </w:p>
    <w:p w14:paraId="754DC7DF" w14:textId="1E8F9089" w:rsidR="00835217" w:rsidRPr="00CE1DD4" w:rsidRDefault="00F83B3D" w:rsidP="000C062D">
      <w:pPr>
        <w:pStyle w:val="Heading1Numbered"/>
      </w:pPr>
      <w:r w:rsidRPr="00CE1DD4">
        <w:t>Meeting future</w:t>
      </w:r>
      <w:r w:rsidR="00A0330D" w:rsidRPr="00CE1DD4">
        <w:t xml:space="preserve"> demand</w:t>
      </w:r>
      <w:r w:rsidR="00593798" w:rsidRPr="00CE1DD4">
        <w:t xml:space="preserve"> for aged care services</w:t>
      </w:r>
    </w:p>
    <w:p w14:paraId="43F999AB" w14:textId="4D6C5404" w:rsidR="00B20A23" w:rsidRDefault="00593798" w:rsidP="00050E28">
      <w:r>
        <w:rPr>
          <w:sz w:val="24"/>
          <w:szCs w:val="24"/>
        </w:rPr>
        <w:t xml:space="preserve">As noted previously, </w:t>
      </w:r>
      <w:r>
        <w:t xml:space="preserve">the ageing of the Australian population will see a marked increase in the number of Australians likely to need aged care. The rapid expansion of </w:t>
      </w:r>
      <w:r w:rsidR="009A2B45">
        <w:t xml:space="preserve">the number of </w:t>
      </w:r>
      <w:r>
        <w:t xml:space="preserve">older </w:t>
      </w:r>
      <w:r w:rsidR="00F83B3D">
        <w:t>people,</w:t>
      </w:r>
      <w:r>
        <w:t xml:space="preserve"> particularly in the oldest age groups, will result in a marked increase in demand for aged care services. By age 80, the proportion of people using either permanent residential care or a home care package </w:t>
      </w:r>
      <w:r w:rsidR="00F42635">
        <w:t>is around 7</w:t>
      </w:r>
      <w:r w:rsidR="004D2DB7">
        <w:t> </w:t>
      </w:r>
      <w:r w:rsidR="00F42635">
        <w:t>per</w:t>
      </w:r>
      <w:r w:rsidR="004D2DB7">
        <w:t> </w:t>
      </w:r>
      <w:r w:rsidR="00F42635">
        <w:t>cent</w:t>
      </w:r>
      <w:r w:rsidR="009A2B45">
        <w:t>. T</w:t>
      </w:r>
      <w:r w:rsidR="00F42635">
        <w:t>his doubles by age 85 and more than doubles again by age 90.</w:t>
      </w:r>
      <w:r w:rsidR="00EC03A4">
        <w:t xml:space="preserve"> </w:t>
      </w:r>
    </w:p>
    <w:p w14:paraId="5988FF13" w14:textId="7D9C3FA2" w:rsidR="00593798" w:rsidRDefault="00EC03A4" w:rsidP="00050E28">
      <w:r>
        <w:t xml:space="preserve">The profile of the ageing of the population and the proportionate growth in older age groups will not be smooth over the next decade. Because </w:t>
      </w:r>
      <w:r w:rsidR="00195942">
        <w:t>the baby boomers are such a large group compared with the pre-war generation, the proportion of the 70 and over population</w:t>
      </w:r>
      <w:r w:rsidR="00D93B35">
        <w:t xml:space="preserve"> </w:t>
      </w:r>
      <w:r w:rsidR="00195942">
        <w:t>who are aged 85 and over will reduce over the next decade before subsequently increasing. As such, the challenge of</w:t>
      </w:r>
      <w:r w:rsidR="00FD593A">
        <w:t xml:space="preserve"> </w:t>
      </w:r>
      <w:r w:rsidR="00D93B35">
        <w:t xml:space="preserve">ensuring there is sufficient aged care supply to meet demand arising from the baby boomer generation is more likely to be felt in 10 plus </w:t>
      </w:r>
      <w:r w:rsidR="00F83B3D">
        <w:t>years’ time</w:t>
      </w:r>
      <w:r w:rsidR="00D93B35">
        <w:t xml:space="preserve"> than in the next decade. Howeve</w:t>
      </w:r>
      <w:r w:rsidR="00FD593A">
        <w:t xml:space="preserve">r the investment </w:t>
      </w:r>
      <w:r w:rsidR="00F83B3D">
        <w:t>decisions to</w:t>
      </w:r>
      <w:r w:rsidR="00D93B35">
        <w:t xml:space="preserve"> </w:t>
      </w:r>
      <w:r w:rsidR="00F83B3D">
        <w:t>ensure</w:t>
      </w:r>
      <w:r w:rsidR="00D93B35">
        <w:t xml:space="preserve"> that there is adequate supply to meet the expected growth in </w:t>
      </w:r>
      <w:r w:rsidR="00F83B3D">
        <w:t>demand for</w:t>
      </w:r>
      <w:r w:rsidR="00FD593A">
        <w:t xml:space="preserve"> aged care services, particularly residential aged care, </w:t>
      </w:r>
      <w:r w:rsidR="00D93B35">
        <w:t>10 years from now wil</w:t>
      </w:r>
      <w:r w:rsidR="00FD593A">
        <w:t>l need to be taken over the coming</w:t>
      </w:r>
      <w:r w:rsidR="00D93B35">
        <w:t xml:space="preserve"> decade.</w:t>
      </w:r>
    </w:p>
    <w:p w14:paraId="77AE6074" w14:textId="6E42336B" w:rsidR="00D93B35" w:rsidRDefault="00DC5C55" w:rsidP="00050E28">
      <w:r>
        <w:t>One of the major uncertainties in considering the future demand of aged care services is the composition of that demand, particularly the interaction between home care and resid</w:t>
      </w:r>
      <w:r w:rsidR="00FD593A">
        <w:t>ential care</w:t>
      </w:r>
      <w:r w:rsidR="00C86624">
        <w:t xml:space="preserve"> and the impact of technology and innovation</w:t>
      </w:r>
      <w:r w:rsidR="00FD593A">
        <w:t xml:space="preserve">. As evident by the National </w:t>
      </w:r>
      <w:r w:rsidR="00A20DB4">
        <w:t>Prioritisation System</w:t>
      </w:r>
      <w:r w:rsidR="00F83B3D">
        <w:t>,</w:t>
      </w:r>
      <w:r>
        <w:t xml:space="preserve"> the current demand for home care is not being met, whereas </w:t>
      </w:r>
      <w:r w:rsidR="00F83B3D">
        <w:t>there appears</w:t>
      </w:r>
      <w:r w:rsidR="00EF27A2">
        <w:t xml:space="preserve"> to be evidenc</w:t>
      </w:r>
      <w:r w:rsidR="00F83B3D">
        <w:t>e that demand for residential</w:t>
      </w:r>
      <w:r w:rsidR="00EF27A2">
        <w:t xml:space="preserve"> care is currently being met. </w:t>
      </w:r>
      <w:r w:rsidR="0061030A">
        <w:t>Average occupancy rates for residential care have</w:t>
      </w:r>
      <w:r w:rsidR="00EF27A2">
        <w:t xml:space="preserve"> started to trend down</w:t>
      </w:r>
      <w:r w:rsidR="00FD593A">
        <w:t xml:space="preserve"> towards 90 per cent.</w:t>
      </w:r>
      <w:r w:rsidR="00EF27A2">
        <w:t xml:space="preserve"> As the </w:t>
      </w:r>
      <w:r w:rsidR="0061030A">
        <w:t>number of home care packages has</w:t>
      </w:r>
      <w:r w:rsidR="00EF27A2">
        <w:t xml:space="preserve"> increased, the proportion </w:t>
      </w:r>
      <w:r w:rsidR="00E74B7C">
        <w:t>of people in each age group using residential care has decreased, suggesting some substitutability between home care and residential care. As such, the continued release of additional home care packages may reduce demand for residential care.</w:t>
      </w:r>
    </w:p>
    <w:p w14:paraId="77B73933" w14:textId="12F5FE98" w:rsidR="0061030A" w:rsidRDefault="00EF27A2" w:rsidP="00050E28">
      <w:r>
        <w:t xml:space="preserve">Chart </w:t>
      </w:r>
      <w:r w:rsidR="000B644B">
        <w:t>16</w:t>
      </w:r>
      <w:r>
        <w:t xml:space="preserve"> comes from ACFA’s </w:t>
      </w:r>
      <w:r w:rsidR="00F725BB">
        <w:t>2018</w:t>
      </w:r>
      <w:r>
        <w:t xml:space="preserve"> annual report and p</w:t>
      </w:r>
      <w:r w:rsidR="00914B35">
        <w:t>rovides projections for the d</w:t>
      </w:r>
      <w:r w:rsidR="00E74B7C">
        <w:t xml:space="preserve">emand for residential aged care. The solid blue line is the expected number of operational places and grows at the same rate as the size of the population aged 70 years and older </w:t>
      </w:r>
      <w:r w:rsidR="00F83B3D">
        <w:t>(the</w:t>
      </w:r>
      <w:r w:rsidR="00E74B7C">
        <w:t xml:space="preserve"> target provision ratio formula). The green line uses current age usage of residential care, both permanent and respite care, and projects this forward with population </w:t>
      </w:r>
      <w:r w:rsidR="002423CF">
        <w:t xml:space="preserve">growth in each age group. The dashed blue </w:t>
      </w:r>
      <w:r w:rsidR="0061030A">
        <w:t>line would</w:t>
      </w:r>
      <w:r w:rsidR="002423CF">
        <w:t xml:space="preserve"> be the usage of residential care if current occupancy levels were maintained. The gap between the green line and the blue line widens over the next decade because of the influence of the post war generation and </w:t>
      </w:r>
      <w:r w:rsidR="00F83B3D">
        <w:t>eventually</w:t>
      </w:r>
      <w:r w:rsidR="002423CF">
        <w:t xml:space="preserve"> narrows as the baby boomers enter their 80s. The implication is that if residential </w:t>
      </w:r>
      <w:r w:rsidR="00F725BB">
        <w:t xml:space="preserve">care </w:t>
      </w:r>
      <w:r w:rsidR="002423CF">
        <w:t xml:space="preserve">places are released in line with the existing target provision </w:t>
      </w:r>
      <w:r w:rsidR="00F83B3D">
        <w:t>formula,</w:t>
      </w:r>
      <w:r w:rsidR="002423CF">
        <w:t xml:space="preserve"> this is likely to exceed the demand </w:t>
      </w:r>
      <w:r w:rsidR="00536A97">
        <w:t>over the next decade</w:t>
      </w:r>
      <w:r w:rsidR="002423CF">
        <w:t xml:space="preserve">, but demand will start to grow </w:t>
      </w:r>
      <w:r w:rsidR="00F83B3D">
        <w:t>at a</w:t>
      </w:r>
      <w:r w:rsidR="00536A97">
        <w:t xml:space="preserve"> faster rate </w:t>
      </w:r>
      <w:r w:rsidR="00F83B3D">
        <w:t>than the</w:t>
      </w:r>
      <w:r w:rsidR="002423CF">
        <w:t xml:space="preserve"> target provision ratio </w:t>
      </w:r>
      <w:r w:rsidR="00536A97">
        <w:t xml:space="preserve">rate </w:t>
      </w:r>
      <w:r w:rsidR="00F83B3D">
        <w:t>(based</w:t>
      </w:r>
      <w:r w:rsidR="00536A97">
        <w:t xml:space="preserve"> on the size of the population aged 70 years and older) towards the end of the decade. </w:t>
      </w:r>
      <w:r w:rsidR="009A2B45">
        <w:t>T</w:t>
      </w:r>
      <w:r w:rsidR="00536A97">
        <w:t xml:space="preserve">hese projections do not take into account the potential impact on demand for residential </w:t>
      </w:r>
      <w:r w:rsidR="00F725BB">
        <w:t xml:space="preserve">care </w:t>
      </w:r>
      <w:r w:rsidR="00536A97">
        <w:t>places coming from a significant increase in home care packages.</w:t>
      </w:r>
    </w:p>
    <w:p w14:paraId="4B1A4B7E" w14:textId="77777777" w:rsidR="00EF27A2" w:rsidRDefault="00EF27A2" w:rsidP="00050E28"/>
    <w:p w14:paraId="4ACF0540" w14:textId="77777777" w:rsidR="007358B2" w:rsidRPr="007358B2" w:rsidRDefault="007358B2" w:rsidP="000C062D">
      <w:pPr>
        <w:pStyle w:val="ChartTitle"/>
      </w:pPr>
      <w:r w:rsidRPr="007358B2">
        <w:lastRenderedPageBreak/>
        <w:t xml:space="preserve">Chart </w:t>
      </w:r>
      <w:r w:rsidR="000B644B">
        <w:t>16</w:t>
      </w:r>
      <w:r w:rsidR="0061030A" w:rsidRPr="007358B2">
        <w:t>:</w:t>
      </w:r>
      <w:r w:rsidRPr="007358B2">
        <w:t xml:space="preserve"> Projec</w:t>
      </w:r>
      <w:r w:rsidR="001F6981">
        <w:t xml:space="preserve">ted demand for residential care, </w:t>
      </w:r>
      <w:r w:rsidRPr="007358B2">
        <w:t>2018 to 2038</w:t>
      </w:r>
    </w:p>
    <w:p w14:paraId="188EF79F" w14:textId="77777777" w:rsidR="00A0330D" w:rsidRDefault="007358B2" w:rsidP="007358B2">
      <w:pPr>
        <w:jc w:val="center"/>
      </w:pPr>
      <w:r>
        <w:rPr>
          <w:rFonts w:ascii="Segoe UI" w:hAnsi="Segoe UI" w:cs="Segoe UI"/>
          <w:noProof/>
          <w:lang w:eastAsia="en-AU"/>
        </w:rPr>
        <w:drawing>
          <wp:inline distT="0" distB="0" distL="0" distR="0" wp14:anchorId="42F39811" wp14:editId="138F1A6B">
            <wp:extent cx="5731510" cy="3004846"/>
            <wp:effectExtent l="0" t="0" r="2540" b="5080"/>
            <wp:docPr id="270" name="Picture 270" descr="This chart shows the projected demand for residential care from 2018 to 2038." title="Chart 16: Projected demand for residential care, 2018 to 2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Users\zc0004\AppData\Local\Microsoft\Windows\Temporary Internet Files\Content.Outlook\6DIYYC82\Chart_5.2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1510" cy="3004846"/>
                    </a:xfrm>
                    <a:prstGeom prst="rect">
                      <a:avLst/>
                    </a:prstGeom>
                    <a:noFill/>
                    <a:ln>
                      <a:noFill/>
                    </a:ln>
                  </pic:spPr>
                </pic:pic>
              </a:graphicData>
            </a:graphic>
          </wp:inline>
        </w:drawing>
      </w:r>
    </w:p>
    <w:p w14:paraId="3FBE4576" w14:textId="77777777" w:rsidR="00F725BB" w:rsidRDefault="00F725BB" w:rsidP="00050E28"/>
    <w:p w14:paraId="017BA147" w14:textId="77777777" w:rsidR="00536A97" w:rsidRDefault="00536A97" w:rsidP="00050E28">
      <w:r>
        <w:t xml:space="preserve">In response to the changing </w:t>
      </w:r>
      <w:r w:rsidR="00F83B3D">
        <w:t>demographics,</w:t>
      </w:r>
      <w:r>
        <w:t xml:space="preserve"> the</w:t>
      </w:r>
      <w:r w:rsidR="00026F75">
        <w:t xml:space="preserve"> Tune review </w:t>
      </w:r>
      <w:r w:rsidR="0061030A">
        <w:t>concluded that</w:t>
      </w:r>
      <w:r w:rsidR="00BF6447">
        <w:t xml:space="preserve"> the current planning ratio will not be adequate to meet future demand and </w:t>
      </w:r>
      <w:r>
        <w:t xml:space="preserve">recommended changing the aged care planning ratio after 2022 to reflect numbers of consumers over age 75 rather than age 70, with this to be done in a way which would increase the number of places over time. </w:t>
      </w:r>
      <w:r w:rsidR="006A27C3">
        <w:t xml:space="preserve">As noted, however, demand for residential </w:t>
      </w:r>
      <w:r w:rsidR="00F725BB">
        <w:t xml:space="preserve">care </w:t>
      </w:r>
      <w:r w:rsidR="006A27C3">
        <w:t xml:space="preserve">places may shift in response to </w:t>
      </w:r>
      <w:r w:rsidR="00F83B3D">
        <w:t>changing</w:t>
      </w:r>
      <w:r w:rsidR="006A27C3">
        <w:t xml:space="preserve"> consumer preferences, the availability of additional home care places, particularly higher level packages, and the merging between retirement living and residential aged care. </w:t>
      </w:r>
    </w:p>
    <w:p w14:paraId="7EE6D95C" w14:textId="5B278BC6" w:rsidR="00466587" w:rsidRDefault="007358B2" w:rsidP="00050E28">
      <w:r>
        <w:t>The implication</w:t>
      </w:r>
      <w:r w:rsidR="006A27C3">
        <w:t xml:space="preserve"> is that while the dem</w:t>
      </w:r>
      <w:r w:rsidR="00335D63">
        <w:t>a</w:t>
      </w:r>
      <w:r w:rsidR="006A27C3">
        <w:t xml:space="preserve">nd for aged care will </w:t>
      </w:r>
      <w:r w:rsidR="00F83B3D">
        <w:t>clearly</w:t>
      </w:r>
      <w:r w:rsidR="006A27C3">
        <w:t xml:space="preserve"> increase with the</w:t>
      </w:r>
      <w:r w:rsidR="00F5117D">
        <w:t xml:space="preserve"> ageing</w:t>
      </w:r>
      <w:r w:rsidR="006A27C3">
        <w:t xml:space="preserve"> of the population, it is unwise to make projections as to the specific supply response needed to meet this demand based on current usage rates. The supply response will ha</w:t>
      </w:r>
      <w:r w:rsidR="004025E6">
        <w:t>ve to be flexible and be responsive to changing consumer preferences, technological changes and developments in the aged care industry</w:t>
      </w:r>
      <w:r w:rsidR="003B36ED">
        <w:t>.</w:t>
      </w:r>
    </w:p>
    <w:p w14:paraId="792DA3F1" w14:textId="77777777" w:rsidR="00B66E2C" w:rsidRDefault="004025E6" w:rsidP="00050E28">
      <w:r>
        <w:t>Nevertheless a significant capital investment will be required and this investme</w:t>
      </w:r>
      <w:r w:rsidR="00335D63">
        <w:t>n</w:t>
      </w:r>
      <w:r>
        <w:t xml:space="preserve">t will largely come from the </w:t>
      </w:r>
      <w:r w:rsidR="00466587">
        <w:t>non-government</w:t>
      </w:r>
      <w:r>
        <w:t xml:space="preserve"> sector</w:t>
      </w:r>
      <w:r w:rsidR="00335D63">
        <w:t xml:space="preserve">, both for-profit and </w:t>
      </w:r>
      <w:r w:rsidR="00F725BB">
        <w:rPr>
          <w:sz w:val="24"/>
          <w:szCs w:val="24"/>
        </w:rPr>
        <w:t>not</w:t>
      </w:r>
      <w:r w:rsidR="00F725BB">
        <w:rPr>
          <w:sz w:val="24"/>
          <w:szCs w:val="24"/>
        </w:rPr>
        <w:noBreakHyphen/>
        <w:t>for</w:t>
      </w:r>
      <w:r w:rsidR="00F725BB">
        <w:rPr>
          <w:sz w:val="24"/>
          <w:szCs w:val="24"/>
        </w:rPr>
        <w:noBreakHyphen/>
        <w:t>profit</w:t>
      </w:r>
      <w:r w:rsidR="00F725BB">
        <w:t xml:space="preserve"> </w:t>
      </w:r>
      <w:r w:rsidR="00335D63">
        <w:t>organisations</w:t>
      </w:r>
      <w:r>
        <w:t xml:space="preserve">. The challenge facing the Government is to ensure that the funding and regulatory arrangements in the aged care sector are such </w:t>
      </w:r>
      <w:r w:rsidR="00F83B3D">
        <w:t>that it</w:t>
      </w:r>
      <w:r>
        <w:t xml:space="preserve"> provides the </w:t>
      </w:r>
      <w:r w:rsidR="00335D63">
        <w:t xml:space="preserve">ongoing </w:t>
      </w:r>
      <w:r>
        <w:t>environment that fa</w:t>
      </w:r>
      <w:r w:rsidR="00335D63">
        <w:t>cilitates this needed investment</w:t>
      </w:r>
      <w:r>
        <w:t>.</w:t>
      </w:r>
      <w:r w:rsidR="00544334">
        <w:t xml:space="preserve"> </w:t>
      </w:r>
      <w:r>
        <w:t xml:space="preserve">A key requirement in this regard is that the </w:t>
      </w:r>
      <w:r w:rsidR="00466587">
        <w:t xml:space="preserve">non-government </w:t>
      </w:r>
      <w:r w:rsidR="00A20DB4">
        <w:t>sector has</w:t>
      </w:r>
      <w:r>
        <w:t xml:space="preserve"> confidence in the direction and </w:t>
      </w:r>
      <w:r w:rsidR="00335D63">
        <w:t xml:space="preserve">stability of </w:t>
      </w:r>
      <w:r w:rsidR="000E5039">
        <w:t>G</w:t>
      </w:r>
      <w:r w:rsidR="00466587">
        <w:t xml:space="preserve">overnment </w:t>
      </w:r>
      <w:r w:rsidR="00335D63">
        <w:t xml:space="preserve">aged care policies and </w:t>
      </w:r>
      <w:r w:rsidR="0061030A">
        <w:t>those providers</w:t>
      </w:r>
      <w:r w:rsidR="00335D63">
        <w:t xml:space="preserve"> achieve </w:t>
      </w:r>
      <w:r w:rsidR="00A20DB4">
        <w:t>a return</w:t>
      </w:r>
      <w:r w:rsidR="00335D63">
        <w:t xml:space="preserve"> such that it will attract the necessary capital and labour resources. </w:t>
      </w:r>
      <w:r w:rsidR="00BF6447">
        <w:t>The Government funding arrangements will also need to be flexible so that providers can respond and adapt to changes in consumers preferences for aged care services</w:t>
      </w:r>
      <w:r w:rsidR="00C86624">
        <w:t xml:space="preserve"> as well as innovate and embrace technological advances</w:t>
      </w:r>
      <w:r w:rsidR="00BF6447">
        <w:t>.</w:t>
      </w:r>
    </w:p>
    <w:p w14:paraId="66F75427" w14:textId="77777777" w:rsidR="00E9609C" w:rsidRDefault="00E9609C" w:rsidP="00050E28">
      <w:r>
        <w:br w:type="page"/>
      </w:r>
    </w:p>
    <w:p w14:paraId="396442E5" w14:textId="77777777" w:rsidR="00BF6447" w:rsidRPr="00CE1DD4" w:rsidRDefault="003230E4" w:rsidP="000C062D">
      <w:pPr>
        <w:pStyle w:val="Heading1Numbered"/>
      </w:pPr>
      <w:r>
        <w:lastRenderedPageBreak/>
        <w:t xml:space="preserve"> </w:t>
      </w:r>
      <w:r w:rsidR="00176C0E" w:rsidRPr="00CE1DD4">
        <w:t>F</w:t>
      </w:r>
      <w:r w:rsidR="00F83B3D" w:rsidRPr="00CE1DD4">
        <w:t>unding</w:t>
      </w:r>
      <w:r w:rsidR="003E487B" w:rsidRPr="00CE1DD4">
        <w:t xml:space="preserve"> and financing challenges in the aged care sector</w:t>
      </w:r>
    </w:p>
    <w:p w14:paraId="56672627" w14:textId="2D25EA79" w:rsidR="003E487B" w:rsidRDefault="003E487B" w:rsidP="00050E28">
      <w:r>
        <w:t>To provide the level and quality of aged care services that older Australians require now and into the future, it is essential that the aged care sector is financially viable, stable, efficient, effective, responsive and sustainable. It is evident from developments in the sector over recent yea</w:t>
      </w:r>
      <w:r w:rsidR="007C6007">
        <w:t>rs that it faces many hurdles</w:t>
      </w:r>
      <w:r>
        <w:t xml:space="preserve"> in achieving this objective.</w:t>
      </w:r>
      <w:r w:rsidR="007C6007">
        <w:t xml:space="preserve"> </w:t>
      </w:r>
      <w:r w:rsidR="003B36ED">
        <w:t>These include</w:t>
      </w:r>
      <w:r w:rsidR="007C6007">
        <w:t>:</w:t>
      </w:r>
    </w:p>
    <w:p w14:paraId="4E2F93A3" w14:textId="77777777" w:rsidR="003E487B" w:rsidRDefault="003073D4" w:rsidP="007C6007">
      <w:pPr>
        <w:pStyle w:val="ListParagraph"/>
        <w:numPr>
          <w:ilvl w:val="0"/>
          <w:numId w:val="3"/>
        </w:numPr>
      </w:pPr>
      <w:r>
        <w:t>ACFI has not provided a stable and effective care funding tool for both the Government and providers</w:t>
      </w:r>
      <w:r w:rsidR="008A0C68">
        <w:t xml:space="preserve">. The Government has been concerned that the growth in ACFI payments has exceeded the underlying growth in the acuity of the Australian population and subsequent changes it has made to ACFI arrangements have had a significant impact on the financial performance of aged care providers. A sizeable proportion of residential aged care providers are currently making a loss and a number of smaller providers are seeking to leave the industry while many are concerned about their ongoing viability if current financial trends are maintained. </w:t>
      </w:r>
      <w:r w:rsidR="00237E09">
        <w:t>Overall, under the ACFI funding tool there have been cycles of high growth followed by low or no growth causing uncertainty for providers, investors and the Government. Moreover, t</w:t>
      </w:r>
      <w:r w:rsidR="008158F9">
        <w:t>he current ACFI arrangements cannot satisfactorily resolve the extent to which resident’s care needs have been increasing over time compared with the extent to which providers have maximised the potential t</w:t>
      </w:r>
      <w:r w:rsidR="005D01CA">
        <w:t xml:space="preserve">o use the ACFI tool to increase revenue </w:t>
      </w:r>
      <w:r w:rsidR="00157CF1">
        <w:t>growth (including</w:t>
      </w:r>
      <w:r w:rsidR="005D01CA">
        <w:t xml:space="preserve"> in response to low indexation).</w:t>
      </w:r>
      <w:r w:rsidR="00A6655B">
        <w:t xml:space="preserve"> </w:t>
      </w:r>
      <w:r w:rsidR="008A0C68">
        <w:t>ACFI is also administratively complex</w:t>
      </w:r>
      <w:r w:rsidR="00237E09">
        <w:t xml:space="preserve"> for both providers and the Government and has resulted in the sector diverting resources away from delivering care. </w:t>
      </w:r>
      <w:r w:rsidR="00BC7C67">
        <w:t>In addition, ACFI has some</w:t>
      </w:r>
      <w:r w:rsidR="00544334">
        <w:t xml:space="preserve"> </w:t>
      </w:r>
      <w:r w:rsidR="00BC7C67">
        <w:t>perverse incentives that may encourage outdated modes and types of care and lead to inefficiencies with providers focusing on ACFI claiming rather than the needs of residents.</w:t>
      </w:r>
    </w:p>
    <w:p w14:paraId="123FBC85" w14:textId="77777777" w:rsidR="007358B2" w:rsidRDefault="007358B2" w:rsidP="007358B2">
      <w:pPr>
        <w:pStyle w:val="ListParagraph"/>
      </w:pPr>
    </w:p>
    <w:p w14:paraId="322FE7CD" w14:textId="77777777" w:rsidR="006E1EF8" w:rsidRDefault="0061030A" w:rsidP="007C6007">
      <w:pPr>
        <w:pStyle w:val="ListParagraph"/>
        <w:numPr>
          <w:ilvl w:val="0"/>
          <w:numId w:val="3"/>
        </w:numPr>
      </w:pPr>
      <w:r>
        <w:t>Volatility, uncertainty and margin pressures have</w:t>
      </w:r>
      <w:r w:rsidR="006E1EF8">
        <w:t xml:space="preserve"> resulted in many </w:t>
      </w:r>
      <w:r w:rsidR="007D4F75">
        <w:t xml:space="preserve">residential care </w:t>
      </w:r>
      <w:r w:rsidR="006E1EF8">
        <w:t xml:space="preserve">providers putting investment projects on hold while they assess the future direction of the market and reforms. In addition, a number of providers are investing in activities other than </w:t>
      </w:r>
      <w:r w:rsidR="00A6655B">
        <w:t xml:space="preserve">residential </w:t>
      </w:r>
      <w:r w:rsidR="006E1EF8">
        <w:t xml:space="preserve">aged care in order to diversify their revenue sources and reduce their exposure to the volatility in the aged care sector. </w:t>
      </w:r>
    </w:p>
    <w:p w14:paraId="72DC60C3" w14:textId="77777777" w:rsidR="007358B2" w:rsidRDefault="007358B2" w:rsidP="007358B2">
      <w:pPr>
        <w:pStyle w:val="ListParagraph"/>
      </w:pPr>
    </w:p>
    <w:p w14:paraId="0B790903" w14:textId="77777777" w:rsidR="006E1EF8" w:rsidRDefault="006E1EF8" w:rsidP="007C6007">
      <w:pPr>
        <w:pStyle w:val="ListParagraph"/>
        <w:numPr>
          <w:ilvl w:val="0"/>
          <w:numId w:val="3"/>
        </w:numPr>
      </w:pPr>
      <w:r>
        <w:t xml:space="preserve">These developments are not consistent with establishing the </w:t>
      </w:r>
      <w:r w:rsidR="00F83B3D">
        <w:t>environment necessary</w:t>
      </w:r>
      <w:r>
        <w:t xml:space="preserve"> for facilitating </w:t>
      </w:r>
      <w:r w:rsidR="00F83B3D">
        <w:t>the investment</w:t>
      </w:r>
      <w:r>
        <w:t xml:space="preserve"> needed to meet </w:t>
      </w:r>
      <w:r w:rsidR="00F83B3D">
        <w:t>the needs</w:t>
      </w:r>
      <w:r>
        <w:t xml:space="preserve"> of an</w:t>
      </w:r>
      <w:r w:rsidR="00F5117D">
        <w:t xml:space="preserve"> ageing</w:t>
      </w:r>
      <w:r>
        <w:t xml:space="preserve"> population.</w:t>
      </w:r>
    </w:p>
    <w:p w14:paraId="3D5B686B" w14:textId="77777777" w:rsidR="007358B2" w:rsidRDefault="007358B2" w:rsidP="007358B2">
      <w:pPr>
        <w:pStyle w:val="ListParagraph"/>
      </w:pPr>
    </w:p>
    <w:p w14:paraId="76C1B0C7" w14:textId="50F85EFD" w:rsidR="006E1EF8" w:rsidRDefault="00D008FB" w:rsidP="007C6007">
      <w:pPr>
        <w:pStyle w:val="ListParagraph"/>
        <w:numPr>
          <w:ilvl w:val="0"/>
          <w:numId w:val="3"/>
        </w:numPr>
      </w:pPr>
      <w:r>
        <w:t xml:space="preserve">The </w:t>
      </w:r>
      <w:r w:rsidR="0051575E">
        <w:t xml:space="preserve">Government continues to fund the bulk of the cost of aged care notwithstanding the Living Longer Living Better reforms which introduced changes to means testing. As noted in the </w:t>
      </w:r>
      <w:r w:rsidR="00AD5C54">
        <w:t>Tune Review</w:t>
      </w:r>
      <w:r w:rsidR="009C40C0" w:rsidRPr="007C6007">
        <w:rPr>
          <w:i/>
        </w:rPr>
        <w:t xml:space="preserve">, </w:t>
      </w:r>
      <w:r w:rsidR="009C40C0" w:rsidRPr="009C40C0">
        <w:t>in the case of residential care the Government’s share of the overall</w:t>
      </w:r>
      <w:r w:rsidR="009C40C0" w:rsidRPr="007C6007">
        <w:rPr>
          <w:i/>
        </w:rPr>
        <w:t xml:space="preserve"> </w:t>
      </w:r>
      <w:r w:rsidR="009C40C0">
        <w:t xml:space="preserve">average cost per resident per year </w:t>
      </w:r>
      <w:r w:rsidR="00F83B3D">
        <w:t>only</w:t>
      </w:r>
      <w:r w:rsidR="009C40C0">
        <w:t xml:space="preserve"> reduced to 65.6 per cent under the post-reform means test compared with 68.3 if the pre-reform arrangements were applied. The </w:t>
      </w:r>
      <w:r w:rsidR="00AD5C54">
        <w:t>Tune Review</w:t>
      </w:r>
      <w:r w:rsidR="009C40C0" w:rsidRPr="007C6007">
        <w:rPr>
          <w:i/>
        </w:rPr>
        <w:t xml:space="preserve"> </w:t>
      </w:r>
      <w:r w:rsidR="009C40C0">
        <w:t>observed that</w:t>
      </w:r>
      <w:r w:rsidR="003B36ED">
        <w:t>,</w:t>
      </w:r>
      <w:r w:rsidR="009C40C0">
        <w:t xml:space="preserve"> given the demand and costs of aged care will increase significantly in the future, it is likely to be </w:t>
      </w:r>
      <w:r w:rsidR="00F83B3D">
        <w:t>unsustainable</w:t>
      </w:r>
      <w:r w:rsidR="009C40C0">
        <w:t xml:space="preserve"> for the Government to continue to cover t</w:t>
      </w:r>
      <w:r w:rsidR="00100766">
        <w:t>wo</w:t>
      </w:r>
      <w:r w:rsidR="00100766">
        <w:noBreakHyphen/>
        <w:t xml:space="preserve">thirds </w:t>
      </w:r>
      <w:r w:rsidR="009C40C0">
        <w:t>of the cost of aged care and there is a strong case to increase the proportion of costs that are met by consumers.</w:t>
      </w:r>
    </w:p>
    <w:p w14:paraId="7FA7AF4F" w14:textId="77777777" w:rsidR="007358B2" w:rsidRDefault="007358B2" w:rsidP="007358B2">
      <w:pPr>
        <w:pStyle w:val="ListParagraph"/>
      </w:pPr>
    </w:p>
    <w:p w14:paraId="5EFD74FD" w14:textId="77777777" w:rsidR="009C40C0" w:rsidRDefault="000E5FB8" w:rsidP="007C6007">
      <w:pPr>
        <w:pStyle w:val="ListParagraph"/>
        <w:numPr>
          <w:ilvl w:val="0"/>
          <w:numId w:val="3"/>
        </w:numPr>
      </w:pPr>
      <w:r>
        <w:t xml:space="preserve">The contribution aged care residents make to the cost of their </w:t>
      </w:r>
      <w:r w:rsidR="00A6655B">
        <w:t>everyday living expenses</w:t>
      </w:r>
      <w:r w:rsidR="003A0983">
        <w:t xml:space="preserve"> (such as food, linen, utilities) is capped at 85 per cent of the single pension. StewartBrown estimates that this is nearly an average of $8 per bed per day below the cost of providing </w:t>
      </w:r>
      <w:r w:rsidR="00A6655B">
        <w:t>these</w:t>
      </w:r>
      <w:r w:rsidR="003A0983">
        <w:t xml:space="preserve"> services. One area where providers can boost their </w:t>
      </w:r>
      <w:r w:rsidR="00F83B3D">
        <w:t>revenue,</w:t>
      </w:r>
      <w:r w:rsidR="003A0983">
        <w:t xml:space="preserve"> and the level of services </w:t>
      </w:r>
      <w:r w:rsidR="003A0983">
        <w:lastRenderedPageBreak/>
        <w:t xml:space="preserve">available to residents, is through the provision of </w:t>
      </w:r>
      <w:r w:rsidR="00F83B3D">
        <w:t>additional</w:t>
      </w:r>
      <w:r w:rsidR="003A0983">
        <w:t xml:space="preserve"> services for a fee. However there remains considerable uncertainty as to what additional service fees are permitted and this is precluding</w:t>
      </w:r>
      <w:r w:rsidR="0013097E">
        <w:t xml:space="preserve"> a number of providers </w:t>
      </w:r>
      <w:r w:rsidR="00F83B3D">
        <w:t>charging</w:t>
      </w:r>
      <w:r w:rsidR="0013097E">
        <w:t xml:space="preserve"> additional service fees to residents who can afford to do so, even where the providers are </w:t>
      </w:r>
      <w:r w:rsidR="00F83B3D">
        <w:t>already</w:t>
      </w:r>
      <w:r w:rsidR="0013097E">
        <w:t xml:space="preserve"> providing the additional services.</w:t>
      </w:r>
    </w:p>
    <w:p w14:paraId="3C7E0186" w14:textId="77777777" w:rsidR="007358B2" w:rsidRDefault="007358B2" w:rsidP="007358B2">
      <w:pPr>
        <w:pStyle w:val="ListParagraph"/>
      </w:pPr>
    </w:p>
    <w:p w14:paraId="490D55EF" w14:textId="77777777" w:rsidR="0013097E" w:rsidRDefault="0013097E" w:rsidP="007C6007">
      <w:pPr>
        <w:pStyle w:val="ListParagraph"/>
        <w:numPr>
          <w:ilvl w:val="0"/>
          <w:numId w:val="3"/>
        </w:numPr>
      </w:pPr>
      <w:r>
        <w:t xml:space="preserve">There is a wide diversity in the financial performance of providers in both the residential and home care sectors. There are </w:t>
      </w:r>
      <w:r w:rsidR="00F83B3D">
        <w:t>providers,</w:t>
      </w:r>
      <w:r>
        <w:t xml:space="preserve"> irrespective of size, ownership type and location, who are achieving good returns </w:t>
      </w:r>
      <w:r w:rsidR="00F83B3D">
        <w:t>(albeit</w:t>
      </w:r>
      <w:r>
        <w:t xml:space="preserve"> somewhat lower than in the past) under current funding arrangements. While a range of factors would be affecting the individual performance of providers, including in particular the demands facing providers operating in rural and remote areas</w:t>
      </w:r>
      <w:r w:rsidR="000E5039">
        <w:t>,</w:t>
      </w:r>
      <w:r>
        <w:t xml:space="preserve"> the magnitude of the variance </w:t>
      </w:r>
      <w:r w:rsidR="00A040E3">
        <w:t>in financial results suggests there is scope for many providers to improve their operations and performance.</w:t>
      </w:r>
    </w:p>
    <w:p w14:paraId="1FA68D04" w14:textId="77777777" w:rsidR="007358B2" w:rsidRDefault="007358B2" w:rsidP="007358B2">
      <w:pPr>
        <w:pStyle w:val="ListParagraph"/>
      </w:pPr>
    </w:p>
    <w:p w14:paraId="537C881A" w14:textId="72729860" w:rsidR="003A0983" w:rsidRPr="009C40C0" w:rsidRDefault="00A040E3" w:rsidP="00AD5C54">
      <w:pPr>
        <w:pStyle w:val="ListParagraph"/>
        <w:numPr>
          <w:ilvl w:val="0"/>
          <w:numId w:val="3"/>
        </w:numPr>
      </w:pPr>
      <w:r>
        <w:t xml:space="preserve">The introduction of home care packages following consumers has increased competition in the home care market and compressed providers returns. Given the large increase in the </w:t>
      </w:r>
      <w:r w:rsidR="00F83B3D">
        <w:t>number of</w:t>
      </w:r>
      <w:r>
        <w:t xml:space="preserve"> approved providers, there is likely to be some rationalisation of providers in the future which could cause some disruption for consumers. A major development is the rise in unspent funds, which may mean that </w:t>
      </w:r>
      <w:r w:rsidR="0082159D">
        <w:t xml:space="preserve">some </w:t>
      </w:r>
      <w:r>
        <w:t xml:space="preserve">consumers are not receiving all the care they require and is forgone business for providers. </w:t>
      </w:r>
      <w:r w:rsidR="0082159D">
        <w:t xml:space="preserve">It may also indicate that some consumers could have been assessed as requiring more funding than they actually need. </w:t>
      </w:r>
      <w:r>
        <w:t>T</w:t>
      </w:r>
      <w:r w:rsidR="007C6007">
        <w:t xml:space="preserve">here are also prudential considerations in ensuring that the unspent funds being held by providers is available to be spent on consumers when required or returned to the Government if the consumer leaves </w:t>
      </w:r>
      <w:r w:rsidR="003B36ED">
        <w:t>home care</w:t>
      </w:r>
      <w:r w:rsidR="007C6007">
        <w:t>.</w:t>
      </w:r>
      <w:r w:rsidR="00BC7C67">
        <w:t xml:space="preserve"> Providers also have to be more flexible in adjusting their procedures and processes so that they are more responsive to what consumers are seeking.</w:t>
      </w:r>
    </w:p>
    <w:p w14:paraId="6B7E2961" w14:textId="77777777" w:rsidR="003E487B" w:rsidRDefault="003E487B" w:rsidP="00050E28"/>
    <w:p w14:paraId="62066992" w14:textId="77777777" w:rsidR="008C68EE" w:rsidRPr="00CE1DD4" w:rsidRDefault="003230E4" w:rsidP="000C062D">
      <w:pPr>
        <w:pStyle w:val="Heading1Numbered"/>
      </w:pPr>
      <w:r>
        <w:t xml:space="preserve"> </w:t>
      </w:r>
      <w:r w:rsidR="00AD5C54" w:rsidRPr="00CE1DD4">
        <w:t>Some c</w:t>
      </w:r>
      <w:r w:rsidR="00176C0E" w:rsidRPr="00CE1DD4">
        <w:t>haracteristics of a viable and sustainable aged care system</w:t>
      </w:r>
    </w:p>
    <w:p w14:paraId="2B0CDF48" w14:textId="77777777" w:rsidR="00176C0E" w:rsidRDefault="00176C0E" w:rsidP="008340E7">
      <w:pPr>
        <w:spacing w:after="0"/>
      </w:pPr>
      <w:r>
        <w:t xml:space="preserve">One of ACFA’s functions is to provide advice on the impact of funding and financing arrangements on the viability and sustainability of the aged care system. In pursuing this task, and against the background of developments in the aged care sector in recent years, ACFA has identified </w:t>
      </w:r>
      <w:r w:rsidR="00C86624">
        <w:t xml:space="preserve">from a funding perspective </w:t>
      </w:r>
      <w:r>
        <w:t>a number of characteristics of a viable and sustainable aged care system.</w:t>
      </w:r>
    </w:p>
    <w:p w14:paraId="27DE8D72" w14:textId="77777777" w:rsidR="008340E7" w:rsidRDefault="008340E7" w:rsidP="008340E7">
      <w:pPr>
        <w:spacing w:after="0"/>
      </w:pPr>
    </w:p>
    <w:p w14:paraId="1FE52269" w14:textId="77777777" w:rsidR="00176C0E" w:rsidRPr="000C062D" w:rsidRDefault="00520676" w:rsidP="004E059F">
      <w:pPr>
        <w:pStyle w:val="ListParagraph"/>
        <w:numPr>
          <w:ilvl w:val="0"/>
          <w:numId w:val="5"/>
        </w:numPr>
        <w:rPr>
          <w:rStyle w:val="SubtleEmphasis"/>
        </w:rPr>
      </w:pPr>
      <w:r w:rsidRPr="000C062D">
        <w:rPr>
          <w:rStyle w:val="SubtleEmphasis"/>
        </w:rPr>
        <w:t xml:space="preserve">Confidence and </w:t>
      </w:r>
      <w:r w:rsidR="00176C0E" w:rsidRPr="000C062D">
        <w:rPr>
          <w:rStyle w:val="SubtleEmphasis"/>
        </w:rPr>
        <w:t xml:space="preserve">Trust </w:t>
      </w:r>
    </w:p>
    <w:p w14:paraId="3465E160" w14:textId="6122D43D" w:rsidR="00176C0E" w:rsidRPr="001F76AA" w:rsidRDefault="00176C0E" w:rsidP="00050E28">
      <w:r>
        <w:t xml:space="preserve">The overriding challenge facing the Government is maintaining confidence and trust in the quality of aged care services </w:t>
      </w:r>
      <w:r w:rsidR="00BA17AF">
        <w:t>and the funding and financing arrangements for the sector. Towards achieving trust, the regu</w:t>
      </w:r>
      <w:r w:rsidR="00A35DD4">
        <w:t xml:space="preserve">latory and </w:t>
      </w:r>
      <w:r w:rsidR="00157CF1">
        <w:t>funding arrangements</w:t>
      </w:r>
      <w:r w:rsidR="00BA17AF">
        <w:t xml:space="preserve"> have to be stable, understood, and transparent. Trust is essential because</w:t>
      </w:r>
      <w:r w:rsidR="003B36ED">
        <w:t>,</w:t>
      </w:r>
      <w:r w:rsidR="00BA17AF">
        <w:t xml:space="preserve"> while the Government is the main source of funding for aged care</w:t>
      </w:r>
      <w:r w:rsidR="00AD5C54">
        <w:t>,</w:t>
      </w:r>
      <w:r w:rsidR="00C10DE9">
        <w:t xml:space="preserve"> the</w:t>
      </w:r>
      <w:r w:rsidR="00BA17AF">
        <w:t xml:space="preserve"> services are primarily delivered by the non-government sector</w:t>
      </w:r>
      <w:r w:rsidR="00EA4D96">
        <w:t xml:space="preserve"> –</w:t>
      </w:r>
      <w:r w:rsidR="00BA17AF">
        <w:t xml:space="preserve"> for-profit and not-for</w:t>
      </w:r>
      <w:r w:rsidR="00C10DE9">
        <w:t xml:space="preserve">- </w:t>
      </w:r>
      <w:r w:rsidR="00BA17AF">
        <w:t>profit providers. These prov</w:t>
      </w:r>
      <w:r w:rsidR="00C10DE9">
        <w:t>iders will not invest in</w:t>
      </w:r>
      <w:r w:rsidR="00A35DD4">
        <w:t xml:space="preserve"> the</w:t>
      </w:r>
      <w:r w:rsidR="00C10DE9">
        <w:t xml:space="preserve"> </w:t>
      </w:r>
      <w:r w:rsidR="004E059F">
        <w:t>sector,</w:t>
      </w:r>
      <w:r w:rsidR="00C10DE9">
        <w:t xml:space="preserve"> nor will they be able</w:t>
      </w:r>
      <w:r w:rsidR="00BA17AF">
        <w:t xml:space="preserve"> to attract </w:t>
      </w:r>
      <w:r w:rsidR="00A35DD4">
        <w:t xml:space="preserve">the required </w:t>
      </w:r>
      <w:r w:rsidR="00BA17AF">
        <w:t>staff, unless they und</w:t>
      </w:r>
      <w:r w:rsidR="00A35DD4">
        <w:t>erstand the basis of regulation</w:t>
      </w:r>
      <w:r w:rsidR="004E059F">
        <w:t>, the</w:t>
      </w:r>
      <w:r w:rsidR="00BA17AF">
        <w:t xml:space="preserve"> Government’s approach to </w:t>
      </w:r>
      <w:r w:rsidR="00A35DD4">
        <w:t>the funding of</w:t>
      </w:r>
      <w:r w:rsidR="00C10DE9">
        <w:t xml:space="preserve"> the sector, and they</w:t>
      </w:r>
      <w:r w:rsidR="00A35DD4">
        <w:t xml:space="preserve"> </w:t>
      </w:r>
      <w:r w:rsidR="004E059F">
        <w:t>have confidence</w:t>
      </w:r>
      <w:r w:rsidR="00BA17AF">
        <w:t xml:space="preserve"> in </w:t>
      </w:r>
      <w:r w:rsidR="00A35DD4">
        <w:t>the adequacy and stability of Government policies.</w:t>
      </w:r>
      <w:r w:rsidR="00544334">
        <w:t xml:space="preserve"> </w:t>
      </w:r>
      <w:r w:rsidR="001F76AA">
        <w:t>From the consumer perspective, there needs to be trust in the quality</w:t>
      </w:r>
      <w:r w:rsidR="004E059F">
        <w:t xml:space="preserve"> of care people will receive fr</w:t>
      </w:r>
      <w:r w:rsidR="00AD5C54">
        <w:t xml:space="preserve">om the aged care system for this </w:t>
      </w:r>
      <w:r w:rsidR="004E059F">
        <w:t>will influence the preparedness of consumers and their families to seek the support that they need</w:t>
      </w:r>
      <w:r w:rsidR="003B36ED">
        <w:t>.</w:t>
      </w:r>
    </w:p>
    <w:p w14:paraId="4383E170" w14:textId="77777777" w:rsidR="008340E7" w:rsidRDefault="008340E7" w:rsidP="00050E28">
      <w:r>
        <w:br w:type="page"/>
      </w:r>
    </w:p>
    <w:p w14:paraId="356C5D0E" w14:textId="77777777" w:rsidR="00C10DE9" w:rsidRPr="000C062D" w:rsidRDefault="00C10DE9" w:rsidP="004E059F">
      <w:pPr>
        <w:pStyle w:val="ListParagraph"/>
        <w:numPr>
          <w:ilvl w:val="0"/>
          <w:numId w:val="5"/>
        </w:numPr>
        <w:rPr>
          <w:rStyle w:val="SubtleEmphasis"/>
        </w:rPr>
      </w:pPr>
      <w:r w:rsidRPr="000C062D">
        <w:rPr>
          <w:rStyle w:val="SubtleEmphasis"/>
        </w:rPr>
        <w:lastRenderedPageBreak/>
        <w:t xml:space="preserve"> </w:t>
      </w:r>
      <w:r w:rsidR="00891C5D" w:rsidRPr="000C062D">
        <w:rPr>
          <w:rStyle w:val="SubtleEmphasis"/>
        </w:rPr>
        <w:t>S</w:t>
      </w:r>
      <w:r w:rsidRPr="000C062D">
        <w:rPr>
          <w:rStyle w:val="SubtleEmphasis"/>
        </w:rPr>
        <w:t>table, predictable, efficient, equitable and effective</w:t>
      </w:r>
      <w:r w:rsidR="00544334" w:rsidRPr="000C062D">
        <w:rPr>
          <w:rStyle w:val="SubtleEmphasis"/>
        </w:rPr>
        <w:t xml:space="preserve"> </w:t>
      </w:r>
      <w:r w:rsidR="007D4F75" w:rsidRPr="000C062D">
        <w:rPr>
          <w:rStyle w:val="SubtleEmphasis"/>
        </w:rPr>
        <w:t>arrangements</w:t>
      </w:r>
      <w:r w:rsidR="00544334" w:rsidRPr="000C062D">
        <w:rPr>
          <w:rStyle w:val="SubtleEmphasis"/>
        </w:rPr>
        <w:t xml:space="preserve"> </w:t>
      </w:r>
      <w:r w:rsidR="00354C4A" w:rsidRPr="000C062D">
        <w:rPr>
          <w:rStyle w:val="SubtleEmphasis"/>
        </w:rPr>
        <w:t>for allocating Government funding</w:t>
      </w:r>
    </w:p>
    <w:p w14:paraId="193AB3FC" w14:textId="28462372" w:rsidR="007541E8" w:rsidRDefault="005D01CA" w:rsidP="008340E7">
      <w:pPr>
        <w:spacing w:after="0"/>
      </w:pPr>
      <w:r>
        <w:t xml:space="preserve">There </w:t>
      </w:r>
      <w:r w:rsidR="00EA4D96">
        <w:t>needs</w:t>
      </w:r>
      <w:r>
        <w:t xml:space="preserve"> </w:t>
      </w:r>
      <w:r w:rsidR="00EA4D96">
        <w:t xml:space="preserve">to be a </w:t>
      </w:r>
      <w:r>
        <w:t>stable</w:t>
      </w:r>
      <w:r w:rsidR="00EA1FB1">
        <w:t>, efficient</w:t>
      </w:r>
      <w:r>
        <w:t xml:space="preserve"> </w:t>
      </w:r>
      <w:r w:rsidR="00EA1FB1">
        <w:t>and effective</w:t>
      </w:r>
      <w:r>
        <w:t xml:space="preserve"> </w:t>
      </w:r>
      <w:r w:rsidR="007D4F75">
        <w:t xml:space="preserve">residential </w:t>
      </w:r>
      <w:r>
        <w:t xml:space="preserve">aged care funding tool which </w:t>
      </w:r>
      <w:r w:rsidR="00EA1FB1">
        <w:t>provides financial</w:t>
      </w:r>
      <w:r>
        <w:t xml:space="preserve"> stability to </w:t>
      </w:r>
      <w:r w:rsidR="00A20DB4">
        <w:t>both aged</w:t>
      </w:r>
      <w:r>
        <w:t xml:space="preserve"> care </w:t>
      </w:r>
      <w:r w:rsidR="007D4F75">
        <w:t>providers</w:t>
      </w:r>
      <w:r>
        <w:t xml:space="preserve"> and the Government. The Government also has the challenge of ensuring that the funding tool is consistent with </w:t>
      </w:r>
      <w:r w:rsidR="00F83B3D">
        <w:t>achieving ongoing</w:t>
      </w:r>
      <w:r>
        <w:t xml:space="preserve"> equity of access for all consumers and that it does not incentivise outmoded or inefficient care practices and use of resources. </w:t>
      </w:r>
      <w:r w:rsidR="00AD5C54">
        <w:t>T</w:t>
      </w:r>
      <w:r w:rsidR="0097220E">
        <w:t xml:space="preserve">he current review of alternative residential care funding arrangements and the Resource Utilisation and Classification </w:t>
      </w:r>
      <w:r w:rsidR="00354C4A">
        <w:t>Study (</w:t>
      </w:r>
      <w:r w:rsidR="007D4F75">
        <w:t>RUCS)</w:t>
      </w:r>
      <w:r w:rsidR="00AD5C54">
        <w:t xml:space="preserve"> is an important exercise</w:t>
      </w:r>
      <w:r w:rsidR="0097220E">
        <w:t>.</w:t>
      </w:r>
      <w:r w:rsidR="00544334">
        <w:t xml:space="preserve"> </w:t>
      </w:r>
      <w:r w:rsidR="00C10DE9">
        <w:t>Desirable features of a new funding tool include:</w:t>
      </w:r>
      <w:r w:rsidR="00FC36FD">
        <w:t xml:space="preserve"> administrative </w:t>
      </w:r>
      <w:r w:rsidR="00157CF1">
        <w:t>simplicity</w:t>
      </w:r>
      <w:r w:rsidR="003B36ED">
        <w:t>;</w:t>
      </w:r>
      <w:r w:rsidR="00FC36FD">
        <w:t xml:space="preserve"> </w:t>
      </w:r>
      <w:r w:rsidR="00D07804">
        <w:t xml:space="preserve">funding </w:t>
      </w:r>
      <w:r w:rsidR="00C942F3">
        <w:t>assessments ext</w:t>
      </w:r>
      <w:r w:rsidR="00FC36FD">
        <w:t>ernal to the provider</w:t>
      </w:r>
      <w:r w:rsidR="003B36ED">
        <w:t>;</w:t>
      </w:r>
      <w:r w:rsidR="00FC36FD">
        <w:t xml:space="preserve"> equitable allocation of </w:t>
      </w:r>
      <w:r w:rsidR="00157CF1">
        <w:t>funds based</w:t>
      </w:r>
      <w:r w:rsidR="00FC36FD">
        <w:t xml:space="preserve"> on the mix </w:t>
      </w:r>
      <w:r w:rsidR="00157CF1">
        <w:t>of residents</w:t>
      </w:r>
      <w:r w:rsidR="00FC36FD">
        <w:t xml:space="preserve"> and their needs</w:t>
      </w:r>
      <w:r w:rsidR="003B36ED">
        <w:t>;</w:t>
      </w:r>
      <w:r w:rsidR="00FC36FD">
        <w:t xml:space="preserve"> recognition</w:t>
      </w:r>
      <w:r w:rsidR="00C942F3">
        <w:t xml:space="preserve"> that many care costs are shared be</w:t>
      </w:r>
      <w:r w:rsidR="00FC36FD">
        <w:t>tween residents</w:t>
      </w:r>
      <w:r w:rsidR="003B36ED">
        <w:t>;</w:t>
      </w:r>
      <w:r w:rsidR="00A20DB4">
        <w:t xml:space="preserve"> transparent</w:t>
      </w:r>
      <w:r w:rsidR="00C942F3">
        <w:t xml:space="preserve"> studies to determine the cost of care</w:t>
      </w:r>
      <w:r w:rsidR="003B36ED">
        <w:t>;</w:t>
      </w:r>
      <w:r w:rsidR="00D07804">
        <w:t xml:space="preserve"> and indexation arrangements that adequately reflect movement in costs</w:t>
      </w:r>
      <w:r w:rsidR="00C942F3">
        <w:t>.</w:t>
      </w:r>
      <w:r w:rsidR="00FC36FD">
        <w:t xml:space="preserve"> </w:t>
      </w:r>
      <w:r w:rsidR="0097220E">
        <w:t xml:space="preserve">In introducing a new funding model, it will be </w:t>
      </w:r>
      <w:r w:rsidR="00FC36FD">
        <w:t>important</w:t>
      </w:r>
      <w:r w:rsidR="00142019">
        <w:t xml:space="preserve"> </w:t>
      </w:r>
      <w:r w:rsidR="0097220E">
        <w:t>to ensure that providers have confidence in the new arrangements.</w:t>
      </w:r>
      <w:r w:rsidR="00544334">
        <w:t xml:space="preserve"> </w:t>
      </w:r>
      <w:r w:rsidR="00142019">
        <w:t xml:space="preserve">The new </w:t>
      </w:r>
      <w:r w:rsidR="0061030A">
        <w:t>system needs</w:t>
      </w:r>
      <w:r w:rsidR="00142019">
        <w:t xml:space="preserve"> to be transparent, robust and evidence based to achieve this objective</w:t>
      </w:r>
      <w:r w:rsidR="00E62569">
        <w:t>.</w:t>
      </w:r>
      <w:r w:rsidR="00544334">
        <w:t xml:space="preserve"> </w:t>
      </w:r>
      <w:r w:rsidR="00E62569">
        <w:t>Similarly, there needs to be stable and efficient funding arrangements for home care that ensure t</w:t>
      </w:r>
      <w:r w:rsidR="00354C4A">
        <w:t>hat targeted care is available for</w:t>
      </w:r>
      <w:r w:rsidR="00E62569">
        <w:t xml:space="preserve"> all consumers. The </w:t>
      </w:r>
      <w:r w:rsidR="00354C4A">
        <w:t xml:space="preserve">home care </w:t>
      </w:r>
      <w:r w:rsidR="00E62569">
        <w:t>funding arrangements should also be based on transparent studies to determine the cost of care.</w:t>
      </w:r>
    </w:p>
    <w:p w14:paraId="7C17927A" w14:textId="77777777" w:rsidR="008340E7" w:rsidRDefault="008340E7" w:rsidP="008340E7">
      <w:pPr>
        <w:spacing w:after="0"/>
      </w:pPr>
    </w:p>
    <w:p w14:paraId="2F5B3A8C" w14:textId="77777777" w:rsidR="0097220E" w:rsidRPr="000C062D" w:rsidRDefault="00FC36FD" w:rsidP="004E059F">
      <w:pPr>
        <w:pStyle w:val="ListParagraph"/>
        <w:numPr>
          <w:ilvl w:val="0"/>
          <w:numId w:val="5"/>
        </w:numPr>
        <w:rPr>
          <w:rStyle w:val="SubtleEmphasis"/>
        </w:rPr>
      </w:pPr>
      <w:r w:rsidRPr="000C062D">
        <w:rPr>
          <w:rStyle w:val="SubtleEmphasis"/>
        </w:rPr>
        <w:t>Appropriate overall funding</w:t>
      </w:r>
    </w:p>
    <w:p w14:paraId="59E1D9CF" w14:textId="77777777" w:rsidR="00D07804" w:rsidRDefault="00A20DB4" w:rsidP="00050E28">
      <w:r>
        <w:t>Efficient arrangements</w:t>
      </w:r>
      <w:r w:rsidR="00E62569">
        <w:t xml:space="preserve"> for equitably allocating funding across residential </w:t>
      </w:r>
      <w:r w:rsidR="00CF3858">
        <w:t xml:space="preserve">care </w:t>
      </w:r>
      <w:r w:rsidR="00E62569">
        <w:t>providers and home care consumers are</w:t>
      </w:r>
      <w:r w:rsidR="008906D6">
        <w:t xml:space="preserve"> necessary, but </w:t>
      </w:r>
      <w:r w:rsidR="00622497">
        <w:t>it is</w:t>
      </w:r>
      <w:r w:rsidR="008906D6">
        <w:t xml:space="preserve"> </w:t>
      </w:r>
      <w:r w:rsidR="007E5221">
        <w:t xml:space="preserve">also </w:t>
      </w:r>
      <w:r w:rsidR="008906D6">
        <w:t>important that the overall funding pool for the aged care system is adequate and sustainable.</w:t>
      </w:r>
      <w:r w:rsidR="00544334">
        <w:t xml:space="preserve"> </w:t>
      </w:r>
      <w:r w:rsidR="008906D6">
        <w:t xml:space="preserve">The funding has to be sufficient to meet </w:t>
      </w:r>
      <w:r w:rsidR="00157CF1">
        <w:t>the level</w:t>
      </w:r>
      <w:r w:rsidR="008906D6">
        <w:t xml:space="preserve"> and quality of aged care needs </w:t>
      </w:r>
      <w:r w:rsidR="00622497">
        <w:t xml:space="preserve">of current and prospective </w:t>
      </w:r>
      <w:r w:rsidR="008906D6">
        <w:t>Australians and in doing so provide the incentive for providers to invest in the industry. The level</w:t>
      </w:r>
      <w:r w:rsidR="00622497">
        <w:t xml:space="preserve"> of funding provided by the Government has to </w:t>
      </w:r>
      <w:r w:rsidR="00157CF1">
        <w:t>support the</w:t>
      </w:r>
      <w:r w:rsidR="00622497">
        <w:t xml:space="preserve"> delivery of quality aged care services required by Australians but it should </w:t>
      </w:r>
      <w:r w:rsidR="00157CF1">
        <w:t>not support</w:t>
      </w:r>
      <w:r w:rsidR="00622497">
        <w:t xml:space="preserve"> inefficient or poorly managed providers nor should it provide higher than necessary funding.</w:t>
      </w:r>
      <w:r w:rsidR="008906D6">
        <w:t xml:space="preserve"> </w:t>
      </w:r>
    </w:p>
    <w:p w14:paraId="486DC8F1" w14:textId="77777777" w:rsidR="005A445A" w:rsidRDefault="00622497" w:rsidP="00050E28">
      <w:r>
        <w:t xml:space="preserve">The Government needs to ensure that the Budget forecasts of aged care spending are as realistic as possible. Aged care is a sizeable and growing component of the </w:t>
      </w:r>
      <w:r w:rsidR="00157CF1">
        <w:t>Commonwealth’s</w:t>
      </w:r>
      <w:r>
        <w:t xml:space="preserve"> </w:t>
      </w:r>
      <w:r w:rsidR="00157CF1">
        <w:t>budget</w:t>
      </w:r>
      <w:r>
        <w:t xml:space="preserve"> and its importance will grow in line with the</w:t>
      </w:r>
      <w:r w:rsidR="00F5117D">
        <w:t xml:space="preserve"> ageing</w:t>
      </w:r>
      <w:r>
        <w:t xml:space="preserve"> of the Australian population. </w:t>
      </w:r>
      <w:r w:rsidR="00E0794E">
        <w:t>An overshooting of aged care expenditure can cause problems for the management of the Government’s accounts and bring into question its fiscal sustainability. It is not</w:t>
      </w:r>
      <w:r w:rsidR="00AD5C54">
        <w:t>, however</w:t>
      </w:r>
      <w:r w:rsidR="0061030A">
        <w:t>, a</w:t>
      </w:r>
      <w:r w:rsidR="00E0794E">
        <w:t xml:space="preserve"> simple matter to determine the </w:t>
      </w:r>
      <w:r w:rsidR="00157CF1">
        <w:t>appropriate</w:t>
      </w:r>
      <w:r w:rsidR="00E0794E">
        <w:t xml:space="preserve"> amount of funding for the aged care sector, although it is an issue that requires careful consideration.</w:t>
      </w:r>
      <w:r w:rsidR="00544334">
        <w:t xml:space="preserve"> </w:t>
      </w:r>
      <w:r w:rsidR="00E0794E">
        <w:t xml:space="preserve">The sector is very diverse and the financial </w:t>
      </w:r>
      <w:r w:rsidR="0061030A">
        <w:t>results of providers vary</w:t>
      </w:r>
      <w:r w:rsidR="00E0794E">
        <w:t xml:space="preserve"> depending on business structures, financing arrangements</w:t>
      </w:r>
      <w:r w:rsidR="005A445A">
        <w:t xml:space="preserve">, and motivations, including those who are mission based. In </w:t>
      </w:r>
      <w:r w:rsidR="00157CF1">
        <w:t>addition,</w:t>
      </w:r>
      <w:r w:rsidR="005A445A">
        <w:t xml:space="preserve"> the Government has to take into account the range of aged care services sought by the community along with the extent to which consumers will contribute to the </w:t>
      </w:r>
      <w:r w:rsidR="00157CF1">
        <w:t>cost of</w:t>
      </w:r>
      <w:r w:rsidR="005A445A">
        <w:t xml:space="preserve"> their aged care</w:t>
      </w:r>
      <w:r w:rsidR="00CF3858">
        <w:t>.</w:t>
      </w:r>
    </w:p>
    <w:p w14:paraId="36C2B139" w14:textId="0FE8E6B9" w:rsidR="005A445A" w:rsidRDefault="0097220E" w:rsidP="00050E28">
      <w:r>
        <w:t xml:space="preserve">It </w:t>
      </w:r>
      <w:r w:rsidR="005A445A">
        <w:t>is</w:t>
      </w:r>
      <w:r>
        <w:t xml:space="preserve"> important to ensure that the Government</w:t>
      </w:r>
      <w:r w:rsidR="005A445A">
        <w:t>’</w:t>
      </w:r>
      <w:r>
        <w:t xml:space="preserve">s contribution to care costs reflects the growth in these costs over time, although the indexation methodology should also make allowance for achievable productivity improvements. </w:t>
      </w:r>
      <w:r w:rsidR="00592344">
        <w:t xml:space="preserve">While the indexation rate </w:t>
      </w:r>
      <w:r w:rsidR="00F83B3D">
        <w:t>for ACFI</w:t>
      </w:r>
      <w:r w:rsidR="00592344">
        <w:t xml:space="preserve"> has been markedly lower than the rate of growth in the costs of providers, particularly wages, if</w:t>
      </w:r>
      <w:r>
        <w:t xml:space="preserve"> the new funding model </w:t>
      </w:r>
      <w:r w:rsidR="00592344">
        <w:t xml:space="preserve">reduces the capacity of providers to boost their revenue through claiming behaviour, it will be important that the new indexation </w:t>
      </w:r>
      <w:r w:rsidR="00F83B3D">
        <w:t>arrangements</w:t>
      </w:r>
      <w:r w:rsidR="00592344">
        <w:t xml:space="preserve"> adequately reflect the growth in costs </w:t>
      </w:r>
      <w:r w:rsidR="00F83B3D">
        <w:t>(while</w:t>
      </w:r>
      <w:r w:rsidR="00592344">
        <w:t xml:space="preserve"> providing an incentive for productivity gains).</w:t>
      </w:r>
      <w:r w:rsidR="007E5221">
        <w:t xml:space="preserve"> </w:t>
      </w:r>
      <w:r w:rsidR="00592344">
        <w:t xml:space="preserve">It </w:t>
      </w:r>
      <w:r w:rsidR="00191978">
        <w:t xml:space="preserve">may take around two years </w:t>
      </w:r>
      <w:r w:rsidR="00592344">
        <w:t xml:space="preserve">before a new aged care funding tool is introduced. In the meantime the Government will need to </w:t>
      </w:r>
      <w:r w:rsidR="005A445A">
        <w:t xml:space="preserve">ensure that the </w:t>
      </w:r>
      <w:r w:rsidR="0061030A">
        <w:t>indexation of ACFI rates is</w:t>
      </w:r>
      <w:r w:rsidR="005A445A">
        <w:t xml:space="preserve"> appropriate</w:t>
      </w:r>
      <w:r w:rsidR="00142019">
        <w:t xml:space="preserve"> and address the financial pressure confronting the industry</w:t>
      </w:r>
      <w:r w:rsidR="005A445A">
        <w:t>.</w:t>
      </w:r>
    </w:p>
    <w:p w14:paraId="6615B238" w14:textId="77777777" w:rsidR="005A445A" w:rsidRPr="000C062D" w:rsidRDefault="005A445A" w:rsidP="004E059F">
      <w:pPr>
        <w:pStyle w:val="ListParagraph"/>
        <w:numPr>
          <w:ilvl w:val="0"/>
          <w:numId w:val="5"/>
        </w:numPr>
        <w:rPr>
          <w:rStyle w:val="SubtleEmphasis"/>
        </w:rPr>
      </w:pPr>
      <w:r w:rsidRPr="000C062D">
        <w:rPr>
          <w:rStyle w:val="SubtleEmphasis"/>
        </w:rPr>
        <w:lastRenderedPageBreak/>
        <w:t>Funding that is flexible and adaptable to changing demographics and demands</w:t>
      </w:r>
    </w:p>
    <w:p w14:paraId="6962F85D" w14:textId="77777777" w:rsidR="003F375F" w:rsidRDefault="005A445A" w:rsidP="00050E28">
      <w:r>
        <w:t xml:space="preserve">The demographics of the Australian population </w:t>
      </w:r>
      <w:r w:rsidR="001C2475">
        <w:t>are such</w:t>
      </w:r>
      <w:r w:rsidR="004A1949">
        <w:t xml:space="preserve"> that there will be increasing pressure on funding for aged care, both residential and home care. Demand will change and there will be innovations in the way services are delivered and the interaction between aged care and other sectors, such as retirement living and hospitals</w:t>
      </w:r>
      <w:r w:rsidR="003F375F">
        <w:t>.</w:t>
      </w:r>
      <w:r w:rsidR="001C2475">
        <w:t xml:space="preserve"> The funding arrangements have</w:t>
      </w:r>
      <w:r w:rsidR="004A1949">
        <w:t xml:space="preserve"> to be responsive to these changes and should not deter but rather encourage innovation.</w:t>
      </w:r>
    </w:p>
    <w:p w14:paraId="14DF08D1" w14:textId="70E913D0" w:rsidR="00EE6FD6" w:rsidRDefault="004A1949" w:rsidP="00050E28">
      <w:r>
        <w:t xml:space="preserve">Currently the provision of </w:t>
      </w:r>
      <w:r w:rsidR="00100766">
        <w:t xml:space="preserve">residential </w:t>
      </w:r>
      <w:r>
        <w:t>aged care places</w:t>
      </w:r>
      <w:r w:rsidR="00100766">
        <w:t xml:space="preserve"> and home care packages</w:t>
      </w:r>
      <w:r>
        <w:t xml:space="preserve"> </w:t>
      </w:r>
      <w:r w:rsidR="004E33AB">
        <w:t xml:space="preserve">is </w:t>
      </w:r>
      <w:r>
        <w:t xml:space="preserve">determined by the Aged Care Provision Ratio </w:t>
      </w:r>
      <w:r w:rsidR="00157CF1">
        <w:t>(the</w:t>
      </w:r>
      <w:r w:rsidR="001C2475">
        <w:t xml:space="preserve"> Ratio). The Tune R</w:t>
      </w:r>
      <w:r>
        <w:t xml:space="preserve">eview concluded that while it would ultimately be desirable for the supply of aged care to be uncapped, significant work needed to done before the government could safely remove supply controls while ensuring the system was fiscally sustainable for the government and equitable for consumers. Specifically, before uncapping supply there needs to be: an accurate understanding of underlying demand; </w:t>
      </w:r>
      <w:r w:rsidR="001D41DA">
        <w:t xml:space="preserve">equitable and sufficient </w:t>
      </w:r>
      <w:r w:rsidR="00D07804">
        <w:t xml:space="preserve">contributions </w:t>
      </w:r>
      <w:r w:rsidR="001D41DA">
        <w:t>by c</w:t>
      </w:r>
      <w:r w:rsidR="00D07804">
        <w:t>onsumers</w:t>
      </w:r>
      <w:r w:rsidR="001D41DA">
        <w:t xml:space="preserve"> to their cost of care; a robust system for </w:t>
      </w:r>
      <w:r w:rsidR="00A20DB4">
        <w:t>assessing eligibility</w:t>
      </w:r>
      <w:r w:rsidR="003230E4">
        <w:t xml:space="preserve"> </w:t>
      </w:r>
      <w:r w:rsidR="001D41DA">
        <w:t xml:space="preserve">for subsidised services; and provisions for ensuring equitable and continuing supply of aged care services in places where there is limited choice and competition. </w:t>
      </w:r>
    </w:p>
    <w:p w14:paraId="4B61E529" w14:textId="2B72D9EC" w:rsidR="004A1949" w:rsidRDefault="001D41DA" w:rsidP="008340E7">
      <w:pPr>
        <w:spacing w:after="0"/>
      </w:pPr>
      <w:r>
        <w:t>There has been progress on some of these requirements but</w:t>
      </w:r>
      <w:r w:rsidR="003B36ED">
        <w:t>,</w:t>
      </w:r>
      <w:r>
        <w:t xml:space="preserve"> before they are all met</w:t>
      </w:r>
      <w:r w:rsidR="003B36ED">
        <w:t>,</w:t>
      </w:r>
      <w:r>
        <w:t xml:space="preserve"> the Tune Review made a number of recommendations to improve the flexibility of current arrangements</w:t>
      </w:r>
      <w:r w:rsidR="003E4024">
        <w:t xml:space="preserve">, </w:t>
      </w:r>
      <w:r w:rsidR="00157CF1">
        <w:t>including to</w:t>
      </w:r>
      <w:r w:rsidR="003E4024">
        <w:t xml:space="preserve"> </w:t>
      </w:r>
      <w:r w:rsidR="00157CF1">
        <w:t>change the</w:t>
      </w:r>
      <w:r>
        <w:t xml:space="preserve"> population cohort on which the planning Ratio is based, from people aged 70 years and over to people aged</w:t>
      </w:r>
      <w:r w:rsidR="00EE6FD6">
        <w:t xml:space="preserve"> </w:t>
      </w:r>
      <w:r>
        <w:t xml:space="preserve">75 years and over, which would allow the overall </w:t>
      </w:r>
      <w:r w:rsidR="003E4024">
        <w:t>supply of aged care to better match the key demand driver in aged care, namely the ageing of the population. All these measures are consistent with ensuring the sustainability of the aged care system.</w:t>
      </w:r>
    </w:p>
    <w:p w14:paraId="05A12852" w14:textId="77777777" w:rsidR="003E4024" w:rsidRPr="008340E7" w:rsidRDefault="003E4024" w:rsidP="008340E7">
      <w:pPr>
        <w:spacing w:after="0"/>
      </w:pPr>
    </w:p>
    <w:p w14:paraId="12947DC6" w14:textId="77777777" w:rsidR="004F254B" w:rsidRPr="000C062D" w:rsidRDefault="003E4024" w:rsidP="004E059F">
      <w:pPr>
        <w:pStyle w:val="ListParagraph"/>
        <w:numPr>
          <w:ilvl w:val="0"/>
          <w:numId w:val="5"/>
        </w:numPr>
        <w:rPr>
          <w:rStyle w:val="SubtleEmphasis"/>
        </w:rPr>
      </w:pPr>
      <w:r w:rsidRPr="000C062D">
        <w:rPr>
          <w:rStyle w:val="SubtleEmphasis"/>
        </w:rPr>
        <w:t>Equitable contribution to costs by consumers</w:t>
      </w:r>
    </w:p>
    <w:p w14:paraId="65A9E04E" w14:textId="701EFABD" w:rsidR="00EE6FD6" w:rsidRDefault="003E4024" w:rsidP="00951E6E">
      <w:r>
        <w:t xml:space="preserve">Sustainable aged care funding arrangements will </w:t>
      </w:r>
      <w:r w:rsidR="004F254B">
        <w:t>require consumers who can afford to do so mak</w:t>
      </w:r>
      <w:r w:rsidR="00100766">
        <w:t>ing</w:t>
      </w:r>
      <w:r w:rsidR="004F254B">
        <w:t xml:space="preserve"> a </w:t>
      </w:r>
      <w:r w:rsidR="00157CF1">
        <w:t>greater</w:t>
      </w:r>
      <w:r w:rsidR="004F254B">
        <w:t xml:space="preserve"> financial contribution towards their residential everyday living expenses and care </w:t>
      </w:r>
      <w:r w:rsidR="00157CF1">
        <w:t>costs,</w:t>
      </w:r>
      <w:r w:rsidR="004F254B">
        <w:t xml:space="preserve"> compl</w:t>
      </w:r>
      <w:r w:rsidR="00EE6FD6">
        <w:t>e</w:t>
      </w:r>
      <w:r w:rsidR="004F254B">
        <w:t>mented by a greater choice of higher quality services. This would involve stronger means testing arrangements</w:t>
      </w:r>
      <w:r w:rsidR="00951E6E">
        <w:t xml:space="preserve"> for care fees, in line with the recommendations of the Tune Review</w:t>
      </w:r>
      <w:r w:rsidR="003B36ED">
        <w:t>,</w:t>
      </w:r>
      <w:r w:rsidR="00951E6E">
        <w:t xml:space="preserve"> which would reduce pressure on Government expenditure.</w:t>
      </w:r>
    </w:p>
    <w:p w14:paraId="410F0633" w14:textId="77777777" w:rsidR="00951E6E" w:rsidRPr="0060519F" w:rsidRDefault="00951E6E" w:rsidP="008340E7">
      <w:pPr>
        <w:spacing w:after="0"/>
      </w:pPr>
      <w:r>
        <w:t xml:space="preserve">In addition, uncapping the basic daily fee for residential care for consumers who can afford to pay would boost the revenue of residential providers and </w:t>
      </w:r>
      <w:r w:rsidR="00A20DB4">
        <w:t>for some</w:t>
      </w:r>
      <w:r w:rsidR="00C00478">
        <w:t xml:space="preserve"> may</w:t>
      </w:r>
      <w:r>
        <w:t xml:space="preserve"> provide the opportunity of dispensing with charging fees for the provision of additional services. </w:t>
      </w:r>
      <w:r w:rsidR="007053DA">
        <w:t xml:space="preserve">There is currently uncertainty over what are permissible additional services that aged care providers can offer residents for a fee. </w:t>
      </w:r>
      <w:r w:rsidR="00A616D0">
        <w:t xml:space="preserve">Another recommendation by the Tune review which should be pursued is requiring that providers charge the income-tested care fee in home care and that the value of the basic </w:t>
      </w:r>
      <w:r w:rsidR="00CF3858">
        <w:t xml:space="preserve">daily </w:t>
      </w:r>
      <w:r w:rsidR="00A616D0">
        <w:t xml:space="preserve">fee is proportionate to the value of the home care package. </w:t>
      </w:r>
      <w:r w:rsidR="0036621F">
        <w:t>There is also a need to improve consumer understanding of the fees they may be asked to pay so that they can more effectively plan for their aged care.</w:t>
      </w:r>
    </w:p>
    <w:p w14:paraId="786DA1A6" w14:textId="77777777" w:rsidR="003E4024" w:rsidRPr="003E4024" w:rsidRDefault="003E4024" w:rsidP="008340E7">
      <w:pPr>
        <w:spacing w:after="0"/>
      </w:pPr>
    </w:p>
    <w:p w14:paraId="20DF5651" w14:textId="77777777" w:rsidR="007541E8" w:rsidRPr="000C062D" w:rsidRDefault="004E059F" w:rsidP="004E059F">
      <w:pPr>
        <w:pStyle w:val="ListParagraph"/>
        <w:numPr>
          <w:ilvl w:val="0"/>
          <w:numId w:val="5"/>
        </w:numPr>
        <w:rPr>
          <w:rStyle w:val="SubtleEmphasis"/>
        </w:rPr>
      </w:pPr>
      <w:r w:rsidRPr="000C062D">
        <w:rPr>
          <w:rStyle w:val="SubtleEmphasis"/>
        </w:rPr>
        <w:t xml:space="preserve"> </w:t>
      </w:r>
      <w:r w:rsidR="00796D44" w:rsidRPr="000C062D">
        <w:rPr>
          <w:rStyle w:val="SubtleEmphasis"/>
        </w:rPr>
        <w:t>Effective prudential oversight</w:t>
      </w:r>
    </w:p>
    <w:p w14:paraId="32FF2264" w14:textId="77777777" w:rsidR="00EE6FD6" w:rsidRDefault="000B7C6F" w:rsidP="00050E28">
      <w:r>
        <w:t>Effective p</w:t>
      </w:r>
      <w:r w:rsidR="003F375F">
        <w:t xml:space="preserve">rudential </w:t>
      </w:r>
      <w:r>
        <w:t xml:space="preserve">oversight of the aged care sector </w:t>
      </w:r>
      <w:r w:rsidR="00796D44">
        <w:t>is</w:t>
      </w:r>
      <w:r>
        <w:t xml:space="preserve"> necessary given that the range of current and prospective reforms and developments are likely to be disruptive to a number of providers.</w:t>
      </w:r>
      <w:r w:rsidR="00544334">
        <w:t xml:space="preserve"> </w:t>
      </w:r>
      <w:r w:rsidR="00796D44">
        <w:t>T</w:t>
      </w:r>
      <w:r w:rsidR="003F375F">
        <w:t xml:space="preserve">he current tight operating </w:t>
      </w:r>
      <w:r w:rsidR="00F83B3D">
        <w:t>conditions will</w:t>
      </w:r>
      <w:r>
        <w:t xml:space="preserve"> likely be accelerating the trend towards </w:t>
      </w:r>
      <w:r w:rsidR="00F83B3D">
        <w:t>greater</w:t>
      </w:r>
      <w:r>
        <w:t xml:space="preserve"> consolidation in the residential aged care market.</w:t>
      </w:r>
      <w:r w:rsidR="00544334">
        <w:t xml:space="preserve"> </w:t>
      </w:r>
      <w:r w:rsidR="00C00478">
        <w:t xml:space="preserve">There is also evidence that some providers </w:t>
      </w:r>
      <w:r w:rsidR="00A20DB4">
        <w:t>are thinly</w:t>
      </w:r>
      <w:r w:rsidR="00C00478">
        <w:t xml:space="preserve"> capitalised (relatively higher proportion of liabilities to assets) and as a result are more exposed to financial and </w:t>
      </w:r>
      <w:r w:rsidR="00C00478">
        <w:lastRenderedPageBreak/>
        <w:t>economic risk events.</w:t>
      </w:r>
      <w:r w:rsidR="00CF3858">
        <w:t xml:space="preserve"> </w:t>
      </w:r>
      <w:r>
        <w:t>After a peri</w:t>
      </w:r>
      <w:r w:rsidR="007541E8">
        <w:t>od of very strong growth in home</w:t>
      </w:r>
      <w:r>
        <w:t xml:space="preserve"> care providers, it is likely that this will be followed by a reduction in the number of providers. In both residential and </w:t>
      </w:r>
      <w:r w:rsidR="00796D44">
        <w:t>home</w:t>
      </w:r>
      <w:r>
        <w:t xml:space="preserve"> </w:t>
      </w:r>
      <w:r w:rsidR="00157CF1">
        <w:t>care, there</w:t>
      </w:r>
      <w:r w:rsidR="002C28C9">
        <w:t xml:space="preserve"> will always be a role for smaller operators, </w:t>
      </w:r>
      <w:r w:rsidR="007541E8">
        <w:t xml:space="preserve">but </w:t>
      </w:r>
      <w:r w:rsidR="002C28C9">
        <w:t>the current tight conditions will likely put pressure on less efficient providers</w:t>
      </w:r>
      <w:r w:rsidR="007541E8">
        <w:t xml:space="preserve"> and those unable to achieve economies of scale</w:t>
      </w:r>
      <w:r w:rsidR="002C28C9">
        <w:t xml:space="preserve">. </w:t>
      </w:r>
    </w:p>
    <w:p w14:paraId="00D71C51" w14:textId="05B48151" w:rsidR="00592344" w:rsidRDefault="007541E8" w:rsidP="008340E7">
      <w:pPr>
        <w:spacing w:after="0"/>
      </w:pPr>
      <w:r>
        <w:t>A</w:t>
      </w:r>
      <w:r w:rsidR="002C28C9">
        <w:t xml:space="preserve">n increasing number of marginal providers will likely need to sell or merge with other providers. Such a trend will lead </w:t>
      </w:r>
      <w:r w:rsidR="000210F3">
        <w:t>to a more eff</w:t>
      </w:r>
      <w:r w:rsidR="00FB50CB">
        <w:t xml:space="preserve">icient and </w:t>
      </w:r>
      <w:r w:rsidR="00F83B3D">
        <w:t>resilient aged</w:t>
      </w:r>
      <w:r w:rsidR="000210F3">
        <w:t xml:space="preserve"> care sector</w:t>
      </w:r>
      <w:r w:rsidR="00FB50CB">
        <w:t xml:space="preserve">, however the adjustment should be orderly and any impact on consumers should be minimised. Towards the end, the Government </w:t>
      </w:r>
      <w:r w:rsidR="00157CF1">
        <w:t>should be</w:t>
      </w:r>
      <w:r w:rsidR="00FB50CB">
        <w:t xml:space="preserve"> proactive in identifying providers facing difficulties, providing advice and support to such providers, and if necessary facilitate the sale or transfer of facilities or operations to another provider. This may require the Government contributing to meet the costs associated with a provider taking over another facing significant </w:t>
      </w:r>
      <w:r w:rsidR="00A20DB4">
        <w:t>financial</w:t>
      </w:r>
      <w:r w:rsidR="00FB50CB">
        <w:t xml:space="preserve"> and likely quality, difficulties.</w:t>
      </w:r>
    </w:p>
    <w:p w14:paraId="5765F590" w14:textId="77777777" w:rsidR="00FB50CB" w:rsidRDefault="00FB50CB" w:rsidP="008340E7">
      <w:pPr>
        <w:spacing w:after="0"/>
      </w:pPr>
    </w:p>
    <w:p w14:paraId="7D8A809C" w14:textId="77777777" w:rsidR="00D24A01" w:rsidRPr="000C062D" w:rsidRDefault="00796D44" w:rsidP="004E059F">
      <w:pPr>
        <w:pStyle w:val="ListParagraph"/>
        <w:numPr>
          <w:ilvl w:val="0"/>
          <w:numId w:val="5"/>
        </w:numPr>
        <w:rPr>
          <w:rStyle w:val="SubtleEmphasis"/>
        </w:rPr>
      </w:pPr>
      <w:r w:rsidRPr="000C062D">
        <w:rPr>
          <w:rStyle w:val="SubtleEmphasis"/>
        </w:rPr>
        <w:t>Sound management and governance arrangements</w:t>
      </w:r>
    </w:p>
    <w:p w14:paraId="4574CA2C" w14:textId="77777777" w:rsidR="00B66E2C" w:rsidRDefault="001F76AA" w:rsidP="00050E28">
      <w:r>
        <w:t xml:space="preserve">A sustainable aged care system will require well managed aged care providers with sound governance </w:t>
      </w:r>
      <w:r w:rsidR="00157CF1">
        <w:t xml:space="preserve">arrangements. </w:t>
      </w:r>
      <w:r w:rsidR="00354C4A">
        <w:t xml:space="preserve">It will also require adequate sources of financing to support the level of investment required to meet current and future demand for aged care services. </w:t>
      </w:r>
      <w:r w:rsidR="00AB5AF3">
        <w:t xml:space="preserve">Providers need to look at their internal operations to ensure they are delivering care in the most </w:t>
      </w:r>
      <w:r w:rsidR="00337C2E">
        <w:t xml:space="preserve">efficient and effective way. </w:t>
      </w:r>
      <w:r w:rsidR="004329F9">
        <w:t xml:space="preserve">The changes taking place in the sector as it moves towards a more consumer driven and market based system will continue to challenge traditional business and workforce models. </w:t>
      </w:r>
      <w:r>
        <w:t xml:space="preserve">Providers have to take the lead in shaping the aged care workforce to take the industry into the future by implementing in full the recommendations of the Aged Care Work Force Strategy Taskforce. </w:t>
      </w:r>
      <w:r w:rsidR="004329F9">
        <w:t xml:space="preserve">Providers will need to be increasingly responsive and flexible. </w:t>
      </w:r>
      <w:r w:rsidR="00142019">
        <w:t>For some providers t</w:t>
      </w:r>
      <w:r w:rsidR="004329F9">
        <w:t xml:space="preserve">his </w:t>
      </w:r>
      <w:r w:rsidR="00142019">
        <w:t xml:space="preserve">may </w:t>
      </w:r>
      <w:r w:rsidR="004329F9">
        <w:t xml:space="preserve">include adjusting their business models to deal with </w:t>
      </w:r>
      <w:r w:rsidR="00142019">
        <w:t>a</w:t>
      </w:r>
      <w:r w:rsidR="001F1E2A">
        <w:t>n apparent</w:t>
      </w:r>
      <w:r w:rsidR="00142019">
        <w:t xml:space="preserve"> shift</w:t>
      </w:r>
      <w:r w:rsidR="004329F9">
        <w:t xml:space="preserve"> from RADs to DAPs. Under the current funding system there are very diverse financial outcomes, with the top quartile of providers in terms of profit continuing to achieve significantly better results than the lowest quartile. The very wide variation in financial performance across the sector suggests there is scope </w:t>
      </w:r>
      <w:r w:rsidR="00946929">
        <w:t xml:space="preserve">for many providers to pursue </w:t>
      </w:r>
      <w:r w:rsidR="00F83B3D">
        <w:t>greater</w:t>
      </w:r>
      <w:r w:rsidR="00946929">
        <w:t xml:space="preserve"> efficiencies and improve their results. Towards this objective, all providers should seek to ensure that their governance arrangements and management capabilities are best practice.</w:t>
      </w:r>
    </w:p>
    <w:p w14:paraId="2C7CCA3C" w14:textId="77777777" w:rsidR="00B66E2C" w:rsidRDefault="00B66E2C">
      <w:r>
        <w:br w:type="page"/>
      </w:r>
    </w:p>
    <w:p w14:paraId="4A6727E1" w14:textId="77777777" w:rsidR="00161F1D" w:rsidRPr="000C062D" w:rsidRDefault="00B66E2C" w:rsidP="000C062D">
      <w:pPr>
        <w:pStyle w:val="Appendix1"/>
      </w:pPr>
      <w:r w:rsidRPr="000C062D">
        <w:lastRenderedPageBreak/>
        <w:t>Appendix A</w:t>
      </w:r>
    </w:p>
    <w:p w14:paraId="7271B289" w14:textId="77777777" w:rsidR="00B66E2C" w:rsidRPr="000C062D" w:rsidRDefault="00B66E2C" w:rsidP="000C062D">
      <w:pPr>
        <w:pStyle w:val="Appendix2"/>
      </w:pPr>
      <w:r w:rsidRPr="000C062D">
        <w:t>ACFA membership and Structure</w:t>
      </w:r>
    </w:p>
    <w:p w14:paraId="0EDB1CC5" w14:textId="77777777" w:rsidR="00456006" w:rsidRPr="00557C8E" w:rsidRDefault="00456006" w:rsidP="00456006">
      <w:pPr>
        <w:pStyle w:val="AppendixTableCaption"/>
        <w:numPr>
          <w:ilvl w:val="0"/>
          <w:numId w:val="0"/>
        </w:numPr>
        <w:rPr>
          <w:rFonts w:ascii="Segoe UI" w:hAnsi="Segoe UI" w:cs="Segoe UI"/>
        </w:rPr>
      </w:pPr>
      <w:r w:rsidRPr="00557C8E">
        <w:rPr>
          <w:rFonts w:ascii="Segoe UI" w:hAnsi="Segoe UI" w:cs="Segoe UI"/>
        </w:rPr>
        <w:t>Members</w:t>
      </w:r>
    </w:p>
    <w:tbl>
      <w:tblPr>
        <w:tblStyle w:val="TableAEGreyTotals"/>
        <w:tblW w:w="5000" w:type="pct"/>
        <w:tblLook w:val="04A0" w:firstRow="1" w:lastRow="0" w:firstColumn="1" w:lastColumn="0" w:noHBand="0" w:noVBand="1"/>
        <w:tblCaption w:val="Table A.1: ACFA members"/>
        <w:tblDescription w:val="This table lists the ACFA members by position and their organisation"/>
      </w:tblPr>
      <w:tblGrid>
        <w:gridCol w:w="1884"/>
        <w:gridCol w:w="2737"/>
        <w:gridCol w:w="4621"/>
      </w:tblGrid>
      <w:tr w:rsidR="00456006" w:rsidRPr="009C5F13" w14:paraId="3235348F" w14:textId="77777777" w:rsidTr="005A321F">
        <w:trPr>
          <w:cnfStyle w:val="100000000000" w:firstRow="1" w:lastRow="0" w:firstColumn="0" w:lastColumn="0" w:oddVBand="0" w:evenVBand="0" w:oddHBand="0" w:evenHBand="0" w:firstRowFirstColumn="0" w:firstRowLastColumn="0" w:lastRowFirstColumn="0" w:lastRowLastColumn="0"/>
          <w:tblHeader/>
        </w:trPr>
        <w:tc>
          <w:tcPr>
            <w:tcW w:w="1019" w:type="pct"/>
          </w:tcPr>
          <w:p w14:paraId="06EB73BB" w14:textId="77777777" w:rsidR="00456006" w:rsidRPr="009C5F13" w:rsidRDefault="00456006" w:rsidP="005A321F">
            <w:pPr>
              <w:pStyle w:val="TableHeadingCentre"/>
              <w:jc w:val="left"/>
            </w:pPr>
            <w:r w:rsidRPr="009C5F13">
              <w:t>ACFA position</w:t>
            </w:r>
          </w:p>
        </w:tc>
        <w:tc>
          <w:tcPr>
            <w:tcW w:w="1481" w:type="pct"/>
          </w:tcPr>
          <w:p w14:paraId="11C38F53" w14:textId="77777777" w:rsidR="00456006" w:rsidRPr="009C5F13" w:rsidRDefault="00456006" w:rsidP="005A321F">
            <w:pPr>
              <w:pStyle w:val="TableHeadingCentre"/>
              <w:jc w:val="left"/>
            </w:pPr>
            <w:r w:rsidRPr="009C5F13">
              <w:t>Name</w:t>
            </w:r>
          </w:p>
        </w:tc>
        <w:tc>
          <w:tcPr>
            <w:tcW w:w="2500" w:type="pct"/>
          </w:tcPr>
          <w:p w14:paraId="165E1415" w14:textId="77777777" w:rsidR="00456006" w:rsidRPr="009C5F13" w:rsidRDefault="00456006" w:rsidP="005A321F">
            <w:pPr>
              <w:pStyle w:val="TableHeadingCentre"/>
              <w:jc w:val="left"/>
            </w:pPr>
            <w:r w:rsidRPr="009C5F13">
              <w:t>Organisation</w:t>
            </w:r>
          </w:p>
        </w:tc>
      </w:tr>
      <w:tr w:rsidR="00456006" w:rsidRPr="009C5F13" w14:paraId="4FEE413C" w14:textId="77777777" w:rsidTr="005A321F">
        <w:tc>
          <w:tcPr>
            <w:tcW w:w="1019" w:type="pct"/>
          </w:tcPr>
          <w:p w14:paraId="3E2E1E00" w14:textId="77777777" w:rsidR="00456006" w:rsidRPr="009C5F13" w:rsidRDefault="00456006" w:rsidP="005A321F">
            <w:pPr>
              <w:pStyle w:val="TabletextLeft"/>
              <w:rPr>
                <w:rFonts w:asciiTheme="minorHAnsi" w:hAnsiTheme="minorHAnsi"/>
              </w:rPr>
            </w:pPr>
            <w:r w:rsidRPr="009C5F13">
              <w:rPr>
                <w:rFonts w:asciiTheme="minorHAnsi" w:hAnsiTheme="minorHAnsi"/>
              </w:rPr>
              <w:t>Chairman</w:t>
            </w:r>
          </w:p>
        </w:tc>
        <w:tc>
          <w:tcPr>
            <w:tcW w:w="1481" w:type="pct"/>
          </w:tcPr>
          <w:p w14:paraId="0A41CDDB" w14:textId="77777777" w:rsidR="00456006" w:rsidRPr="009C5F13" w:rsidRDefault="00456006" w:rsidP="005A321F">
            <w:pPr>
              <w:pStyle w:val="TabletextLeft"/>
              <w:rPr>
                <w:rFonts w:asciiTheme="minorHAnsi" w:hAnsiTheme="minorHAnsi"/>
              </w:rPr>
            </w:pPr>
            <w:r>
              <w:rPr>
                <w:rFonts w:asciiTheme="minorHAnsi" w:hAnsiTheme="minorHAnsi"/>
              </w:rPr>
              <w:t>Mr Mike Callaghan</w:t>
            </w:r>
          </w:p>
        </w:tc>
        <w:tc>
          <w:tcPr>
            <w:tcW w:w="2500" w:type="pct"/>
          </w:tcPr>
          <w:p w14:paraId="1982F499" w14:textId="77777777" w:rsidR="00456006" w:rsidRPr="009C5F13" w:rsidRDefault="00456006" w:rsidP="005A321F">
            <w:pPr>
              <w:pStyle w:val="TabletextLeft"/>
              <w:rPr>
                <w:rFonts w:asciiTheme="minorHAnsi" w:hAnsiTheme="minorHAnsi"/>
              </w:rPr>
            </w:pPr>
            <w:r>
              <w:rPr>
                <w:rFonts w:asciiTheme="minorHAnsi" w:hAnsiTheme="minorHAnsi"/>
              </w:rPr>
              <w:t>Economic consultant</w:t>
            </w:r>
          </w:p>
        </w:tc>
      </w:tr>
      <w:tr w:rsidR="00456006" w:rsidRPr="009C5F13" w14:paraId="7EF8E820" w14:textId="77777777" w:rsidTr="005A321F">
        <w:tc>
          <w:tcPr>
            <w:tcW w:w="1019" w:type="pct"/>
          </w:tcPr>
          <w:p w14:paraId="024988B9" w14:textId="77777777" w:rsidR="00456006" w:rsidRPr="009C5F13" w:rsidRDefault="00456006" w:rsidP="005A321F">
            <w:pPr>
              <w:pStyle w:val="TabletextLeft"/>
              <w:rPr>
                <w:rFonts w:asciiTheme="minorHAnsi" w:hAnsiTheme="minorHAnsi"/>
              </w:rPr>
            </w:pPr>
            <w:r>
              <w:rPr>
                <w:rFonts w:asciiTheme="minorHAnsi" w:hAnsiTheme="minorHAnsi"/>
              </w:rPr>
              <w:t>Deputy c</w:t>
            </w:r>
            <w:r w:rsidRPr="009C5F13">
              <w:rPr>
                <w:rFonts w:asciiTheme="minorHAnsi" w:hAnsiTheme="minorHAnsi"/>
              </w:rPr>
              <w:t>hair</w:t>
            </w:r>
          </w:p>
        </w:tc>
        <w:tc>
          <w:tcPr>
            <w:tcW w:w="1481" w:type="pct"/>
          </w:tcPr>
          <w:p w14:paraId="5A0EC03A" w14:textId="77777777" w:rsidR="00456006" w:rsidRPr="009B5F40" w:rsidRDefault="00456006" w:rsidP="005A321F">
            <w:pPr>
              <w:pStyle w:val="TabletextLeft"/>
              <w:rPr>
                <w:rFonts w:asciiTheme="minorHAnsi" w:hAnsiTheme="minorHAnsi"/>
                <w:i/>
              </w:rPr>
            </w:pPr>
            <w:r w:rsidRPr="009C5F13">
              <w:rPr>
                <w:rFonts w:asciiTheme="minorHAnsi" w:hAnsiTheme="minorHAnsi"/>
              </w:rPr>
              <w:t xml:space="preserve">Mr </w:t>
            </w:r>
            <w:r>
              <w:rPr>
                <w:rFonts w:asciiTheme="minorHAnsi" w:hAnsiTheme="minorHAnsi"/>
              </w:rPr>
              <w:t>Nicolas</w:t>
            </w:r>
            <w:r w:rsidRPr="009C5F13">
              <w:rPr>
                <w:rFonts w:asciiTheme="minorHAnsi" w:hAnsiTheme="minorHAnsi"/>
              </w:rPr>
              <w:t xml:space="preserve"> Mersiades</w:t>
            </w:r>
          </w:p>
        </w:tc>
        <w:tc>
          <w:tcPr>
            <w:tcW w:w="2500" w:type="pct"/>
          </w:tcPr>
          <w:p w14:paraId="02F1528F" w14:textId="77777777" w:rsidR="00456006" w:rsidRPr="009C5F13" w:rsidRDefault="00456006" w:rsidP="005A321F">
            <w:pPr>
              <w:pStyle w:val="TabletextLeft"/>
              <w:rPr>
                <w:rFonts w:asciiTheme="minorHAnsi" w:hAnsiTheme="minorHAnsi"/>
              </w:rPr>
            </w:pPr>
            <w:r w:rsidRPr="009C5F13">
              <w:rPr>
                <w:rFonts w:asciiTheme="minorHAnsi" w:hAnsiTheme="minorHAnsi"/>
              </w:rPr>
              <w:t>Director Aged Care, Catholic Health Australia</w:t>
            </w:r>
          </w:p>
        </w:tc>
      </w:tr>
      <w:tr w:rsidR="00456006" w:rsidRPr="009C5F13" w14:paraId="5577BFC6" w14:textId="77777777" w:rsidTr="005A321F">
        <w:tc>
          <w:tcPr>
            <w:tcW w:w="1019" w:type="pct"/>
          </w:tcPr>
          <w:p w14:paraId="2DEE0BF7" w14:textId="77777777" w:rsidR="00456006" w:rsidRPr="009C5F13" w:rsidRDefault="00456006" w:rsidP="005A321F">
            <w:pPr>
              <w:pStyle w:val="TabletextLeft"/>
              <w:rPr>
                <w:rFonts w:asciiTheme="minorHAnsi" w:hAnsiTheme="minorHAnsi"/>
              </w:rPr>
            </w:pPr>
            <w:r w:rsidRPr="009C5F13">
              <w:rPr>
                <w:rFonts w:asciiTheme="minorHAnsi" w:hAnsiTheme="minorHAnsi"/>
              </w:rPr>
              <w:t>Member</w:t>
            </w:r>
          </w:p>
        </w:tc>
        <w:tc>
          <w:tcPr>
            <w:tcW w:w="1481" w:type="pct"/>
          </w:tcPr>
          <w:p w14:paraId="204DC259" w14:textId="77777777" w:rsidR="00456006" w:rsidRPr="009C5F13" w:rsidRDefault="00456006" w:rsidP="005A321F">
            <w:pPr>
              <w:pStyle w:val="TabletextLeft"/>
              <w:rPr>
                <w:rFonts w:asciiTheme="minorHAnsi" w:hAnsiTheme="minorHAnsi"/>
              </w:rPr>
            </w:pPr>
            <w:r w:rsidRPr="009C5F13">
              <w:rPr>
                <w:rFonts w:asciiTheme="minorHAnsi" w:hAnsiTheme="minorHAnsi"/>
              </w:rPr>
              <w:t>Mr Ian Yates</w:t>
            </w:r>
            <w:r>
              <w:rPr>
                <w:rFonts w:asciiTheme="minorHAnsi" w:hAnsiTheme="minorHAnsi"/>
              </w:rPr>
              <w:t xml:space="preserve"> AM</w:t>
            </w:r>
          </w:p>
        </w:tc>
        <w:tc>
          <w:tcPr>
            <w:tcW w:w="2500" w:type="pct"/>
          </w:tcPr>
          <w:p w14:paraId="62258BF9" w14:textId="77777777" w:rsidR="00456006" w:rsidRPr="009C5F13" w:rsidRDefault="00456006" w:rsidP="005A321F">
            <w:pPr>
              <w:pStyle w:val="TabletextLeft"/>
              <w:rPr>
                <w:rFonts w:asciiTheme="minorHAnsi" w:hAnsiTheme="minorHAnsi"/>
              </w:rPr>
            </w:pPr>
            <w:r w:rsidRPr="009C5F13">
              <w:rPr>
                <w:rFonts w:asciiTheme="minorHAnsi" w:hAnsiTheme="minorHAnsi"/>
              </w:rPr>
              <w:t>Chief Executive, COTA Australia</w:t>
            </w:r>
          </w:p>
        </w:tc>
      </w:tr>
      <w:tr w:rsidR="00456006" w:rsidRPr="009C5F13" w14:paraId="40225C50" w14:textId="77777777" w:rsidTr="005A321F">
        <w:tc>
          <w:tcPr>
            <w:tcW w:w="1019" w:type="pct"/>
          </w:tcPr>
          <w:p w14:paraId="6E04F37B" w14:textId="77777777" w:rsidR="00456006" w:rsidRPr="00392EC8" w:rsidRDefault="00456006" w:rsidP="005A321F">
            <w:pPr>
              <w:pStyle w:val="TabletextLeft"/>
              <w:rPr>
                <w:rFonts w:asciiTheme="minorHAnsi" w:hAnsiTheme="minorHAnsi"/>
                <w:strike/>
              </w:rPr>
            </w:pPr>
            <w:r w:rsidRPr="00F50F3D">
              <w:rPr>
                <w:rFonts w:asciiTheme="minorHAnsi" w:hAnsiTheme="minorHAnsi"/>
              </w:rPr>
              <w:t>Member</w:t>
            </w:r>
          </w:p>
        </w:tc>
        <w:tc>
          <w:tcPr>
            <w:tcW w:w="1481" w:type="pct"/>
          </w:tcPr>
          <w:p w14:paraId="4EFDACBE" w14:textId="77777777" w:rsidR="00456006" w:rsidRPr="00F50F3D" w:rsidRDefault="00456006" w:rsidP="005A321F">
            <w:pPr>
              <w:pStyle w:val="TabletextLeft"/>
              <w:rPr>
                <w:rFonts w:asciiTheme="minorHAnsi" w:hAnsiTheme="minorHAnsi"/>
              </w:rPr>
            </w:pPr>
            <w:r w:rsidRPr="00F50F3D">
              <w:rPr>
                <w:rFonts w:asciiTheme="minorHAnsi" w:hAnsiTheme="minorHAnsi"/>
              </w:rPr>
              <w:t>Mr Gary Barnier</w:t>
            </w:r>
          </w:p>
        </w:tc>
        <w:tc>
          <w:tcPr>
            <w:tcW w:w="2500" w:type="pct"/>
          </w:tcPr>
          <w:p w14:paraId="74D8E6FD" w14:textId="77777777" w:rsidR="00456006" w:rsidRPr="0031236B" w:rsidRDefault="00456006" w:rsidP="005A321F">
            <w:pPr>
              <w:pStyle w:val="TabletextLeft"/>
              <w:rPr>
                <w:rFonts w:asciiTheme="minorHAnsi" w:hAnsiTheme="minorHAnsi"/>
              </w:rPr>
            </w:pPr>
            <w:r w:rsidRPr="0031236B">
              <w:rPr>
                <w:rFonts w:asciiTheme="minorHAnsi" w:hAnsiTheme="minorHAnsi"/>
              </w:rPr>
              <w:t>Former aged care executive, independent advisor</w:t>
            </w:r>
          </w:p>
        </w:tc>
      </w:tr>
      <w:tr w:rsidR="00456006" w:rsidRPr="009C5F13" w14:paraId="09D3F6FB" w14:textId="77777777" w:rsidTr="005A321F">
        <w:tc>
          <w:tcPr>
            <w:tcW w:w="1019" w:type="pct"/>
            <w:tcBorders>
              <w:top w:val="single" w:sz="4" w:space="0" w:color="A6A6A6"/>
              <w:bottom w:val="single" w:sz="4" w:space="0" w:color="A6A6A6"/>
            </w:tcBorders>
          </w:tcPr>
          <w:p w14:paraId="013C5231" w14:textId="77777777" w:rsidR="00456006" w:rsidRPr="009C5F13" w:rsidRDefault="00456006" w:rsidP="005A321F">
            <w:pPr>
              <w:pStyle w:val="TabletextLeft"/>
              <w:rPr>
                <w:rFonts w:asciiTheme="minorHAnsi" w:hAnsiTheme="minorHAnsi"/>
              </w:rPr>
            </w:pPr>
            <w:r w:rsidRPr="009C5F13">
              <w:rPr>
                <w:rFonts w:asciiTheme="minorHAnsi" w:hAnsiTheme="minorHAnsi"/>
              </w:rPr>
              <w:t>Member</w:t>
            </w:r>
          </w:p>
        </w:tc>
        <w:tc>
          <w:tcPr>
            <w:tcW w:w="1481" w:type="pct"/>
            <w:tcBorders>
              <w:top w:val="single" w:sz="4" w:space="0" w:color="A6A6A6"/>
              <w:bottom w:val="single" w:sz="4" w:space="0" w:color="A6A6A6"/>
            </w:tcBorders>
          </w:tcPr>
          <w:p w14:paraId="0229CF36" w14:textId="77777777" w:rsidR="00456006" w:rsidRPr="009C5F13" w:rsidRDefault="00456006" w:rsidP="005A321F">
            <w:pPr>
              <w:pStyle w:val="TabletextLeft"/>
              <w:rPr>
                <w:rFonts w:asciiTheme="minorHAnsi" w:hAnsiTheme="minorHAnsi"/>
              </w:rPr>
            </w:pPr>
            <w:r>
              <w:rPr>
                <w:rFonts w:asciiTheme="minorHAnsi" w:hAnsiTheme="minorHAnsi"/>
              </w:rPr>
              <w:t>Mrs</w:t>
            </w:r>
            <w:r w:rsidR="00544334">
              <w:rPr>
                <w:rFonts w:asciiTheme="minorHAnsi" w:hAnsiTheme="minorHAnsi"/>
              </w:rPr>
              <w:t xml:space="preserve"> Natalie Smith</w:t>
            </w:r>
          </w:p>
        </w:tc>
        <w:tc>
          <w:tcPr>
            <w:tcW w:w="2500" w:type="pct"/>
            <w:tcBorders>
              <w:top w:val="single" w:sz="4" w:space="0" w:color="A6A6A6"/>
              <w:bottom w:val="single" w:sz="4" w:space="0" w:color="A6A6A6"/>
            </w:tcBorders>
          </w:tcPr>
          <w:p w14:paraId="18FF00F2" w14:textId="77777777" w:rsidR="00456006" w:rsidRPr="00152F87" w:rsidRDefault="00456006" w:rsidP="005A321F">
            <w:pPr>
              <w:pStyle w:val="TabletextLeft"/>
              <w:rPr>
                <w:rFonts w:asciiTheme="minorHAnsi" w:hAnsiTheme="minorHAnsi"/>
              </w:rPr>
            </w:pPr>
            <w:r w:rsidRPr="009F17F8">
              <w:rPr>
                <w:rFonts w:asciiTheme="minorHAnsi" w:hAnsiTheme="minorHAnsi"/>
              </w:rPr>
              <w:t>Head of Business Execution, Business and Private Bank, ANZ</w:t>
            </w:r>
          </w:p>
        </w:tc>
      </w:tr>
      <w:tr w:rsidR="00456006" w:rsidRPr="009C5F13" w14:paraId="5471B48F" w14:textId="77777777" w:rsidTr="005A321F">
        <w:tc>
          <w:tcPr>
            <w:tcW w:w="1019" w:type="pct"/>
            <w:tcBorders>
              <w:top w:val="single" w:sz="4" w:space="0" w:color="A6A6A6"/>
              <w:bottom w:val="single" w:sz="4" w:space="0" w:color="A6A6A6"/>
            </w:tcBorders>
          </w:tcPr>
          <w:p w14:paraId="23B6A2B6" w14:textId="77777777" w:rsidR="00456006" w:rsidRDefault="00456006" w:rsidP="005A321F">
            <w:pPr>
              <w:pStyle w:val="TabletextLeft"/>
              <w:rPr>
                <w:rFonts w:asciiTheme="minorHAnsi" w:hAnsiTheme="minorHAnsi"/>
              </w:rPr>
            </w:pPr>
            <w:r>
              <w:rPr>
                <w:rFonts w:asciiTheme="minorHAnsi" w:hAnsiTheme="minorHAnsi"/>
              </w:rPr>
              <w:t>Member</w:t>
            </w:r>
          </w:p>
        </w:tc>
        <w:tc>
          <w:tcPr>
            <w:tcW w:w="1481" w:type="pct"/>
            <w:tcBorders>
              <w:top w:val="single" w:sz="4" w:space="0" w:color="A6A6A6"/>
              <w:bottom w:val="single" w:sz="4" w:space="0" w:color="A6A6A6"/>
            </w:tcBorders>
          </w:tcPr>
          <w:p w14:paraId="308CDFB2" w14:textId="77777777" w:rsidR="00456006" w:rsidRDefault="00456006" w:rsidP="00544334">
            <w:pPr>
              <w:pStyle w:val="TabletextLeft"/>
              <w:rPr>
                <w:rFonts w:asciiTheme="minorHAnsi" w:hAnsiTheme="minorHAnsi"/>
              </w:rPr>
            </w:pPr>
            <w:r>
              <w:rPr>
                <w:rFonts w:asciiTheme="minorHAnsi" w:hAnsiTheme="minorHAnsi"/>
              </w:rPr>
              <w:t>Prof</w:t>
            </w:r>
            <w:r w:rsidR="00544334">
              <w:rPr>
                <w:rFonts w:asciiTheme="minorHAnsi" w:hAnsiTheme="minorHAnsi"/>
              </w:rPr>
              <w:t xml:space="preserve"> Michael Woods</w:t>
            </w:r>
          </w:p>
        </w:tc>
        <w:tc>
          <w:tcPr>
            <w:tcW w:w="2500" w:type="pct"/>
            <w:tcBorders>
              <w:top w:val="single" w:sz="4" w:space="0" w:color="A6A6A6"/>
              <w:bottom w:val="single" w:sz="4" w:space="0" w:color="A6A6A6"/>
            </w:tcBorders>
          </w:tcPr>
          <w:p w14:paraId="276E7B02" w14:textId="77777777" w:rsidR="00456006" w:rsidRPr="009F17F8" w:rsidRDefault="00456006" w:rsidP="005A321F">
            <w:pPr>
              <w:pStyle w:val="TabletextLeft"/>
              <w:rPr>
                <w:rFonts w:asciiTheme="minorHAnsi" w:hAnsiTheme="minorHAnsi"/>
              </w:rPr>
            </w:pPr>
            <w:r w:rsidRPr="009F17F8">
              <w:rPr>
                <w:rFonts w:asciiTheme="minorHAnsi" w:hAnsiTheme="minorHAnsi"/>
              </w:rPr>
              <w:t>Professor, Centre for Health Economics Research and Evaluation, UTS Business School</w:t>
            </w:r>
          </w:p>
        </w:tc>
      </w:tr>
      <w:tr w:rsidR="00456006" w:rsidRPr="009C5F13" w14:paraId="51EB3617" w14:textId="77777777" w:rsidTr="005A321F">
        <w:tc>
          <w:tcPr>
            <w:tcW w:w="1019" w:type="pct"/>
            <w:tcBorders>
              <w:top w:val="single" w:sz="4" w:space="0" w:color="A6A6A6"/>
              <w:bottom w:val="single" w:sz="4" w:space="0" w:color="A6A6A6"/>
            </w:tcBorders>
          </w:tcPr>
          <w:p w14:paraId="2928B651" w14:textId="77777777" w:rsidR="00456006" w:rsidRPr="009C5F13" w:rsidRDefault="00456006" w:rsidP="005A321F">
            <w:pPr>
              <w:pStyle w:val="TabletextLeft"/>
              <w:rPr>
                <w:rFonts w:asciiTheme="minorHAnsi" w:hAnsiTheme="minorHAnsi"/>
              </w:rPr>
            </w:pPr>
            <w:r>
              <w:rPr>
                <w:rFonts w:asciiTheme="minorHAnsi" w:hAnsiTheme="minorHAnsi"/>
              </w:rPr>
              <w:t>Member</w:t>
            </w:r>
          </w:p>
        </w:tc>
        <w:tc>
          <w:tcPr>
            <w:tcW w:w="1481" w:type="pct"/>
            <w:tcBorders>
              <w:top w:val="single" w:sz="4" w:space="0" w:color="A6A6A6"/>
              <w:bottom w:val="single" w:sz="4" w:space="0" w:color="A6A6A6"/>
            </w:tcBorders>
          </w:tcPr>
          <w:p w14:paraId="19E713D9" w14:textId="77777777" w:rsidR="00456006" w:rsidRDefault="00456006" w:rsidP="005A321F">
            <w:pPr>
              <w:pStyle w:val="TabletextLeft"/>
              <w:rPr>
                <w:rFonts w:asciiTheme="minorHAnsi" w:hAnsiTheme="minorHAnsi"/>
              </w:rPr>
            </w:pPr>
            <w:r>
              <w:rPr>
                <w:rFonts w:asciiTheme="minorHAnsi" w:hAnsiTheme="minorHAnsi"/>
              </w:rPr>
              <w:t xml:space="preserve">Dr Mike Rungie </w:t>
            </w:r>
          </w:p>
        </w:tc>
        <w:tc>
          <w:tcPr>
            <w:tcW w:w="2500" w:type="pct"/>
            <w:tcBorders>
              <w:top w:val="single" w:sz="4" w:space="0" w:color="A6A6A6"/>
              <w:bottom w:val="single" w:sz="4" w:space="0" w:color="A6A6A6"/>
            </w:tcBorders>
          </w:tcPr>
          <w:p w14:paraId="50F13E2D" w14:textId="77777777" w:rsidR="00456006" w:rsidRPr="00152F87" w:rsidRDefault="00456006" w:rsidP="005A321F">
            <w:pPr>
              <w:pStyle w:val="TabletextLeft"/>
              <w:rPr>
                <w:rFonts w:cstheme="minorHAnsi"/>
                <w:lang w:val="en-SG"/>
              </w:rPr>
            </w:pPr>
            <w:r>
              <w:rPr>
                <w:rFonts w:cstheme="minorHAnsi"/>
              </w:rPr>
              <w:t xml:space="preserve">Former CEO, </w:t>
            </w:r>
            <w:r w:rsidRPr="0026636C">
              <w:rPr>
                <w:rFonts w:cstheme="minorHAnsi"/>
              </w:rPr>
              <w:t>A</w:t>
            </w:r>
            <w:r>
              <w:rPr>
                <w:rFonts w:cstheme="minorHAnsi"/>
              </w:rPr>
              <w:t xml:space="preserve">ged </w:t>
            </w:r>
            <w:r w:rsidRPr="0026636C">
              <w:rPr>
                <w:rFonts w:cstheme="minorHAnsi"/>
              </w:rPr>
              <w:t>C</w:t>
            </w:r>
            <w:r>
              <w:rPr>
                <w:rFonts w:cstheme="minorHAnsi"/>
              </w:rPr>
              <w:t xml:space="preserve">are </w:t>
            </w:r>
            <w:r w:rsidRPr="0026636C">
              <w:rPr>
                <w:rFonts w:cstheme="minorHAnsi"/>
              </w:rPr>
              <w:t>H</w:t>
            </w:r>
            <w:r>
              <w:rPr>
                <w:rFonts w:cstheme="minorHAnsi"/>
              </w:rPr>
              <w:t>ousing</w:t>
            </w:r>
            <w:r w:rsidRPr="0026636C">
              <w:rPr>
                <w:rFonts w:cstheme="minorHAnsi"/>
              </w:rPr>
              <w:t xml:space="preserve"> Group</w:t>
            </w:r>
          </w:p>
        </w:tc>
      </w:tr>
      <w:tr w:rsidR="00456006" w:rsidRPr="009C5F13" w14:paraId="3AD9A298" w14:textId="77777777" w:rsidTr="005A321F">
        <w:tc>
          <w:tcPr>
            <w:tcW w:w="1019" w:type="pct"/>
            <w:tcBorders>
              <w:top w:val="single" w:sz="4" w:space="0" w:color="A6A6A6"/>
              <w:bottom w:val="single" w:sz="4" w:space="0" w:color="A6A6A6"/>
            </w:tcBorders>
          </w:tcPr>
          <w:p w14:paraId="4786DFDB" w14:textId="77777777" w:rsidR="00456006" w:rsidRPr="009C5F13" w:rsidRDefault="00456006" w:rsidP="005A321F">
            <w:pPr>
              <w:pStyle w:val="TabletextLeft"/>
              <w:rPr>
                <w:rFonts w:asciiTheme="minorHAnsi" w:hAnsiTheme="minorHAnsi"/>
              </w:rPr>
            </w:pPr>
            <w:r>
              <w:rPr>
                <w:rFonts w:asciiTheme="minorHAnsi" w:hAnsiTheme="minorHAnsi"/>
              </w:rPr>
              <w:t>Member</w:t>
            </w:r>
          </w:p>
        </w:tc>
        <w:tc>
          <w:tcPr>
            <w:tcW w:w="1481" w:type="pct"/>
            <w:tcBorders>
              <w:top w:val="single" w:sz="4" w:space="0" w:color="A6A6A6"/>
              <w:bottom w:val="single" w:sz="4" w:space="0" w:color="A6A6A6"/>
            </w:tcBorders>
          </w:tcPr>
          <w:p w14:paraId="1C46A3AF" w14:textId="77777777" w:rsidR="00456006" w:rsidRDefault="00456006" w:rsidP="005A321F">
            <w:pPr>
              <w:pStyle w:val="TabletextLeft"/>
              <w:rPr>
                <w:rFonts w:asciiTheme="minorHAnsi" w:hAnsiTheme="minorHAnsi"/>
              </w:rPr>
            </w:pPr>
            <w:r>
              <w:rPr>
                <w:rFonts w:asciiTheme="minorHAnsi" w:hAnsiTheme="minorHAnsi"/>
              </w:rPr>
              <w:t xml:space="preserve">Ms Susan Emerson </w:t>
            </w:r>
          </w:p>
        </w:tc>
        <w:tc>
          <w:tcPr>
            <w:tcW w:w="2500" w:type="pct"/>
            <w:tcBorders>
              <w:top w:val="single" w:sz="4" w:space="0" w:color="A6A6A6"/>
              <w:bottom w:val="single" w:sz="4" w:space="0" w:color="A6A6A6"/>
            </w:tcBorders>
          </w:tcPr>
          <w:p w14:paraId="5D024338" w14:textId="7F7E356A" w:rsidR="00456006" w:rsidRPr="00152F87" w:rsidRDefault="00461167" w:rsidP="005A321F">
            <w:pPr>
              <w:pStyle w:val="TabletextLeft"/>
              <w:rPr>
                <w:rFonts w:cstheme="minorHAnsi"/>
                <w:lang w:val="en-SG"/>
              </w:rPr>
            </w:pPr>
            <w:r w:rsidRPr="00461167">
              <w:rPr>
                <w:rFonts w:cstheme="minorHAnsi"/>
              </w:rPr>
              <w:t>General Manager Equip for living and Leef Independent Living Solutions SA/NT</w:t>
            </w:r>
          </w:p>
        </w:tc>
      </w:tr>
      <w:tr w:rsidR="00456006" w:rsidRPr="009C5F13" w14:paraId="7ED39A1E" w14:textId="77777777" w:rsidTr="005A321F">
        <w:tc>
          <w:tcPr>
            <w:tcW w:w="1019" w:type="pct"/>
            <w:tcBorders>
              <w:top w:val="single" w:sz="4" w:space="0" w:color="A6A6A6"/>
              <w:bottom w:val="single" w:sz="4" w:space="0" w:color="A6A6A6"/>
            </w:tcBorders>
          </w:tcPr>
          <w:p w14:paraId="4A3F8699" w14:textId="77777777" w:rsidR="00456006" w:rsidRPr="009C5F13" w:rsidRDefault="00456006" w:rsidP="005A321F">
            <w:pPr>
              <w:pStyle w:val="TabletextLeft"/>
              <w:rPr>
                <w:rFonts w:asciiTheme="minorHAnsi" w:hAnsiTheme="minorHAnsi"/>
              </w:rPr>
            </w:pPr>
            <w:r>
              <w:rPr>
                <w:rFonts w:asciiTheme="minorHAnsi" w:hAnsiTheme="minorHAnsi"/>
              </w:rPr>
              <w:t xml:space="preserve">Member </w:t>
            </w:r>
          </w:p>
        </w:tc>
        <w:tc>
          <w:tcPr>
            <w:tcW w:w="1481" w:type="pct"/>
            <w:tcBorders>
              <w:top w:val="single" w:sz="4" w:space="0" w:color="A6A6A6"/>
              <w:bottom w:val="single" w:sz="4" w:space="0" w:color="A6A6A6"/>
            </w:tcBorders>
          </w:tcPr>
          <w:p w14:paraId="021B6C35" w14:textId="77777777" w:rsidR="00456006" w:rsidRDefault="00456006" w:rsidP="005A321F">
            <w:pPr>
              <w:pStyle w:val="TabletextLeft"/>
              <w:rPr>
                <w:rFonts w:asciiTheme="minorHAnsi" w:hAnsiTheme="minorHAnsi"/>
              </w:rPr>
            </w:pPr>
            <w:r>
              <w:rPr>
                <w:rFonts w:asciiTheme="minorHAnsi" w:hAnsiTheme="minorHAnsi"/>
              </w:rPr>
              <w:t xml:space="preserve">Ms Louise Biti </w:t>
            </w:r>
          </w:p>
        </w:tc>
        <w:tc>
          <w:tcPr>
            <w:tcW w:w="2500" w:type="pct"/>
            <w:tcBorders>
              <w:top w:val="single" w:sz="4" w:space="0" w:color="A6A6A6"/>
              <w:bottom w:val="single" w:sz="4" w:space="0" w:color="A6A6A6"/>
            </w:tcBorders>
          </w:tcPr>
          <w:p w14:paraId="7112F1D0" w14:textId="77777777" w:rsidR="00456006" w:rsidRPr="00152F87" w:rsidRDefault="00456006" w:rsidP="005A321F">
            <w:pPr>
              <w:pStyle w:val="TabletextLeft"/>
              <w:rPr>
                <w:rFonts w:cstheme="minorHAnsi"/>
                <w:lang w:val="en-SG"/>
              </w:rPr>
            </w:pPr>
            <w:r>
              <w:rPr>
                <w:rFonts w:cstheme="minorHAnsi"/>
              </w:rPr>
              <w:t xml:space="preserve">Director, </w:t>
            </w:r>
            <w:r w:rsidRPr="0026636C">
              <w:rPr>
                <w:rFonts w:cstheme="minorHAnsi"/>
              </w:rPr>
              <w:t>Aged Care Steps</w:t>
            </w:r>
          </w:p>
        </w:tc>
      </w:tr>
    </w:tbl>
    <w:p w14:paraId="16CC74DA" w14:textId="77777777" w:rsidR="00456006" w:rsidRDefault="00456006" w:rsidP="00456006">
      <w:pPr>
        <w:pStyle w:val="AppendixTableCaption"/>
        <w:numPr>
          <w:ilvl w:val="0"/>
          <w:numId w:val="0"/>
        </w:numPr>
        <w:rPr>
          <w:rFonts w:ascii="Segoe UI" w:hAnsi="Segoe UI" w:cs="Segoe UI"/>
        </w:rPr>
      </w:pPr>
    </w:p>
    <w:p w14:paraId="3CAB7DBA" w14:textId="77777777" w:rsidR="00456006" w:rsidRPr="009C2EC0" w:rsidRDefault="00456006" w:rsidP="00456006">
      <w:pPr>
        <w:pStyle w:val="AppendixTableCaption"/>
        <w:numPr>
          <w:ilvl w:val="0"/>
          <w:numId w:val="0"/>
        </w:numPr>
        <w:rPr>
          <w:rFonts w:ascii="Segoe UI" w:hAnsi="Segoe UI" w:cs="Segoe UI"/>
        </w:rPr>
      </w:pPr>
      <w:r>
        <w:rPr>
          <w:rFonts w:ascii="Segoe UI" w:hAnsi="Segoe UI" w:cs="Segoe UI"/>
        </w:rPr>
        <w:t>Government r</w:t>
      </w:r>
      <w:r w:rsidRPr="009C2EC0">
        <w:rPr>
          <w:rFonts w:ascii="Segoe UI" w:hAnsi="Segoe UI" w:cs="Segoe UI"/>
        </w:rPr>
        <w:t>epresentatives</w:t>
      </w:r>
    </w:p>
    <w:tbl>
      <w:tblPr>
        <w:tblStyle w:val="TableAEGreyTotals"/>
        <w:tblW w:w="5000" w:type="pct"/>
        <w:tblBorders>
          <w:bottom w:val="single" w:sz="4" w:space="0" w:color="auto"/>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Table A.2: ACFA Representatives"/>
        <w:tblDescription w:val="This table shows the departmental representatives of ACFA including for the aged care pricing commissione, department of social services and treasury."/>
      </w:tblPr>
      <w:tblGrid>
        <w:gridCol w:w="1884"/>
        <w:gridCol w:w="2737"/>
        <w:gridCol w:w="4621"/>
      </w:tblGrid>
      <w:tr w:rsidR="00317CD9" w:rsidRPr="00557C8E" w14:paraId="5B2243FF" w14:textId="77777777" w:rsidTr="00317CD9">
        <w:trPr>
          <w:cnfStyle w:val="100000000000" w:firstRow="1" w:lastRow="0" w:firstColumn="0" w:lastColumn="0" w:oddVBand="0" w:evenVBand="0" w:oddHBand="0" w:evenHBand="0" w:firstRowFirstColumn="0" w:firstRowLastColumn="0" w:lastRowFirstColumn="0" w:lastRowLastColumn="0"/>
          <w:tblHeader/>
        </w:trPr>
        <w:tc>
          <w:tcPr>
            <w:tcW w:w="1019" w:type="pct"/>
          </w:tcPr>
          <w:p w14:paraId="4A930BFA" w14:textId="7FFF4D71" w:rsidR="00317CD9" w:rsidRPr="00317CD9" w:rsidRDefault="00317CD9" w:rsidP="00317CD9">
            <w:pPr>
              <w:pStyle w:val="TableHeadingCentre"/>
              <w:jc w:val="left"/>
            </w:pPr>
            <w:r w:rsidRPr="009C5F13">
              <w:t>ACFA position</w:t>
            </w:r>
          </w:p>
        </w:tc>
        <w:tc>
          <w:tcPr>
            <w:tcW w:w="1481" w:type="pct"/>
          </w:tcPr>
          <w:p w14:paraId="063F45C6" w14:textId="52E28CC6" w:rsidR="00317CD9" w:rsidRPr="00317CD9" w:rsidRDefault="00317CD9" w:rsidP="00317CD9">
            <w:pPr>
              <w:pStyle w:val="TableHeadingCentre"/>
              <w:jc w:val="left"/>
            </w:pPr>
            <w:r w:rsidRPr="009C5F13">
              <w:t>Name</w:t>
            </w:r>
          </w:p>
        </w:tc>
        <w:tc>
          <w:tcPr>
            <w:tcW w:w="2500" w:type="pct"/>
          </w:tcPr>
          <w:p w14:paraId="44646923" w14:textId="1306BD95" w:rsidR="00317CD9" w:rsidRPr="00317CD9" w:rsidRDefault="00317CD9" w:rsidP="00317CD9">
            <w:pPr>
              <w:pStyle w:val="TableHeadingCentre"/>
              <w:jc w:val="left"/>
            </w:pPr>
            <w:r w:rsidRPr="009C5F13">
              <w:t>Organisation</w:t>
            </w:r>
          </w:p>
        </w:tc>
      </w:tr>
      <w:tr w:rsidR="00317CD9" w:rsidRPr="00557C8E" w14:paraId="03938D2C" w14:textId="77777777" w:rsidTr="00317CD9">
        <w:tc>
          <w:tcPr>
            <w:tcW w:w="1019" w:type="pct"/>
          </w:tcPr>
          <w:p w14:paraId="0B26C869" w14:textId="7653B390" w:rsidR="00317CD9" w:rsidRPr="00557C8E" w:rsidRDefault="00317CD9" w:rsidP="00317CD9">
            <w:pPr>
              <w:pStyle w:val="TabletextLeft"/>
              <w:rPr>
                <w:rFonts w:ascii="Segoe UI" w:hAnsi="Segoe UI" w:cs="Segoe UI"/>
              </w:rPr>
            </w:pPr>
            <w:r w:rsidRPr="00557C8E">
              <w:rPr>
                <w:rFonts w:ascii="Segoe UI" w:hAnsi="Segoe UI" w:cs="Segoe UI"/>
              </w:rPr>
              <w:t xml:space="preserve">Representative </w:t>
            </w:r>
          </w:p>
        </w:tc>
        <w:tc>
          <w:tcPr>
            <w:tcW w:w="1481" w:type="pct"/>
          </w:tcPr>
          <w:p w14:paraId="041C9586" w14:textId="77777777" w:rsidR="00317CD9" w:rsidRDefault="00317CD9" w:rsidP="00317CD9">
            <w:pPr>
              <w:pStyle w:val="TabletextLeft"/>
              <w:rPr>
                <w:rFonts w:ascii="Segoe UI" w:hAnsi="Segoe UI" w:cs="Segoe UI"/>
              </w:rPr>
            </w:pPr>
            <w:r>
              <w:rPr>
                <w:rFonts w:ascii="Segoe UI" w:hAnsi="Segoe UI" w:cs="Segoe UI"/>
              </w:rPr>
              <w:t xml:space="preserve">Mr Jaye Smith </w:t>
            </w:r>
          </w:p>
          <w:p w14:paraId="69E317FE" w14:textId="77777777" w:rsidR="00317CD9" w:rsidRDefault="00317CD9" w:rsidP="00317CD9">
            <w:pPr>
              <w:pStyle w:val="TabletextLeft"/>
              <w:rPr>
                <w:rFonts w:ascii="Segoe UI" w:hAnsi="Segoe UI" w:cs="Segoe UI"/>
              </w:rPr>
            </w:pPr>
          </w:p>
        </w:tc>
        <w:tc>
          <w:tcPr>
            <w:tcW w:w="2500" w:type="pct"/>
          </w:tcPr>
          <w:p w14:paraId="481C5FC9" w14:textId="57A0F30B" w:rsidR="00317CD9" w:rsidRDefault="00317CD9" w:rsidP="00317CD9">
            <w:pPr>
              <w:pStyle w:val="TabletextLeft"/>
              <w:rPr>
                <w:rFonts w:ascii="Segoe UI" w:hAnsi="Segoe UI" w:cs="Segoe UI"/>
              </w:rPr>
            </w:pPr>
            <w:r>
              <w:rPr>
                <w:rFonts w:ascii="Segoe UI" w:hAnsi="Segoe UI" w:cs="Segoe UI"/>
              </w:rPr>
              <w:t xml:space="preserve">First Assistant Secretary, Ageing and Aged Care Group, Department of Health </w:t>
            </w:r>
          </w:p>
        </w:tc>
      </w:tr>
      <w:tr w:rsidR="00456006" w:rsidRPr="00557C8E" w14:paraId="55CD62A7" w14:textId="77777777" w:rsidTr="00317CD9">
        <w:tc>
          <w:tcPr>
            <w:tcW w:w="1019" w:type="pct"/>
          </w:tcPr>
          <w:p w14:paraId="2AC3E0B8" w14:textId="77777777" w:rsidR="00456006" w:rsidRPr="00557C8E" w:rsidRDefault="00456006" w:rsidP="005A321F">
            <w:pPr>
              <w:pStyle w:val="TabletextLeft"/>
              <w:rPr>
                <w:rFonts w:ascii="Segoe UI" w:hAnsi="Segoe UI" w:cs="Segoe UI"/>
              </w:rPr>
            </w:pPr>
            <w:r w:rsidRPr="00557C8E">
              <w:rPr>
                <w:rFonts w:ascii="Segoe UI" w:hAnsi="Segoe UI" w:cs="Segoe UI"/>
              </w:rPr>
              <w:t>Representative</w:t>
            </w:r>
          </w:p>
        </w:tc>
        <w:tc>
          <w:tcPr>
            <w:tcW w:w="1481" w:type="pct"/>
          </w:tcPr>
          <w:p w14:paraId="3790CE7B" w14:textId="77777777" w:rsidR="00456006" w:rsidRPr="00557C8E" w:rsidRDefault="00456006" w:rsidP="005A321F">
            <w:pPr>
              <w:pStyle w:val="TabletextLeft"/>
              <w:rPr>
                <w:rFonts w:ascii="Segoe UI" w:hAnsi="Segoe UI" w:cs="Segoe UI"/>
              </w:rPr>
            </w:pPr>
            <w:r>
              <w:rPr>
                <w:rFonts w:ascii="Segoe UI" w:hAnsi="Segoe UI" w:cs="Segoe UI"/>
              </w:rPr>
              <w:t>Mr John Dicer</w:t>
            </w:r>
          </w:p>
        </w:tc>
        <w:tc>
          <w:tcPr>
            <w:tcW w:w="2500" w:type="pct"/>
          </w:tcPr>
          <w:p w14:paraId="494E2424" w14:textId="77777777" w:rsidR="00456006" w:rsidRPr="00557C8E" w:rsidRDefault="00456006" w:rsidP="005A321F">
            <w:pPr>
              <w:pStyle w:val="TabletextLeft"/>
              <w:rPr>
                <w:rFonts w:ascii="Segoe UI" w:hAnsi="Segoe UI" w:cs="Segoe UI"/>
              </w:rPr>
            </w:pPr>
            <w:r>
              <w:rPr>
                <w:rFonts w:ascii="Segoe UI" w:hAnsi="Segoe UI" w:cs="Segoe UI"/>
              </w:rPr>
              <w:t>Aged Care Pricing Commissioner</w:t>
            </w:r>
          </w:p>
        </w:tc>
      </w:tr>
      <w:tr w:rsidR="00456006" w:rsidRPr="00557C8E" w14:paraId="1422390C" w14:textId="77777777" w:rsidTr="00317CD9">
        <w:tc>
          <w:tcPr>
            <w:tcW w:w="1019" w:type="pct"/>
          </w:tcPr>
          <w:p w14:paraId="434E77E2" w14:textId="77777777" w:rsidR="00456006" w:rsidRPr="00557C8E" w:rsidRDefault="00456006" w:rsidP="005A321F">
            <w:pPr>
              <w:pStyle w:val="TabletextLeft"/>
              <w:rPr>
                <w:rFonts w:ascii="Segoe UI" w:hAnsi="Segoe UI" w:cs="Segoe UI"/>
              </w:rPr>
            </w:pPr>
            <w:r w:rsidRPr="00557C8E">
              <w:rPr>
                <w:rFonts w:ascii="Segoe UI" w:hAnsi="Segoe UI" w:cs="Segoe UI"/>
              </w:rPr>
              <w:t xml:space="preserve">Representative </w:t>
            </w:r>
          </w:p>
        </w:tc>
        <w:tc>
          <w:tcPr>
            <w:tcW w:w="1481" w:type="pct"/>
          </w:tcPr>
          <w:p w14:paraId="345A036D" w14:textId="77777777" w:rsidR="00456006" w:rsidRPr="00557C8E" w:rsidRDefault="00456006" w:rsidP="00544334">
            <w:pPr>
              <w:pStyle w:val="TabletextLeft"/>
              <w:rPr>
                <w:rFonts w:ascii="Segoe UI" w:hAnsi="Segoe UI" w:cs="Segoe UI"/>
              </w:rPr>
            </w:pPr>
            <w:r>
              <w:rPr>
                <w:rFonts w:cstheme="minorHAnsi"/>
              </w:rPr>
              <w:t>Ms</w:t>
            </w:r>
            <w:r w:rsidRPr="009F17F8">
              <w:rPr>
                <w:rFonts w:cstheme="minorHAnsi"/>
              </w:rPr>
              <w:t xml:space="preserve"> Leah Wojcik</w:t>
            </w:r>
          </w:p>
        </w:tc>
        <w:tc>
          <w:tcPr>
            <w:tcW w:w="2500" w:type="pct"/>
          </w:tcPr>
          <w:p w14:paraId="7C423CC4" w14:textId="77777777" w:rsidR="00456006" w:rsidRPr="00557C8E" w:rsidRDefault="00456006" w:rsidP="005A321F">
            <w:pPr>
              <w:pStyle w:val="TabletextLeft"/>
              <w:rPr>
                <w:rFonts w:ascii="Segoe UI" w:hAnsi="Segoe UI" w:cs="Segoe UI"/>
              </w:rPr>
            </w:pPr>
            <w:r>
              <w:rPr>
                <w:rFonts w:ascii="Segoe UI" w:hAnsi="Segoe UI" w:cs="Segoe UI"/>
              </w:rPr>
              <w:t xml:space="preserve">Manager, Health and Disability Social Policy Division, Department of the Treasury </w:t>
            </w:r>
          </w:p>
        </w:tc>
      </w:tr>
    </w:tbl>
    <w:p w14:paraId="7FF32EFD" w14:textId="77777777" w:rsidR="00456006" w:rsidRDefault="00456006" w:rsidP="00456006">
      <w:pPr>
        <w:rPr>
          <w:rFonts w:ascii="Segoe UI" w:hAnsi="Segoe UI" w:cs="Segoe UI"/>
        </w:rPr>
      </w:pPr>
    </w:p>
    <w:p w14:paraId="648B101E" w14:textId="77777777" w:rsidR="004E33AB" w:rsidRDefault="004E33AB" w:rsidP="00456006">
      <w:pPr>
        <w:rPr>
          <w:rFonts w:ascii="Segoe UI" w:hAnsi="Segoe UI" w:cs="Segoe UI"/>
        </w:rPr>
      </w:pPr>
    </w:p>
    <w:p w14:paraId="45F63FF7" w14:textId="77777777" w:rsidR="004E33AB" w:rsidRDefault="004E33AB" w:rsidP="00456006">
      <w:pPr>
        <w:rPr>
          <w:rFonts w:ascii="Segoe UI" w:hAnsi="Segoe UI" w:cs="Segoe UI"/>
        </w:rPr>
      </w:pPr>
    </w:p>
    <w:p w14:paraId="2F5E9181" w14:textId="77777777" w:rsidR="00524E26" w:rsidRPr="009C2EC0" w:rsidRDefault="00524E26" w:rsidP="00317CD9">
      <w:pPr>
        <w:pStyle w:val="AppendixTableCaption"/>
        <w:numPr>
          <w:ilvl w:val="0"/>
          <w:numId w:val="0"/>
        </w:numPr>
        <w:ind w:left="2880" w:firstLine="720"/>
        <w:jc w:val="left"/>
        <w:rPr>
          <w:rFonts w:ascii="Segoe UI" w:hAnsi="Segoe UI" w:cs="Segoe UI"/>
        </w:rPr>
      </w:pPr>
      <w:r>
        <w:rPr>
          <w:rFonts w:ascii="Segoe UI" w:hAnsi="Segoe UI" w:cs="Segoe UI"/>
        </w:rPr>
        <w:t>Structure</w:t>
      </w:r>
    </w:p>
    <w:p w14:paraId="6A5603F6" w14:textId="77777777" w:rsidR="00456006" w:rsidRDefault="00280642" w:rsidP="00456006">
      <w:pPr>
        <w:rPr>
          <w:rFonts w:ascii="Segoe UI" w:hAnsi="Segoe UI" w:cs="Segoe UI"/>
        </w:rPr>
      </w:pPr>
      <w:r w:rsidRPr="006C0678">
        <w:rPr>
          <w:noProof/>
          <w:lang w:eastAsia="en-AU"/>
        </w:rPr>
        <w:drawing>
          <wp:inline distT="0" distB="0" distL="0" distR="0" wp14:anchorId="09B3EC16" wp14:editId="0BA55B27">
            <wp:extent cx="5731510" cy="2006090"/>
            <wp:effectExtent l="0" t="0" r="0" b="0"/>
            <wp:docPr id="2" name="Picture 2" descr="This picture depicts the ACFA committee structure. " title="ACFA Committe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31510" cy="2006090"/>
                    </a:xfrm>
                    <a:prstGeom prst="rect">
                      <a:avLst/>
                    </a:prstGeom>
                    <a:noFill/>
                    <a:ln>
                      <a:noFill/>
                    </a:ln>
                  </pic:spPr>
                </pic:pic>
              </a:graphicData>
            </a:graphic>
          </wp:inline>
        </w:drawing>
      </w:r>
    </w:p>
    <w:p w14:paraId="405C8519" w14:textId="77777777" w:rsidR="00B66E2C" w:rsidRDefault="00B66E2C" w:rsidP="000C062D">
      <w:pPr>
        <w:pStyle w:val="Appendix1"/>
      </w:pPr>
      <w:r>
        <w:lastRenderedPageBreak/>
        <w:t>Appendix B</w:t>
      </w:r>
    </w:p>
    <w:p w14:paraId="386AE876" w14:textId="77777777" w:rsidR="00B66E2C" w:rsidRDefault="00B66E2C" w:rsidP="000C062D">
      <w:pPr>
        <w:pStyle w:val="Appendix2"/>
      </w:pPr>
      <w:r>
        <w:t>ACFA Reports to Government</w:t>
      </w:r>
    </w:p>
    <w:tbl>
      <w:tblPr>
        <w:tblStyle w:val="TableAE"/>
        <w:tblW w:w="9571" w:type="dxa"/>
        <w:tblLayout w:type="fixed"/>
        <w:tblLook w:val="04A0" w:firstRow="1" w:lastRow="0" w:firstColumn="1" w:lastColumn="0" w:noHBand="0" w:noVBand="1"/>
        <w:tblCaption w:val="Table B.1: Work completed to date"/>
        <w:tblDescription w:val="This table lists the work ACFA has completed to date since 2012"/>
      </w:tblPr>
      <w:tblGrid>
        <w:gridCol w:w="4785"/>
        <w:gridCol w:w="4786"/>
      </w:tblGrid>
      <w:tr w:rsidR="00280642" w:rsidRPr="009C5F13" w14:paraId="1D14DC63" w14:textId="77777777" w:rsidTr="005A321F">
        <w:trPr>
          <w:cnfStyle w:val="100000000000" w:firstRow="1" w:lastRow="0" w:firstColumn="0" w:lastColumn="0" w:oddVBand="0" w:evenVBand="0" w:oddHBand="0" w:evenHBand="0" w:firstRowFirstColumn="0" w:firstRowLastColumn="0" w:lastRowFirstColumn="0" w:lastRowLastColumn="0"/>
          <w:tblHeader/>
        </w:trPr>
        <w:tc>
          <w:tcPr>
            <w:tcW w:w="4785" w:type="dxa"/>
          </w:tcPr>
          <w:p w14:paraId="7864C6E3" w14:textId="77777777" w:rsidR="00280642" w:rsidRPr="009C5F13" w:rsidRDefault="00280642" w:rsidP="005A321F">
            <w:pPr>
              <w:pStyle w:val="TableHeadingCentre"/>
            </w:pPr>
            <w:r w:rsidRPr="009C5F13">
              <w:t>Work</w:t>
            </w:r>
          </w:p>
        </w:tc>
        <w:tc>
          <w:tcPr>
            <w:tcW w:w="4786" w:type="dxa"/>
          </w:tcPr>
          <w:p w14:paraId="4D2EF25E" w14:textId="77777777" w:rsidR="00280642" w:rsidRPr="009C5F13" w:rsidRDefault="00280642" w:rsidP="004A369E">
            <w:pPr>
              <w:pStyle w:val="TableHeadingCentre"/>
              <w:jc w:val="left"/>
            </w:pPr>
            <w:r>
              <w:t>D</w:t>
            </w:r>
            <w:r w:rsidRPr="009C5F13">
              <w:t xml:space="preserve">ate of </w:t>
            </w:r>
            <w:r w:rsidR="004A369E">
              <w:t>publication</w:t>
            </w:r>
          </w:p>
        </w:tc>
      </w:tr>
      <w:tr w:rsidR="00280642" w:rsidRPr="009C5F13" w14:paraId="22F42C08" w14:textId="77777777" w:rsidTr="005A321F">
        <w:tc>
          <w:tcPr>
            <w:tcW w:w="4785" w:type="dxa"/>
            <w:tcBorders>
              <w:top w:val="single" w:sz="8" w:space="0" w:color="002776"/>
              <w:bottom w:val="single" w:sz="4" w:space="0" w:color="D9D9D9" w:themeColor="background1" w:themeShade="D9"/>
            </w:tcBorders>
          </w:tcPr>
          <w:p w14:paraId="44578C72" w14:textId="77777777" w:rsidR="00280642" w:rsidRDefault="00280642" w:rsidP="005A321F">
            <w:pPr>
              <w:pStyle w:val="TabletextLeft"/>
              <w:rPr>
                <w:rFonts w:asciiTheme="minorHAnsi" w:hAnsiTheme="minorHAnsi"/>
              </w:rPr>
            </w:pPr>
            <w:r w:rsidRPr="00B76C98">
              <w:rPr>
                <w:rFonts w:asciiTheme="minorHAnsi" w:hAnsiTheme="minorHAnsi"/>
              </w:rPr>
              <w:t>ACFA’s report on understanding how consumers plan and finance aged care</w:t>
            </w:r>
          </w:p>
        </w:tc>
        <w:tc>
          <w:tcPr>
            <w:tcW w:w="4786" w:type="dxa"/>
            <w:tcBorders>
              <w:top w:val="single" w:sz="8" w:space="0" w:color="002776"/>
              <w:bottom w:val="single" w:sz="4" w:space="0" w:color="D9D9D9" w:themeColor="background1" w:themeShade="D9"/>
            </w:tcBorders>
          </w:tcPr>
          <w:p w14:paraId="6DB3BA04" w14:textId="77777777" w:rsidR="00280642" w:rsidRDefault="00280642" w:rsidP="005A321F">
            <w:pPr>
              <w:pStyle w:val="TabletextLeft"/>
              <w:rPr>
                <w:rFonts w:asciiTheme="minorHAnsi" w:hAnsiTheme="minorHAnsi"/>
              </w:rPr>
            </w:pPr>
            <w:r w:rsidRPr="00B76C98">
              <w:rPr>
                <w:rFonts w:asciiTheme="minorHAnsi" w:hAnsiTheme="minorHAnsi"/>
              </w:rPr>
              <w:t>Published 24 December 2018</w:t>
            </w:r>
            <w:r w:rsidR="00453D32">
              <w:rPr>
                <w:rFonts w:asciiTheme="minorHAnsi" w:hAnsiTheme="minorHAnsi"/>
              </w:rPr>
              <w:t>.</w:t>
            </w:r>
          </w:p>
        </w:tc>
      </w:tr>
      <w:tr w:rsidR="00280642" w:rsidRPr="009C5F13" w14:paraId="3302E6E5" w14:textId="77777777" w:rsidTr="005A321F">
        <w:tc>
          <w:tcPr>
            <w:tcW w:w="4785" w:type="dxa"/>
            <w:tcBorders>
              <w:top w:val="single" w:sz="8" w:space="0" w:color="002776"/>
              <w:bottom w:val="single" w:sz="4" w:space="0" w:color="D9D9D9" w:themeColor="background1" w:themeShade="D9"/>
            </w:tcBorders>
          </w:tcPr>
          <w:p w14:paraId="0C49FD0F" w14:textId="77777777" w:rsidR="00280642" w:rsidRDefault="00280642" w:rsidP="005A321F">
            <w:pPr>
              <w:pStyle w:val="TabletextLeft"/>
              <w:rPr>
                <w:rFonts w:asciiTheme="minorHAnsi" w:hAnsiTheme="minorHAnsi"/>
              </w:rPr>
            </w:pPr>
            <w:r w:rsidRPr="00B76C98">
              <w:rPr>
                <w:rFonts w:asciiTheme="minorHAnsi" w:hAnsiTheme="minorHAnsi"/>
              </w:rPr>
              <w:t>ACFA’s report on respite for aged care recipients</w:t>
            </w:r>
          </w:p>
        </w:tc>
        <w:tc>
          <w:tcPr>
            <w:tcW w:w="4786" w:type="dxa"/>
            <w:tcBorders>
              <w:top w:val="single" w:sz="8" w:space="0" w:color="002776"/>
              <w:bottom w:val="single" w:sz="4" w:space="0" w:color="D9D9D9" w:themeColor="background1" w:themeShade="D9"/>
            </w:tcBorders>
          </w:tcPr>
          <w:p w14:paraId="0D7DED3D" w14:textId="77777777" w:rsidR="00280642" w:rsidRDefault="00280642" w:rsidP="00453D32">
            <w:pPr>
              <w:rPr>
                <w:rFonts w:asciiTheme="minorHAnsi" w:hAnsiTheme="minorHAnsi"/>
              </w:rPr>
            </w:pPr>
            <w:r w:rsidRPr="00B76C98">
              <w:rPr>
                <w:rFonts w:asciiTheme="minorHAnsi" w:hAnsiTheme="minorHAnsi"/>
              </w:rPr>
              <w:t>Published 28 November 2018</w:t>
            </w:r>
            <w:r w:rsidR="00453D32">
              <w:rPr>
                <w:rFonts w:asciiTheme="minorHAnsi" w:hAnsiTheme="minorHAnsi"/>
              </w:rPr>
              <w:t>.</w:t>
            </w:r>
          </w:p>
        </w:tc>
      </w:tr>
      <w:tr w:rsidR="00280642" w:rsidRPr="009C5F13" w14:paraId="6ED38C6C" w14:textId="77777777" w:rsidTr="005A321F">
        <w:tc>
          <w:tcPr>
            <w:tcW w:w="4785" w:type="dxa"/>
            <w:tcBorders>
              <w:top w:val="single" w:sz="8" w:space="0" w:color="002776"/>
              <w:bottom w:val="single" w:sz="4" w:space="0" w:color="D9D9D9" w:themeColor="background1" w:themeShade="D9"/>
            </w:tcBorders>
          </w:tcPr>
          <w:p w14:paraId="1160BFB4" w14:textId="77777777" w:rsidR="00280642" w:rsidRDefault="00280642" w:rsidP="005A321F">
            <w:pPr>
              <w:pStyle w:val="TabletextLeft"/>
              <w:rPr>
                <w:rFonts w:asciiTheme="minorHAnsi" w:hAnsiTheme="minorHAnsi"/>
              </w:rPr>
            </w:pPr>
            <w:r w:rsidRPr="00B76C98">
              <w:rPr>
                <w:rFonts w:asciiTheme="minorHAnsi" w:hAnsiTheme="minorHAnsi"/>
              </w:rPr>
              <w:t>ACFA’s Update on Funding and Financing issues in residential aged care industry</w:t>
            </w:r>
          </w:p>
        </w:tc>
        <w:tc>
          <w:tcPr>
            <w:tcW w:w="4786" w:type="dxa"/>
            <w:tcBorders>
              <w:top w:val="single" w:sz="8" w:space="0" w:color="002776"/>
              <w:bottom w:val="single" w:sz="4" w:space="0" w:color="D9D9D9" w:themeColor="background1" w:themeShade="D9"/>
            </w:tcBorders>
          </w:tcPr>
          <w:p w14:paraId="47A70E11" w14:textId="77777777" w:rsidR="00280642" w:rsidRDefault="00280642" w:rsidP="00453D32">
            <w:pPr>
              <w:rPr>
                <w:rFonts w:asciiTheme="minorHAnsi" w:hAnsiTheme="minorHAnsi"/>
              </w:rPr>
            </w:pPr>
            <w:r w:rsidRPr="00453D32">
              <w:rPr>
                <w:rFonts w:asciiTheme="minorHAnsi" w:hAnsiTheme="minorHAnsi"/>
              </w:rPr>
              <w:t>Published 5 November 2018</w:t>
            </w:r>
            <w:r w:rsidR="00453D32">
              <w:rPr>
                <w:rFonts w:asciiTheme="minorHAnsi" w:hAnsiTheme="minorHAnsi"/>
              </w:rPr>
              <w:t>.</w:t>
            </w:r>
          </w:p>
        </w:tc>
      </w:tr>
      <w:tr w:rsidR="00280642" w:rsidRPr="009C5F13" w14:paraId="72C943F4" w14:textId="77777777" w:rsidTr="005A321F">
        <w:tc>
          <w:tcPr>
            <w:tcW w:w="4785" w:type="dxa"/>
            <w:tcBorders>
              <w:top w:val="single" w:sz="8" w:space="0" w:color="002776"/>
              <w:bottom w:val="single" w:sz="4" w:space="0" w:color="D9D9D9" w:themeColor="background1" w:themeShade="D9"/>
            </w:tcBorders>
          </w:tcPr>
          <w:p w14:paraId="44BEFACD" w14:textId="77777777" w:rsidR="00280642" w:rsidRPr="00B76C98" w:rsidRDefault="00280642" w:rsidP="005A321F">
            <w:pPr>
              <w:rPr>
                <w:rFonts w:asciiTheme="minorHAnsi" w:hAnsiTheme="minorHAnsi"/>
              </w:rPr>
            </w:pPr>
            <w:r w:rsidRPr="00B76C98">
              <w:rPr>
                <w:rFonts w:asciiTheme="minorHAnsi" w:hAnsiTheme="minorHAnsi"/>
              </w:rPr>
              <w:t>2018 ACFA Annual Report on Funding and Financing of the Aged Care Sector</w:t>
            </w:r>
          </w:p>
        </w:tc>
        <w:tc>
          <w:tcPr>
            <w:tcW w:w="4786" w:type="dxa"/>
            <w:tcBorders>
              <w:top w:val="single" w:sz="8" w:space="0" w:color="002776"/>
              <w:bottom w:val="single" w:sz="4" w:space="0" w:color="D9D9D9" w:themeColor="background1" w:themeShade="D9"/>
            </w:tcBorders>
          </w:tcPr>
          <w:p w14:paraId="6DA87624" w14:textId="617A8496" w:rsidR="00280642" w:rsidRDefault="00280642" w:rsidP="004E33AB">
            <w:pPr>
              <w:rPr>
                <w:rFonts w:asciiTheme="minorHAnsi" w:hAnsiTheme="minorHAnsi"/>
              </w:rPr>
            </w:pPr>
            <w:r w:rsidRPr="00B76C98">
              <w:rPr>
                <w:rFonts w:asciiTheme="minorHAnsi" w:hAnsiTheme="minorHAnsi"/>
              </w:rPr>
              <w:t>Published 2</w:t>
            </w:r>
            <w:r w:rsidR="004E33AB">
              <w:rPr>
                <w:rFonts w:asciiTheme="minorHAnsi" w:hAnsiTheme="minorHAnsi"/>
              </w:rPr>
              <w:t>8 August</w:t>
            </w:r>
            <w:r w:rsidRPr="00B76C98">
              <w:rPr>
                <w:rFonts w:asciiTheme="minorHAnsi" w:hAnsiTheme="minorHAnsi"/>
              </w:rPr>
              <w:t xml:space="preserve"> 2018</w:t>
            </w:r>
            <w:r w:rsidR="00453D32">
              <w:rPr>
                <w:rFonts w:asciiTheme="minorHAnsi" w:hAnsiTheme="minorHAnsi"/>
              </w:rPr>
              <w:t>.</w:t>
            </w:r>
          </w:p>
        </w:tc>
      </w:tr>
      <w:tr w:rsidR="00280642" w:rsidRPr="009C5F13" w14:paraId="42B57DB4" w14:textId="77777777" w:rsidTr="005A321F">
        <w:tc>
          <w:tcPr>
            <w:tcW w:w="4785" w:type="dxa"/>
            <w:tcBorders>
              <w:top w:val="single" w:sz="8" w:space="0" w:color="002776"/>
              <w:bottom w:val="single" w:sz="4" w:space="0" w:color="D9D9D9" w:themeColor="background1" w:themeShade="D9"/>
            </w:tcBorders>
          </w:tcPr>
          <w:p w14:paraId="2E40D1AA" w14:textId="77777777" w:rsidR="00280642" w:rsidRDefault="00280642" w:rsidP="005A321F">
            <w:pPr>
              <w:pStyle w:val="TabletextLeft"/>
              <w:rPr>
                <w:rFonts w:asciiTheme="minorHAnsi" w:hAnsiTheme="minorHAnsi"/>
              </w:rPr>
            </w:pPr>
            <w:r>
              <w:rPr>
                <w:rFonts w:asciiTheme="minorHAnsi" w:hAnsiTheme="minorHAnsi"/>
              </w:rPr>
              <w:t>2017 Annual Report on Funding and Financing of the Aged Care Sector</w:t>
            </w:r>
          </w:p>
        </w:tc>
        <w:tc>
          <w:tcPr>
            <w:tcW w:w="4786" w:type="dxa"/>
            <w:tcBorders>
              <w:top w:val="single" w:sz="8" w:space="0" w:color="002776"/>
              <w:bottom w:val="single" w:sz="4" w:space="0" w:color="D9D9D9" w:themeColor="background1" w:themeShade="D9"/>
            </w:tcBorders>
          </w:tcPr>
          <w:p w14:paraId="07B84180" w14:textId="77777777" w:rsidR="00280642" w:rsidRDefault="00280642" w:rsidP="00453D32">
            <w:pPr>
              <w:rPr>
                <w:rFonts w:asciiTheme="minorHAnsi" w:hAnsiTheme="minorHAnsi"/>
              </w:rPr>
            </w:pPr>
            <w:r w:rsidRPr="00B83A13">
              <w:rPr>
                <w:rFonts w:asciiTheme="minorHAnsi" w:hAnsiTheme="minorHAnsi"/>
              </w:rPr>
              <w:t xml:space="preserve">Published in </w:t>
            </w:r>
            <w:r>
              <w:rPr>
                <w:rFonts w:asciiTheme="minorHAnsi" w:hAnsiTheme="minorHAnsi"/>
              </w:rPr>
              <w:t>August </w:t>
            </w:r>
            <w:r w:rsidR="004A369E">
              <w:rPr>
                <w:rFonts w:asciiTheme="minorHAnsi" w:hAnsiTheme="minorHAnsi"/>
              </w:rPr>
              <w:t>2017</w:t>
            </w:r>
            <w:r w:rsidR="00453D32">
              <w:rPr>
                <w:rFonts w:asciiTheme="minorHAnsi" w:hAnsiTheme="minorHAnsi"/>
              </w:rPr>
              <w:t>.</w:t>
            </w:r>
          </w:p>
        </w:tc>
      </w:tr>
      <w:tr w:rsidR="00280642" w:rsidRPr="009C5F13" w14:paraId="16E8B30A" w14:textId="77777777" w:rsidTr="005A321F">
        <w:tc>
          <w:tcPr>
            <w:tcW w:w="4785" w:type="dxa"/>
            <w:tcBorders>
              <w:top w:val="single" w:sz="8" w:space="0" w:color="002776"/>
              <w:bottom w:val="single" w:sz="4" w:space="0" w:color="D9D9D9" w:themeColor="background1" w:themeShade="D9"/>
            </w:tcBorders>
          </w:tcPr>
          <w:p w14:paraId="47A430B1" w14:textId="77777777" w:rsidR="00280642" w:rsidRPr="006C5A6E" w:rsidRDefault="00280642" w:rsidP="005A321F">
            <w:pPr>
              <w:pStyle w:val="TabletextLeft"/>
              <w:rPr>
                <w:rFonts w:asciiTheme="minorHAnsi" w:hAnsiTheme="minorHAnsi"/>
              </w:rPr>
            </w:pPr>
            <w:r w:rsidRPr="006C5A6E">
              <w:rPr>
                <w:rFonts w:asciiTheme="minorHAnsi" w:hAnsiTheme="minorHAnsi"/>
                <w:iCs/>
              </w:rPr>
              <w:t xml:space="preserve">Application of the </w:t>
            </w:r>
            <w:r>
              <w:rPr>
                <w:rFonts w:asciiTheme="minorHAnsi" w:hAnsiTheme="minorHAnsi"/>
                <w:iCs/>
              </w:rPr>
              <w:t>B</w:t>
            </w:r>
            <w:r w:rsidRPr="006C5A6E">
              <w:rPr>
                <w:rFonts w:asciiTheme="minorHAnsi" w:hAnsiTheme="minorHAnsi"/>
                <w:iCs/>
              </w:rPr>
              <w:t xml:space="preserve">ase </w:t>
            </w:r>
            <w:r>
              <w:rPr>
                <w:rFonts w:asciiTheme="minorHAnsi" w:hAnsiTheme="minorHAnsi"/>
                <w:iCs/>
              </w:rPr>
              <w:t>I</w:t>
            </w:r>
            <w:r w:rsidRPr="006C5A6E">
              <w:rPr>
                <w:rFonts w:asciiTheme="minorHAnsi" w:hAnsiTheme="minorHAnsi"/>
                <w:iCs/>
              </w:rPr>
              <w:t xml:space="preserve">nterest </w:t>
            </w:r>
            <w:r>
              <w:rPr>
                <w:rFonts w:asciiTheme="minorHAnsi" w:hAnsiTheme="minorHAnsi"/>
                <w:iCs/>
              </w:rPr>
              <w:t>R</w:t>
            </w:r>
            <w:r w:rsidRPr="006C5A6E">
              <w:rPr>
                <w:rFonts w:asciiTheme="minorHAnsi" w:hAnsiTheme="minorHAnsi"/>
                <w:iCs/>
              </w:rPr>
              <w:t>ate</w:t>
            </w:r>
          </w:p>
        </w:tc>
        <w:tc>
          <w:tcPr>
            <w:tcW w:w="4786" w:type="dxa"/>
            <w:tcBorders>
              <w:top w:val="single" w:sz="8" w:space="0" w:color="002776"/>
              <w:bottom w:val="single" w:sz="4" w:space="0" w:color="D9D9D9" w:themeColor="background1" w:themeShade="D9"/>
            </w:tcBorders>
          </w:tcPr>
          <w:p w14:paraId="00ECC907" w14:textId="77777777" w:rsidR="00280642" w:rsidRDefault="004A369E" w:rsidP="00453D32">
            <w:pPr>
              <w:rPr>
                <w:rFonts w:asciiTheme="minorHAnsi" w:hAnsiTheme="minorHAnsi"/>
              </w:rPr>
            </w:pPr>
            <w:r>
              <w:rPr>
                <w:rFonts w:asciiTheme="minorHAnsi" w:hAnsiTheme="minorHAnsi"/>
              </w:rPr>
              <w:t>Published in June 2017</w:t>
            </w:r>
            <w:r w:rsidR="00453D32">
              <w:rPr>
                <w:rFonts w:asciiTheme="minorHAnsi" w:hAnsiTheme="minorHAnsi"/>
              </w:rPr>
              <w:t>.</w:t>
            </w:r>
          </w:p>
        </w:tc>
      </w:tr>
      <w:tr w:rsidR="00280642" w:rsidRPr="009C5F13" w14:paraId="2BF2084C" w14:textId="77777777" w:rsidTr="005A321F">
        <w:tc>
          <w:tcPr>
            <w:tcW w:w="4785" w:type="dxa"/>
            <w:tcBorders>
              <w:top w:val="single" w:sz="8" w:space="0" w:color="002776"/>
              <w:bottom w:val="single" w:sz="4" w:space="0" w:color="D9D9D9" w:themeColor="background1" w:themeShade="D9"/>
            </w:tcBorders>
          </w:tcPr>
          <w:p w14:paraId="78294186" w14:textId="77777777" w:rsidR="00280642" w:rsidRDefault="00280642" w:rsidP="005A321F">
            <w:pPr>
              <w:pStyle w:val="TabletextLeft"/>
              <w:rPr>
                <w:rFonts w:asciiTheme="minorHAnsi" w:hAnsiTheme="minorHAnsi"/>
              </w:rPr>
            </w:pPr>
            <w:r>
              <w:rPr>
                <w:rFonts w:asciiTheme="minorHAnsi" w:hAnsiTheme="minorHAnsi"/>
              </w:rPr>
              <w:t>Bond Guarantee Scheme</w:t>
            </w:r>
          </w:p>
        </w:tc>
        <w:tc>
          <w:tcPr>
            <w:tcW w:w="4786" w:type="dxa"/>
            <w:tcBorders>
              <w:top w:val="single" w:sz="8" w:space="0" w:color="002776"/>
              <w:bottom w:val="single" w:sz="4" w:space="0" w:color="D9D9D9" w:themeColor="background1" w:themeShade="D9"/>
            </w:tcBorders>
          </w:tcPr>
          <w:p w14:paraId="61C3B48A" w14:textId="77777777" w:rsidR="00280642" w:rsidRDefault="00280642" w:rsidP="004A369E">
            <w:pPr>
              <w:pStyle w:val="TabletextLeft"/>
              <w:rPr>
                <w:rFonts w:asciiTheme="minorHAnsi" w:hAnsiTheme="minorHAnsi"/>
              </w:rPr>
            </w:pPr>
            <w:r>
              <w:rPr>
                <w:rFonts w:asciiTheme="minorHAnsi" w:hAnsiTheme="minorHAnsi"/>
              </w:rPr>
              <w:t>Published in May 2017</w:t>
            </w:r>
            <w:r w:rsidR="00453D32">
              <w:rPr>
                <w:rFonts w:asciiTheme="minorHAnsi" w:hAnsiTheme="minorHAnsi"/>
              </w:rPr>
              <w:t>.</w:t>
            </w:r>
          </w:p>
        </w:tc>
      </w:tr>
      <w:tr w:rsidR="00280642" w:rsidRPr="009C5F13" w14:paraId="3B2ACC2F" w14:textId="77777777" w:rsidTr="005A321F">
        <w:tc>
          <w:tcPr>
            <w:tcW w:w="4785" w:type="dxa"/>
            <w:tcBorders>
              <w:top w:val="single" w:sz="8" w:space="0" w:color="002776"/>
              <w:bottom w:val="single" w:sz="4" w:space="0" w:color="D9D9D9" w:themeColor="background1" w:themeShade="D9"/>
            </w:tcBorders>
          </w:tcPr>
          <w:p w14:paraId="7F35103D" w14:textId="77777777" w:rsidR="00280642" w:rsidRDefault="00280642" w:rsidP="005A321F">
            <w:pPr>
              <w:pStyle w:val="TabletextLeft"/>
              <w:rPr>
                <w:rFonts w:asciiTheme="minorHAnsi" w:hAnsiTheme="minorHAnsi"/>
              </w:rPr>
            </w:pPr>
            <w:r w:rsidRPr="009C3FD9">
              <w:rPr>
                <w:rFonts w:asciiTheme="minorHAnsi" w:hAnsiTheme="minorHAnsi"/>
                <w:i/>
              </w:rPr>
              <w:t>Report to Inform the 2016-17 Review of Amendments</w:t>
            </w:r>
            <w:r>
              <w:rPr>
                <w:rFonts w:asciiTheme="minorHAnsi" w:hAnsiTheme="minorHAnsi"/>
              </w:rPr>
              <w:t xml:space="preserve"> to </w:t>
            </w:r>
            <w:r w:rsidRPr="009C3FD9">
              <w:rPr>
                <w:rFonts w:asciiTheme="minorHAnsi" w:hAnsiTheme="minorHAnsi"/>
              </w:rPr>
              <w:t xml:space="preserve">the </w:t>
            </w:r>
            <w:r>
              <w:rPr>
                <w:rFonts w:asciiTheme="minorHAnsi" w:hAnsiTheme="minorHAnsi"/>
                <w:i/>
              </w:rPr>
              <w:t>Aged Care Act 1997</w:t>
            </w:r>
            <w:r>
              <w:rPr>
                <w:rFonts w:asciiTheme="minorHAnsi" w:hAnsiTheme="minorHAnsi"/>
              </w:rPr>
              <w:t xml:space="preserve"> </w:t>
            </w:r>
          </w:p>
        </w:tc>
        <w:tc>
          <w:tcPr>
            <w:tcW w:w="4786" w:type="dxa"/>
            <w:tcBorders>
              <w:top w:val="single" w:sz="8" w:space="0" w:color="002776"/>
              <w:bottom w:val="single" w:sz="4" w:space="0" w:color="D9D9D9" w:themeColor="background1" w:themeShade="D9"/>
            </w:tcBorders>
          </w:tcPr>
          <w:p w14:paraId="31BD030D" w14:textId="77777777" w:rsidR="00280642" w:rsidRDefault="00280642" w:rsidP="004A369E">
            <w:pPr>
              <w:pStyle w:val="TabletextLeft"/>
              <w:rPr>
                <w:rFonts w:asciiTheme="minorHAnsi" w:hAnsiTheme="minorHAnsi"/>
              </w:rPr>
            </w:pPr>
            <w:r>
              <w:rPr>
                <w:rFonts w:asciiTheme="minorHAnsi" w:hAnsiTheme="minorHAnsi"/>
              </w:rPr>
              <w:t>Published in June 2017</w:t>
            </w:r>
            <w:r w:rsidR="00453D32">
              <w:rPr>
                <w:rFonts w:asciiTheme="minorHAnsi" w:hAnsiTheme="minorHAnsi"/>
              </w:rPr>
              <w:t>.</w:t>
            </w:r>
          </w:p>
        </w:tc>
      </w:tr>
      <w:tr w:rsidR="00280642" w:rsidRPr="009C5F13" w14:paraId="4A7A6E39" w14:textId="77777777" w:rsidTr="005A321F">
        <w:tc>
          <w:tcPr>
            <w:tcW w:w="4785" w:type="dxa"/>
            <w:tcBorders>
              <w:top w:val="single" w:sz="8" w:space="0" w:color="002776"/>
              <w:bottom w:val="single" w:sz="4" w:space="0" w:color="D9D9D9" w:themeColor="background1" w:themeShade="D9"/>
            </w:tcBorders>
          </w:tcPr>
          <w:p w14:paraId="73E80555" w14:textId="77777777" w:rsidR="00280642" w:rsidRDefault="00280642" w:rsidP="005A321F">
            <w:pPr>
              <w:pStyle w:val="TabletextLeft"/>
              <w:rPr>
                <w:rFonts w:asciiTheme="minorHAnsi" w:hAnsiTheme="minorHAnsi"/>
              </w:rPr>
            </w:pPr>
            <w:r>
              <w:rPr>
                <w:rFonts w:asciiTheme="minorHAnsi" w:hAnsiTheme="minorHAnsi"/>
              </w:rPr>
              <w:t xml:space="preserve">Access to Residential Care by Supported residents </w:t>
            </w:r>
          </w:p>
        </w:tc>
        <w:tc>
          <w:tcPr>
            <w:tcW w:w="4786" w:type="dxa"/>
            <w:tcBorders>
              <w:top w:val="single" w:sz="8" w:space="0" w:color="002776"/>
              <w:bottom w:val="single" w:sz="4" w:space="0" w:color="D9D9D9" w:themeColor="background1" w:themeShade="D9"/>
            </w:tcBorders>
          </w:tcPr>
          <w:p w14:paraId="27217B0D" w14:textId="77777777" w:rsidR="00280642" w:rsidRDefault="00280642" w:rsidP="004A369E">
            <w:pPr>
              <w:pStyle w:val="TabletextLeft"/>
              <w:rPr>
                <w:rFonts w:asciiTheme="minorHAnsi" w:hAnsiTheme="minorHAnsi"/>
              </w:rPr>
            </w:pPr>
            <w:r>
              <w:rPr>
                <w:rFonts w:asciiTheme="minorHAnsi" w:hAnsiTheme="minorHAnsi"/>
              </w:rPr>
              <w:t>Published in February 2017</w:t>
            </w:r>
            <w:r w:rsidR="00453D32">
              <w:rPr>
                <w:rFonts w:asciiTheme="minorHAnsi" w:hAnsiTheme="minorHAnsi"/>
              </w:rPr>
              <w:t>.</w:t>
            </w:r>
          </w:p>
        </w:tc>
      </w:tr>
      <w:tr w:rsidR="00280642" w:rsidRPr="009C5F13" w14:paraId="47BA6152" w14:textId="77777777" w:rsidTr="005A321F">
        <w:tc>
          <w:tcPr>
            <w:tcW w:w="4785" w:type="dxa"/>
            <w:tcBorders>
              <w:top w:val="single" w:sz="8" w:space="0" w:color="002776"/>
              <w:bottom w:val="single" w:sz="4" w:space="0" w:color="D9D9D9" w:themeColor="background1" w:themeShade="D9"/>
            </w:tcBorders>
          </w:tcPr>
          <w:p w14:paraId="55E36C01" w14:textId="77777777" w:rsidR="00280642" w:rsidRPr="009C5F13" w:rsidRDefault="00280642" w:rsidP="005A321F">
            <w:pPr>
              <w:pStyle w:val="TabletextLeft"/>
              <w:rPr>
                <w:rFonts w:asciiTheme="minorHAnsi" w:hAnsiTheme="minorHAnsi"/>
              </w:rPr>
            </w:pPr>
            <w:r>
              <w:rPr>
                <w:rFonts w:asciiTheme="minorHAnsi" w:hAnsiTheme="minorHAnsi"/>
              </w:rPr>
              <w:t xml:space="preserve">2016 Annual Report on Funding and Financing of the Aged Care Sector </w:t>
            </w:r>
          </w:p>
        </w:tc>
        <w:tc>
          <w:tcPr>
            <w:tcW w:w="4786" w:type="dxa"/>
            <w:tcBorders>
              <w:top w:val="single" w:sz="8" w:space="0" w:color="002776"/>
              <w:bottom w:val="single" w:sz="4" w:space="0" w:color="D9D9D9" w:themeColor="background1" w:themeShade="D9"/>
            </w:tcBorders>
          </w:tcPr>
          <w:p w14:paraId="10B34067" w14:textId="77777777" w:rsidR="00280642" w:rsidRPr="009C5F13" w:rsidRDefault="00280642" w:rsidP="005A321F">
            <w:pPr>
              <w:pStyle w:val="TabletextLeft"/>
              <w:rPr>
                <w:rFonts w:asciiTheme="minorHAnsi" w:hAnsiTheme="minorHAnsi"/>
              </w:rPr>
            </w:pPr>
            <w:r>
              <w:rPr>
                <w:rFonts w:asciiTheme="minorHAnsi" w:hAnsiTheme="minorHAnsi"/>
              </w:rPr>
              <w:t>Published in Au</w:t>
            </w:r>
            <w:r w:rsidR="004A369E">
              <w:rPr>
                <w:rFonts w:asciiTheme="minorHAnsi" w:hAnsiTheme="minorHAnsi"/>
              </w:rPr>
              <w:t>gust 2016</w:t>
            </w:r>
            <w:r w:rsidR="00453D32">
              <w:rPr>
                <w:rFonts w:asciiTheme="minorHAnsi" w:hAnsiTheme="minorHAnsi"/>
              </w:rPr>
              <w:t>.</w:t>
            </w:r>
          </w:p>
        </w:tc>
      </w:tr>
      <w:tr w:rsidR="00280642" w:rsidRPr="009C5F13" w14:paraId="53907DD0" w14:textId="77777777" w:rsidTr="005A321F">
        <w:tc>
          <w:tcPr>
            <w:tcW w:w="4785" w:type="dxa"/>
            <w:tcBorders>
              <w:top w:val="single" w:sz="8" w:space="0" w:color="002776"/>
              <w:bottom w:val="single" w:sz="4" w:space="0" w:color="D9D9D9" w:themeColor="background1" w:themeShade="D9"/>
            </w:tcBorders>
          </w:tcPr>
          <w:p w14:paraId="54345F94" w14:textId="77777777" w:rsidR="00280642" w:rsidRPr="003D6314" w:rsidRDefault="00280642" w:rsidP="005A321F">
            <w:pPr>
              <w:pStyle w:val="TabletextLeft"/>
              <w:rPr>
                <w:rFonts w:asciiTheme="minorHAnsi" w:hAnsiTheme="minorHAnsi"/>
              </w:rPr>
            </w:pPr>
            <w:r>
              <w:rPr>
                <w:rFonts w:asciiTheme="minorHAnsi" w:hAnsiTheme="minorHAnsi"/>
              </w:rPr>
              <w:t>Report on Issues Affecting the Financial Performance of Rural and Remote Providers, Residential and Home Care</w:t>
            </w:r>
          </w:p>
        </w:tc>
        <w:tc>
          <w:tcPr>
            <w:tcW w:w="4786" w:type="dxa"/>
            <w:tcBorders>
              <w:top w:val="single" w:sz="8" w:space="0" w:color="002776"/>
              <w:bottom w:val="single" w:sz="4" w:space="0" w:color="D9D9D9" w:themeColor="background1" w:themeShade="D9"/>
            </w:tcBorders>
          </w:tcPr>
          <w:p w14:paraId="784393F8" w14:textId="77777777" w:rsidR="00280642" w:rsidRPr="003D6314" w:rsidRDefault="00280642" w:rsidP="00453D32">
            <w:pPr>
              <w:rPr>
                <w:rFonts w:asciiTheme="minorHAnsi" w:hAnsiTheme="minorHAnsi"/>
              </w:rPr>
            </w:pPr>
            <w:r>
              <w:rPr>
                <w:rFonts w:asciiTheme="minorHAnsi" w:hAnsiTheme="minorHAnsi"/>
              </w:rPr>
              <w:t>Published in February 2016</w:t>
            </w:r>
            <w:r w:rsidR="00453D32">
              <w:rPr>
                <w:rFonts w:asciiTheme="minorHAnsi" w:hAnsiTheme="minorHAnsi"/>
              </w:rPr>
              <w:t>.</w:t>
            </w:r>
          </w:p>
        </w:tc>
      </w:tr>
      <w:tr w:rsidR="00280642" w:rsidRPr="009C5F13" w14:paraId="4FEC6741" w14:textId="77777777" w:rsidTr="005A321F">
        <w:tc>
          <w:tcPr>
            <w:tcW w:w="4785" w:type="dxa"/>
            <w:tcBorders>
              <w:top w:val="single" w:sz="8" w:space="0" w:color="002776"/>
              <w:bottom w:val="single" w:sz="4" w:space="0" w:color="D9D9D9" w:themeColor="background1" w:themeShade="D9"/>
            </w:tcBorders>
          </w:tcPr>
          <w:p w14:paraId="693783FB" w14:textId="77777777" w:rsidR="00280642" w:rsidRPr="003D6314" w:rsidRDefault="00280642" w:rsidP="005A321F">
            <w:pPr>
              <w:pStyle w:val="TabletextLeft"/>
              <w:rPr>
                <w:rFonts w:asciiTheme="minorHAnsi" w:hAnsiTheme="minorHAnsi"/>
              </w:rPr>
            </w:pPr>
            <w:r>
              <w:rPr>
                <w:rFonts w:asciiTheme="minorHAnsi" w:hAnsiTheme="minorHAnsi"/>
              </w:rPr>
              <w:t>2015 Annual Report on Funding and Financing of the Aged Care Sector</w:t>
            </w:r>
          </w:p>
        </w:tc>
        <w:tc>
          <w:tcPr>
            <w:tcW w:w="4786" w:type="dxa"/>
            <w:tcBorders>
              <w:top w:val="single" w:sz="8" w:space="0" w:color="002776"/>
              <w:bottom w:val="single" w:sz="4" w:space="0" w:color="D9D9D9" w:themeColor="background1" w:themeShade="D9"/>
            </w:tcBorders>
          </w:tcPr>
          <w:p w14:paraId="11CF11D9" w14:textId="77777777" w:rsidR="00280642" w:rsidRPr="003D6314" w:rsidRDefault="004A369E" w:rsidP="00453D32">
            <w:pPr>
              <w:rPr>
                <w:rFonts w:asciiTheme="minorHAnsi" w:hAnsiTheme="minorHAnsi"/>
              </w:rPr>
            </w:pPr>
            <w:r>
              <w:rPr>
                <w:rFonts w:asciiTheme="minorHAnsi" w:hAnsiTheme="minorHAnsi"/>
              </w:rPr>
              <w:t>Published in August 2016</w:t>
            </w:r>
            <w:r w:rsidR="00453D32">
              <w:rPr>
                <w:rFonts w:asciiTheme="minorHAnsi" w:hAnsiTheme="minorHAnsi"/>
              </w:rPr>
              <w:t>.</w:t>
            </w:r>
          </w:p>
        </w:tc>
      </w:tr>
      <w:tr w:rsidR="00280642" w:rsidRPr="009C5F13" w14:paraId="1ECE136B" w14:textId="77777777" w:rsidTr="005A321F">
        <w:tc>
          <w:tcPr>
            <w:tcW w:w="4785" w:type="dxa"/>
            <w:tcBorders>
              <w:top w:val="single" w:sz="8" w:space="0" w:color="002776"/>
              <w:bottom w:val="single" w:sz="4" w:space="0" w:color="D9D9D9" w:themeColor="background1" w:themeShade="D9"/>
            </w:tcBorders>
          </w:tcPr>
          <w:p w14:paraId="3B421602" w14:textId="77777777" w:rsidR="00280642" w:rsidRPr="009C5F13" w:rsidRDefault="00280642" w:rsidP="005A321F">
            <w:pPr>
              <w:pStyle w:val="TabletextLeft"/>
              <w:rPr>
                <w:rFonts w:asciiTheme="minorHAnsi" w:hAnsiTheme="minorHAnsi"/>
              </w:rPr>
            </w:pPr>
            <w:r w:rsidRPr="003D6314">
              <w:rPr>
                <w:rFonts w:asciiTheme="minorHAnsi" w:hAnsiTheme="minorHAnsi"/>
              </w:rPr>
              <w:t xml:space="preserve">Report on </w:t>
            </w:r>
            <w:r>
              <w:rPr>
                <w:rFonts w:asciiTheme="minorHAnsi" w:hAnsiTheme="minorHAnsi"/>
              </w:rPr>
              <w:t>F</w:t>
            </w:r>
            <w:r w:rsidRPr="003D6314">
              <w:rPr>
                <w:rFonts w:asciiTheme="minorHAnsi" w:hAnsiTheme="minorHAnsi"/>
              </w:rPr>
              <w:t xml:space="preserve">actors </w:t>
            </w:r>
            <w:r>
              <w:rPr>
                <w:rFonts w:asciiTheme="minorHAnsi" w:hAnsiTheme="minorHAnsi"/>
              </w:rPr>
              <w:t>I</w:t>
            </w:r>
            <w:r w:rsidRPr="003D6314">
              <w:rPr>
                <w:rFonts w:asciiTheme="minorHAnsi" w:hAnsiTheme="minorHAnsi"/>
              </w:rPr>
              <w:t xml:space="preserve">nfluencing the </w:t>
            </w:r>
            <w:r>
              <w:rPr>
                <w:rFonts w:asciiTheme="minorHAnsi" w:hAnsiTheme="minorHAnsi"/>
              </w:rPr>
              <w:t>F</w:t>
            </w:r>
            <w:r w:rsidRPr="003D6314">
              <w:rPr>
                <w:rFonts w:asciiTheme="minorHAnsi" w:hAnsiTheme="minorHAnsi"/>
              </w:rPr>
              <w:t xml:space="preserve">inancial </w:t>
            </w:r>
            <w:r>
              <w:rPr>
                <w:rFonts w:asciiTheme="minorHAnsi" w:hAnsiTheme="minorHAnsi"/>
              </w:rPr>
              <w:t>P</w:t>
            </w:r>
            <w:r w:rsidRPr="003D6314">
              <w:rPr>
                <w:rFonts w:asciiTheme="minorHAnsi" w:hAnsiTheme="minorHAnsi"/>
              </w:rPr>
              <w:t>erformance of</w:t>
            </w:r>
            <w:r>
              <w:rPr>
                <w:rFonts w:asciiTheme="minorHAnsi" w:hAnsiTheme="minorHAnsi"/>
              </w:rPr>
              <w:t xml:space="preserve"> Residential</w:t>
            </w:r>
            <w:r w:rsidRPr="003D6314">
              <w:rPr>
                <w:rFonts w:asciiTheme="minorHAnsi" w:hAnsiTheme="minorHAnsi"/>
              </w:rPr>
              <w:t xml:space="preserve"> </w:t>
            </w:r>
            <w:r>
              <w:rPr>
                <w:rFonts w:asciiTheme="minorHAnsi" w:hAnsiTheme="minorHAnsi"/>
              </w:rPr>
              <w:t>A</w:t>
            </w:r>
            <w:r w:rsidRPr="003D6314">
              <w:rPr>
                <w:rFonts w:asciiTheme="minorHAnsi" w:hAnsiTheme="minorHAnsi"/>
              </w:rPr>
              <w:t xml:space="preserve">ged </w:t>
            </w:r>
            <w:r>
              <w:rPr>
                <w:rFonts w:asciiTheme="minorHAnsi" w:hAnsiTheme="minorHAnsi"/>
              </w:rPr>
              <w:t>C</w:t>
            </w:r>
            <w:r w:rsidRPr="003D6314">
              <w:rPr>
                <w:rFonts w:asciiTheme="minorHAnsi" w:hAnsiTheme="minorHAnsi"/>
              </w:rPr>
              <w:t xml:space="preserve">are </w:t>
            </w:r>
            <w:r>
              <w:rPr>
                <w:rFonts w:asciiTheme="minorHAnsi" w:hAnsiTheme="minorHAnsi"/>
              </w:rPr>
              <w:t>P</w:t>
            </w:r>
            <w:r w:rsidRPr="003D6314">
              <w:rPr>
                <w:rFonts w:asciiTheme="minorHAnsi" w:hAnsiTheme="minorHAnsi"/>
              </w:rPr>
              <w:t>roviders</w:t>
            </w:r>
          </w:p>
        </w:tc>
        <w:tc>
          <w:tcPr>
            <w:tcW w:w="4786" w:type="dxa"/>
            <w:tcBorders>
              <w:top w:val="single" w:sz="8" w:space="0" w:color="002776"/>
              <w:bottom w:val="single" w:sz="4" w:space="0" w:color="D9D9D9" w:themeColor="background1" w:themeShade="D9"/>
            </w:tcBorders>
          </w:tcPr>
          <w:p w14:paraId="71532C0E" w14:textId="77777777" w:rsidR="00280642" w:rsidRPr="009C5F13" w:rsidRDefault="00280642" w:rsidP="00453D32">
            <w:pPr>
              <w:rPr>
                <w:rFonts w:asciiTheme="minorHAnsi" w:hAnsiTheme="minorHAnsi"/>
              </w:rPr>
            </w:pPr>
            <w:r>
              <w:rPr>
                <w:rFonts w:asciiTheme="minorHAnsi" w:hAnsiTheme="minorHAnsi"/>
              </w:rPr>
              <w:t xml:space="preserve">Published in </w:t>
            </w:r>
            <w:r w:rsidRPr="003D6314">
              <w:rPr>
                <w:rFonts w:asciiTheme="minorHAnsi" w:hAnsiTheme="minorHAnsi"/>
              </w:rPr>
              <w:t>June</w:t>
            </w:r>
            <w:r w:rsidRPr="00453D32">
              <w:rPr>
                <w:rFonts w:asciiTheme="minorHAnsi" w:hAnsiTheme="minorHAnsi"/>
              </w:rPr>
              <w:t> </w:t>
            </w:r>
            <w:r w:rsidR="004A369E">
              <w:rPr>
                <w:rFonts w:asciiTheme="minorHAnsi" w:hAnsiTheme="minorHAnsi"/>
              </w:rPr>
              <w:t>2015</w:t>
            </w:r>
            <w:r w:rsidR="00453D32">
              <w:rPr>
                <w:rFonts w:asciiTheme="minorHAnsi" w:hAnsiTheme="minorHAnsi"/>
              </w:rPr>
              <w:t>.</w:t>
            </w:r>
          </w:p>
        </w:tc>
      </w:tr>
      <w:tr w:rsidR="00280642" w:rsidRPr="009C5F13" w14:paraId="7EEC74C1" w14:textId="77777777" w:rsidTr="005A321F">
        <w:tc>
          <w:tcPr>
            <w:tcW w:w="4785" w:type="dxa"/>
            <w:tcBorders>
              <w:top w:val="single" w:sz="8" w:space="0" w:color="002776"/>
              <w:bottom w:val="single" w:sz="4" w:space="0" w:color="D9D9D9" w:themeColor="background1" w:themeShade="D9"/>
            </w:tcBorders>
          </w:tcPr>
          <w:p w14:paraId="62CBACF0" w14:textId="77777777" w:rsidR="00280642" w:rsidRPr="009C5F13" w:rsidRDefault="00280642" w:rsidP="005A321F">
            <w:pPr>
              <w:pStyle w:val="TabletextLeft"/>
              <w:rPr>
                <w:rFonts w:asciiTheme="minorHAnsi" w:hAnsiTheme="minorHAnsi"/>
              </w:rPr>
            </w:pPr>
            <w:r w:rsidRPr="009C5F13">
              <w:rPr>
                <w:rFonts w:asciiTheme="minorHAnsi" w:hAnsiTheme="minorHAnsi"/>
              </w:rPr>
              <w:t xml:space="preserve">Report on </w:t>
            </w:r>
            <w:r>
              <w:rPr>
                <w:rFonts w:asciiTheme="minorHAnsi" w:hAnsiTheme="minorHAnsi"/>
              </w:rPr>
              <w:t>I</w:t>
            </w:r>
            <w:r w:rsidRPr="009C5F13">
              <w:rPr>
                <w:rFonts w:asciiTheme="minorHAnsi" w:hAnsiTheme="minorHAnsi"/>
              </w:rPr>
              <w:t xml:space="preserve">mproving the </w:t>
            </w:r>
            <w:r>
              <w:rPr>
                <w:rFonts w:asciiTheme="minorHAnsi" w:hAnsiTheme="minorHAnsi"/>
              </w:rPr>
              <w:t>C</w:t>
            </w:r>
            <w:r w:rsidRPr="009C5F13">
              <w:rPr>
                <w:rFonts w:asciiTheme="minorHAnsi" w:hAnsiTheme="minorHAnsi"/>
              </w:rPr>
              <w:t xml:space="preserve">ollection of </w:t>
            </w:r>
            <w:r>
              <w:rPr>
                <w:rFonts w:asciiTheme="minorHAnsi" w:hAnsiTheme="minorHAnsi"/>
              </w:rPr>
              <w:t>F</w:t>
            </w:r>
            <w:r w:rsidRPr="009C5F13">
              <w:rPr>
                <w:rFonts w:asciiTheme="minorHAnsi" w:hAnsiTheme="minorHAnsi"/>
              </w:rPr>
              <w:t xml:space="preserve">inancial </w:t>
            </w:r>
            <w:r>
              <w:rPr>
                <w:rFonts w:asciiTheme="minorHAnsi" w:hAnsiTheme="minorHAnsi"/>
              </w:rPr>
              <w:t>D</w:t>
            </w:r>
            <w:r w:rsidRPr="009C5F13">
              <w:rPr>
                <w:rFonts w:asciiTheme="minorHAnsi" w:hAnsiTheme="minorHAnsi"/>
              </w:rPr>
              <w:t xml:space="preserve">ata from </w:t>
            </w:r>
            <w:r>
              <w:rPr>
                <w:rFonts w:asciiTheme="minorHAnsi" w:hAnsiTheme="minorHAnsi"/>
              </w:rPr>
              <w:t>A</w:t>
            </w:r>
            <w:r w:rsidRPr="009C5F13">
              <w:rPr>
                <w:rFonts w:asciiTheme="minorHAnsi" w:hAnsiTheme="minorHAnsi"/>
              </w:rPr>
              <w:t xml:space="preserve">ged </w:t>
            </w:r>
            <w:r>
              <w:rPr>
                <w:rFonts w:asciiTheme="minorHAnsi" w:hAnsiTheme="minorHAnsi"/>
              </w:rPr>
              <w:t>C</w:t>
            </w:r>
            <w:r w:rsidRPr="009C5F13">
              <w:rPr>
                <w:rFonts w:asciiTheme="minorHAnsi" w:hAnsiTheme="minorHAnsi"/>
              </w:rPr>
              <w:t xml:space="preserve">are </w:t>
            </w:r>
            <w:r>
              <w:rPr>
                <w:rFonts w:asciiTheme="minorHAnsi" w:hAnsiTheme="minorHAnsi"/>
              </w:rPr>
              <w:t>P</w:t>
            </w:r>
            <w:r w:rsidRPr="009C5F13">
              <w:rPr>
                <w:rFonts w:asciiTheme="minorHAnsi" w:hAnsiTheme="minorHAnsi"/>
              </w:rPr>
              <w:t>roviders</w:t>
            </w:r>
          </w:p>
        </w:tc>
        <w:tc>
          <w:tcPr>
            <w:tcW w:w="4786" w:type="dxa"/>
            <w:tcBorders>
              <w:top w:val="single" w:sz="8" w:space="0" w:color="002776"/>
              <w:bottom w:val="single" w:sz="4" w:space="0" w:color="D9D9D9" w:themeColor="background1" w:themeShade="D9"/>
            </w:tcBorders>
          </w:tcPr>
          <w:p w14:paraId="3AB64E73" w14:textId="77777777" w:rsidR="00280642" w:rsidRPr="009C5F13" w:rsidRDefault="00280642" w:rsidP="00453D32">
            <w:pPr>
              <w:rPr>
                <w:rFonts w:asciiTheme="minorHAnsi" w:hAnsiTheme="minorHAnsi"/>
              </w:rPr>
            </w:pPr>
            <w:r>
              <w:rPr>
                <w:rFonts w:asciiTheme="minorHAnsi" w:hAnsiTheme="minorHAnsi"/>
              </w:rPr>
              <w:t>Published in October 2014</w:t>
            </w:r>
            <w:r w:rsidR="00453D32">
              <w:rPr>
                <w:rFonts w:asciiTheme="minorHAnsi" w:hAnsiTheme="minorHAnsi"/>
              </w:rPr>
              <w:t>.</w:t>
            </w:r>
          </w:p>
        </w:tc>
      </w:tr>
      <w:tr w:rsidR="00280642" w:rsidRPr="009C5F13" w14:paraId="1A0B5FDC" w14:textId="77777777" w:rsidTr="005A321F">
        <w:tc>
          <w:tcPr>
            <w:tcW w:w="4785" w:type="dxa"/>
            <w:tcBorders>
              <w:top w:val="single" w:sz="8" w:space="0" w:color="002776"/>
              <w:bottom w:val="single" w:sz="4" w:space="0" w:color="D9D9D9" w:themeColor="background1" w:themeShade="D9"/>
            </w:tcBorders>
          </w:tcPr>
          <w:p w14:paraId="50480E4B" w14:textId="77777777" w:rsidR="00280642" w:rsidRPr="009C5F13" w:rsidRDefault="00280642" w:rsidP="005A321F">
            <w:pPr>
              <w:pStyle w:val="TabletextLeft"/>
              <w:rPr>
                <w:rFonts w:asciiTheme="minorHAnsi" w:hAnsiTheme="minorHAnsi"/>
              </w:rPr>
            </w:pPr>
            <w:r w:rsidRPr="009C5F13">
              <w:rPr>
                <w:rFonts w:asciiTheme="minorHAnsi" w:hAnsiTheme="minorHAnsi"/>
              </w:rPr>
              <w:t xml:space="preserve">Reports on the </w:t>
            </w:r>
            <w:r>
              <w:rPr>
                <w:rFonts w:asciiTheme="minorHAnsi" w:hAnsiTheme="minorHAnsi"/>
              </w:rPr>
              <w:t>I</w:t>
            </w:r>
            <w:r w:rsidRPr="009C5F13">
              <w:rPr>
                <w:rFonts w:asciiTheme="minorHAnsi" w:hAnsiTheme="minorHAnsi"/>
              </w:rPr>
              <w:t xml:space="preserve">mpact of </w:t>
            </w:r>
            <w:r>
              <w:rPr>
                <w:rFonts w:asciiTheme="minorHAnsi" w:hAnsiTheme="minorHAnsi"/>
              </w:rPr>
              <w:t>F</w:t>
            </w:r>
            <w:r w:rsidRPr="009C5F13">
              <w:rPr>
                <w:rFonts w:asciiTheme="minorHAnsi" w:hAnsiTheme="minorHAnsi"/>
              </w:rPr>
              <w:t xml:space="preserve">inancial </w:t>
            </w:r>
            <w:r>
              <w:rPr>
                <w:rFonts w:asciiTheme="minorHAnsi" w:hAnsiTheme="minorHAnsi"/>
              </w:rPr>
              <w:t>R</w:t>
            </w:r>
            <w:r w:rsidRPr="009C5F13">
              <w:rPr>
                <w:rFonts w:asciiTheme="minorHAnsi" w:hAnsiTheme="minorHAnsi"/>
              </w:rPr>
              <w:t xml:space="preserve">eforms on the </w:t>
            </w:r>
            <w:r>
              <w:rPr>
                <w:rFonts w:asciiTheme="minorHAnsi" w:hAnsiTheme="minorHAnsi"/>
              </w:rPr>
              <w:t>A</w:t>
            </w:r>
            <w:r w:rsidRPr="009C5F13">
              <w:rPr>
                <w:rFonts w:asciiTheme="minorHAnsi" w:hAnsiTheme="minorHAnsi"/>
              </w:rPr>
              <w:t xml:space="preserve">ged </w:t>
            </w:r>
            <w:r>
              <w:rPr>
                <w:rFonts w:asciiTheme="minorHAnsi" w:hAnsiTheme="minorHAnsi"/>
              </w:rPr>
              <w:t>C</w:t>
            </w:r>
            <w:r w:rsidRPr="009C5F13">
              <w:rPr>
                <w:rFonts w:asciiTheme="minorHAnsi" w:hAnsiTheme="minorHAnsi"/>
              </w:rPr>
              <w:t xml:space="preserve">are </w:t>
            </w:r>
            <w:r>
              <w:rPr>
                <w:rFonts w:asciiTheme="minorHAnsi" w:hAnsiTheme="minorHAnsi"/>
              </w:rPr>
              <w:t>S</w:t>
            </w:r>
            <w:r w:rsidRPr="009C5F13">
              <w:rPr>
                <w:rFonts w:asciiTheme="minorHAnsi" w:hAnsiTheme="minorHAnsi"/>
              </w:rPr>
              <w:t>ector</w:t>
            </w:r>
          </w:p>
        </w:tc>
        <w:tc>
          <w:tcPr>
            <w:tcW w:w="4786" w:type="dxa"/>
            <w:tcBorders>
              <w:top w:val="single" w:sz="8" w:space="0" w:color="002776"/>
              <w:bottom w:val="single" w:sz="4" w:space="0" w:color="D9D9D9" w:themeColor="background1" w:themeShade="D9"/>
            </w:tcBorders>
          </w:tcPr>
          <w:p w14:paraId="77592896" w14:textId="77777777" w:rsidR="00280642" w:rsidRDefault="00453D32" w:rsidP="00453D32">
            <w:pPr>
              <w:rPr>
                <w:rFonts w:asciiTheme="minorHAnsi" w:hAnsiTheme="minorHAnsi"/>
              </w:rPr>
            </w:pPr>
            <w:r>
              <w:rPr>
                <w:rFonts w:asciiTheme="minorHAnsi" w:hAnsiTheme="minorHAnsi"/>
              </w:rPr>
              <w:t xml:space="preserve">Monthly reports - </w:t>
            </w:r>
            <w:r w:rsidR="00280642" w:rsidRPr="009C5F13">
              <w:rPr>
                <w:rFonts w:asciiTheme="minorHAnsi" w:hAnsiTheme="minorHAnsi"/>
              </w:rPr>
              <w:t>August</w:t>
            </w:r>
            <w:r w:rsidR="00280642" w:rsidRPr="00453D32">
              <w:rPr>
                <w:rFonts w:asciiTheme="minorHAnsi" w:hAnsiTheme="minorHAnsi"/>
              </w:rPr>
              <w:t> </w:t>
            </w:r>
            <w:r w:rsidR="00280642" w:rsidRPr="009C5F13">
              <w:rPr>
                <w:rFonts w:asciiTheme="minorHAnsi" w:hAnsiTheme="minorHAnsi"/>
              </w:rPr>
              <w:t>2014</w:t>
            </w:r>
            <w:r>
              <w:rPr>
                <w:rFonts w:asciiTheme="minorHAnsi" w:hAnsiTheme="minorHAnsi"/>
              </w:rPr>
              <w:t xml:space="preserve"> to</w:t>
            </w:r>
            <w:r w:rsidR="00280642" w:rsidRPr="00453D32">
              <w:rPr>
                <w:rFonts w:asciiTheme="minorHAnsi" w:hAnsiTheme="minorHAnsi"/>
              </w:rPr>
              <w:t> </w:t>
            </w:r>
            <w:r w:rsidR="00280642" w:rsidRPr="009C5F13">
              <w:rPr>
                <w:rFonts w:asciiTheme="minorHAnsi" w:hAnsiTheme="minorHAnsi"/>
              </w:rPr>
              <w:t>April</w:t>
            </w:r>
            <w:r w:rsidR="00280642" w:rsidRPr="00453D32">
              <w:rPr>
                <w:rFonts w:asciiTheme="minorHAnsi" w:hAnsiTheme="minorHAnsi"/>
              </w:rPr>
              <w:t> </w:t>
            </w:r>
            <w:r w:rsidR="00280642" w:rsidRPr="009C5F13">
              <w:rPr>
                <w:rFonts w:asciiTheme="minorHAnsi" w:hAnsiTheme="minorHAnsi"/>
              </w:rPr>
              <w:t>2015</w:t>
            </w:r>
            <w:r>
              <w:rPr>
                <w:rFonts w:asciiTheme="minorHAnsi" w:hAnsiTheme="minorHAnsi"/>
              </w:rPr>
              <w:t>.</w:t>
            </w:r>
          </w:p>
          <w:p w14:paraId="3276FE6D" w14:textId="77777777" w:rsidR="00280642" w:rsidRPr="009C5F13" w:rsidRDefault="00453D32" w:rsidP="00453D32">
            <w:pPr>
              <w:rPr>
                <w:rFonts w:asciiTheme="minorHAnsi" w:hAnsiTheme="minorHAnsi"/>
              </w:rPr>
            </w:pPr>
            <w:r>
              <w:rPr>
                <w:rFonts w:asciiTheme="minorHAnsi" w:hAnsiTheme="minorHAnsi"/>
              </w:rPr>
              <w:t>Q</w:t>
            </w:r>
            <w:r w:rsidR="00280642">
              <w:rPr>
                <w:rFonts w:asciiTheme="minorHAnsi" w:hAnsiTheme="minorHAnsi"/>
              </w:rPr>
              <w:t xml:space="preserve">uarterly report </w:t>
            </w:r>
            <w:r>
              <w:rPr>
                <w:rFonts w:asciiTheme="minorHAnsi" w:hAnsiTheme="minorHAnsi"/>
              </w:rPr>
              <w:t xml:space="preserve">s </w:t>
            </w:r>
            <w:r w:rsidR="00280642">
              <w:rPr>
                <w:rFonts w:asciiTheme="minorHAnsi" w:hAnsiTheme="minorHAnsi"/>
              </w:rPr>
              <w:t>– September 2015</w:t>
            </w:r>
            <w:r>
              <w:rPr>
                <w:rFonts w:asciiTheme="minorHAnsi" w:hAnsiTheme="minorHAnsi"/>
              </w:rPr>
              <w:t xml:space="preserve"> to </w:t>
            </w:r>
            <w:r w:rsidR="00280642">
              <w:rPr>
                <w:rFonts w:asciiTheme="minorHAnsi" w:hAnsiTheme="minorHAnsi"/>
              </w:rPr>
              <w:t>June 2</w:t>
            </w:r>
            <w:r>
              <w:rPr>
                <w:rFonts w:asciiTheme="minorHAnsi" w:hAnsiTheme="minorHAnsi"/>
              </w:rPr>
              <w:t>016.</w:t>
            </w:r>
          </w:p>
        </w:tc>
      </w:tr>
      <w:tr w:rsidR="00280642" w:rsidRPr="009C5F13" w14:paraId="219BCC65" w14:textId="77777777" w:rsidTr="005A321F">
        <w:tc>
          <w:tcPr>
            <w:tcW w:w="4785" w:type="dxa"/>
            <w:tcBorders>
              <w:top w:val="single" w:sz="8" w:space="0" w:color="002776"/>
              <w:bottom w:val="single" w:sz="4" w:space="0" w:color="D9D9D9" w:themeColor="background1" w:themeShade="D9"/>
            </w:tcBorders>
          </w:tcPr>
          <w:p w14:paraId="4169409B" w14:textId="77777777" w:rsidR="00280642" w:rsidRPr="009C5F13" w:rsidRDefault="00280642" w:rsidP="005A321F">
            <w:pPr>
              <w:pStyle w:val="TabletextLeft"/>
              <w:rPr>
                <w:rFonts w:asciiTheme="minorHAnsi" w:hAnsiTheme="minorHAnsi"/>
              </w:rPr>
            </w:pPr>
            <w:r>
              <w:rPr>
                <w:rFonts w:asciiTheme="minorHAnsi" w:hAnsiTheme="minorHAnsi"/>
              </w:rPr>
              <w:t>2014 Annual Report on the Funding and Financing of the Aged Care S</w:t>
            </w:r>
            <w:r w:rsidRPr="009C5F13">
              <w:rPr>
                <w:rFonts w:asciiTheme="minorHAnsi" w:hAnsiTheme="minorHAnsi"/>
              </w:rPr>
              <w:t>ector</w:t>
            </w:r>
          </w:p>
        </w:tc>
        <w:tc>
          <w:tcPr>
            <w:tcW w:w="4786" w:type="dxa"/>
            <w:tcBorders>
              <w:top w:val="single" w:sz="8" w:space="0" w:color="002776"/>
              <w:bottom w:val="single" w:sz="4" w:space="0" w:color="D9D9D9" w:themeColor="background1" w:themeShade="D9"/>
            </w:tcBorders>
          </w:tcPr>
          <w:p w14:paraId="7DE0514C" w14:textId="77777777" w:rsidR="00280642" w:rsidRPr="009C5F13" w:rsidRDefault="00453D32" w:rsidP="00453D32">
            <w:pPr>
              <w:rPr>
                <w:rFonts w:asciiTheme="minorHAnsi" w:hAnsiTheme="minorHAnsi"/>
              </w:rPr>
            </w:pPr>
            <w:r>
              <w:rPr>
                <w:rFonts w:asciiTheme="minorHAnsi" w:hAnsiTheme="minorHAnsi"/>
              </w:rPr>
              <w:t>Published in August 2014.</w:t>
            </w:r>
          </w:p>
        </w:tc>
      </w:tr>
      <w:tr w:rsidR="00280642" w:rsidRPr="009C5F13" w14:paraId="523453D9" w14:textId="77777777" w:rsidTr="005A321F">
        <w:tc>
          <w:tcPr>
            <w:tcW w:w="4785" w:type="dxa"/>
            <w:tcBorders>
              <w:top w:val="single" w:sz="8" w:space="0" w:color="002776"/>
              <w:bottom w:val="single" w:sz="4" w:space="0" w:color="D9D9D9" w:themeColor="background1" w:themeShade="D9"/>
            </w:tcBorders>
          </w:tcPr>
          <w:p w14:paraId="70FCF4DD" w14:textId="77777777" w:rsidR="00280642" w:rsidRPr="009C5F13" w:rsidRDefault="00280642" w:rsidP="005A321F">
            <w:pPr>
              <w:pStyle w:val="TabletextLeft"/>
              <w:rPr>
                <w:rFonts w:asciiTheme="minorHAnsi" w:hAnsiTheme="minorHAnsi"/>
              </w:rPr>
            </w:pPr>
            <w:r>
              <w:rPr>
                <w:rFonts w:asciiTheme="minorHAnsi" w:hAnsiTheme="minorHAnsi"/>
              </w:rPr>
              <w:t>Supported Residents Data Book</w:t>
            </w:r>
          </w:p>
        </w:tc>
        <w:tc>
          <w:tcPr>
            <w:tcW w:w="4786" w:type="dxa"/>
            <w:tcBorders>
              <w:top w:val="single" w:sz="8" w:space="0" w:color="002776"/>
              <w:bottom w:val="single" w:sz="4" w:space="0" w:color="D9D9D9" w:themeColor="background1" w:themeShade="D9"/>
            </w:tcBorders>
          </w:tcPr>
          <w:p w14:paraId="334AA8A3" w14:textId="77777777" w:rsidR="00280642" w:rsidRPr="009C5F13" w:rsidRDefault="00280642" w:rsidP="00453D32">
            <w:pPr>
              <w:rPr>
                <w:rFonts w:asciiTheme="minorHAnsi" w:hAnsiTheme="minorHAnsi"/>
              </w:rPr>
            </w:pPr>
            <w:r>
              <w:rPr>
                <w:rFonts w:asciiTheme="minorHAnsi" w:hAnsiTheme="minorHAnsi"/>
              </w:rPr>
              <w:t xml:space="preserve">Published in </w:t>
            </w:r>
            <w:r w:rsidRPr="009C5F13">
              <w:rPr>
                <w:rFonts w:asciiTheme="minorHAnsi" w:hAnsiTheme="minorHAnsi"/>
              </w:rPr>
              <w:t>May</w:t>
            </w:r>
            <w:r w:rsidRPr="00453D32">
              <w:rPr>
                <w:rFonts w:asciiTheme="minorHAnsi" w:hAnsiTheme="minorHAnsi"/>
              </w:rPr>
              <w:t> </w:t>
            </w:r>
            <w:r w:rsidRPr="009C5F13">
              <w:rPr>
                <w:rFonts w:asciiTheme="minorHAnsi" w:hAnsiTheme="minorHAnsi"/>
              </w:rPr>
              <w:t>2014</w:t>
            </w:r>
            <w:r w:rsidR="00453D32">
              <w:rPr>
                <w:rFonts w:asciiTheme="minorHAnsi" w:hAnsiTheme="minorHAnsi"/>
              </w:rPr>
              <w:t>.</w:t>
            </w:r>
          </w:p>
        </w:tc>
      </w:tr>
      <w:tr w:rsidR="00280642" w:rsidRPr="009C5F13" w14:paraId="7293C3D9" w14:textId="77777777" w:rsidTr="005A321F">
        <w:tc>
          <w:tcPr>
            <w:tcW w:w="4785" w:type="dxa"/>
            <w:tcBorders>
              <w:top w:val="single" w:sz="8" w:space="0" w:color="002776"/>
              <w:bottom w:val="single" w:sz="4" w:space="0" w:color="D9D9D9" w:themeColor="background1" w:themeShade="D9"/>
            </w:tcBorders>
          </w:tcPr>
          <w:p w14:paraId="3C81957B" w14:textId="77777777" w:rsidR="00280642" w:rsidRPr="009C5F13" w:rsidRDefault="00280642" w:rsidP="005A321F">
            <w:pPr>
              <w:pStyle w:val="TabletextLeft"/>
              <w:rPr>
                <w:rFonts w:asciiTheme="minorHAnsi" w:hAnsiTheme="minorHAnsi"/>
              </w:rPr>
            </w:pPr>
            <w:r w:rsidRPr="009C5F13">
              <w:rPr>
                <w:rFonts w:asciiTheme="minorHAnsi" w:hAnsiTheme="minorHAnsi"/>
              </w:rPr>
              <w:t xml:space="preserve">Interim advice to the Minister on </w:t>
            </w:r>
            <w:r>
              <w:rPr>
                <w:rFonts w:asciiTheme="minorHAnsi" w:hAnsiTheme="minorHAnsi"/>
              </w:rPr>
              <w:t>I</w:t>
            </w:r>
            <w:r w:rsidRPr="009C5F13">
              <w:rPr>
                <w:rFonts w:asciiTheme="minorHAnsi" w:hAnsiTheme="minorHAnsi"/>
              </w:rPr>
              <w:t xml:space="preserve">mproving the </w:t>
            </w:r>
            <w:r>
              <w:rPr>
                <w:rFonts w:asciiTheme="minorHAnsi" w:hAnsiTheme="minorHAnsi"/>
              </w:rPr>
              <w:t>C</w:t>
            </w:r>
            <w:r w:rsidRPr="009C5F13">
              <w:rPr>
                <w:rFonts w:asciiTheme="minorHAnsi" w:hAnsiTheme="minorHAnsi"/>
              </w:rPr>
              <w:t xml:space="preserve">ollection of </w:t>
            </w:r>
            <w:r>
              <w:rPr>
                <w:rFonts w:asciiTheme="minorHAnsi" w:hAnsiTheme="minorHAnsi"/>
              </w:rPr>
              <w:t>F</w:t>
            </w:r>
            <w:r w:rsidRPr="009C5F13">
              <w:rPr>
                <w:rFonts w:asciiTheme="minorHAnsi" w:hAnsiTheme="minorHAnsi"/>
              </w:rPr>
              <w:t xml:space="preserve">inancial </w:t>
            </w:r>
            <w:r>
              <w:rPr>
                <w:rFonts w:asciiTheme="minorHAnsi" w:hAnsiTheme="minorHAnsi"/>
              </w:rPr>
              <w:t>D</w:t>
            </w:r>
            <w:r w:rsidRPr="009C5F13">
              <w:rPr>
                <w:rFonts w:asciiTheme="minorHAnsi" w:hAnsiTheme="minorHAnsi"/>
              </w:rPr>
              <w:t xml:space="preserve">ata from </w:t>
            </w:r>
            <w:r>
              <w:rPr>
                <w:rFonts w:asciiTheme="minorHAnsi" w:hAnsiTheme="minorHAnsi"/>
              </w:rPr>
              <w:t>A</w:t>
            </w:r>
            <w:r w:rsidRPr="009C5F13">
              <w:rPr>
                <w:rFonts w:asciiTheme="minorHAnsi" w:hAnsiTheme="minorHAnsi"/>
              </w:rPr>
              <w:t xml:space="preserve">ged </w:t>
            </w:r>
            <w:r>
              <w:rPr>
                <w:rFonts w:asciiTheme="minorHAnsi" w:hAnsiTheme="minorHAnsi"/>
              </w:rPr>
              <w:t>C</w:t>
            </w:r>
            <w:r w:rsidRPr="009C5F13">
              <w:rPr>
                <w:rFonts w:asciiTheme="minorHAnsi" w:hAnsiTheme="minorHAnsi"/>
              </w:rPr>
              <w:t xml:space="preserve">are </w:t>
            </w:r>
            <w:r>
              <w:rPr>
                <w:rFonts w:asciiTheme="minorHAnsi" w:hAnsiTheme="minorHAnsi"/>
              </w:rPr>
              <w:t>P</w:t>
            </w:r>
            <w:r w:rsidRPr="009C5F13">
              <w:rPr>
                <w:rFonts w:asciiTheme="minorHAnsi" w:hAnsiTheme="minorHAnsi"/>
              </w:rPr>
              <w:t>roviders</w:t>
            </w:r>
          </w:p>
        </w:tc>
        <w:tc>
          <w:tcPr>
            <w:tcW w:w="4786" w:type="dxa"/>
            <w:tcBorders>
              <w:top w:val="single" w:sz="8" w:space="0" w:color="002776"/>
              <w:bottom w:val="single" w:sz="4" w:space="0" w:color="D9D9D9" w:themeColor="background1" w:themeShade="D9"/>
            </w:tcBorders>
          </w:tcPr>
          <w:p w14:paraId="52506DDE" w14:textId="77777777" w:rsidR="00280642" w:rsidRPr="009C5F13" w:rsidRDefault="00453D32" w:rsidP="00453D32">
            <w:pPr>
              <w:rPr>
                <w:rFonts w:asciiTheme="minorHAnsi" w:hAnsiTheme="minorHAnsi"/>
              </w:rPr>
            </w:pPr>
            <w:r>
              <w:rPr>
                <w:rFonts w:asciiTheme="minorHAnsi" w:hAnsiTheme="minorHAnsi"/>
              </w:rPr>
              <w:t>Published in August 2013.</w:t>
            </w:r>
          </w:p>
        </w:tc>
      </w:tr>
      <w:tr w:rsidR="00280642" w:rsidRPr="009C5F13" w14:paraId="32A30A5F" w14:textId="77777777" w:rsidTr="005A321F">
        <w:tc>
          <w:tcPr>
            <w:tcW w:w="4785" w:type="dxa"/>
            <w:tcBorders>
              <w:top w:val="single" w:sz="8" w:space="0" w:color="002776"/>
              <w:bottom w:val="single" w:sz="4" w:space="0" w:color="D9D9D9" w:themeColor="background1" w:themeShade="D9"/>
            </w:tcBorders>
          </w:tcPr>
          <w:p w14:paraId="29CD52BF" w14:textId="77777777" w:rsidR="00280642" w:rsidRPr="009C5F13" w:rsidRDefault="00280642" w:rsidP="005A321F">
            <w:pPr>
              <w:pStyle w:val="TabletextLeft"/>
              <w:rPr>
                <w:rFonts w:asciiTheme="minorHAnsi" w:hAnsiTheme="minorHAnsi"/>
              </w:rPr>
            </w:pPr>
            <w:r>
              <w:rPr>
                <w:rFonts w:asciiTheme="minorHAnsi" w:hAnsiTheme="minorHAnsi"/>
              </w:rPr>
              <w:t>First</w:t>
            </w:r>
            <w:r w:rsidRPr="009C5F13">
              <w:rPr>
                <w:rFonts w:asciiTheme="minorHAnsi" w:hAnsiTheme="minorHAnsi"/>
              </w:rPr>
              <w:t xml:space="preserve"> </w:t>
            </w:r>
            <w:r>
              <w:rPr>
                <w:rFonts w:asciiTheme="minorHAnsi" w:hAnsiTheme="minorHAnsi"/>
              </w:rPr>
              <w:t>Annual R</w:t>
            </w:r>
            <w:r w:rsidRPr="009C5F13">
              <w:rPr>
                <w:rFonts w:asciiTheme="minorHAnsi" w:hAnsiTheme="minorHAnsi"/>
              </w:rPr>
              <w:t>eport</w:t>
            </w:r>
            <w:r>
              <w:rPr>
                <w:rFonts w:asciiTheme="minorHAnsi" w:hAnsiTheme="minorHAnsi"/>
              </w:rPr>
              <w:t xml:space="preserve"> (2013)</w:t>
            </w:r>
            <w:r w:rsidRPr="009C5F13">
              <w:rPr>
                <w:rFonts w:asciiTheme="minorHAnsi" w:hAnsiTheme="minorHAnsi"/>
              </w:rPr>
              <w:t xml:space="preserve"> on the </w:t>
            </w:r>
            <w:r>
              <w:rPr>
                <w:rFonts w:asciiTheme="minorHAnsi" w:hAnsiTheme="minorHAnsi"/>
              </w:rPr>
              <w:t>F</w:t>
            </w:r>
            <w:r w:rsidRPr="009C5F13">
              <w:rPr>
                <w:rFonts w:asciiTheme="minorHAnsi" w:hAnsiTheme="minorHAnsi"/>
              </w:rPr>
              <w:t xml:space="preserve">unding and </w:t>
            </w:r>
            <w:r>
              <w:rPr>
                <w:rFonts w:asciiTheme="minorHAnsi" w:hAnsiTheme="minorHAnsi"/>
              </w:rPr>
              <w:t>F</w:t>
            </w:r>
            <w:r w:rsidRPr="009C5F13">
              <w:rPr>
                <w:rFonts w:asciiTheme="minorHAnsi" w:hAnsiTheme="minorHAnsi"/>
              </w:rPr>
              <w:t xml:space="preserve">inancing of the </w:t>
            </w:r>
            <w:r>
              <w:rPr>
                <w:rFonts w:asciiTheme="minorHAnsi" w:hAnsiTheme="minorHAnsi"/>
              </w:rPr>
              <w:t>A</w:t>
            </w:r>
            <w:r w:rsidRPr="009C5F13">
              <w:rPr>
                <w:rFonts w:asciiTheme="minorHAnsi" w:hAnsiTheme="minorHAnsi"/>
              </w:rPr>
              <w:t xml:space="preserve">ged </w:t>
            </w:r>
            <w:r>
              <w:rPr>
                <w:rFonts w:asciiTheme="minorHAnsi" w:hAnsiTheme="minorHAnsi"/>
              </w:rPr>
              <w:t>C</w:t>
            </w:r>
            <w:r w:rsidRPr="009C5F13">
              <w:rPr>
                <w:rFonts w:asciiTheme="minorHAnsi" w:hAnsiTheme="minorHAnsi"/>
              </w:rPr>
              <w:t xml:space="preserve">are </w:t>
            </w:r>
            <w:r>
              <w:rPr>
                <w:rFonts w:asciiTheme="minorHAnsi" w:hAnsiTheme="minorHAnsi"/>
              </w:rPr>
              <w:t>S</w:t>
            </w:r>
            <w:r w:rsidRPr="009C5F13">
              <w:rPr>
                <w:rFonts w:asciiTheme="minorHAnsi" w:hAnsiTheme="minorHAnsi"/>
              </w:rPr>
              <w:t>ector</w:t>
            </w:r>
          </w:p>
        </w:tc>
        <w:tc>
          <w:tcPr>
            <w:tcW w:w="4786" w:type="dxa"/>
            <w:tcBorders>
              <w:top w:val="single" w:sz="8" w:space="0" w:color="002776"/>
              <w:bottom w:val="single" w:sz="4" w:space="0" w:color="D9D9D9" w:themeColor="background1" w:themeShade="D9"/>
            </w:tcBorders>
          </w:tcPr>
          <w:p w14:paraId="44EC270D" w14:textId="77777777" w:rsidR="00280642" w:rsidRPr="009C5F13" w:rsidRDefault="00280642" w:rsidP="00453D32">
            <w:pPr>
              <w:rPr>
                <w:rFonts w:asciiTheme="minorHAnsi" w:hAnsiTheme="minorHAnsi"/>
              </w:rPr>
            </w:pPr>
            <w:r>
              <w:rPr>
                <w:rFonts w:asciiTheme="minorHAnsi" w:hAnsiTheme="minorHAnsi"/>
              </w:rPr>
              <w:t xml:space="preserve">Published in </w:t>
            </w:r>
            <w:r w:rsidRPr="00D344C9">
              <w:rPr>
                <w:rFonts w:asciiTheme="minorHAnsi" w:hAnsiTheme="minorHAnsi"/>
              </w:rPr>
              <w:t>July</w:t>
            </w:r>
            <w:r w:rsidRPr="00453D32">
              <w:rPr>
                <w:rFonts w:asciiTheme="minorHAnsi" w:hAnsiTheme="minorHAnsi"/>
              </w:rPr>
              <w:t> </w:t>
            </w:r>
            <w:r w:rsidRPr="009C5F13">
              <w:rPr>
                <w:rFonts w:asciiTheme="minorHAnsi" w:hAnsiTheme="minorHAnsi"/>
              </w:rPr>
              <w:t>2013</w:t>
            </w:r>
            <w:r w:rsidR="00453D32">
              <w:rPr>
                <w:rFonts w:asciiTheme="minorHAnsi" w:hAnsiTheme="minorHAnsi"/>
              </w:rPr>
              <w:t>.</w:t>
            </w:r>
          </w:p>
        </w:tc>
      </w:tr>
      <w:tr w:rsidR="00280642" w:rsidRPr="009C5F13" w14:paraId="2C47344F" w14:textId="77777777" w:rsidTr="005A321F">
        <w:tc>
          <w:tcPr>
            <w:tcW w:w="4785" w:type="dxa"/>
            <w:tcBorders>
              <w:top w:val="single" w:sz="8" w:space="0" w:color="002776"/>
              <w:bottom w:val="single" w:sz="4" w:space="0" w:color="D9D9D9" w:themeColor="background1" w:themeShade="D9"/>
            </w:tcBorders>
          </w:tcPr>
          <w:p w14:paraId="33D1A086" w14:textId="77777777" w:rsidR="00280642" w:rsidRPr="009C5F13" w:rsidRDefault="00280642" w:rsidP="005A321F">
            <w:pPr>
              <w:pStyle w:val="TabletextLeft"/>
              <w:rPr>
                <w:rFonts w:asciiTheme="minorHAnsi" w:hAnsiTheme="minorHAnsi"/>
              </w:rPr>
            </w:pPr>
            <w:r w:rsidRPr="009C5F13">
              <w:rPr>
                <w:rFonts w:asciiTheme="minorHAnsi" w:hAnsiTheme="minorHAnsi"/>
              </w:rPr>
              <w:t>Estimation of the possible impacts on revenue and balance sheet funding from changes to accommodation payment arrangements</w:t>
            </w:r>
          </w:p>
        </w:tc>
        <w:tc>
          <w:tcPr>
            <w:tcW w:w="4786" w:type="dxa"/>
            <w:tcBorders>
              <w:top w:val="single" w:sz="8" w:space="0" w:color="002776"/>
              <w:bottom w:val="single" w:sz="4" w:space="0" w:color="D9D9D9" w:themeColor="background1" w:themeShade="D9"/>
            </w:tcBorders>
          </w:tcPr>
          <w:p w14:paraId="0C080F7F" w14:textId="77777777" w:rsidR="00280642" w:rsidRPr="009C5F13" w:rsidRDefault="00280642" w:rsidP="00453D32">
            <w:pPr>
              <w:rPr>
                <w:rFonts w:asciiTheme="minorHAnsi" w:hAnsiTheme="minorHAnsi"/>
              </w:rPr>
            </w:pPr>
            <w:r w:rsidRPr="009C5F13">
              <w:rPr>
                <w:rFonts w:asciiTheme="minorHAnsi" w:hAnsiTheme="minorHAnsi"/>
              </w:rPr>
              <w:t>ACFA’s advice and K</w:t>
            </w:r>
            <w:r>
              <w:rPr>
                <w:rFonts w:asciiTheme="minorHAnsi" w:hAnsiTheme="minorHAnsi"/>
              </w:rPr>
              <w:t xml:space="preserve">PMG modelling published in </w:t>
            </w:r>
            <w:r w:rsidRPr="009C5F13">
              <w:rPr>
                <w:rFonts w:asciiTheme="minorHAnsi" w:hAnsiTheme="minorHAnsi"/>
              </w:rPr>
              <w:t>May</w:t>
            </w:r>
            <w:r w:rsidRPr="00453D32">
              <w:rPr>
                <w:rFonts w:asciiTheme="minorHAnsi" w:hAnsiTheme="minorHAnsi"/>
              </w:rPr>
              <w:t> </w:t>
            </w:r>
            <w:r w:rsidRPr="009C5F13">
              <w:rPr>
                <w:rFonts w:asciiTheme="minorHAnsi" w:hAnsiTheme="minorHAnsi"/>
              </w:rPr>
              <w:t>2013</w:t>
            </w:r>
            <w:r w:rsidR="00453D32">
              <w:rPr>
                <w:rFonts w:asciiTheme="minorHAnsi" w:hAnsiTheme="minorHAnsi"/>
              </w:rPr>
              <w:t>.</w:t>
            </w:r>
          </w:p>
        </w:tc>
      </w:tr>
      <w:tr w:rsidR="00280642" w:rsidRPr="009C5F13" w14:paraId="3C1277EB" w14:textId="77777777" w:rsidTr="005A321F">
        <w:tc>
          <w:tcPr>
            <w:tcW w:w="4785" w:type="dxa"/>
            <w:tcBorders>
              <w:top w:val="single" w:sz="8" w:space="0" w:color="002776"/>
              <w:bottom w:val="single" w:sz="4" w:space="0" w:color="D9D9D9" w:themeColor="background1" w:themeShade="D9"/>
            </w:tcBorders>
          </w:tcPr>
          <w:p w14:paraId="42AE84E1" w14:textId="77777777" w:rsidR="00280642" w:rsidRPr="009C5F13" w:rsidRDefault="00280642" w:rsidP="005A321F">
            <w:pPr>
              <w:pStyle w:val="TabletextLeft"/>
              <w:rPr>
                <w:rFonts w:asciiTheme="minorHAnsi" w:hAnsiTheme="minorHAnsi"/>
              </w:rPr>
            </w:pPr>
            <w:r w:rsidRPr="009C5F13">
              <w:rPr>
                <w:rFonts w:asciiTheme="minorHAnsi" w:hAnsiTheme="minorHAnsi"/>
              </w:rPr>
              <w:lastRenderedPageBreak/>
              <w:t>The framework for setting accommodation payments in residential aged care</w:t>
            </w:r>
          </w:p>
        </w:tc>
        <w:tc>
          <w:tcPr>
            <w:tcW w:w="4786" w:type="dxa"/>
            <w:tcBorders>
              <w:top w:val="single" w:sz="8" w:space="0" w:color="002776"/>
              <w:bottom w:val="single" w:sz="4" w:space="0" w:color="D9D9D9" w:themeColor="background1" w:themeShade="D9"/>
            </w:tcBorders>
          </w:tcPr>
          <w:p w14:paraId="3C2C7ED6" w14:textId="77777777" w:rsidR="00280642" w:rsidRPr="009C5F13" w:rsidRDefault="00280642" w:rsidP="00453D32">
            <w:pPr>
              <w:rPr>
                <w:rFonts w:asciiTheme="minorHAnsi" w:hAnsiTheme="minorHAnsi"/>
              </w:rPr>
            </w:pPr>
            <w:r w:rsidRPr="009C5F13">
              <w:rPr>
                <w:rFonts w:asciiTheme="minorHAnsi" w:hAnsiTheme="minorHAnsi"/>
              </w:rPr>
              <w:t>Final ACFA ad</w:t>
            </w:r>
            <w:r>
              <w:rPr>
                <w:rFonts w:asciiTheme="minorHAnsi" w:hAnsiTheme="minorHAnsi"/>
              </w:rPr>
              <w:t xml:space="preserve">vice provided to Minister in </w:t>
            </w:r>
            <w:r w:rsidRPr="008B207C">
              <w:rPr>
                <w:rFonts w:asciiTheme="minorHAnsi" w:hAnsiTheme="minorHAnsi"/>
              </w:rPr>
              <w:t>November</w:t>
            </w:r>
            <w:r w:rsidRPr="00453D32">
              <w:rPr>
                <w:rFonts w:asciiTheme="minorHAnsi" w:hAnsiTheme="minorHAnsi"/>
              </w:rPr>
              <w:t> </w:t>
            </w:r>
            <w:r w:rsidRPr="009C5F13">
              <w:rPr>
                <w:rFonts w:asciiTheme="minorHAnsi" w:hAnsiTheme="minorHAnsi"/>
              </w:rPr>
              <w:t xml:space="preserve">2012. Government announced its position </w:t>
            </w:r>
            <w:r>
              <w:rPr>
                <w:rFonts w:asciiTheme="minorHAnsi" w:hAnsiTheme="minorHAnsi"/>
              </w:rPr>
              <w:t>in</w:t>
            </w:r>
            <w:r w:rsidRPr="008B207C">
              <w:rPr>
                <w:rFonts w:asciiTheme="minorHAnsi" w:hAnsiTheme="minorHAnsi"/>
              </w:rPr>
              <w:t> December</w:t>
            </w:r>
            <w:r w:rsidRPr="00453D32">
              <w:rPr>
                <w:rFonts w:asciiTheme="minorHAnsi" w:hAnsiTheme="minorHAnsi"/>
              </w:rPr>
              <w:t> </w:t>
            </w:r>
            <w:r w:rsidRPr="009C5F13">
              <w:rPr>
                <w:rFonts w:asciiTheme="minorHAnsi" w:hAnsiTheme="minorHAnsi"/>
              </w:rPr>
              <w:t>2012</w:t>
            </w:r>
            <w:r>
              <w:rPr>
                <w:rFonts w:asciiTheme="minorHAnsi" w:hAnsiTheme="minorHAnsi"/>
              </w:rPr>
              <w:t>.</w:t>
            </w:r>
          </w:p>
          <w:p w14:paraId="120A9C14" w14:textId="77777777" w:rsidR="00280642" w:rsidRPr="009C5F13" w:rsidRDefault="00280642" w:rsidP="00453D32">
            <w:pPr>
              <w:rPr>
                <w:rFonts w:asciiTheme="minorHAnsi" w:hAnsiTheme="minorHAnsi"/>
              </w:rPr>
            </w:pPr>
            <w:r w:rsidRPr="009C5F13">
              <w:rPr>
                <w:rFonts w:asciiTheme="minorHAnsi" w:hAnsiTheme="minorHAnsi"/>
              </w:rPr>
              <w:t xml:space="preserve">Further advice on </w:t>
            </w:r>
            <w:r>
              <w:rPr>
                <w:rFonts w:asciiTheme="minorHAnsi" w:hAnsiTheme="minorHAnsi"/>
              </w:rPr>
              <w:t xml:space="preserve">the </w:t>
            </w:r>
            <w:r w:rsidRPr="009C5F13">
              <w:rPr>
                <w:rFonts w:asciiTheme="minorHAnsi" w:hAnsiTheme="minorHAnsi"/>
              </w:rPr>
              <w:t>method for determining a RAD and a DAP using a MPIR</w:t>
            </w:r>
            <w:r>
              <w:rPr>
                <w:rFonts w:asciiTheme="minorHAnsi" w:hAnsiTheme="minorHAnsi"/>
              </w:rPr>
              <w:t xml:space="preserve"> provided</w:t>
            </w:r>
            <w:r w:rsidRPr="009C5F13">
              <w:rPr>
                <w:rFonts w:asciiTheme="minorHAnsi" w:hAnsiTheme="minorHAnsi"/>
              </w:rPr>
              <w:t xml:space="preserve"> to Minister on 17</w:t>
            </w:r>
            <w:r w:rsidRPr="00453D32">
              <w:rPr>
                <w:rFonts w:asciiTheme="minorHAnsi" w:hAnsiTheme="minorHAnsi"/>
              </w:rPr>
              <w:t> </w:t>
            </w:r>
            <w:r w:rsidRPr="009C5F13">
              <w:rPr>
                <w:rFonts w:asciiTheme="minorHAnsi" w:hAnsiTheme="minorHAnsi"/>
              </w:rPr>
              <w:t>May</w:t>
            </w:r>
            <w:r w:rsidRPr="00453D32">
              <w:rPr>
                <w:rFonts w:asciiTheme="minorHAnsi" w:hAnsiTheme="minorHAnsi"/>
              </w:rPr>
              <w:t> </w:t>
            </w:r>
            <w:r w:rsidRPr="009C5F13">
              <w:rPr>
                <w:rFonts w:asciiTheme="minorHAnsi" w:hAnsiTheme="minorHAnsi"/>
              </w:rPr>
              <w:t>2013</w:t>
            </w:r>
            <w:r>
              <w:rPr>
                <w:rFonts w:asciiTheme="minorHAnsi" w:hAnsiTheme="minorHAnsi"/>
              </w:rPr>
              <w:t xml:space="preserve">. </w:t>
            </w:r>
            <w:r w:rsidRPr="009C5F13">
              <w:rPr>
                <w:rFonts w:asciiTheme="minorHAnsi" w:hAnsiTheme="minorHAnsi"/>
              </w:rPr>
              <w:t>Government announced its position on 23</w:t>
            </w:r>
            <w:r w:rsidRPr="00113B04">
              <w:rPr>
                <w:rFonts w:asciiTheme="minorHAnsi" w:hAnsiTheme="minorHAnsi"/>
              </w:rPr>
              <w:t> </w:t>
            </w:r>
            <w:r w:rsidRPr="009C5F13">
              <w:rPr>
                <w:rFonts w:asciiTheme="minorHAnsi" w:hAnsiTheme="minorHAnsi"/>
              </w:rPr>
              <w:t>May</w:t>
            </w:r>
            <w:r w:rsidRPr="00113B04">
              <w:rPr>
                <w:rFonts w:asciiTheme="minorHAnsi" w:hAnsiTheme="minorHAnsi"/>
              </w:rPr>
              <w:t> </w:t>
            </w:r>
            <w:r w:rsidRPr="009C5F13">
              <w:rPr>
                <w:rFonts w:asciiTheme="minorHAnsi" w:hAnsiTheme="minorHAnsi"/>
              </w:rPr>
              <w:t>2013</w:t>
            </w:r>
            <w:r>
              <w:rPr>
                <w:rFonts w:asciiTheme="minorHAnsi" w:hAnsiTheme="minorHAnsi"/>
              </w:rPr>
              <w:t>.</w:t>
            </w:r>
          </w:p>
        </w:tc>
      </w:tr>
    </w:tbl>
    <w:p w14:paraId="2B8F453E" w14:textId="77777777" w:rsidR="00280642" w:rsidRPr="00B66E2C" w:rsidRDefault="00280642" w:rsidP="00B66E2C">
      <w:pPr>
        <w:jc w:val="center"/>
        <w:rPr>
          <w:b/>
          <w:sz w:val="28"/>
          <w:szCs w:val="28"/>
        </w:rPr>
      </w:pPr>
    </w:p>
    <w:sectPr w:rsidR="00280642" w:rsidRPr="00B66E2C" w:rsidSect="00B14DA2">
      <w:headerReference w:type="default" r:id="rId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35E6C5" w14:textId="77777777" w:rsidR="007F59AA" w:rsidRDefault="007F59AA" w:rsidP="00EA1FB1">
      <w:pPr>
        <w:spacing w:after="0" w:line="240" w:lineRule="auto"/>
      </w:pPr>
      <w:r>
        <w:separator/>
      </w:r>
    </w:p>
  </w:endnote>
  <w:endnote w:type="continuationSeparator" w:id="0">
    <w:p w14:paraId="250BAAE0" w14:textId="77777777" w:rsidR="007F59AA" w:rsidRDefault="007F59AA" w:rsidP="00EA1F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Optima"/>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38DE9C" w14:textId="77777777" w:rsidR="007F59AA" w:rsidRDefault="007F59AA" w:rsidP="00EA1FB1">
      <w:pPr>
        <w:spacing w:after="0" w:line="240" w:lineRule="auto"/>
      </w:pPr>
      <w:r>
        <w:separator/>
      </w:r>
    </w:p>
  </w:footnote>
  <w:footnote w:type="continuationSeparator" w:id="0">
    <w:p w14:paraId="4D7A72E0" w14:textId="77777777" w:rsidR="007F59AA" w:rsidRDefault="007F59AA" w:rsidP="00EA1F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7100336"/>
      <w:docPartObj>
        <w:docPartGallery w:val="Page Numbers (Top of Page)"/>
        <w:docPartUnique/>
      </w:docPartObj>
    </w:sdtPr>
    <w:sdtEndPr>
      <w:rPr>
        <w:noProof/>
      </w:rPr>
    </w:sdtEndPr>
    <w:sdtContent>
      <w:p w14:paraId="630C1BDD" w14:textId="06F32109" w:rsidR="007F59AA" w:rsidRDefault="007F59AA">
        <w:pPr>
          <w:pStyle w:val="Header"/>
          <w:jc w:val="center"/>
        </w:pPr>
        <w:r>
          <w:fldChar w:fldCharType="begin"/>
        </w:r>
        <w:r>
          <w:instrText xml:space="preserve"> PAGE   \* MERGEFORMAT </w:instrText>
        </w:r>
        <w:r>
          <w:fldChar w:fldCharType="separate"/>
        </w:r>
        <w:r w:rsidR="00DB7FAA">
          <w:rPr>
            <w:noProof/>
          </w:rPr>
          <w:t>35</w:t>
        </w:r>
        <w:r>
          <w:rPr>
            <w:noProof/>
          </w:rPr>
          <w:fldChar w:fldCharType="end"/>
        </w:r>
      </w:p>
    </w:sdtContent>
  </w:sdt>
  <w:p w14:paraId="6295DB5A" w14:textId="77777777" w:rsidR="007F59AA" w:rsidRDefault="007F59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653D1"/>
    <w:multiLevelType w:val="hybridMultilevel"/>
    <w:tmpl w:val="B172EB5E"/>
    <w:lvl w:ilvl="0" w:tplc="2BD02088">
      <w:start w:val="1"/>
      <w:numFmt w:val="decimal"/>
      <w:pStyle w:val="Heading1Numbered"/>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FA7419"/>
    <w:multiLevelType w:val="multilevel"/>
    <w:tmpl w:val="D182E8A2"/>
    <w:numStyleLink w:val="NumberedHeadings"/>
  </w:abstractNum>
  <w:abstractNum w:abstractNumId="2" w15:restartNumberingAfterBreak="0">
    <w:nsid w:val="293C1ADA"/>
    <w:multiLevelType w:val="multilevel"/>
    <w:tmpl w:val="DBA860AA"/>
    <w:lvl w:ilvl="0">
      <w:start w:val="1"/>
      <w:numFmt w:val="decimal"/>
      <w:lvlText w:val="%1"/>
      <w:lvlJc w:val="left"/>
      <w:pPr>
        <w:ind w:left="360" w:hanging="360"/>
      </w:pPr>
      <w:rPr>
        <w:rFonts w:hint="default"/>
        <w:b w:val="0"/>
        <w:i w:val="0"/>
        <w:color w:val="002776"/>
        <w:sz w:val="56"/>
        <w:szCs w:val="56"/>
      </w:rPr>
    </w:lvl>
    <w:lvl w:ilvl="1">
      <w:start w:val="1"/>
      <w:numFmt w:val="decimal"/>
      <w:lvlText w:val="%1.%2"/>
      <w:lvlJc w:val="left"/>
      <w:pPr>
        <w:tabs>
          <w:tab w:val="num" w:pos="993"/>
        </w:tabs>
        <w:ind w:left="993" w:hanging="567"/>
      </w:pPr>
      <w:rPr>
        <w:rFonts w:ascii="Segoe UI" w:hAnsi="Segoe UI" w:cs="Segoe UI" w:hint="default"/>
        <w:b/>
        <w:i w:val="0"/>
        <w:color w:val="5B9BD5" w:themeColor="accent1"/>
        <w:sz w:val="28"/>
        <w:szCs w:val="28"/>
      </w:rPr>
    </w:lvl>
    <w:lvl w:ilvl="2">
      <w:start w:val="1"/>
      <w:numFmt w:val="decimal"/>
      <w:lvlText w:val="%1.%2.%3"/>
      <w:lvlJc w:val="left"/>
      <w:pPr>
        <w:tabs>
          <w:tab w:val="num" w:pos="1134"/>
        </w:tabs>
        <w:ind w:left="1134" w:hanging="1134"/>
      </w:pPr>
      <w:rPr>
        <w:rFonts w:ascii="Calibri" w:hAnsi="Calibri" w:cs="Arial" w:hint="default"/>
        <w:b/>
        <w:i w:val="0"/>
        <w:color w:val="313131"/>
        <w:sz w:val="28"/>
        <w:szCs w:val="24"/>
      </w:rPr>
    </w:lvl>
    <w:lvl w:ilvl="3">
      <w:start w:val="1"/>
      <w:numFmt w:val="decimal"/>
      <w:pStyle w:val="Heading4"/>
      <w:lvlText w:val="%1.%2.%3.%4"/>
      <w:lvlJc w:val="left"/>
      <w:pPr>
        <w:tabs>
          <w:tab w:val="num" w:pos="1134"/>
        </w:tabs>
        <w:ind w:left="1134" w:hanging="1134"/>
      </w:pPr>
      <w:rPr>
        <w:rFonts w:ascii="Calibri" w:hAnsi="Calibri" w:cs="Arial" w:hint="default"/>
        <w:b/>
        <w:i w:val="0"/>
        <w:color w:val="00A1DE"/>
        <w:sz w:val="24"/>
        <w:szCs w:val="24"/>
        <w:u w:val="none"/>
      </w:rPr>
    </w:lvl>
    <w:lvl w:ilvl="4">
      <w:start w:val="1"/>
      <w:numFmt w:val="decimal"/>
      <w:lvlRestart w:val="1"/>
      <w:pStyle w:val="Heading5"/>
      <w:suff w:val="space"/>
      <w:lvlText w:val="Box %1.%5"/>
      <w:lvlJc w:val="left"/>
      <w:pPr>
        <w:ind w:left="1134" w:hanging="850"/>
      </w:pPr>
      <w:rPr>
        <w:rFonts w:ascii="Calibri" w:hAnsi="Calibri" w:cs="Arial" w:hint="default"/>
        <w:b/>
        <w:i w:val="0"/>
        <w:color w:val="FFFFFF"/>
        <w:sz w:val="20"/>
        <w:szCs w:val="20"/>
      </w:rPr>
    </w:lvl>
    <w:lvl w:ilvl="5">
      <w:start w:val="1"/>
      <w:numFmt w:val="none"/>
      <w:lvlRestart w:val="0"/>
      <w:lvlText w:val=""/>
      <w:lvlJc w:val="center"/>
      <w:pPr>
        <w:ind w:left="0" w:firstLine="0"/>
      </w:pPr>
      <w:rPr>
        <w:rFonts w:ascii="Arial" w:hAnsi="Arial" w:cs="Arial" w:hint="default"/>
        <w:b/>
        <w:i w:val="0"/>
        <w:color w:val="931638"/>
        <w:sz w:val="20"/>
        <w:szCs w:val="20"/>
      </w:rPr>
    </w:lvl>
    <w:lvl w:ilvl="6">
      <w:start w:val="1"/>
      <w:numFmt w:val="decimal"/>
      <w:lvlRestart w:val="1"/>
      <w:pStyle w:val="CaptionTable"/>
      <w:suff w:val="nothing"/>
      <w:lvlText w:val="Table %1.%7"/>
      <w:lvlJc w:val="left"/>
      <w:pPr>
        <w:ind w:left="993" w:firstLine="0"/>
      </w:pPr>
      <w:rPr>
        <w:rFonts w:ascii="Segoe UI" w:hAnsi="Segoe UI" w:cs="Segoe UI" w:hint="default"/>
        <w:b/>
        <w:i w:val="0"/>
        <w:color w:val="002776"/>
        <w:sz w:val="22"/>
        <w:szCs w:val="20"/>
      </w:rPr>
    </w:lvl>
    <w:lvl w:ilvl="7">
      <w:start w:val="1"/>
      <w:numFmt w:val="decimal"/>
      <w:lvlRestart w:val="1"/>
      <w:pStyle w:val="CaptionChart"/>
      <w:suff w:val="nothing"/>
      <w:lvlText w:val="Chart %1.%8"/>
      <w:lvlJc w:val="left"/>
      <w:pPr>
        <w:ind w:left="142" w:firstLine="0"/>
      </w:pPr>
      <w:rPr>
        <w:rFonts w:ascii="Segoe UI" w:hAnsi="Segoe UI" w:cs="Segoe UI" w:hint="default"/>
        <w:b/>
        <w:i w:val="0"/>
        <w:color w:val="002776"/>
        <w:sz w:val="22"/>
        <w:szCs w:val="20"/>
      </w:rPr>
    </w:lvl>
    <w:lvl w:ilvl="8">
      <w:start w:val="1"/>
      <w:numFmt w:val="decimal"/>
      <w:lvlRestart w:val="1"/>
      <w:pStyle w:val="CaptionFigure"/>
      <w:suff w:val="nothing"/>
      <w:lvlText w:val="Chart %1.%9"/>
      <w:lvlJc w:val="left"/>
      <w:pPr>
        <w:ind w:left="3544" w:firstLine="0"/>
      </w:pPr>
      <w:rPr>
        <w:rFonts w:ascii="Segoe UI" w:hAnsi="Segoe UI" w:cs="Segoe UI" w:hint="default"/>
        <w:b/>
        <w:i w:val="0"/>
        <w:strike w:val="0"/>
        <w:color w:val="002776"/>
        <w:sz w:val="22"/>
        <w:szCs w:val="20"/>
      </w:rPr>
    </w:lvl>
  </w:abstractNum>
  <w:abstractNum w:abstractNumId="3" w15:restartNumberingAfterBreak="0">
    <w:nsid w:val="2A0114B9"/>
    <w:multiLevelType w:val="multilevel"/>
    <w:tmpl w:val="1184698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2DBD5934"/>
    <w:multiLevelType w:val="hybridMultilevel"/>
    <w:tmpl w:val="62861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2142A31"/>
    <w:multiLevelType w:val="multilevel"/>
    <w:tmpl w:val="48D0AD32"/>
    <w:lvl w:ilvl="0">
      <w:start w:val="1"/>
      <w:numFmt w:val="upperLetter"/>
      <w:pStyle w:val="Appendix"/>
      <w:suff w:val="nothing"/>
      <w:lvlText w:val="Appendix %1"/>
      <w:lvlJc w:val="left"/>
      <w:pPr>
        <w:ind w:left="2694" w:firstLine="0"/>
      </w:pPr>
      <w:rPr>
        <w:rFonts w:hint="default"/>
        <w:b w:val="0"/>
      </w:rPr>
    </w:lvl>
    <w:lvl w:ilvl="1">
      <w:start w:val="1"/>
      <w:numFmt w:val="decimal"/>
      <w:pStyle w:val="AppendixTableCaption"/>
      <w:suff w:val="nothing"/>
      <w:lvlText w:val="Table %1.%2"/>
      <w:lvlJc w:val="left"/>
      <w:pPr>
        <w:ind w:left="284" w:firstLine="0"/>
      </w:pPr>
      <w:rPr>
        <w:rFonts w:ascii="Segoe UI" w:hAnsi="Segoe UI" w:cs="Segoe UI" w:hint="default"/>
        <w:b/>
        <w:i w:val="0"/>
        <w:color w:val="002776"/>
        <w:sz w:val="24"/>
      </w:rPr>
    </w:lvl>
    <w:lvl w:ilvl="2">
      <w:start w:val="1"/>
      <w:numFmt w:val="decimal"/>
      <w:lvlRestart w:val="1"/>
      <w:suff w:val="nothing"/>
      <w:lvlText w:val="Chart %1.%3"/>
      <w:lvlJc w:val="left"/>
      <w:pPr>
        <w:ind w:left="0" w:firstLine="0"/>
      </w:pPr>
      <w:rPr>
        <w:rFonts w:ascii="Calibri" w:hAnsi="Calibri" w:cs="Arial" w:hint="default"/>
        <w:b/>
        <w:i w:val="0"/>
        <w:color w:val="002776"/>
        <w:sz w:val="22"/>
        <w:szCs w:val="24"/>
      </w:rPr>
    </w:lvl>
    <w:lvl w:ilvl="3">
      <w:start w:val="1"/>
      <w:numFmt w:val="decimal"/>
      <w:lvlRestart w:val="1"/>
      <w:suff w:val="nothing"/>
      <w:lvlText w:val="Figure %1.%4"/>
      <w:lvlJc w:val="left"/>
      <w:pPr>
        <w:ind w:left="0" w:firstLine="0"/>
      </w:pPr>
      <w:rPr>
        <w:rFonts w:ascii="Calibri" w:hAnsi="Calibri" w:cs="Arial" w:hint="default"/>
        <w:b/>
        <w:i w:val="0"/>
        <w:color w:val="002776"/>
        <w:sz w:val="22"/>
        <w:szCs w:val="24"/>
      </w:rPr>
    </w:lvl>
    <w:lvl w:ilvl="4">
      <w:start w:val="1"/>
      <w:numFmt w:val="decimal"/>
      <w:lvlText w:val="%1.%2.%3.%4.%5"/>
      <w:lvlJc w:val="left"/>
      <w:pPr>
        <w:tabs>
          <w:tab w:val="num" w:pos="1134"/>
        </w:tabs>
        <w:ind w:left="1134" w:hanging="1134"/>
      </w:pPr>
      <w:rPr>
        <w:rFonts w:ascii="Arial" w:hAnsi="Arial" w:cs="Arial" w:hint="default"/>
        <w:b w:val="0"/>
        <w:i w:val="0"/>
        <w:color w:val="931638"/>
        <w:sz w:val="20"/>
      </w:rPr>
    </w:lvl>
    <w:lvl w:ilvl="5">
      <w:start w:val="1"/>
      <w:numFmt w:val="decimal"/>
      <w:lvlText w:val="%1.%2.%3.%4.%5.%6"/>
      <w:lvlJc w:val="left"/>
      <w:pPr>
        <w:tabs>
          <w:tab w:val="num" w:pos="1701"/>
        </w:tabs>
        <w:ind w:left="1701" w:hanging="1701"/>
      </w:pPr>
      <w:rPr>
        <w:rFonts w:ascii="Arial" w:hAnsi="Arial" w:cs="Arial" w:hint="default"/>
        <w:b w:val="0"/>
        <w:i w:val="0"/>
        <w:color w:val="931638"/>
        <w:sz w:val="20"/>
      </w:rPr>
    </w:lvl>
    <w:lvl w:ilvl="6">
      <w:start w:val="1"/>
      <w:numFmt w:val="decimal"/>
      <w:lvlText w:val="%1.%2.%3.%4.%5.%6.%7"/>
      <w:lvlJc w:val="left"/>
      <w:pPr>
        <w:tabs>
          <w:tab w:val="num" w:pos="1701"/>
        </w:tabs>
        <w:ind w:left="1701" w:hanging="1701"/>
      </w:pPr>
      <w:rPr>
        <w:rFonts w:ascii="Arial" w:hAnsi="Arial" w:cs="Arial" w:hint="default"/>
        <w:b w:val="0"/>
        <w:i w:val="0"/>
        <w:color w:val="931638"/>
        <w:sz w:val="20"/>
      </w:rPr>
    </w:lvl>
    <w:lvl w:ilvl="7">
      <w:start w:val="1"/>
      <w:numFmt w:val="decimal"/>
      <w:lvlText w:val="%1.%2.%3.%4.%5.%6.%7.%8"/>
      <w:lvlJc w:val="left"/>
      <w:pPr>
        <w:tabs>
          <w:tab w:val="num" w:pos="1701"/>
        </w:tabs>
        <w:ind w:left="1701" w:hanging="1701"/>
      </w:pPr>
      <w:rPr>
        <w:rFonts w:ascii="Arial" w:hAnsi="Arial" w:cs="Arial" w:hint="default"/>
        <w:b w:val="0"/>
        <w:i w:val="0"/>
        <w:color w:val="931638"/>
        <w:sz w:val="20"/>
      </w:rPr>
    </w:lvl>
    <w:lvl w:ilvl="8">
      <w:start w:val="1"/>
      <w:numFmt w:val="decimal"/>
      <w:lvlText w:val="%1.%2.%3.%4.%5.%6.%7.%8.%9"/>
      <w:lvlJc w:val="left"/>
      <w:pPr>
        <w:tabs>
          <w:tab w:val="num" w:pos="1701"/>
        </w:tabs>
        <w:ind w:left="1701" w:hanging="1701"/>
      </w:pPr>
      <w:rPr>
        <w:rFonts w:ascii="Arial" w:hAnsi="Arial" w:cs="Arial" w:hint="default"/>
        <w:b w:val="0"/>
        <w:i w:val="0"/>
        <w:color w:val="931638"/>
        <w:sz w:val="20"/>
      </w:rPr>
    </w:lvl>
  </w:abstractNum>
  <w:abstractNum w:abstractNumId="6" w15:restartNumberingAfterBreak="0">
    <w:nsid w:val="4B082BD4"/>
    <w:multiLevelType w:val="hybridMultilevel"/>
    <w:tmpl w:val="5352D7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6DB5F4C"/>
    <w:multiLevelType w:val="multilevel"/>
    <w:tmpl w:val="D182E8A2"/>
    <w:styleLink w:val="NumberedHeadings"/>
    <w:lvl w:ilvl="0">
      <w:start w:val="1"/>
      <w:numFmt w:val="decimal"/>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851" w:hanging="851"/>
      </w:pPr>
      <w:rPr>
        <w:rFonts w:hint="default"/>
      </w:rPr>
    </w:lvl>
    <w:lvl w:ilvl="3">
      <w:start w:val="1"/>
      <w:numFmt w:val="decimal"/>
      <w:pStyle w:val="Heading4Numbered"/>
      <w:lvlText w:val="%1.%2.%3.%4"/>
      <w:lvlJc w:val="left"/>
      <w:pPr>
        <w:ind w:left="1134" w:hanging="1134"/>
      </w:pPr>
      <w:rPr>
        <w:rFonts w:hint="default"/>
      </w:rPr>
    </w:lvl>
    <w:lvl w:ilvl="4">
      <w:start w:val="1"/>
      <w:numFmt w:val="decimal"/>
      <w:lvlRestart w:val="1"/>
      <w:pStyle w:val="FigureTitle"/>
      <w:lvlText w:val="Figure %1.%5"/>
      <w:lvlJc w:val="left"/>
      <w:pPr>
        <w:ind w:left="1418" w:hanging="1418"/>
      </w:pPr>
      <w:rPr>
        <w:rFonts w:hint="default"/>
        <w:b/>
        <w:i w:val="0"/>
      </w:rPr>
    </w:lvl>
    <w:lvl w:ilvl="5">
      <w:start w:val="1"/>
      <w:numFmt w:val="decimal"/>
      <w:lvlRestart w:val="1"/>
      <w:lvlText w:val="Table %1.%6"/>
      <w:lvlJc w:val="left"/>
      <w:pPr>
        <w:ind w:left="1701" w:hanging="1701"/>
      </w:pPr>
      <w:rPr>
        <w:rFonts w:hint="default"/>
        <w:b/>
        <w:i w:val="0"/>
      </w:rPr>
    </w:lvl>
    <w:lvl w:ilvl="6">
      <w:start w:val="1"/>
      <w:numFmt w:val="decimal"/>
      <w:lvlRestart w:val="1"/>
      <w:lvlText w:val="Chart %1.%7"/>
      <w:lvlJc w:val="left"/>
      <w:pPr>
        <w:ind w:left="1701" w:hanging="1701"/>
      </w:pPr>
      <w:rPr>
        <w:rFonts w:hint="default"/>
        <w:b/>
        <w:i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62A34BA7"/>
    <w:multiLevelType w:val="hybridMultilevel"/>
    <w:tmpl w:val="435A680E"/>
    <w:lvl w:ilvl="0" w:tplc="4E0481C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E276442"/>
    <w:multiLevelType w:val="hybridMultilevel"/>
    <w:tmpl w:val="8FD6A6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6"/>
  </w:num>
  <w:num w:numId="3">
    <w:abstractNumId w:val="4"/>
  </w:num>
  <w:num w:numId="4">
    <w:abstractNumId w:val="2"/>
  </w:num>
  <w:num w:numId="5">
    <w:abstractNumId w:val="8"/>
  </w:num>
  <w:num w:numId="6">
    <w:abstractNumId w:val="0"/>
  </w:num>
  <w:num w:numId="7">
    <w:abstractNumId w:val="5"/>
  </w:num>
  <w:num w:numId="8">
    <w:abstractNumId w:val="3"/>
  </w:num>
  <w:num w:numId="9">
    <w:abstractNumId w:val="7"/>
  </w:num>
  <w:num w:numId="10">
    <w:abstractNumId w:val="1"/>
    <w:lvlOverride w:ilvl="0">
      <w:lvl w:ilvl="0">
        <w:start w:val="1"/>
        <w:numFmt w:val="decimal"/>
        <w:lvlText w:val="%1."/>
        <w:lvlJc w:val="left"/>
        <w:pPr>
          <w:ind w:left="567" w:hanging="567"/>
        </w:pPr>
        <w:rPr>
          <w:rFonts w:hint="default"/>
        </w:rPr>
      </w:lvl>
    </w:lvlOverride>
    <w:lvlOverride w:ilvl="1">
      <w:lvl w:ilvl="1">
        <w:start w:val="1"/>
        <w:numFmt w:val="decimal"/>
        <w:pStyle w:val="Heading2Numbered"/>
        <w:lvlText w:val="%1.%2"/>
        <w:lvlJc w:val="left"/>
        <w:pPr>
          <w:ind w:left="851" w:hanging="851"/>
        </w:pPr>
        <w:rPr>
          <w:rFonts w:hint="default"/>
        </w:rPr>
      </w:lvl>
    </w:lvlOverride>
    <w:lvlOverride w:ilvl="2">
      <w:lvl w:ilvl="2">
        <w:start w:val="1"/>
        <w:numFmt w:val="decimal"/>
        <w:pStyle w:val="Heading3Numbered"/>
        <w:lvlText w:val="%1.%2.%3"/>
        <w:lvlJc w:val="left"/>
        <w:pPr>
          <w:ind w:left="851" w:hanging="851"/>
        </w:pPr>
        <w:rPr>
          <w:rFonts w:hint="default"/>
        </w:rPr>
      </w:lvl>
    </w:lvlOverride>
    <w:lvlOverride w:ilvl="3">
      <w:lvl w:ilvl="3">
        <w:start w:val="1"/>
        <w:numFmt w:val="decimal"/>
        <w:pStyle w:val="Heading4Numbered"/>
        <w:lvlText w:val="%1.%2.%3.%4"/>
        <w:lvlJc w:val="left"/>
        <w:pPr>
          <w:ind w:left="1134" w:hanging="1134"/>
        </w:pPr>
        <w:rPr>
          <w:rFonts w:hint="default"/>
        </w:rPr>
      </w:lvl>
    </w:lvlOverride>
    <w:lvlOverride w:ilvl="4">
      <w:lvl w:ilvl="4">
        <w:start w:val="1"/>
        <w:numFmt w:val="decimal"/>
        <w:lvlRestart w:val="1"/>
        <w:pStyle w:val="FigureTitle"/>
        <w:lvlText w:val="Figure %1.%5"/>
        <w:lvlJc w:val="left"/>
        <w:pPr>
          <w:ind w:left="1418" w:hanging="1418"/>
        </w:pPr>
        <w:rPr>
          <w:rFonts w:hint="default"/>
          <w:b/>
          <w:i w:val="0"/>
        </w:rPr>
      </w:lvl>
    </w:lvlOverride>
    <w:lvlOverride w:ilvl="5">
      <w:lvl w:ilvl="5">
        <w:start w:val="1"/>
        <w:numFmt w:val="decimal"/>
        <w:lvlRestart w:val="1"/>
        <w:lvlText w:val="Table %1.%6"/>
        <w:lvlJc w:val="left"/>
        <w:pPr>
          <w:ind w:left="1701" w:hanging="1701"/>
        </w:pPr>
        <w:rPr>
          <w:rFonts w:hint="default"/>
          <w:b/>
          <w:i w:val="0"/>
        </w:rPr>
      </w:lvl>
    </w:lvlOverride>
    <w:lvlOverride w:ilvl="6">
      <w:lvl w:ilvl="6">
        <w:start w:val="1"/>
        <w:numFmt w:val="decimal"/>
        <w:lvlRestart w:val="1"/>
        <w:lvlText w:val="Chart %1.%7"/>
        <w:lvlJc w:val="left"/>
        <w:pPr>
          <w:ind w:left="1701" w:hanging="1701"/>
        </w:pPr>
        <w:rPr>
          <w:rFonts w:hint="default"/>
          <w:b/>
          <w:i w:val="0"/>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0E28"/>
    <w:rsid w:val="00004186"/>
    <w:rsid w:val="0000548F"/>
    <w:rsid w:val="00007821"/>
    <w:rsid w:val="000210F3"/>
    <w:rsid w:val="00026F75"/>
    <w:rsid w:val="00031327"/>
    <w:rsid w:val="000434A5"/>
    <w:rsid w:val="000505E7"/>
    <w:rsid w:val="00050E28"/>
    <w:rsid w:val="00051CFE"/>
    <w:rsid w:val="00055477"/>
    <w:rsid w:val="000616C1"/>
    <w:rsid w:val="0008345D"/>
    <w:rsid w:val="00085083"/>
    <w:rsid w:val="00086E95"/>
    <w:rsid w:val="00097B92"/>
    <w:rsid w:val="000A1575"/>
    <w:rsid w:val="000A24AF"/>
    <w:rsid w:val="000B34BB"/>
    <w:rsid w:val="000B644B"/>
    <w:rsid w:val="000B7C6F"/>
    <w:rsid w:val="000C062D"/>
    <w:rsid w:val="000C1171"/>
    <w:rsid w:val="000C1F61"/>
    <w:rsid w:val="000D23C1"/>
    <w:rsid w:val="000D4D7B"/>
    <w:rsid w:val="000D7092"/>
    <w:rsid w:val="000E5039"/>
    <w:rsid w:val="000E5FB8"/>
    <w:rsid w:val="000F0DFC"/>
    <w:rsid w:val="00100766"/>
    <w:rsid w:val="00101C30"/>
    <w:rsid w:val="00112F06"/>
    <w:rsid w:val="001205BF"/>
    <w:rsid w:val="00121CE3"/>
    <w:rsid w:val="00121F93"/>
    <w:rsid w:val="00123EEE"/>
    <w:rsid w:val="0013097E"/>
    <w:rsid w:val="00131824"/>
    <w:rsid w:val="0013301A"/>
    <w:rsid w:val="00142019"/>
    <w:rsid w:val="00147903"/>
    <w:rsid w:val="00157CF1"/>
    <w:rsid w:val="00161F1D"/>
    <w:rsid w:val="001640AF"/>
    <w:rsid w:val="00174B49"/>
    <w:rsid w:val="00176C0E"/>
    <w:rsid w:val="001776D7"/>
    <w:rsid w:val="00186A84"/>
    <w:rsid w:val="00191978"/>
    <w:rsid w:val="00195942"/>
    <w:rsid w:val="001A009F"/>
    <w:rsid w:val="001C2475"/>
    <w:rsid w:val="001C2C1F"/>
    <w:rsid w:val="001C3202"/>
    <w:rsid w:val="001D41DA"/>
    <w:rsid w:val="001D4C87"/>
    <w:rsid w:val="001E0EE0"/>
    <w:rsid w:val="001F1E2A"/>
    <w:rsid w:val="001F6981"/>
    <w:rsid w:val="001F76AA"/>
    <w:rsid w:val="00210901"/>
    <w:rsid w:val="00215FA9"/>
    <w:rsid w:val="0022753F"/>
    <w:rsid w:val="002277AD"/>
    <w:rsid w:val="00231403"/>
    <w:rsid w:val="0023691C"/>
    <w:rsid w:val="00237E09"/>
    <w:rsid w:val="002423CF"/>
    <w:rsid w:val="00254555"/>
    <w:rsid w:val="002557A6"/>
    <w:rsid w:val="002562C9"/>
    <w:rsid w:val="00266A68"/>
    <w:rsid w:val="0028016A"/>
    <w:rsid w:val="00280642"/>
    <w:rsid w:val="00287C28"/>
    <w:rsid w:val="002970B1"/>
    <w:rsid w:val="002A0908"/>
    <w:rsid w:val="002B69E7"/>
    <w:rsid w:val="002C28C9"/>
    <w:rsid w:val="002C5289"/>
    <w:rsid w:val="002D0C20"/>
    <w:rsid w:val="002E404E"/>
    <w:rsid w:val="002F0DC6"/>
    <w:rsid w:val="002F6E59"/>
    <w:rsid w:val="0030017D"/>
    <w:rsid w:val="003073D4"/>
    <w:rsid w:val="003134B0"/>
    <w:rsid w:val="00315FED"/>
    <w:rsid w:val="00317CD9"/>
    <w:rsid w:val="003230E4"/>
    <w:rsid w:val="00335D63"/>
    <w:rsid w:val="00337C2E"/>
    <w:rsid w:val="00342730"/>
    <w:rsid w:val="00342902"/>
    <w:rsid w:val="003541CA"/>
    <w:rsid w:val="00354C4A"/>
    <w:rsid w:val="00356213"/>
    <w:rsid w:val="003567C9"/>
    <w:rsid w:val="00362A69"/>
    <w:rsid w:val="00362F23"/>
    <w:rsid w:val="0036621F"/>
    <w:rsid w:val="00381082"/>
    <w:rsid w:val="00394C0D"/>
    <w:rsid w:val="003A0983"/>
    <w:rsid w:val="003B274B"/>
    <w:rsid w:val="003B36ED"/>
    <w:rsid w:val="003B4A28"/>
    <w:rsid w:val="003B51CD"/>
    <w:rsid w:val="003C4504"/>
    <w:rsid w:val="003E4024"/>
    <w:rsid w:val="003E487B"/>
    <w:rsid w:val="003E587F"/>
    <w:rsid w:val="003E5D6D"/>
    <w:rsid w:val="003E6E20"/>
    <w:rsid w:val="003F375F"/>
    <w:rsid w:val="004025E6"/>
    <w:rsid w:val="00402D9A"/>
    <w:rsid w:val="004171D0"/>
    <w:rsid w:val="00421607"/>
    <w:rsid w:val="004329F9"/>
    <w:rsid w:val="004447E7"/>
    <w:rsid w:val="00453D32"/>
    <w:rsid w:val="00456006"/>
    <w:rsid w:val="00461167"/>
    <w:rsid w:val="00466587"/>
    <w:rsid w:val="0049077E"/>
    <w:rsid w:val="00492C23"/>
    <w:rsid w:val="00492F96"/>
    <w:rsid w:val="004A1949"/>
    <w:rsid w:val="004A369E"/>
    <w:rsid w:val="004D2DB7"/>
    <w:rsid w:val="004E059F"/>
    <w:rsid w:val="004E33AB"/>
    <w:rsid w:val="004E56D8"/>
    <w:rsid w:val="004F254B"/>
    <w:rsid w:val="004F63A7"/>
    <w:rsid w:val="005071F5"/>
    <w:rsid w:val="0051575E"/>
    <w:rsid w:val="00516144"/>
    <w:rsid w:val="00520676"/>
    <w:rsid w:val="00524E26"/>
    <w:rsid w:val="00525C6E"/>
    <w:rsid w:val="00532478"/>
    <w:rsid w:val="00532C14"/>
    <w:rsid w:val="00535DB1"/>
    <w:rsid w:val="00536A97"/>
    <w:rsid w:val="00540A9E"/>
    <w:rsid w:val="00540D64"/>
    <w:rsid w:val="00544334"/>
    <w:rsid w:val="00551327"/>
    <w:rsid w:val="00556A6F"/>
    <w:rsid w:val="0055734D"/>
    <w:rsid w:val="005733E4"/>
    <w:rsid w:val="00592344"/>
    <w:rsid w:val="00593798"/>
    <w:rsid w:val="00596DAC"/>
    <w:rsid w:val="005A321F"/>
    <w:rsid w:val="005A445A"/>
    <w:rsid w:val="005A7018"/>
    <w:rsid w:val="005B147F"/>
    <w:rsid w:val="005B576C"/>
    <w:rsid w:val="005B6E78"/>
    <w:rsid w:val="005B7085"/>
    <w:rsid w:val="005C7128"/>
    <w:rsid w:val="005C7C95"/>
    <w:rsid w:val="005D01CA"/>
    <w:rsid w:val="005D15A4"/>
    <w:rsid w:val="005D18A5"/>
    <w:rsid w:val="005F160D"/>
    <w:rsid w:val="005F45C8"/>
    <w:rsid w:val="005F66BF"/>
    <w:rsid w:val="006025FB"/>
    <w:rsid w:val="0060432F"/>
    <w:rsid w:val="0060519F"/>
    <w:rsid w:val="006059CC"/>
    <w:rsid w:val="0061030A"/>
    <w:rsid w:val="00622497"/>
    <w:rsid w:val="00630FD5"/>
    <w:rsid w:val="00631B6C"/>
    <w:rsid w:val="00631BEB"/>
    <w:rsid w:val="0063366F"/>
    <w:rsid w:val="00646BA7"/>
    <w:rsid w:val="0066304F"/>
    <w:rsid w:val="0067226F"/>
    <w:rsid w:val="00672958"/>
    <w:rsid w:val="0067658D"/>
    <w:rsid w:val="006778C9"/>
    <w:rsid w:val="00694BBA"/>
    <w:rsid w:val="006A1809"/>
    <w:rsid w:val="006A27C3"/>
    <w:rsid w:val="006A774F"/>
    <w:rsid w:val="006B10C9"/>
    <w:rsid w:val="006B3287"/>
    <w:rsid w:val="006B62AF"/>
    <w:rsid w:val="006C2A54"/>
    <w:rsid w:val="006C2E7B"/>
    <w:rsid w:val="006C75B6"/>
    <w:rsid w:val="006D761E"/>
    <w:rsid w:val="006E1EF8"/>
    <w:rsid w:val="006E3C09"/>
    <w:rsid w:val="006F05C6"/>
    <w:rsid w:val="006F2551"/>
    <w:rsid w:val="007053DA"/>
    <w:rsid w:val="00710C2C"/>
    <w:rsid w:val="00713243"/>
    <w:rsid w:val="007358B2"/>
    <w:rsid w:val="007404B2"/>
    <w:rsid w:val="00753C79"/>
    <w:rsid w:val="007541E8"/>
    <w:rsid w:val="007544DB"/>
    <w:rsid w:val="00755BC2"/>
    <w:rsid w:val="007616C0"/>
    <w:rsid w:val="00761D27"/>
    <w:rsid w:val="007661F3"/>
    <w:rsid w:val="00766522"/>
    <w:rsid w:val="0077628D"/>
    <w:rsid w:val="00780493"/>
    <w:rsid w:val="00796D44"/>
    <w:rsid w:val="007A0839"/>
    <w:rsid w:val="007A3886"/>
    <w:rsid w:val="007A6944"/>
    <w:rsid w:val="007C51DC"/>
    <w:rsid w:val="007C6007"/>
    <w:rsid w:val="007D0208"/>
    <w:rsid w:val="007D4F75"/>
    <w:rsid w:val="007D6E7A"/>
    <w:rsid w:val="007E5221"/>
    <w:rsid w:val="007F0107"/>
    <w:rsid w:val="007F0886"/>
    <w:rsid w:val="007F59AA"/>
    <w:rsid w:val="007F6BF0"/>
    <w:rsid w:val="008158F9"/>
    <w:rsid w:val="00817140"/>
    <w:rsid w:val="0082159D"/>
    <w:rsid w:val="00822013"/>
    <w:rsid w:val="00827B2C"/>
    <w:rsid w:val="008340E7"/>
    <w:rsid w:val="00835217"/>
    <w:rsid w:val="00837E0D"/>
    <w:rsid w:val="00837E70"/>
    <w:rsid w:val="00841C0A"/>
    <w:rsid w:val="00851536"/>
    <w:rsid w:val="0085773F"/>
    <w:rsid w:val="00873E3A"/>
    <w:rsid w:val="00886C4E"/>
    <w:rsid w:val="008901F4"/>
    <w:rsid w:val="00890265"/>
    <w:rsid w:val="008906D6"/>
    <w:rsid w:val="00891C5D"/>
    <w:rsid w:val="008949DF"/>
    <w:rsid w:val="008A0C68"/>
    <w:rsid w:val="008A41C6"/>
    <w:rsid w:val="008A4D19"/>
    <w:rsid w:val="008A526F"/>
    <w:rsid w:val="008B3B6D"/>
    <w:rsid w:val="008B52DB"/>
    <w:rsid w:val="008B69F5"/>
    <w:rsid w:val="008C2F0C"/>
    <w:rsid w:val="008C68EE"/>
    <w:rsid w:val="008C6D81"/>
    <w:rsid w:val="008C7D8B"/>
    <w:rsid w:val="008D1791"/>
    <w:rsid w:val="008D5F7C"/>
    <w:rsid w:val="008F119D"/>
    <w:rsid w:val="00914B35"/>
    <w:rsid w:val="0093486A"/>
    <w:rsid w:val="00946929"/>
    <w:rsid w:val="00950136"/>
    <w:rsid w:val="00951623"/>
    <w:rsid w:val="00951E6E"/>
    <w:rsid w:val="00965F42"/>
    <w:rsid w:val="009674C1"/>
    <w:rsid w:val="0097220E"/>
    <w:rsid w:val="00975A4F"/>
    <w:rsid w:val="00975E06"/>
    <w:rsid w:val="009906AB"/>
    <w:rsid w:val="00992F82"/>
    <w:rsid w:val="00995E8F"/>
    <w:rsid w:val="009A0CD9"/>
    <w:rsid w:val="009A2B45"/>
    <w:rsid w:val="009B4D0E"/>
    <w:rsid w:val="009B6E25"/>
    <w:rsid w:val="009C1CB8"/>
    <w:rsid w:val="009C40C0"/>
    <w:rsid w:val="009C4147"/>
    <w:rsid w:val="009C4B59"/>
    <w:rsid w:val="009D2FF4"/>
    <w:rsid w:val="009E3E4B"/>
    <w:rsid w:val="009E5681"/>
    <w:rsid w:val="009E5751"/>
    <w:rsid w:val="00A0330D"/>
    <w:rsid w:val="00A037FC"/>
    <w:rsid w:val="00A040E3"/>
    <w:rsid w:val="00A20DB4"/>
    <w:rsid w:val="00A230FA"/>
    <w:rsid w:val="00A269B1"/>
    <w:rsid w:val="00A322A8"/>
    <w:rsid w:val="00A35242"/>
    <w:rsid w:val="00A35DD4"/>
    <w:rsid w:val="00A50472"/>
    <w:rsid w:val="00A616D0"/>
    <w:rsid w:val="00A61EC1"/>
    <w:rsid w:val="00A6655B"/>
    <w:rsid w:val="00A85A51"/>
    <w:rsid w:val="00A96371"/>
    <w:rsid w:val="00AA2B4B"/>
    <w:rsid w:val="00AB28DB"/>
    <w:rsid w:val="00AB557C"/>
    <w:rsid w:val="00AB5748"/>
    <w:rsid w:val="00AB5AF3"/>
    <w:rsid w:val="00AB641B"/>
    <w:rsid w:val="00AD5683"/>
    <w:rsid w:val="00AD5C54"/>
    <w:rsid w:val="00AE23AB"/>
    <w:rsid w:val="00AE58BC"/>
    <w:rsid w:val="00AF61DC"/>
    <w:rsid w:val="00B05064"/>
    <w:rsid w:val="00B12EEE"/>
    <w:rsid w:val="00B14523"/>
    <w:rsid w:val="00B14DA2"/>
    <w:rsid w:val="00B20A23"/>
    <w:rsid w:val="00B60D0D"/>
    <w:rsid w:val="00B614B5"/>
    <w:rsid w:val="00B6618A"/>
    <w:rsid w:val="00B66E2C"/>
    <w:rsid w:val="00B811AE"/>
    <w:rsid w:val="00B85D06"/>
    <w:rsid w:val="00B90E3C"/>
    <w:rsid w:val="00B937F5"/>
    <w:rsid w:val="00BA055B"/>
    <w:rsid w:val="00BA17AF"/>
    <w:rsid w:val="00BC1A1C"/>
    <w:rsid w:val="00BC7C67"/>
    <w:rsid w:val="00BD075A"/>
    <w:rsid w:val="00BD2F51"/>
    <w:rsid w:val="00BE47C5"/>
    <w:rsid w:val="00BE69AD"/>
    <w:rsid w:val="00BE78C5"/>
    <w:rsid w:val="00BF6447"/>
    <w:rsid w:val="00C00402"/>
    <w:rsid w:val="00C00478"/>
    <w:rsid w:val="00C015E2"/>
    <w:rsid w:val="00C03AC1"/>
    <w:rsid w:val="00C0795A"/>
    <w:rsid w:val="00C10DE9"/>
    <w:rsid w:val="00C12D10"/>
    <w:rsid w:val="00C23FDD"/>
    <w:rsid w:val="00C24FF6"/>
    <w:rsid w:val="00C3224F"/>
    <w:rsid w:val="00C37687"/>
    <w:rsid w:val="00C40948"/>
    <w:rsid w:val="00C512E0"/>
    <w:rsid w:val="00C52A39"/>
    <w:rsid w:val="00C56007"/>
    <w:rsid w:val="00C61981"/>
    <w:rsid w:val="00C65A61"/>
    <w:rsid w:val="00C86624"/>
    <w:rsid w:val="00C86C3D"/>
    <w:rsid w:val="00C942F3"/>
    <w:rsid w:val="00CA429E"/>
    <w:rsid w:val="00CA4E37"/>
    <w:rsid w:val="00CB785C"/>
    <w:rsid w:val="00CB7C32"/>
    <w:rsid w:val="00CC4884"/>
    <w:rsid w:val="00CC7A27"/>
    <w:rsid w:val="00CD1320"/>
    <w:rsid w:val="00CD7702"/>
    <w:rsid w:val="00CE0C9A"/>
    <w:rsid w:val="00CE137C"/>
    <w:rsid w:val="00CE1DD4"/>
    <w:rsid w:val="00CF0FE8"/>
    <w:rsid w:val="00CF3858"/>
    <w:rsid w:val="00D008FB"/>
    <w:rsid w:val="00D07804"/>
    <w:rsid w:val="00D14B0E"/>
    <w:rsid w:val="00D22BE9"/>
    <w:rsid w:val="00D24A01"/>
    <w:rsid w:val="00D345FF"/>
    <w:rsid w:val="00D35B39"/>
    <w:rsid w:val="00D40D37"/>
    <w:rsid w:val="00D45620"/>
    <w:rsid w:val="00D50A8B"/>
    <w:rsid w:val="00D75999"/>
    <w:rsid w:val="00D75BA6"/>
    <w:rsid w:val="00D93B35"/>
    <w:rsid w:val="00DA09DF"/>
    <w:rsid w:val="00DA1B93"/>
    <w:rsid w:val="00DB52BC"/>
    <w:rsid w:val="00DB7FAA"/>
    <w:rsid w:val="00DC5C55"/>
    <w:rsid w:val="00DC76F4"/>
    <w:rsid w:val="00DF186C"/>
    <w:rsid w:val="00DF31DF"/>
    <w:rsid w:val="00E03606"/>
    <w:rsid w:val="00E05A08"/>
    <w:rsid w:val="00E0794E"/>
    <w:rsid w:val="00E16017"/>
    <w:rsid w:val="00E17023"/>
    <w:rsid w:val="00E22E4D"/>
    <w:rsid w:val="00E338C2"/>
    <w:rsid w:val="00E45982"/>
    <w:rsid w:val="00E4628A"/>
    <w:rsid w:val="00E6131A"/>
    <w:rsid w:val="00E62569"/>
    <w:rsid w:val="00E633E4"/>
    <w:rsid w:val="00E74B7C"/>
    <w:rsid w:val="00E76DC2"/>
    <w:rsid w:val="00E77252"/>
    <w:rsid w:val="00E84067"/>
    <w:rsid w:val="00E902E5"/>
    <w:rsid w:val="00E93737"/>
    <w:rsid w:val="00E9609C"/>
    <w:rsid w:val="00EA1FB1"/>
    <w:rsid w:val="00EA4D96"/>
    <w:rsid w:val="00EA7CCE"/>
    <w:rsid w:val="00EB164E"/>
    <w:rsid w:val="00EB6E26"/>
    <w:rsid w:val="00EC03A4"/>
    <w:rsid w:val="00EC384C"/>
    <w:rsid w:val="00ED1FFB"/>
    <w:rsid w:val="00EE023D"/>
    <w:rsid w:val="00EE6FD6"/>
    <w:rsid w:val="00EF17A2"/>
    <w:rsid w:val="00EF27A2"/>
    <w:rsid w:val="00EF3963"/>
    <w:rsid w:val="00F03C0B"/>
    <w:rsid w:val="00F07402"/>
    <w:rsid w:val="00F215E2"/>
    <w:rsid w:val="00F2733E"/>
    <w:rsid w:val="00F27D78"/>
    <w:rsid w:val="00F35CC0"/>
    <w:rsid w:val="00F37D87"/>
    <w:rsid w:val="00F42635"/>
    <w:rsid w:val="00F459A5"/>
    <w:rsid w:val="00F5117D"/>
    <w:rsid w:val="00F5129C"/>
    <w:rsid w:val="00F60CDA"/>
    <w:rsid w:val="00F643BF"/>
    <w:rsid w:val="00F64655"/>
    <w:rsid w:val="00F6693A"/>
    <w:rsid w:val="00F725BB"/>
    <w:rsid w:val="00F83B3D"/>
    <w:rsid w:val="00F877F0"/>
    <w:rsid w:val="00FA7F0F"/>
    <w:rsid w:val="00FB50CB"/>
    <w:rsid w:val="00FB791B"/>
    <w:rsid w:val="00FC0762"/>
    <w:rsid w:val="00FC36FD"/>
    <w:rsid w:val="00FD22B5"/>
    <w:rsid w:val="00FD382A"/>
    <w:rsid w:val="00FD56F2"/>
    <w:rsid w:val="00FD593A"/>
    <w:rsid w:val="00FD7FD8"/>
    <w:rsid w:val="00FE4956"/>
    <w:rsid w:val="00FE716F"/>
    <w:rsid w:val="00FF5801"/>
    <w:rsid w:val="00FF77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99DD3"/>
  <w15:docId w15:val="{4022DCB6-EB49-477B-8A3E-27784F315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33"/>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odyText"/>
    <w:link w:val="Heading1Char"/>
    <w:uiPriority w:val="9"/>
    <w:qFormat/>
    <w:rsid w:val="00E03606"/>
    <w:pPr>
      <w:outlineLvl w:val="0"/>
    </w:pPr>
    <w:rPr>
      <w:b/>
      <w:sz w:val="28"/>
      <w:szCs w:val="28"/>
    </w:rPr>
  </w:style>
  <w:style w:type="paragraph" w:styleId="Heading2">
    <w:name w:val="heading 2"/>
    <w:basedOn w:val="Normal"/>
    <w:next w:val="BodyText"/>
    <w:link w:val="Heading2Char"/>
    <w:uiPriority w:val="9"/>
    <w:qFormat/>
    <w:rsid w:val="00E03606"/>
    <w:pPr>
      <w:outlineLvl w:val="1"/>
    </w:pPr>
    <w:rPr>
      <w:b/>
    </w:rPr>
  </w:style>
  <w:style w:type="paragraph" w:styleId="Heading3">
    <w:name w:val="heading 3"/>
    <w:basedOn w:val="Heading2"/>
    <w:next w:val="BodyText"/>
    <w:link w:val="Heading3Char"/>
    <w:uiPriority w:val="9"/>
    <w:qFormat/>
    <w:rsid w:val="0067226F"/>
    <w:pPr>
      <w:outlineLvl w:val="2"/>
    </w:pPr>
    <w:rPr>
      <w:i/>
    </w:rPr>
  </w:style>
  <w:style w:type="paragraph" w:styleId="Heading4">
    <w:name w:val="heading 4"/>
    <w:basedOn w:val="Normal"/>
    <w:next w:val="BodyText"/>
    <w:link w:val="Heading4Char"/>
    <w:uiPriority w:val="9"/>
    <w:rsid w:val="007358B2"/>
    <w:pPr>
      <w:keepNext/>
      <w:numPr>
        <w:ilvl w:val="3"/>
        <w:numId w:val="4"/>
      </w:numPr>
      <w:spacing w:before="180" w:after="60" w:line="240" w:lineRule="auto"/>
      <w:outlineLvl w:val="3"/>
    </w:pPr>
    <w:rPr>
      <w:rFonts w:ascii="Calibri" w:eastAsia="Times New Roman" w:hAnsi="Calibri" w:cs="Times New Roman"/>
      <w:b/>
      <w:color w:val="00A1DE"/>
      <w:sz w:val="24"/>
      <w:szCs w:val="24"/>
    </w:rPr>
  </w:style>
  <w:style w:type="paragraph" w:styleId="Heading5">
    <w:name w:val="heading 5"/>
    <w:basedOn w:val="Normal"/>
    <w:next w:val="BodyText"/>
    <w:link w:val="Heading5Char"/>
    <w:uiPriority w:val="9"/>
    <w:rsid w:val="007358B2"/>
    <w:pPr>
      <w:keepNext/>
      <w:numPr>
        <w:ilvl w:val="4"/>
        <w:numId w:val="4"/>
      </w:numPr>
      <w:pBdr>
        <w:top w:val="single" w:sz="12" w:space="5" w:color="931638"/>
        <w:left w:val="single" w:sz="12" w:space="5" w:color="931638"/>
        <w:bottom w:val="single" w:sz="12" w:space="5" w:color="931638"/>
        <w:right w:val="single" w:sz="12" w:space="5" w:color="931638"/>
      </w:pBdr>
      <w:shd w:val="clear" w:color="auto" w:fill="931638"/>
      <w:spacing w:after="0" w:line="240" w:lineRule="auto"/>
      <w:ind w:right="284"/>
      <w:outlineLvl w:val="4"/>
    </w:pPr>
    <w:rPr>
      <w:rFonts w:ascii="Times New Roman" w:eastAsia="Times New Roman" w:hAnsi="Times New Roman" w:cs="Times New Roman"/>
      <w:b/>
      <w:color w:val="FFFFFF"/>
      <w:sz w:val="24"/>
      <w:szCs w:val="24"/>
    </w:rPr>
  </w:style>
  <w:style w:type="paragraph" w:styleId="Heading6">
    <w:name w:val="heading 6"/>
    <w:basedOn w:val="Normal"/>
    <w:next w:val="BodyText"/>
    <w:link w:val="Heading6Char"/>
    <w:rsid w:val="00280642"/>
    <w:pPr>
      <w:numPr>
        <w:ilvl w:val="5"/>
        <w:numId w:val="8"/>
      </w:numPr>
      <w:spacing w:after="0" w:line="240" w:lineRule="auto"/>
      <w:outlineLvl w:val="5"/>
    </w:pPr>
    <w:rPr>
      <w:rFonts w:ascii="Arial Bold" w:hAnsi="Arial Bold" w:cs="Calibri"/>
      <w:b/>
      <w:color w:val="931638"/>
    </w:rPr>
  </w:style>
  <w:style w:type="paragraph" w:styleId="Heading7">
    <w:name w:val="heading 7"/>
    <w:basedOn w:val="Normal"/>
    <w:next w:val="BodyText"/>
    <w:link w:val="Heading7Char"/>
    <w:rsid w:val="00280642"/>
    <w:pPr>
      <w:numPr>
        <w:ilvl w:val="6"/>
        <w:numId w:val="8"/>
      </w:numPr>
      <w:spacing w:after="0" w:line="240" w:lineRule="auto"/>
      <w:outlineLvl w:val="6"/>
    </w:pPr>
    <w:rPr>
      <w:rFonts w:ascii="Calibri" w:hAnsi="Calibri" w:cs="Calibri"/>
      <w:color w:val="931638"/>
    </w:rPr>
  </w:style>
  <w:style w:type="paragraph" w:styleId="Heading8">
    <w:name w:val="heading 8"/>
    <w:basedOn w:val="Normal"/>
    <w:next w:val="BodyText"/>
    <w:link w:val="Heading8Char"/>
    <w:rsid w:val="00280642"/>
    <w:pPr>
      <w:numPr>
        <w:ilvl w:val="7"/>
        <w:numId w:val="8"/>
      </w:numPr>
      <w:spacing w:before="180" w:after="0" w:line="240" w:lineRule="auto"/>
      <w:outlineLvl w:val="7"/>
    </w:pPr>
    <w:rPr>
      <w:rFonts w:ascii="Calibri" w:hAnsi="Calibri" w:cs="Calibri"/>
      <w:color w:val="931638"/>
    </w:rPr>
  </w:style>
  <w:style w:type="paragraph" w:styleId="Heading9">
    <w:name w:val="heading 9"/>
    <w:basedOn w:val="Normal"/>
    <w:next w:val="BodyText"/>
    <w:link w:val="Heading9Char"/>
    <w:rsid w:val="00280642"/>
    <w:pPr>
      <w:numPr>
        <w:ilvl w:val="8"/>
        <w:numId w:val="8"/>
      </w:numPr>
      <w:spacing w:before="180" w:after="0" w:line="240" w:lineRule="auto"/>
      <w:outlineLvl w:val="8"/>
    </w:pPr>
    <w:rPr>
      <w:rFonts w:ascii="Calibri" w:hAnsi="Calibri" w:cs="Calibri"/>
      <w:color w:val="9316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50E28"/>
    <w:rPr>
      <w:color w:val="0563C1" w:themeColor="hyperlink"/>
      <w:u w:val="single"/>
    </w:rPr>
  </w:style>
  <w:style w:type="paragraph" w:styleId="ListParagraph">
    <w:name w:val="List Paragraph"/>
    <w:basedOn w:val="Normal"/>
    <w:uiPriority w:val="34"/>
    <w:rsid w:val="00231403"/>
    <w:pPr>
      <w:ind w:left="720"/>
      <w:contextualSpacing/>
    </w:pPr>
  </w:style>
  <w:style w:type="character" w:styleId="Emphasis">
    <w:name w:val="Emphasis"/>
    <w:basedOn w:val="DefaultParagraphFont"/>
    <w:uiPriority w:val="33"/>
    <w:rsid w:val="00421607"/>
    <w:rPr>
      <w:i/>
      <w:iCs/>
    </w:rPr>
  </w:style>
  <w:style w:type="table" w:customStyle="1" w:styleId="DefaultTable1">
    <w:name w:val="Default Table 1"/>
    <w:basedOn w:val="TableNormal"/>
    <w:uiPriority w:val="99"/>
    <w:rsid w:val="00421607"/>
    <w:pPr>
      <w:spacing w:before="60" w:after="60" w:line="240" w:lineRule="auto"/>
    </w:pPr>
    <w:rPr>
      <w:color w:val="262626" w:themeColor="text1" w:themeTint="D9"/>
      <w:sz w:val="20"/>
      <w:szCs w:val="20"/>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l2br w:val="nil"/>
          <w:tr2bl w:val="nil"/>
        </w:tcBorders>
        <w:shd w:val="clear" w:color="auto" w:fill="5B9BD5" w:themeFill="accent1"/>
      </w:tcPr>
    </w:tblStylePr>
    <w:tblStylePr w:type="lastRow">
      <w:rPr>
        <w:b/>
        <w:bCs/>
        <w:color w:val="000000" w:themeColor="text1"/>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firstCol">
      <w:rPr>
        <w:b/>
        <w:bCs/>
        <w:color w:val="262626" w:themeColor="text1" w:themeTint="D9"/>
      </w:rPr>
      <w:tblPr/>
      <w:tcPr>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cBorders>
        <w:shd w:val="clear" w:color="auto" w:fill="auto"/>
      </w:tcPr>
    </w:tblStylePr>
    <w:tblStylePr w:type="lastCol">
      <w:pPr>
        <w:jc w:val="right"/>
      </w:pPr>
      <w:rPr>
        <w:b/>
        <w:bCs/>
        <w:color w:val="262626" w:themeColor="text1" w:themeTint="D9"/>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band1Vert">
      <w:tblPr/>
      <w:tcPr>
        <w:shd w:val="clear" w:color="auto" w:fill="D9E2F3" w:themeFill="accent5" w:themeFillTint="33"/>
      </w:tcPr>
    </w:tblStylePr>
    <w:tblStylePr w:type="band2Vert">
      <w:tblPr/>
      <w:tcPr>
        <w:shd w:val="clear" w:color="auto" w:fill="B4C6E7" w:themeFill="accent5" w:themeFillTint="66"/>
      </w:tcPr>
    </w:tblStylePr>
    <w:tblStylePr w:type="band1Horz">
      <w:tblPr/>
      <w:tcPr>
        <w:shd w:val="clear" w:color="auto" w:fill="D9E2F3" w:themeFill="accent5" w:themeFillTint="33"/>
      </w:tcPr>
    </w:tblStylePr>
    <w:tblStylePr w:type="band2Horz">
      <w:tblPr/>
      <w:tcPr>
        <w:shd w:val="clear" w:color="auto" w:fill="B4C6E7" w:themeFill="accent5" w:themeFillTint="66"/>
      </w:tcPr>
    </w:tblStylePr>
  </w:style>
  <w:style w:type="character" w:styleId="CommentReference">
    <w:name w:val="annotation reference"/>
    <w:basedOn w:val="DefaultParagraphFont"/>
    <w:uiPriority w:val="99"/>
    <w:semiHidden/>
    <w:unhideWhenUsed/>
    <w:rsid w:val="00631BEB"/>
    <w:rPr>
      <w:sz w:val="16"/>
      <w:szCs w:val="16"/>
    </w:rPr>
  </w:style>
  <w:style w:type="paragraph" w:styleId="CommentText">
    <w:name w:val="annotation text"/>
    <w:basedOn w:val="Normal"/>
    <w:link w:val="CommentTextChar"/>
    <w:uiPriority w:val="99"/>
    <w:unhideWhenUsed/>
    <w:rsid w:val="00631BEB"/>
    <w:pPr>
      <w:spacing w:line="240" w:lineRule="auto"/>
    </w:pPr>
    <w:rPr>
      <w:sz w:val="20"/>
      <w:szCs w:val="20"/>
    </w:rPr>
  </w:style>
  <w:style w:type="character" w:customStyle="1" w:styleId="CommentTextChar">
    <w:name w:val="Comment Text Char"/>
    <w:basedOn w:val="DefaultParagraphFont"/>
    <w:link w:val="CommentText"/>
    <w:uiPriority w:val="99"/>
    <w:rsid w:val="00631BEB"/>
    <w:rPr>
      <w:sz w:val="20"/>
      <w:szCs w:val="20"/>
    </w:rPr>
  </w:style>
  <w:style w:type="paragraph" w:styleId="CommentSubject">
    <w:name w:val="annotation subject"/>
    <w:basedOn w:val="CommentText"/>
    <w:next w:val="CommentText"/>
    <w:link w:val="CommentSubjectChar"/>
    <w:uiPriority w:val="99"/>
    <w:semiHidden/>
    <w:unhideWhenUsed/>
    <w:rsid w:val="00631BEB"/>
    <w:rPr>
      <w:b/>
      <w:bCs/>
    </w:rPr>
  </w:style>
  <w:style w:type="character" w:customStyle="1" w:styleId="CommentSubjectChar">
    <w:name w:val="Comment Subject Char"/>
    <w:basedOn w:val="CommentTextChar"/>
    <w:link w:val="CommentSubject"/>
    <w:uiPriority w:val="99"/>
    <w:semiHidden/>
    <w:rsid w:val="00631BEB"/>
    <w:rPr>
      <w:b/>
      <w:bCs/>
      <w:sz w:val="20"/>
      <w:szCs w:val="20"/>
    </w:rPr>
  </w:style>
  <w:style w:type="paragraph" w:styleId="BalloonText">
    <w:name w:val="Balloon Text"/>
    <w:basedOn w:val="Normal"/>
    <w:link w:val="BalloonTextChar"/>
    <w:uiPriority w:val="99"/>
    <w:semiHidden/>
    <w:unhideWhenUsed/>
    <w:rsid w:val="00631B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1BEB"/>
    <w:rPr>
      <w:rFonts w:ascii="Segoe UI" w:hAnsi="Segoe UI" w:cs="Segoe UI"/>
      <w:sz w:val="18"/>
      <w:szCs w:val="18"/>
    </w:rPr>
  </w:style>
  <w:style w:type="paragraph" w:styleId="Caption">
    <w:name w:val="caption"/>
    <w:basedOn w:val="Normal"/>
    <w:next w:val="Normal"/>
    <w:uiPriority w:val="35"/>
    <w:qFormat/>
    <w:rsid w:val="0013301A"/>
    <w:pPr>
      <w:keepNext/>
      <w:keepLines/>
      <w:spacing w:after="240" w:line="240" w:lineRule="auto"/>
      <w:jc w:val="center"/>
    </w:pPr>
    <w:rPr>
      <w:rFonts w:ascii="Calibri" w:eastAsia="Times New Roman" w:hAnsi="Calibri" w:cs="Times New Roman"/>
      <w:b/>
      <w:bCs/>
      <w:color w:val="931638"/>
      <w:sz w:val="24"/>
    </w:rPr>
  </w:style>
  <w:style w:type="character" w:customStyle="1" w:styleId="Heading1Char">
    <w:name w:val="Heading 1 Char"/>
    <w:basedOn w:val="DefaultParagraphFont"/>
    <w:link w:val="Heading1"/>
    <w:uiPriority w:val="9"/>
    <w:rsid w:val="00E03606"/>
    <w:rPr>
      <w:b/>
      <w:sz w:val="28"/>
      <w:szCs w:val="28"/>
    </w:rPr>
  </w:style>
  <w:style w:type="character" w:customStyle="1" w:styleId="Heading2Char">
    <w:name w:val="Heading 2 Char"/>
    <w:basedOn w:val="DefaultParagraphFont"/>
    <w:link w:val="Heading2"/>
    <w:uiPriority w:val="9"/>
    <w:rsid w:val="00E03606"/>
    <w:rPr>
      <w:b/>
    </w:rPr>
  </w:style>
  <w:style w:type="character" w:customStyle="1" w:styleId="Heading3Char">
    <w:name w:val="Heading 3 Char"/>
    <w:basedOn w:val="DefaultParagraphFont"/>
    <w:link w:val="Heading3"/>
    <w:uiPriority w:val="9"/>
    <w:rsid w:val="0067226F"/>
    <w:rPr>
      <w:b/>
      <w:i/>
    </w:rPr>
  </w:style>
  <w:style w:type="character" w:customStyle="1" w:styleId="Heading4Char">
    <w:name w:val="Heading 4 Char"/>
    <w:basedOn w:val="DefaultParagraphFont"/>
    <w:link w:val="Heading4"/>
    <w:uiPriority w:val="9"/>
    <w:rsid w:val="007358B2"/>
    <w:rPr>
      <w:rFonts w:ascii="Calibri" w:eastAsia="Times New Roman" w:hAnsi="Calibri" w:cs="Times New Roman"/>
      <w:b/>
      <w:color w:val="00A1DE"/>
      <w:sz w:val="24"/>
      <w:szCs w:val="24"/>
    </w:rPr>
  </w:style>
  <w:style w:type="character" w:customStyle="1" w:styleId="Heading5Char">
    <w:name w:val="Heading 5 Char"/>
    <w:basedOn w:val="DefaultParagraphFont"/>
    <w:link w:val="Heading5"/>
    <w:uiPriority w:val="9"/>
    <w:rsid w:val="007358B2"/>
    <w:rPr>
      <w:rFonts w:ascii="Times New Roman" w:eastAsia="Times New Roman" w:hAnsi="Times New Roman" w:cs="Times New Roman"/>
      <w:b/>
      <w:color w:val="FFFFFF"/>
      <w:sz w:val="24"/>
      <w:szCs w:val="24"/>
      <w:shd w:val="clear" w:color="auto" w:fill="931638"/>
    </w:rPr>
  </w:style>
  <w:style w:type="paragraph" w:customStyle="1" w:styleId="CaptionTable">
    <w:name w:val="Caption_Table"/>
    <w:basedOn w:val="Normal"/>
    <w:next w:val="BodyText"/>
    <w:rsid w:val="007358B2"/>
    <w:pPr>
      <w:keepNext/>
      <w:keepLines/>
      <w:numPr>
        <w:ilvl w:val="6"/>
        <w:numId w:val="4"/>
      </w:numPr>
      <w:spacing w:after="240" w:line="240" w:lineRule="auto"/>
      <w:jc w:val="center"/>
    </w:pPr>
    <w:rPr>
      <w:rFonts w:ascii="Calibri" w:eastAsia="Times New Roman" w:hAnsi="Calibri" w:cs="Times New Roman"/>
      <w:b/>
      <w:color w:val="002776"/>
      <w:szCs w:val="24"/>
    </w:rPr>
  </w:style>
  <w:style w:type="paragraph" w:customStyle="1" w:styleId="CaptionFigure">
    <w:name w:val="Caption_Figure"/>
    <w:basedOn w:val="CaptionTable"/>
    <w:next w:val="BodyText"/>
    <w:rsid w:val="007358B2"/>
    <w:pPr>
      <w:numPr>
        <w:ilvl w:val="8"/>
      </w:numPr>
    </w:pPr>
    <w:rPr>
      <w:bCs/>
      <w:szCs w:val="22"/>
    </w:rPr>
  </w:style>
  <w:style w:type="paragraph" w:customStyle="1" w:styleId="CaptionChart">
    <w:name w:val="Caption_Chart"/>
    <w:basedOn w:val="CaptionFigure"/>
    <w:next w:val="BodyText"/>
    <w:rsid w:val="007358B2"/>
    <w:pPr>
      <w:numPr>
        <w:ilvl w:val="7"/>
      </w:numPr>
    </w:pPr>
  </w:style>
  <w:style w:type="paragraph" w:styleId="BodyText">
    <w:name w:val="Body Text"/>
    <w:basedOn w:val="Normal"/>
    <w:link w:val="BodyTextChar"/>
    <w:uiPriority w:val="99"/>
    <w:semiHidden/>
    <w:unhideWhenUsed/>
    <w:rsid w:val="007358B2"/>
    <w:pPr>
      <w:spacing w:after="120"/>
    </w:pPr>
  </w:style>
  <w:style w:type="character" w:customStyle="1" w:styleId="BodyTextChar">
    <w:name w:val="Body Text Char"/>
    <w:basedOn w:val="DefaultParagraphFont"/>
    <w:link w:val="BodyText"/>
    <w:uiPriority w:val="99"/>
    <w:semiHidden/>
    <w:rsid w:val="007358B2"/>
  </w:style>
  <w:style w:type="paragraph" w:styleId="Header">
    <w:name w:val="header"/>
    <w:basedOn w:val="Normal"/>
    <w:link w:val="HeaderChar"/>
    <w:unhideWhenUsed/>
    <w:rsid w:val="00EA1FB1"/>
    <w:pPr>
      <w:tabs>
        <w:tab w:val="center" w:pos="4513"/>
        <w:tab w:val="right" w:pos="9026"/>
      </w:tabs>
      <w:spacing w:after="0" w:line="240" w:lineRule="auto"/>
    </w:pPr>
  </w:style>
  <w:style w:type="character" w:customStyle="1" w:styleId="HeaderChar">
    <w:name w:val="Header Char"/>
    <w:basedOn w:val="DefaultParagraphFont"/>
    <w:link w:val="Header"/>
    <w:rsid w:val="00EA1FB1"/>
  </w:style>
  <w:style w:type="paragraph" w:styleId="Footer">
    <w:name w:val="footer"/>
    <w:basedOn w:val="Normal"/>
    <w:link w:val="FooterChar"/>
    <w:uiPriority w:val="99"/>
    <w:unhideWhenUsed/>
    <w:rsid w:val="00EA1F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1FB1"/>
  </w:style>
  <w:style w:type="paragraph" w:customStyle="1" w:styleId="TableHeadingCentre">
    <w:name w:val="Table Heading Centre"/>
    <w:basedOn w:val="Normal"/>
    <w:rsid w:val="00456006"/>
    <w:pPr>
      <w:keepNext/>
      <w:keepLines/>
      <w:spacing w:before="20" w:after="20" w:line="240" w:lineRule="auto"/>
      <w:jc w:val="center"/>
    </w:pPr>
    <w:rPr>
      <w:rFonts w:ascii="Calibri" w:hAnsi="Calibri" w:cs="Calibri"/>
      <w:b/>
      <w:color w:val="002776"/>
    </w:rPr>
  </w:style>
  <w:style w:type="paragraph" w:customStyle="1" w:styleId="TabletextLeft">
    <w:name w:val="Table text Left"/>
    <w:basedOn w:val="Normal"/>
    <w:rsid w:val="00456006"/>
    <w:pPr>
      <w:spacing w:before="60" w:after="0" w:line="240" w:lineRule="auto"/>
    </w:pPr>
    <w:rPr>
      <w:rFonts w:ascii="Calibri" w:hAnsi="Calibri" w:cs="Calibri"/>
      <w:sz w:val="20"/>
    </w:rPr>
  </w:style>
  <w:style w:type="paragraph" w:customStyle="1" w:styleId="Appendix">
    <w:name w:val="Appendix"/>
    <w:basedOn w:val="Normal"/>
    <w:next w:val="Normal"/>
    <w:rsid w:val="00456006"/>
    <w:pPr>
      <w:keepNext/>
      <w:pageBreakBefore/>
      <w:numPr>
        <w:numId w:val="7"/>
      </w:numPr>
      <w:spacing w:before="360" w:after="180" w:line="240" w:lineRule="auto"/>
    </w:pPr>
    <w:rPr>
      <w:rFonts w:ascii="Calibri" w:hAnsi="Calibri" w:cs="Calibri"/>
      <w:b/>
      <w:color w:val="002776"/>
      <w:sz w:val="56"/>
      <w:szCs w:val="28"/>
    </w:rPr>
  </w:style>
  <w:style w:type="table" w:customStyle="1" w:styleId="TableAEGreyTotals">
    <w:name w:val="Table AE Grey Totals"/>
    <w:basedOn w:val="TableNormal"/>
    <w:rsid w:val="00456006"/>
    <w:pPr>
      <w:spacing w:after="0" w:line="240" w:lineRule="auto"/>
    </w:pPr>
    <w:rPr>
      <w:rFonts w:ascii="Arial" w:eastAsia="Times New Roman" w:hAnsi="Arial" w:cs="Times New Roman"/>
      <w:sz w:val="20"/>
      <w:szCs w:val="20"/>
      <w:lang w:eastAsia="en-AU"/>
    </w:rPr>
    <w:tblPr>
      <w:jc w:val="center"/>
      <w:tblBorders>
        <w:top w:val="single" w:sz="12" w:space="0" w:color="002776"/>
        <w:insideH w:val="single" w:sz="4" w:space="0" w:color="A6A6A6"/>
        <w:insideV w:val="single" w:sz="4" w:space="0" w:color="A6A6A6"/>
      </w:tblBorders>
    </w:tblPr>
    <w:trPr>
      <w:cantSplit/>
      <w:jc w:val="center"/>
    </w:trPr>
    <w:tblStylePr w:type="firstRow">
      <w:tblPr/>
      <w:tcPr>
        <w:tcBorders>
          <w:top w:val="single" w:sz="12" w:space="0" w:color="002776"/>
          <w:left w:val="nil"/>
          <w:bottom w:val="single" w:sz="8" w:space="0" w:color="002776"/>
          <w:right w:val="nil"/>
          <w:insideH w:val="nil"/>
          <w:insideV w:val="single" w:sz="4" w:space="0" w:color="A6A6A6"/>
          <w:tl2br w:val="nil"/>
          <w:tr2bl w:val="nil"/>
        </w:tcBorders>
      </w:tcPr>
    </w:tblStylePr>
    <w:tblStylePr w:type="lastRow">
      <w:tblPr/>
      <w:tcPr>
        <w:tcBorders>
          <w:top w:val="single" w:sz="12" w:space="0" w:color="002776"/>
          <w:left w:val="nil"/>
          <w:bottom w:val="single" w:sz="12" w:space="0" w:color="002776"/>
          <w:right w:val="nil"/>
          <w:insideH w:val="nil"/>
          <w:insideV w:val="single" w:sz="4" w:space="0" w:color="A6A6A6"/>
          <w:tl2br w:val="nil"/>
          <w:tr2bl w:val="nil"/>
        </w:tcBorders>
      </w:tcPr>
    </w:tblStylePr>
  </w:style>
  <w:style w:type="paragraph" w:customStyle="1" w:styleId="AppendixTableCaption">
    <w:name w:val="Appendix Table Caption"/>
    <w:basedOn w:val="Normal"/>
    <w:next w:val="BodyText"/>
    <w:qFormat/>
    <w:rsid w:val="00456006"/>
    <w:pPr>
      <w:keepNext/>
      <w:keepLines/>
      <w:numPr>
        <w:ilvl w:val="1"/>
        <w:numId w:val="7"/>
      </w:numPr>
      <w:spacing w:after="240" w:line="240" w:lineRule="auto"/>
      <w:ind w:left="0"/>
      <w:jc w:val="center"/>
    </w:pPr>
    <w:rPr>
      <w:rFonts w:ascii="Calibri" w:hAnsi="Calibri" w:cs="Calibri"/>
      <w:b/>
      <w:color w:val="002776"/>
    </w:rPr>
  </w:style>
  <w:style w:type="paragraph" w:customStyle="1" w:styleId="Appendix1">
    <w:name w:val="Appendix 1"/>
    <w:basedOn w:val="Normal"/>
    <w:next w:val="BodyText"/>
    <w:qFormat/>
    <w:rsid w:val="000C062D"/>
    <w:rPr>
      <w:b/>
      <w:sz w:val="28"/>
      <w:szCs w:val="28"/>
    </w:rPr>
  </w:style>
  <w:style w:type="paragraph" w:customStyle="1" w:styleId="Appendix2">
    <w:name w:val="Appendix 2"/>
    <w:basedOn w:val="Normal"/>
    <w:next w:val="BodyText"/>
    <w:qFormat/>
    <w:rsid w:val="000C062D"/>
    <w:pPr>
      <w:jc w:val="center"/>
    </w:pPr>
    <w:rPr>
      <w:b/>
      <w:sz w:val="28"/>
      <w:szCs w:val="28"/>
    </w:rPr>
  </w:style>
  <w:style w:type="character" w:customStyle="1" w:styleId="Heading6Char">
    <w:name w:val="Heading 6 Char"/>
    <w:basedOn w:val="DefaultParagraphFont"/>
    <w:link w:val="Heading6"/>
    <w:rsid w:val="00280642"/>
    <w:rPr>
      <w:rFonts w:ascii="Arial Bold" w:hAnsi="Arial Bold" w:cs="Calibri"/>
      <w:b/>
      <w:color w:val="931638"/>
    </w:rPr>
  </w:style>
  <w:style w:type="character" w:customStyle="1" w:styleId="Heading7Char">
    <w:name w:val="Heading 7 Char"/>
    <w:basedOn w:val="DefaultParagraphFont"/>
    <w:link w:val="Heading7"/>
    <w:rsid w:val="00280642"/>
    <w:rPr>
      <w:rFonts w:ascii="Calibri" w:hAnsi="Calibri" w:cs="Calibri"/>
      <w:color w:val="931638"/>
    </w:rPr>
  </w:style>
  <w:style w:type="character" w:customStyle="1" w:styleId="Heading8Char">
    <w:name w:val="Heading 8 Char"/>
    <w:basedOn w:val="DefaultParagraphFont"/>
    <w:link w:val="Heading8"/>
    <w:rsid w:val="00280642"/>
    <w:rPr>
      <w:rFonts w:ascii="Calibri" w:hAnsi="Calibri" w:cs="Calibri"/>
      <w:color w:val="931638"/>
    </w:rPr>
  </w:style>
  <w:style w:type="character" w:customStyle="1" w:styleId="Heading9Char">
    <w:name w:val="Heading 9 Char"/>
    <w:basedOn w:val="DefaultParagraphFont"/>
    <w:link w:val="Heading9"/>
    <w:rsid w:val="00280642"/>
    <w:rPr>
      <w:rFonts w:ascii="Calibri" w:hAnsi="Calibri" w:cs="Calibri"/>
      <w:color w:val="931638"/>
    </w:rPr>
  </w:style>
  <w:style w:type="table" w:customStyle="1" w:styleId="TableAE">
    <w:name w:val="Table AE"/>
    <w:basedOn w:val="TableNormal"/>
    <w:uiPriority w:val="99"/>
    <w:rsid w:val="00280642"/>
    <w:pPr>
      <w:spacing w:after="0" w:line="240" w:lineRule="auto"/>
    </w:pPr>
    <w:rPr>
      <w:rFonts w:ascii="Arial" w:eastAsia="Times New Roman" w:hAnsi="Arial" w:cs="Times New Roman"/>
      <w:sz w:val="20"/>
      <w:szCs w:val="20"/>
      <w:lang w:eastAsia="en-AU"/>
    </w:rPr>
    <w:tblPr>
      <w:jc w:val="center"/>
      <w:tblBorders>
        <w:bottom w:val="single" w:sz="12" w:space="0" w:color="002776"/>
      </w:tblBorders>
    </w:tblPr>
    <w:trPr>
      <w:cantSplit/>
      <w:jc w:val="center"/>
    </w:trPr>
    <w:tblStylePr w:type="firstRow">
      <w:tblPr/>
      <w:tcPr>
        <w:tcBorders>
          <w:top w:val="single" w:sz="12" w:space="0" w:color="002776"/>
          <w:left w:val="nil"/>
          <w:bottom w:val="single" w:sz="8" w:space="0" w:color="002776"/>
          <w:right w:val="nil"/>
          <w:insideH w:val="nil"/>
          <w:insideV w:val="nil"/>
          <w:tl2br w:val="nil"/>
          <w:tr2bl w:val="nil"/>
        </w:tcBorders>
      </w:tcPr>
    </w:tblStylePr>
  </w:style>
  <w:style w:type="paragraph" w:customStyle="1" w:styleId="FigureTitle">
    <w:name w:val="Figure Title"/>
    <w:basedOn w:val="Normal"/>
    <w:uiPriority w:val="12"/>
    <w:qFormat/>
    <w:rsid w:val="00362F23"/>
    <w:pPr>
      <w:keepNext/>
      <w:numPr>
        <w:ilvl w:val="4"/>
        <w:numId w:val="10"/>
      </w:numPr>
      <w:suppressAutoHyphens/>
      <w:spacing w:before="240" w:after="60" w:line="240" w:lineRule="auto"/>
    </w:pPr>
    <w:rPr>
      <w:rFonts w:asciiTheme="majorHAnsi" w:eastAsiaTheme="minorEastAsia" w:hAnsiTheme="majorHAnsi" w:cs="Times New Roman"/>
      <w:b/>
      <w:color w:val="44546A" w:themeColor="text2"/>
      <w:szCs w:val="20"/>
      <w:lang w:eastAsia="en-AU"/>
    </w:rPr>
  </w:style>
  <w:style w:type="paragraph" w:customStyle="1" w:styleId="ChartTitle">
    <w:name w:val="Chart Title"/>
    <w:basedOn w:val="Normal"/>
    <w:uiPriority w:val="12"/>
    <w:qFormat/>
    <w:rsid w:val="00E03606"/>
    <w:pPr>
      <w:jc w:val="center"/>
    </w:pPr>
    <w:rPr>
      <w:rFonts w:eastAsia="Times New Roman" w:cstheme="minorHAnsi"/>
      <w:b/>
      <w:bCs/>
      <w:sz w:val="24"/>
    </w:rPr>
  </w:style>
  <w:style w:type="paragraph" w:customStyle="1" w:styleId="Heading1Numbered">
    <w:name w:val="Heading 1 Numbered"/>
    <w:basedOn w:val="ListParagraph"/>
    <w:uiPriority w:val="10"/>
    <w:qFormat/>
    <w:rsid w:val="00E03606"/>
    <w:pPr>
      <w:numPr>
        <w:numId w:val="6"/>
      </w:numPr>
    </w:pPr>
    <w:rPr>
      <w:b/>
      <w:sz w:val="28"/>
      <w:szCs w:val="28"/>
    </w:rPr>
  </w:style>
  <w:style w:type="paragraph" w:customStyle="1" w:styleId="Heading2Numbered">
    <w:name w:val="Heading 2 Numbered"/>
    <w:basedOn w:val="Heading2"/>
    <w:uiPriority w:val="10"/>
    <w:rsid w:val="00362F23"/>
    <w:pPr>
      <w:keepLines/>
      <w:numPr>
        <w:numId w:val="10"/>
      </w:numPr>
      <w:suppressAutoHyphens/>
      <w:spacing w:before="360" w:after="60"/>
    </w:pPr>
    <w:rPr>
      <w:rFonts w:asciiTheme="majorHAnsi" w:eastAsiaTheme="majorEastAsia" w:hAnsiTheme="majorHAnsi" w:cstheme="majorBidi"/>
      <w:color w:val="44546A" w:themeColor="text2"/>
      <w:sz w:val="32"/>
      <w:szCs w:val="26"/>
      <w:lang w:eastAsia="en-AU"/>
    </w:rPr>
  </w:style>
  <w:style w:type="paragraph" w:customStyle="1" w:styleId="Heading3Numbered">
    <w:name w:val="Heading 3 Numbered"/>
    <w:basedOn w:val="Heading3"/>
    <w:uiPriority w:val="10"/>
    <w:rsid w:val="00362F23"/>
    <w:pPr>
      <w:keepLines/>
      <w:numPr>
        <w:numId w:val="10"/>
      </w:numPr>
      <w:suppressAutoHyphens/>
      <w:spacing w:before="240" w:after="60"/>
    </w:pPr>
    <w:rPr>
      <w:rFonts w:asciiTheme="majorHAnsi" w:eastAsiaTheme="majorEastAsia" w:hAnsiTheme="majorHAnsi" w:cstheme="majorBidi"/>
      <w:color w:val="262626" w:themeColor="text1" w:themeTint="D9"/>
      <w:lang w:eastAsia="en-AU"/>
    </w:rPr>
  </w:style>
  <w:style w:type="paragraph" w:customStyle="1" w:styleId="Heading4Numbered">
    <w:name w:val="Heading 4 Numbered"/>
    <w:basedOn w:val="Heading4"/>
    <w:uiPriority w:val="10"/>
    <w:rsid w:val="00362F23"/>
    <w:pPr>
      <w:keepLines/>
      <w:numPr>
        <w:numId w:val="10"/>
      </w:numPr>
      <w:suppressAutoHyphens/>
      <w:spacing w:before="240"/>
    </w:pPr>
    <w:rPr>
      <w:rFonts w:asciiTheme="majorHAnsi" w:eastAsiaTheme="majorEastAsia" w:hAnsiTheme="majorHAnsi" w:cstheme="majorBidi"/>
      <w:iCs/>
      <w:color w:val="A5A5A5" w:themeColor="accent3"/>
      <w:szCs w:val="20"/>
      <w:lang w:eastAsia="en-AU"/>
    </w:rPr>
  </w:style>
  <w:style w:type="numbering" w:customStyle="1" w:styleId="NumberedHeadings">
    <w:name w:val="Numbered Headings"/>
    <w:uiPriority w:val="99"/>
    <w:rsid w:val="00362F23"/>
    <w:pPr>
      <w:numPr>
        <w:numId w:val="9"/>
      </w:numPr>
    </w:pPr>
  </w:style>
  <w:style w:type="paragraph" w:customStyle="1" w:styleId="TableTitle">
    <w:name w:val="Table Title"/>
    <w:basedOn w:val="ChartTitle"/>
    <w:uiPriority w:val="12"/>
    <w:qFormat/>
    <w:rsid w:val="0067226F"/>
  </w:style>
  <w:style w:type="paragraph" w:styleId="Title">
    <w:name w:val="Title"/>
    <w:basedOn w:val="Normal"/>
    <w:next w:val="Normal"/>
    <w:link w:val="TitleChar"/>
    <w:uiPriority w:val="10"/>
    <w:qFormat/>
    <w:rsid w:val="00E03606"/>
    <w:pPr>
      <w:spacing w:after="0" w:line="240" w:lineRule="auto"/>
      <w:contextualSpacing/>
    </w:pPr>
    <w:rPr>
      <w:rFonts w:ascii="Calibri" w:eastAsiaTheme="majorEastAsia" w:hAnsi="Calibri" w:cstheme="majorBidi"/>
      <w:b/>
      <w:spacing w:val="-10"/>
      <w:kern w:val="28"/>
      <w:sz w:val="44"/>
      <w:szCs w:val="56"/>
    </w:rPr>
  </w:style>
  <w:style w:type="character" w:customStyle="1" w:styleId="TitleChar">
    <w:name w:val="Title Char"/>
    <w:basedOn w:val="DefaultParagraphFont"/>
    <w:link w:val="Title"/>
    <w:uiPriority w:val="10"/>
    <w:rsid w:val="00E03606"/>
    <w:rPr>
      <w:rFonts w:ascii="Calibri" w:eastAsiaTheme="majorEastAsia" w:hAnsi="Calibri" w:cstheme="majorBidi"/>
      <w:b/>
      <w:spacing w:val="-10"/>
      <w:kern w:val="28"/>
      <w:sz w:val="44"/>
      <w:szCs w:val="56"/>
    </w:rPr>
  </w:style>
  <w:style w:type="paragraph" w:styleId="Subtitle">
    <w:name w:val="Subtitle"/>
    <w:basedOn w:val="Normal"/>
    <w:next w:val="Normal"/>
    <w:link w:val="SubtitleChar"/>
    <w:uiPriority w:val="11"/>
    <w:rsid w:val="00E03606"/>
    <w:pPr>
      <w:numPr>
        <w:ilvl w:val="1"/>
      </w:numPr>
    </w:pPr>
    <w:rPr>
      <w:rFonts w:eastAsiaTheme="minorEastAsia"/>
      <w:b/>
      <w:color w:val="5A5A5A" w:themeColor="text1" w:themeTint="A5"/>
      <w:spacing w:val="15"/>
      <w:sz w:val="36"/>
    </w:rPr>
  </w:style>
  <w:style w:type="character" w:customStyle="1" w:styleId="SubtitleChar">
    <w:name w:val="Subtitle Char"/>
    <w:basedOn w:val="DefaultParagraphFont"/>
    <w:link w:val="Subtitle"/>
    <w:uiPriority w:val="11"/>
    <w:rsid w:val="00E03606"/>
    <w:rPr>
      <w:rFonts w:eastAsiaTheme="minorEastAsia"/>
      <w:b/>
      <w:color w:val="5A5A5A" w:themeColor="text1" w:themeTint="A5"/>
      <w:spacing w:val="15"/>
      <w:sz w:val="36"/>
    </w:rPr>
  </w:style>
  <w:style w:type="paragraph" w:customStyle="1" w:styleId="Title2">
    <w:name w:val="Title 2"/>
    <w:basedOn w:val="Subtitle"/>
    <w:link w:val="Title2Char"/>
    <w:qFormat/>
    <w:rsid w:val="0067226F"/>
    <w:pPr>
      <w:jc w:val="center"/>
    </w:pPr>
  </w:style>
  <w:style w:type="character" w:styleId="SubtleEmphasis">
    <w:name w:val="Subtle Emphasis"/>
    <w:aliases w:val="Heading 2 - points"/>
    <w:uiPriority w:val="19"/>
    <w:qFormat/>
    <w:rsid w:val="000C062D"/>
    <w:rPr>
      <w:b/>
    </w:rPr>
  </w:style>
  <w:style w:type="character" w:customStyle="1" w:styleId="Title2Char">
    <w:name w:val="Title 2 Char"/>
    <w:basedOn w:val="SubtitleChar"/>
    <w:link w:val="Title2"/>
    <w:rsid w:val="0067226F"/>
    <w:rPr>
      <w:rFonts w:eastAsiaTheme="minorEastAsia"/>
      <w:b/>
      <w:color w:val="5A5A5A" w:themeColor="text1" w:themeTint="A5"/>
      <w:spacing w:val="15"/>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gedcare.health.gov.au/aged-care-reform/aged-care-financing-authority" TargetMode="Externa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cid:image001.png@01D4F1FF.720CE830" TargetMode="External"/><Relationship Id="rId17" Type="http://schemas.openxmlformats.org/officeDocument/2006/relationships/image" Target="media/image6.png"/><Relationship Id="rId25" Type="http://schemas.openxmlformats.org/officeDocument/2006/relationships/image" Target="media/image14.emf"/><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image" Target="media/image13.jpeg"/><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https://agedcare.health.gov.au/aged-care-reform/aged-care-financing-authority" TargetMode="Externa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entral.health\dfsuserenv\Users\User_05\MURRAS\Documents\Offline%20Records%20(A7)\2019%20Aged%20Care%20Financing%20Authority%20(ACFA)%20Report%20-%20Data%20worksheets%20-%20AGED%20CARE%20-%20Reporting\2019%20ACFA%20Report%20-%20Charts%207%20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rgbClr val="92D050"/>
            </a:solidFill>
            <a:ln>
              <a:noFill/>
            </a:ln>
            <a:effectLst/>
          </c:spPr>
          <c:invertIfNegative val="0"/>
          <c:dPt>
            <c:idx val="1"/>
            <c:invertIfNegative val="0"/>
            <c:bubble3D val="0"/>
            <c:extLst>
              <c:ext xmlns:c16="http://schemas.microsoft.com/office/drawing/2014/chart" uri="{C3380CC4-5D6E-409C-BE32-E72D297353CC}">
                <c16:uniqueId val="{00000003-F8C5-42C7-85F9-31350019E187}"/>
              </c:ext>
            </c:extLst>
          </c:dPt>
          <c:dPt>
            <c:idx val="2"/>
            <c:invertIfNegative val="0"/>
            <c:bubble3D val="0"/>
            <c:extLst>
              <c:ext xmlns:c16="http://schemas.microsoft.com/office/drawing/2014/chart" uri="{C3380CC4-5D6E-409C-BE32-E72D297353CC}">
                <c16:uniqueId val="{00000005-F8C5-42C7-85F9-31350019E187}"/>
              </c:ext>
            </c:extLst>
          </c:dPt>
          <c:dPt>
            <c:idx val="3"/>
            <c:invertIfNegative val="0"/>
            <c:bubble3D val="0"/>
            <c:extLst>
              <c:ext xmlns:c16="http://schemas.microsoft.com/office/drawing/2014/chart" uri="{C3380CC4-5D6E-409C-BE32-E72D297353CC}">
                <c16:uniqueId val="{00000007-F8C5-42C7-85F9-31350019E187}"/>
              </c:ext>
            </c:extLst>
          </c:dPt>
          <c:dPt>
            <c:idx val="4"/>
            <c:invertIfNegative val="0"/>
            <c:bubble3D val="0"/>
            <c:extLst>
              <c:ext xmlns:c16="http://schemas.microsoft.com/office/drawing/2014/chart" uri="{C3380CC4-5D6E-409C-BE32-E72D297353CC}">
                <c16:uniqueId val="{00000009-F8C5-42C7-85F9-31350019E187}"/>
              </c:ext>
            </c:extLst>
          </c:dPt>
          <c:dPt>
            <c:idx val="5"/>
            <c:invertIfNegative val="0"/>
            <c:bubble3D val="0"/>
            <c:extLst>
              <c:ext xmlns:c16="http://schemas.microsoft.com/office/drawing/2014/chart" uri="{C3380CC4-5D6E-409C-BE32-E72D297353CC}">
                <c16:uniqueId val="{00000004-B3B5-4A2A-A89D-C08612C26042}"/>
              </c:ext>
            </c:extLst>
          </c:dPt>
          <c:dLbls>
            <c:spPr>
              <a:noFill/>
              <a:ln>
                <a:noFill/>
              </a:ln>
              <a:effectLst/>
            </c:spPr>
            <c:txPr>
              <a:bodyPr rot="0" spcFirstLastPara="1" vertOverflow="ellipsis" vert="horz" wrap="square" lIns="0" tIns="0" rIns="0" bIns="0" anchor="ctr" anchorCtr="1">
                <a:spAutoFit/>
              </a:bodyPr>
              <a:lstStyle/>
              <a:p>
                <a:pPr>
                  <a:defRPr sz="900" b="1" i="0" u="none" strike="noStrike" kern="1200" baseline="0">
                    <a:solidFill>
                      <a:sysClr val="windowText" lastClr="00000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layout/>
                <c15:showLeaderLines val="0"/>
              </c:ext>
            </c:extLst>
          </c:dLbls>
          <c:cat>
            <c:strRef>
              <c:f>'5.1 (new)'!$A$19:$F$19</c:f>
              <c:strCache>
                <c:ptCount val="6"/>
                <c:pt idx="0">
                  <c:v>2012-13</c:v>
                </c:pt>
                <c:pt idx="1">
                  <c:v>1213-14</c:v>
                </c:pt>
                <c:pt idx="2">
                  <c:v>2014-15</c:v>
                </c:pt>
                <c:pt idx="3">
                  <c:v>2015-16</c:v>
                </c:pt>
                <c:pt idx="4">
                  <c:v>2016-17</c:v>
                </c:pt>
                <c:pt idx="5">
                  <c:v>2017-18</c:v>
                </c:pt>
              </c:strCache>
            </c:strRef>
          </c:cat>
          <c:val>
            <c:numRef>
              <c:f>'5.1 (new)'!$A$20:$F$20</c:f>
              <c:numCache>
                <c:formatCode>#,##0</c:formatCode>
                <c:ptCount val="6"/>
                <c:pt idx="0">
                  <c:v>504</c:v>
                </c:pt>
                <c:pt idx="1">
                  <c:v>504</c:v>
                </c:pt>
                <c:pt idx="2">
                  <c:v>504</c:v>
                </c:pt>
                <c:pt idx="3">
                  <c:v>496</c:v>
                </c:pt>
                <c:pt idx="4">
                  <c:v>702</c:v>
                </c:pt>
                <c:pt idx="5">
                  <c:v>873</c:v>
                </c:pt>
              </c:numCache>
            </c:numRef>
          </c:val>
          <c:extLst>
            <c:ext xmlns:c16="http://schemas.microsoft.com/office/drawing/2014/chart" uri="{C3380CC4-5D6E-409C-BE32-E72D297353CC}">
              <c16:uniqueId val="{0000000A-F8C5-42C7-85F9-31350019E187}"/>
            </c:ext>
          </c:extLst>
        </c:ser>
        <c:dLbls>
          <c:showLegendKey val="0"/>
          <c:showVal val="0"/>
          <c:showCatName val="0"/>
          <c:showSerName val="0"/>
          <c:showPercent val="0"/>
          <c:showBubbleSize val="0"/>
        </c:dLbls>
        <c:gapWidth val="50"/>
        <c:axId val="80002048"/>
        <c:axId val="80008320"/>
      </c:barChart>
      <c:catAx>
        <c:axId val="80002048"/>
        <c:scaling>
          <c:orientation val="minMax"/>
        </c:scaling>
        <c:delete val="0"/>
        <c:axPos val="b"/>
        <c:title>
          <c:tx>
            <c:rich>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r>
                  <a:rPr lang="en-US" sz="900" b="0">
                    <a:solidFill>
                      <a:sysClr val="windowText" lastClr="000000"/>
                    </a:solidFill>
                  </a:rPr>
                  <a:t>Year</a:t>
                </a:r>
              </a:p>
            </c:rich>
          </c:tx>
          <c:layout>
            <c:manualLayout>
              <c:xMode val="edge"/>
              <c:yMode val="edge"/>
              <c:x val="0.52529061669981825"/>
              <c:y val="0.87623973805343325"/>
            </c:manualLayout>
          </c:layout>
          <c:overlay val="0"/>
          <c:spPr>
            <a:noFill/>
            <a:ln>
              <a:noFill/>
            </a:ln>
            <a:effectLst/>
          </c:spPr>
        </c:title>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0008320"/>
        <c:crosses val="autoZero"/>
        <c:auto val="1"/>
        <c:lblAlgn val="ctr"/>
        <c:lblOffset val="100"/>
        <c:noMultiLvlLbl val="0"/>
      </c:catAx>
      <c:valAx>
        <c:axId val="80008320"/>
        <c:scaling>
          <c:orientation val="minMax"/>
          <c:max val="1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0"/>
              <a:lstStyle/>
              <a:p>
                <a:pPr>
                  <a:defRPr sz="900" b="0" i="0" u="none" strike="noStrike" kern="1200" baseline="0">
                    <a:solidFill>
                      <a:sysClr val="windowText" lastClr="000000"/>
                    </a:solidFill>
                    <a:latin typeface="+mn-lt"/>
                    <a:ea typeface="+mn-ea"/>
                    <a:cs typeface="+mn-cs"/>
                  </a:defRPr>
                </a:pPr>
                <a:r>
                  <a:rPr lang="en-AU" sz="900" b="0">
                    <a:solidFill>
                      <a:sysClr val="windowText" lastClr="000000"/>
                    </a:solidFill>
                  </a:rPr>
                  <a:t>Number</a:t>
                </a:r>
                <a:r>
                  <a:rPr lang="en-AU" sz="900" b="0" baseline="0">
                    <a:solidFill>
                      <a:sysClr val="windowText" lastClr="000000"/>
                    </a:solidFill>
                  </a:rPr>
                  <a:t> of p</a:t>
                </a:r>
                <a:r>
                  <a:rPr lang="en-AU" sz="900" b="0">
                    <a:solidFill>
                      <a:sysClr val="windowText" lastClr="000000"/>
                    </a:solidFill>
                  </a:rPr>
                  <a:t>roviders</a:t>
                </a:r>
              </a:p>
            </c:rich>
          </c:tx>
          <c:layout>
            <c:manualLayout>
              <c:xMode val="edge"/>
              <c:yMode val="edge"/>
              <c:x val="1.2450980392156863E-2"/>
              <c:y val="0.19554786324786325"/>
            </c:manualLayout>
          </c:layout>
          <c:overlay val="0"/>
          <c:spPr>
            <a:noFill/>
            <a:ln>
              <a:noFill/>
            </a:ln>
            <a:effectLst/>
          </c:sp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0002048"/>
        <c:crosses val="autoZero"/>
        <c:crossBetween val="between"/>
        <c:majorUnit val="200"/>
      </c:valAx>
      <c:spPr>
        <a:noFill/>
        <a:ln w="25400">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BE6CDB-9B65-47BE-8B70-0E4BA4EA19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35</Pages>
  <Words>13108</Words>
  <Characters>74719</Characters>
  <Application>Microsoft Office Word</Application>
  <DocSecurity>0</DocSecurity>
  <Lines>622</Lines>
  <Paragraphs>175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dc:creator>
  <cp:lastModifiedBy>PHILLIPS, Tiffany</cp:lastModifiedBy>
  <cp:revision>14</cp:revision>
  <cp:lastPrinted>2019-05-10T03:40:00Z</cp:lastPrinted>
  <dcterms:created xsi:type="dcterms:W3CDTF">2019-04-15T22:56:00Z</dcterms:created>
  <dcterms:modified xsi:type="dcterms:W3CDTF">2019-05-10T04:38:00Z</dcterms:modified>
</cp:coreProperties>
</file>