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51164" w14:textId="77777777" w:rsidR="00802D32" w:rsidRDefault="00802D32" w:rsidP="00802D32">
      <w:pPr>
        <w:pStyle w:val="Heading1"/>
      </w:pPr>
      <w:r w:rsidRPr="00802D32">
        <w:t>2017 scheme for the viability supplement</w:t>
      </w:r>
    </w:p>
    <w:p w14:paraId="7AE914C6" w14:textId="495FA085" w:rsidR="003E45F8" w:rsidRDefault="00802D32" w:rsidP="003E45F8">
      <w:r>
        <w:t>Under this scheme, y</w:t>
      </w:r>
      <w:r w:rsidR="003E45F8">
        <w:t xml:space="preserve">our service must score at least 50 points out of a total 100 points to be eligible for the </w:t>
      </w:r>
      <w:hyperlink r:id="rId7" w:history="1">
        <w:r w:rsidR="000C5537" w:rsidRPr="00802D32">
          <w:rPr>
            <w:rStyle w:val="Hyperlink"/>
          </w:rPr>
          <w:t>viability supplement</w:t>
        </w:r>
      </w:hyperlink>
      <w:r w:rsidR="003E45F8">
        <w:t>. To work out the number of points for your service, follow the steps below.</w:t>
      </w:r>
    </w:p>
    <w:p w14:paraId="5ACEDBE6" w14:textId="77777777" w:rsidR="003E45F8" w:rsidRDefault="003E45F8" w:rsidP="003E45F8">
      <w:pPr>
        <w:pStyle w:val="Heading2"/>
      </w:pPr>
      <w:r>
        <w:t>Step 1: work out the MMM rating of your service</w:t>
      </w:r>
    </w:p>
    <w:p w14:paraId="4CD6FD04" w14:textId="77777777" w:rsidR="003E45F8" w:rsidRDefault="003E45F8" w:rsidP="003E45F8">
      <w:pPr>
        <w:ind w:left="45"/>
      </w:pPr>
      <w:r>
        <w:t xml:space="preserve">Use the </w:t>
      </w:r>
      <w:hyperlink r:id="rId8" w:history="1">
        <w:r w:rsidRPr="005C18E4">
          <w:rPr>
            <w:rStyle w:val="Hyperlink"/>
          </w:rPr>
          <w:t>Health Workforce Locator</w:t>
        </w:r>
      </w:hyperlink>
      <w:r>
        <w:t xml:space="preserve"> to search for the street address of your service. Select the Modified Monash Model (MMM) </w:t>
      </w:r>
      <w:r w:rsidR="00F46386">
        <w:t xml:space="preserve">and choose 2015 </w:t>
      </w:r>
      <w:r>
        <w:t>to get the MMM rating. Score as follows:</w:t>
      </w:r>
    </w:p>
    <w:p w14:paraId="6EB562F5" w14:textId="77777777" w:rsidR="003E45F8" w:rsidRDefault="003E45F8" w:rsidP="003E45F8">
      <w:pPr>
        <w:pStyle w:val="ListParagraph"/>
        <w:numPr>
          <w:ilvl w:val="0"/>
          <w:numId w:val="1"/>
        </w:numPr>
      </w:pPr>
      <w:r>
        <w:t>MMM 1 – 0 points</w:t>
      </w:r>
    </w:p>
    <w:p w14:paraId="3FA24F69" w14:textId="77777777" w:rsidR="003E45F8" w:rsidRDefault="003E45F8" w:rsidP="003E45F8">
      <w:pPr>
        <w:pStyle w:val="ListParagraph"/>
        <w:numPr>
          <w:ilvl w:val="0"/>
          <w:numId w:val="1"/>
        </w:numPr>
      </w:pPr>
      <w:r>
        <w:t>MMM 2 – 0 points</w:t>
      </w:r>
    </w:p>
    <w:p w14:paraId="50CD331B" w14:textId="77777777" w:rsidR="003E45F8" w:rsidRDefault="003E45F8" w:rsidP="003E45F8">
      <w:pPr>
        <w:pStyle w:val="ListParagraph"/>
        <w:numPr>
          <w:ilvl w:val="0"/>
          <w:numId w:val="1"/>
        </w:numPr>
      </w:pPr>
      <w:r>
        <w:t>MMM 3 – 0 points</w:t>
      </w:r>
    </w:p>
    <w:p w14:paraId="6B2E62FB" w14:textId="77777777" w:rsidR="003E45F8" w:rsidRDefault="003E45F8" w:rsidP="003E45F8">
      <w:pPr>
        <w:pStyle w:val="ListParagraph"/>
        <w:numPr>
          <w:ilvl w:val="0"/>
          <w:numId w:val="1"/>
        </w:numPr>
      </w:pPr>
      <w:r>
        <w:t>MMM 4 – 30 points</w:t>
      </w:r>
    </w:p>
    <w:p w14:paraId="6D981EA8" w14:textId="77777777" w:rsidR="003E45F8" w:rsidRDefault="003E45F8" w:rsidP="003E45F8">
      <w:pPr>
        <w:pStyle w:val="ListParagraph"/>
        <w:numPr>
          <w:ilvl w:val="0"/>
          <w:numId w:val="1"/>
        </w:numPr>
      </w:pPr>
      <w:r>
        <w:t>MMM 5 – 40 points</w:t>
      </w:r>
      <w:bookmarkStart w:id="0" w:name="_GoBack"/>
      <w:bookmarkEnd w:id="0"/>
    </w:p>
    <w:p w14:paraId="7FDD0D63" w14:textId="77777777" w:rsidR="003E45F8" w:rsidRDefault="003E45F8" w:rsidP="003E45F8">
      <w:pPr>
        <w:pStyle w:val="ListParagraph"/>
        <w:numPr>
          <w:ilvl w:val="0"/>
          <w:numId w:val="1"/>
        </w:numPr>
      </w:pPr>
      <w:r>
        <w:t>MMM 6 – 55 points</w:t>
      </w:r>
    </w:p>
    <w:p w14:paraId="5E5780A1" w14:textId="77777777" w:rsidR="003E45F8" w:rsidRDefault="003E45F8" w:rsidP="003E45F8">
      <w:pPr>
        <w:pStyle w:val="ListParagraph"/>
        <w:numPr>
          <w:ilvl w:val="0"/>
          <w:numId w:val="1"/>
        </w:numPr>
      </w:pPr>
      <w:r>
        <w:t>MMM 7 – 65 points</w:t>
      </w:r>
    </w:p>
    <w:p w14:paraId="5DEE8F75" w14:textId="77777777" w:rsidR="003E45F8" w:rsidRDefault="003E45F8" w:rsidP="003E45F8">
      <w:pPr>
        <w:pStyle w:val="Heading2"/>
      </w:pPr>
      <w:r>
        <w:t>Step 2: add points for very remote locations with lower care needs</w:t>
      </w:r>
    </w:p>
    <w:p w14:paraId="240255B8" w14:textId="77777777" w:rsidR="003E45F8" w:rsidRDefault="003E45F8" w:rsidP="003E45F8">
      <w:pPr>
        <w:ind w:left="45"/>
      </w:pPr>
      <w:r>
        <w:t>Add 15 points if:</w:t>
      </w:r>
    </w:p>
    <w:p w14:paraId="089F41FF" w14:textId="77777777" w:rsidR="003E45F8" w:rsidRDefault="003E45F8" w:rsidP="003E45F8">
      <w:pPr>
        <w:pStyle w:val="ListParagraph"/>
        <w:numPr>
          <w:ilvl w:val="0"/>
          <w:numId w:val="2"/>
        </w:numPr>
      </w:pPr>
      <w:r>
        <w:t xml:space="preserve">your service is in a MMM 5, MMM 6 or MMM 7 location </w:t>
      </w:r>
      <w:r w:rsidRPr="002E65EE">
        <w:rPr>
          <w:b/>
        </w:rPr>
        <w:t>and</w:t>
      </w:r>
    </w:p>
    <w:p w14:paraId="60B3986B" w14:textId="77777777" w:rsidR="003E45F8" w:rsidRDefault="003E45F8" w:rsidP="003E45F8">
      <w:pPr>
        <w:pStyle w:val="ListParagraph"/>
        <w:numPr>
          <w:ilvl w:val="0"/>
          <w:numId w:val="2"/>
        </w:numPr>
      </w:pPr>
      <w:r>
        <w:t>more than 50% of the residents have lower care needs</w:t>
      </w:r>
    </w:p>
    <w:p w14:paraId="64EB3755" w14:textId="77777777" w:rsidR="003E45F8" w:rsidRDefault="003E45F8" w:rsidP="003E45F8">
      <w:pPr>
        <w:ind w:left="45"/>
      </w:pPr>
      <w:r>
        <w:t xml:space="preserve">Residents with lower care needs are those who have an ACFI appraisal that does </w:t>
      </w:r>
      <w:r w:rsidRPr="00790835">
        <w:rPr>
          <w:b/>
        </w:rPr>
        <w:t>not</w:t>
      </w:r>
      <w:r>
        <w:t xml:space="preserve"> include any of the following:</w:t>
      </w:r>
    </w:p>
    <w:p w14:paraId="2EB69863" w14:textId="77777777" w:rsidR="003E45F8" w:rsidRDefault="003E45F8" w:rsidP="003E45F8">
      <w:pPr>
        <w:pStyle w:val="ListParagraph"/>
        <w:numPr>
          <w:ilvl w:val="0"/>
          <w:numId w:val="3"/>
        </w:numPr>
      </w:pPr>
      <w:r>
        <w:t>high ADL domain category</w:t>
      </w:r>
    </w:p>
    <w:p w14:paraId="2E00E602" w14:textId="77777777" w:rsidR="003E45F8" w:rsidRDefault="003E45F8" w:rsidP="003E45F8">
      <w:pPr>
        <w:pStyle w:val="ListParagraph"/>
        <w:numPr>
          <w:ilvl w:val="0"/>
          <w:numId w:val="3"/>
        </w:numPr>
      </w:pPr>
      <w:r>
        <w:t>high CHC domain category</w:t>
      </w:r>
    </w:p>
    <w:p w14:paraId="73849E9C" w14:textId="77777777" w:rsidR="003E45F8" w:rsidRDefault="003E45F8" w:rsidP="003E45F8">
      <w:pPr>
        <w:pStyle w:val="ListParagraph"/>
        <w:numPr>
          <w:ilvl w:val="0"/>
          <w:numId w:val="3"/>
        </w:numPr>
      </w:pPr>
      <w:r>
        <w:t>high behaviour domain category</w:t>
      </w:r>
    </w:p>
    <w:p w14:paraId="41C5B63E" w14:textId="77777777" w:rsidR="003E45F8" w:rsidRDefault="003E45F8" w:rsidP="003E45F8">
      <w:pPr>
        <w:pStyle w:val="ListParagraph"/>
        <w:numPr>
          <w:ilvl w:val="0"/>
          <w:numId w:val="3"/>
        </w:numPr>
      </w:pPr>
      <w:r>
        <w:t>a medium domain category in at least 2 domains</w:t>
      </w:r>
    </w:p>
    <w:p w14:paraId="58ED2DD5" w14:textId="77777777" w:rsidR="003E45F8" w:rsidRDefault="003E45F8" w:rsidP="003E45F8">
      <w:pPr>
        <w:pStyle w:val="Heading2"/>
      </w:pPr>
      <w:r>
        <w:t>Step 3: add points for caring for people with more complex needs</w:t>
      </w:r>
    </w:p>
    <w:p w14:paraId="1E041EE5" w14:textId="77777777" w:rsidR="003E45F8" w:rsidRDefault="003E45F8" w:rsidP="003E45F8">
      <w:r w:rsidRPr="000E263B">
        <w:t xml:space="preserve">Add 60 points if </w:t>
      </w:r>
      <w:r>
        <w:t xml:space="preserve">your service has more than 50% </w:t>
      </w:r>
      <w:r w:rsidRPr="000E263B">
        <w:t xml:space="preserve">of care recipients who qualify as homeless or Indigenous Australians with complex behavioural needs and social disadvantage.  </w:t>
      </w:r>
    </w:p>
    <w:p w14:paraId="1F21FADB" w14:textId="6CDDB684" w:rsidR="003E45F8" w:rsidRDefault="003E45F8" w:rsidP="003E45F8">
      <w:r w:rsidRPr="000E263B">
        <w:t xml:space="preserve">See </w:t>
      </w:r>
      <w:hyperlink r:id="rId9" w:history="1">
        <w:r w:rsidRPr="00E3742D">
          <w:rPr>
            <w:rStyle w:val="Hyperlink"/>
          </w:rPr>
          <w:t>viability supplement – expansion</w:t>
        </w:r>
      </w:hyperlink>
      <w:r w:rsidRPr="000E263B">
        <w:t xml:space="preserve"> for information on meeting the eligibility criteria for this step.</w:t>
      </w:r>
    </w:p>
    <w:p w14:paraId="75A157DB" w14:textId="77777777" w:rsidR="003E45F8" w:rsidRDefault="003E45F8" w:rsidP="003E45F8">
      <w:pPr>
        <w:pStyle w:val="Heading2"/>
      </w:pPr>
      <w:r>
        <w:t>Step 4: adjust the total</w:t>
      </w:r>
    </w:p>
    <w:p w14:paraId="49B46485" w14:textId="77777777" w:rsidR="003E45F8" w:rsidRDefault="003E45F8" w:rsidP="003E45F8">
      <w:r w:rsidRPr="000E263B">
        <w:t>If the total of steps 1, 2 and 3 is more than 65 points, reduce the total to 65 points.</w:t>
      </w:r>
    </w:p>
    <w:p w14:paraId="288114D0" w14:textId="77777777" w:rsidR="003E45F8" w:rsidRDefault="003E45F8" w:rsidP="003E45F8">
      <w:pPr>
        <w:pStyle w:val="Heading2"/>
      </w:pPr>
      <w:r>
        <w:t>Step 5: work out points for number of occupied places</w:t>
      </w:r>
    </w:p>
    <w:p w14:paraId="7B0848E0" w14:textId="77777777" w:rsidR="003E45F8" w:rsidRDefault="003E45F8" w:rsidP="003E45F8">
      <w:r>
        <w:t>Work out the points for your service as follows and add to your total:</w:t>
      </w:r>
    </w:p>
    <w:p w14:paraId="07E0A700" w14:textId="77777777" w:rsidR="003E45F8" w:rsidRDefault="003E45F8" w:rsidP="003E45F8">
      <w:pPr>
        <w:pStyle w:val="ListParagraph"/>
        <w:numPr>
          <w:ilvl w:val="0"/>
          <w:numId w:val="4"/>
        </w:numPr>
      </w:pPr>
      <w:r>
        <w:lastRenderedPageBreak/>
        <w:t>Fewer than 20 occupied places – 30 points</w:t>
      </w:r>
    </w:p>
    <w:p w14:paraId="50735496" w14:textId="77777777" w:rsidR="003E45F8" w:rsidRDefault="003E45F8" w:rsidP="003E45F8">
      <w:pPr>
        <w:pStyle w:val="ListParagraph"/>
        <w:numPr>
          <w:ilvl w:val="0"/>
          <w:numId w:val="4"/>
        </w:numPr>
      </w:pPr>
      <w:r>
        <w:t>20 to 24 occupied places – 25 points</w:t>
      </w:r>
    </w:p>
    <w:p w14:paraId="7380D10F" w14:textId="77777777" w:rsidR="003E45F8" w:rsidRDefault="003E45F8" w:rsidP="003E45F8">
      <w:pPr>
        <w:pStyle w:val="ListParagraph"/>
        <w:numPr>
          <w:ilvl w:val="0"/>
          <w:numId w:val="4"/>
        </w:numPr>
      </w:pPr>
      <w:r>
        <w:t>25 to 29 occupied places – 20 points</w:t>
      </w:r>
    </w:p>
    <w:p w14:paraId="2FE13319" w14:textId="77777777" w:rsidR="003E45F8" w:rsidRDefault="003E45F8" w:rsidP="003E45F8">
      <w:pPr>
        <w:pStyle w:val="ListParagraph"/>
        <w:numPr>
          <w:ilvl w:val="0"/>
          <w:numId w:val="4"/>
        </w:numPr>
      </w:pPr>
      <w:r>
        <w:t>30 to 34 occupied places – 15 points</w:t>
      </w:r>
    </w:p>
    <w:p w14:paraId="6D72094A" w14:textId="77777777" w:rsidR="003E45F8" w:rsidRDefault="003E45F8" w:rsidP="003E45F8">
      <w:pPr>
        <w:pStyle w:val="ListParagraph"/>
        <w:numPr>
          <w:ilvl w:val="0"/>
          <w:numId w:val="4"/>
        </w:numPr>
      </w:pPr>
      <w:r>
        <w:t>35 to 39 occupied places – 10 points</w:t>
      </w:r>
    </w:p>
    <w:p w14:paraId="4ADB5976" w14:textId="77777777" w:rsidR="003E45F8" w:rsidRDefault="003E45F8" w:rsidP="003E45F8">
      <w:pPr>
        <w:pStyle w:val="ListParagraph"/>
        <w:numPr>
          <w:ilvl w:val="0"/>
          <w:numId w:val="4"/>
        </w:numPr>
      </w:pPr>
      <w:r>
        <w:t>40 to 44 occupied places – 5 points</w:t>
      </w:r>
    </w:p>
    <w:p w14:paraId="5C03EE30" w14:textId="77777777" w:rsidR="003E45F8" w:rsidRDefault="003E45F8" w:rsidP="003E45F8">
      <w:pPr>
        <w:pStyle w:val="Heading2"/>
      </w:pPr>
      <w:r>
        <w:t>Step 6: add points for caring for people with special needs</w:t>
      </w:r>
    </w:p>
    <w:p w14:paraId="1DD59DFA" w14:textId="77777777" w:rsidR="003E45F8" w:rsidRDefault="003E45F8" w:rsidP="003E45F8">
      <w:r>
        <w:t>Add 5 points if more than 50% of care recipients have special needs.</w:t>
      </w:r>
    </w:p>
    <w:p w14:paraId="271A40EF" w14:textId="77777777" w:rsidR="003E45F8" w:rsidRDefault="003E45F8" w:rsidP="003E45F8">
      <w:r>
        <w:t>This does not include people who have special needs only because they live in rural or remote areas or are financially or socially disadvantaged.</w:t>
      </w:r>
    </w:p>
    <w:p w14:paraId="3539E4BF" w14:textId="77777777" w:rsidR="003E45F8" w:rsidRDefault="003E45F8" w:rsidP="003E45F8">
      <w:pPr>
        <w:rPr>
          <w:b/>
        </w:rPr>
      </w:pPr>
      <w:r w:rsidRPr="007069F7">
        <w:rPr>
          <w:b/>
        </w:rPr>
        <w:t>The result is your service’s points score for the 2017 scheme.</w:t>
      </w:r>
    </w:p>
    <w:p w14:paraId="090937A6" w14:textId="77777777" w:rsidR="00BD1DFD" w:rsidRDefault="00BD1DFD" w:rsidP="00BD1DFD">
      <w:pPr>
        <w:pStyle w:val="Heading2"/>
      </w:pPr>
      <w:r>
        <w:t>Contact</w:t>
      </w:r>
    </w:p>
    <w:p w14:paraId="41A8A0FD" w14:textId="77777777" w:rsidR="00BD1DFD" w:rsidRDefault="00BD1DFD" w:rsidP="003E45F8">
      <w:r>
        <w:t xml:space="preserve">If you have questions about the viability supplement, email </w:t>
      </w:r>
      <w:hyperlink r:id="rId10" w:history="1">
        <w:r w:rsidRPr="00304C19">
          <w:rPr>
            <w:rStyle w:val="Hyperlink"/>
          </w:rPr>
          <w:t>subsidiesandsupplements@health.gov.au</w:t>
        </w:r>
      </w:hyperlink>
      <w:r>
        <w:t xml:space="preserve"> </w:t>
      </w:r>
    </w:p>
    <w:p w14:paraId="7D34E0E6" w14:textId="77777777" w:rsidR="00505992" w:rsidRDefault="00505992" w:rsidP="00505992">
      <w:pPr>
        <w:pStyle w:val="Heading2"/>
      </w:pPr>
      <w:r>
        <w:t>More information</w:t>
      </w:r>
    </w:p>
    <w:p w14:paraId="1F60D26C" w14:textId="77777777" w:rsidR="000C5537" w:rsidRDefault="000C5537" w:rsidP="000C5537">
      <w:pPr>
        <w:pStyle w:val="ListParagraph"/>
        <w:numPr>
          <w:ilvl w:val="0"/>
          <w:numId w:val="5"/>
        </w:numPr>
      </w:pPr>
      <w:hyperlink r:id="rId11" w:history="1">
        <w:r w:rsidRPr="00505992">
          <w:rPr>
            <w:rStyle w:val="Hyperlink"/>
          </w:rPr>
          <w:t>Viability supplement expansion</w:t>
        </w:r>
      </w:hyperlink>
    </w:p>
    <w:p w14:paraId="7E4C66C6" w14:textId="0669925A" w:rsidR="00505992" w:rsidRDefault="00DA4108" w:rsidP="00505992">
      <w:pPr>
        <w:pStyle w:val="ListParagraph"/>
        <w:numPr>
          <w:ilvl w:val="0"/>
          <w:numId w:val="5"/>
        </w:numPr>
      </w:pPr>
      <w:hyperlink r:id="rId12" w:history="1">
        <w:r w:rsidR="00505992" w:rsidRPr="00505992">
          <w:rPr>
            <w:rStyle w:val="Hyperlink"/>
          </w:rPr>
          <w:t>1997, 2001 and 2005 schemes for the viability supplement</w:t>
        </w:r>
      </w:hyperlink>
    </w:p>
    <w:p w14:paraId="540FC6B8" w14:textId="77777777" w:rsidR="00505992" w:rsidRDefault="00DA4108" w:rsidP="00505992">
      <w:pPr>
        <w:pStyle w:val="ListParagraph"/>
        <w:numPr>
          <w:ilvl w:val="0"/>
          <w:numId w:val="5"/>
        </w:numPr>
      </w:pPr>
      <w:hyperlink r:id="rId13" w:history="1">
        <w:r w:rsidR="00505992" w:rsidRPr="00505992">
          <w:rPr>
            <w:rStyle w:val="Hyperlink"/>
          </w:rPr>
          <w:t>Viability supplement for care providers</w:t>
        </w:r>
      </w:hyperlink>
      <w:r w:rsidR="00505992">
        <w:t xml:space="preserve"> on the Department of Human Services website</w:t>
      </w:r>
    </w:p>
    <w:sectPr w:rsidR="005059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EA8ED" w14:textId="77777777" w:rsidR="00DA4108" w:rsidRDefault="00DA4108" w:rsidP="00DA4108">
      <w:pPr>
        <w:spacing w:after="0"/>
      </w:pPr>
      <w:r>
        <w:separator/>
      </w:r>
    </w:p>
  </w:endnote>
  <w:endnote w:type="continuationSeparator" w:id="0">
    <w:p w14:paraId="027DE839" w14:textId="77777777" w:rsidR="00DA4108" w:rsidRDefault="00DA4108" w:rsidP="00DA41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E3BF" w14:textId="77777777" w:rsidR="00DA4108" w:rsidRDefault="00DA4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E696" w14:textId="77777777" w:rsidR="00DA4108" w:rsidRDefault="00DA4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783E7" w14:textId="77777777" w:rsidR="00DA4108" w:rsidRDefault="00DA4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9DC7F" w14:textId="77777777" w:rsidR="00DA4108" w:rsidRDefault="00DA4108" w:rsidP="00DA4108">
      <w:pPr>
        <w:spacing w:after="0"/>
      </w:pPr>
      <w:r>
        <w:separator/>
      </w:r>
    </w:p>
  </w:footnote>
  <w:footnote w:type="continuationSeparator" w:id="0">
    <w:p w14:paraId="0C08C091" w14:textId="77777777" w:rsidR="00DA4108" w:rsidRDefault="00DA4108" w:rsidP="00DA41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1494" w14:textId="77777777" w:rsidR="00DA4108" w:rsidRDefault="00DA4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3B68" w14:textId="77777777" w:rsidR="00DA4108" w:rsidRDefault="00DA4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AFCB" w14:textId="77777777" w:rsidR="00DA4108" w:rsidRDefault="00DA4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C72"/>
    <w:multiLevelType w:val="hybridMultilevel"/>
    <w:tmpl w:val="4D64694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5E337D"/>
    <w:multiLevelType w:val="hybridMultilevel"/>
    <w:tmpl w:val="FD008F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721CE4"/>
    <w:multiLevelType w:val="hybridMultilevel"/>
    <w:tmpl w:val="15E42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F21AD"/>
    <w:multiLevelType w:val="hybridMultilevel"/>
    <w:tmpl w:val="695C81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D072CF9"/>
    <w:multiLevelType w:val="hybridMultilevel"/>
    <w:tmpl w:val="FC866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F8"/>
    <w:rsid w:val="000C5537"/>
    <w:rsid w:val="00280050"/>
    <w:rsid w:val="003E45F8"/>
    <w:rsid w:val="00505992"/>
    <w:rsid w:val="00797E86"/>
    <w:rsid w:val="00802D32"/>
    <w:rsid w:val="00901715"/>
    <w:rsid w:val="00BD1DFD"/>
    <w:rsid w:val="00DA4108"/>
    <w:rsid w:val="00DE674C"/>
    <w:rsid w:val="00F14D6C"/>
    <w:rsid w:val="00F46386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77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F8"/>
    <w:pPr>
      <w:spacing w:after="24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97E86"/>
    <w:pPr>
      <w:keepNext/>
      <w:outlineLvl w:val="0"/>
    </w:pPr>
    <w:rPr>
      <w:rFonts w:ascii="Arial" w:hAnsi="Arial" w:cs="Arial"/>
      <w:b/>
      <w:bCs/>
      <w:kern w:val="28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3E45F8"/>
    <w:pPr>
      <w:keepNext/>
      <w:pBdr>
        <w:bottom w:val="single" w:sz="4" w:space="1" w:color="auto"/>
      </w:pBdr>
      <w:spacing w:before="3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01715"/>
    <w:pPr>
      <w:keepNext/>
      <w:spacing w:before="3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01715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1715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01715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 paragraph"/>
    <w:basedOn w:val="Normal"/>
    <w:link w:val="IntroparagraphChar"/>
    <w:qFormat/>
    <w:rsid w:val="00901715"/>
    <w:rPr>
      <w:sz w:val="26"/>
    </w:rPr>
  </w:style>
  <w:style w:type="character" w:customStyle="1" w:styleId="IntroparagraphChar">
    <w:name w:val="Intro paragraph Char"/>
    <w:basedOn w:val="DefaultParagraphFont"/>
    <w:link w:val="Introparagraph"/>
    <w:rsid w:val="00901715"/>
    <w:rPr>
      <w:rFonts w:asciiTheme="minorHAnsi" w:hAnsiTheme="minorHAnsi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797E86"/>
    <w:rPr>
      <w:rFonts w:ascii="Arial" w:hAnsi="Arial" w:cs="Arial"/>
      <w:b/>
      <w:bCs/>
      <w:kern w:val="28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3E45F8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01715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01715"/>
    <w:rPr>
      <w:rFonts w:ascii="Arial" w:hAnsi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01715"/>
    <w:rPr>
      <w:rFonts w:asciiTheme="minorHAnsi" w:hAnsiTheme="minorHAns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901715"/>
    <w:rPr>
      <w:rFonts w:asciiTheme="minorHAnsi" w:hAnsiTheme="minorHAnsi"/>
      <w:b/>
      <w:bCs/>
      <w:i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01715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01715"/>
    <w:rPr>
      <w:rFonts w:ascii="Arial" w:eastAsiaTheme="majorEastAsia" w:hAnsi="Arial" w:cstheme="majorBidi"/>
      <w:b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90171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901715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trong">
    <w:name w:val="Strong"/>
    <w:basedOn w:val="DefaultParagraphFont"/>
    <w:qFormat/>
    <w:rsid w:val="00901715"/>
    <w:rPr>
      <w:b/>
      <w:bCs/>
    </w:rPr>
  </w:style>
  <w:style w:type="character" w:styleId="Emphasis">
    <w:name w:val="Emphasis"/>
    <w:basedOn w:val="DefaultParagraphFont"/>
    <w:qFormat/>
    <w:rsid w:val="00901715"/>
    <w:rPr>
      <w:i/>
      <w:iCs/>
    </w:rPr>
  </w:style>
  <w:style w:type="paragraph" w:styleId="NoSpacing">
    <w:name w:val="No Spacing"/>
    <w:uiPriority w:val="1"/>
    <w:qFormat/>
    <w:rsid w:val="0090171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17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1715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01715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715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715"/>
    <w:rPr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017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171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17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1715"/>
    <w:rPr>
      <w:b/>
      <w:bCs/>
      <w:i/>
      <w:smallCaps/>
      <w:color w:val="ED7D31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901715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3E45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3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108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1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108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apps-and-tools/health-workforce-locator/health-workforce-locator" TargetMode="External"/><Relationship Id="rId13" Type="http://schemas.openxmlformats.org/officeDocument/2006/relationships/hyperlink" Target="https://www.humanservices.gov.au/health-professionals/services/aged-care-viability-supplement-care-provider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ealth.gov.au/health-topics/aged-care/providing-aged-care-services/funding-for-aged-care-service-providers/viability-supplement-for-aged-care" TargetMode="External"/><Relationship Id="rId12" Type="http://schemas.openxmlformats.org/officeDocument/2006/relationships/hyperlink" Target="https://www.health.gov.au/resources/publications/1997-2001-and-2005-schemes-for-the-viability-supplement-residential-aged-car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gov.au/health-topics/aged-care/providing-aged-care-services/funding-for-aged-care-service-providers/viability-supplement-expansion-for-aged-ca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ubsidiesandsupplements@health.gov.a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health-topics/aged-care/providing-aged-care-services/funding-for-aged-care-service-providers/viability-supplement-expansion-for-aged-ca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scheme for the viability supplement</dc:title>
  <dc:subject/>
  <dc:creator/>
  <cp:keywords/>
  <dc:description/>
  <cp:lastModifiedBy/>
  <cp:revision>1</cp:revision>
  <dcterms:created xsi:type="dcterms:W3CDTF">2019-12-19T04:29:00Z</dcterms:created>
  <dcterms:modified xsi:type="dcterms:W3CDTF">2019-12-19T04:29:00Z</dcterms:modified>
</cp:coreProperties>
</file>