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5E94" w14:textId="77777777" w:rsidR="003E45F8" w:rsidRDefault="00D550C8" w:rsidP="00680A84">
      <w:pPr>
        <w:pStyle w:val="Heading1"/>
        <w:spacing w:after="360"/>
      </w:pPr>
      <w:r>
        <w:t xml:space="preserve">1997, 2001 and 2005 schemes </w:t>
      </w:r>
      <w:r w:rsidR="003E45F8">
        <w:t>for the viability supplement</w:t>
      </w:r>
    </w:p>
    <w:p w14:paraId="3C011EFF" w14:textId="24A1258B" w:rsidR="00D550C8" w:rsidRPr="00D550C8" w:rsidRDefault="001A4D54" w:rsidP="00D550C8">
      <w:r>
        <w:t xml:space="preserve">Some older residential aged care services are in the </w:t>
      </w:r>
      <w:r w:rsidRPr="001A4D54">
        <w:t xml:space="preserve">1997, 2001 and 2005 schemes </w:t>
      </w:r>
      <w:r>
        <w:t xml:space="preserve">for the </w:t>
      </w:r>
      <w:hyperlink r:id="rId8" w:history="1">
        <w:r w:rsidRPr="00802D32">
          <w:rPr>
            <w:rStyle w:val="Hyperlink"/>
          </w:rPr>
          <w:t>viability supplement</w:t>
        </w:r>
      </w:hyperlink>
      <w:r>
        <w:t>.</w:t>
      </w:r>
    </w:p>
    <w:p w14:paraId="120EDE34" w14:textId="77777777" w:rsidR="003E45F8" w:rsidRDefault="00D550C8" w:rsidP="003E45F8">
      <w:pPr>
        <w:pStyle w:val="Heading2"/>
      </w:pPr>
      <w:r>
        <w:t>1997 scheme</w:t>
      </w:r>
    </w:p>
    <w:p w14:paraId="5F6F21E4" w14:textId="77777777" w:rsidR="003E45F8" w:rsidRDefault="00D550C8" w:rsidP="00D550C8">
      <w:r>
        <w:t xml:space="preserve">The 1997 scheme uses </w:t>
      </w:r>
      <w:r w:rsidRPr="00D550C8">
        <w:t>the Rural, Remote and Metropolitan Areas (RRMA) classification. The RRMA has seven categories:</w:t>
      </w:r>
      <w:bookmarkStart w:id="0" w:name="_GoBack"/>
      <w:bookmarkEnd w:id="0"/>
    </w:p>
    <w:p w14:paraId="45742017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Metropolitan zone M1</w:t>
      </w:r>
      <w:r>
        <w:t xml:space="preserve"> — capital cities</w:t>
      </w:r>
    </w:p>
    <w:p w14:paraId="12FFDA4A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Metropolitan zone M2</w:t>
      </w:r>
      <w:r>
        <w:t xml:space="preserve"> — o</w:t>
      </w:r>
      <w:r w:rsidRPr="00D550C8">
        <w:t>ther metropolitan centres (urban centre population &gt; 100,000)</w:t>
      </w:r>
    </w:p>
    <w:p w14:paraId="7C660ABE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Rural zone R1</w:t>
      </w:r>
      <w:r>
        <w:t xml:space="preserve"> — l</w:t>
      </w:r>
      <w:r w:rsidRPr="00D550C8">
        <w:t>arge rural centres (urban centre population 25,000 to 99,999)</w:t>
      </w:r>
    </w:p>
    <w:p w14:paraId="71B70E43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Rural zone R2</w:t>
      </w:r>
      <w:r>
        <w:t xml:space="preserve"> — </w:t>
      </w:r>
      <w:r w:rsidRPr="00D550C8">
        <w:t>Small rural centres (urban centre population 10,000 to 24,999)</w:t>
      </w:r>
    </w:p>
    <w:p w14:paraId="16AB0845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Rural zone R3</w:t>
      </w:r>
      <w:r>
        <w:t xml:space="preserve"> — o</w:t>
      </w:r>
      <w:r w:rsidRPr="00D550C8">
        <w:t>ther rural areas (urban centre population &lt; 10,000)</w:t>
      </w:r>
    </w:p>
    <w:p w14:paraId="3A68F025" w14:textId="77777777" w:rsidR="00D550C8" w:rsidRDefault="00D550C8" w:rsidP="00710C55">
      <w:pPr>
        <w:pStyle w:val="ListParagraph"/>
        <w:numPr>
          <w:ilvl w:val="0"/>
          <w:numId w:val="5"/>
        </w:numPr>
        <w:spacing w:after="120"/>
        <w:ind w:left="714" w:hanging="357"/>
      </w:pPr>
      <w:r w:rsidRPr="00D550C8">
        <w:rPr>
          <w:b/>
        </w:rPr>
        <w:t>Remote zone Rem1</w:t>
      </w:r>
      <w:r>
        <w:t xml:space="preserve"> — Re</w:t>
      </w:r>
      <w:r w:rsidRPr="00D550C8">
        <w:t>mote centres (urban centre population &gt; 4,999)</w:t>
      </w:r>
    </w:p>
    <w:p w14:paraId="66D1944E" w14:textId="77777777" w:rsidR="00D550C8" w:rsidRDefault="00D550C8" w:rsidP="00D550C8">
      <w:pPr>
        <w:pStyle w:val="ListParagraph"/>
        <w:numPr>
          <w:ilvl w:val="0"/>
          <w:numId w:val="5"/>
        </w:numPr>
      </w:pPr>
      <w:r>
        <w:rPr>
          <w:b/>
        </w:rPr>
        <w:t>Remote zone Rem2</w:t>
      </w:r>
      <w:r>
        <w:t xml:space="preserve"> — o</w:t>
      </w:r>
      <w:r w:rsidRPr="00D550C8">
        <w:t>ther remote areas (urban centre population &lt; 5,000)</w:t>
      </w:r>
    </w:p>
    <w:p w14:paraId="11335E83" w14:textId="77777777" w:rsidR="00D550C8" w:rsidRDefault="00D550C8" w:rsidP="00D550C8">
      <w:r>
        <w:t>A residential care service is eligible for the viability supplement under the 1997 scheme if:</w:t>
      </w:r>
    </w:p>
    <w:p w14:paraId="7ABD89D3" w14:textId="77777777" w:rsidR="00D550C8" w:rsidRDefault="00D550C8" w:rsidP="00710C55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</w:pPr>
      <w:r>
        <w:t>it was operating on 31 December 2004 and had a score of at least 60 points based on the 1997 points system</w:t>
      </w:r>
      <w:r w:rsidR="00680A84">
        <w:t xml:space="preserve"> — see </w:t>
      </w:r>
      <w:hyperlink r:id="rId9" w:anchor="_Toc535399215" w:history="1">
        <w:r w:rsidR="00680A84" w:rsidRPr="00680A84">
          <w:rPr>
            <w:rStyle w:val="Hyperlink"/>
          </w:rPr>
          <w:t>1997 scheme service</w:t>
        </w:r>
      </w:hyperlink>
      <w:r w:rsidR="00680A84">
        <w:t xml:space="preserve"> </w:t>
      </w:r>
      <w:r>
        <w:t>in the Subsidy Principles 2014</w:t>
      </w:r>
    </w:p>
    <w:p w14:paraId="545D535F" w14:textId="1752AFDB" w:rsidR="00D550C8" w:rsidRDefault="00D550C8" w:rsidP="00D550C8">
      <w:pPr>
        <w:pStyle w:val="ListParagraph"/>
        <w:numPr>
          <w:ilvl w:val="0"/>
          <w:numId w:val="6"/>
        </w:numPr>
      </w:pPr>
      <w:r>
        <w:t xml:space="preserve">the amount payable to the service using the </w:t>
      </w:r>
      <w:hyperlink w:anchor="_2005_scheme_1" w:history="1">
        <w:r w:rsidRPr="00680A84">
          <w:rPr>
            <w:rStyle w:val="Hyperlink"/>
          </w:rPr>
          <w:t>2005 scheme</w:t>
        </w:r>
      </w:hyperlink>
      <w:r>
        <w:t xml:space="preserve"> would be less than the amount payable under the 1997 scheme</w:t>
      </w:r>
    </w:p>
    <w:p w14:paraId="1B5436C2" w14:textId="77777777" w:rsidR="003E45F8" w:rsidRDefault="00D550C8" w:rsidP="003E45F8">
      <w:pPr>
        <w:pStyle w:val="Heading2"/>
      </w:pPr>
      <w:r>
        <w:t>2001 scheme</w:t>
      </w:r>
    </w:p>
    <w:p w14:paraId="08C582C0" w14:textId="77777777" w:rsidR="00680A84" w:rsidRPr="00680A84" w:rsidRDefault="00680A84" w:rsidP="00680A84">
      <w:bookmarkStart w:id="1" w:name="_2005_scheme"/>
      <w:bookmarkEnd w:id="1"/>
      <w:r w:rsidRPr="00680A84">
        <w:t xml:space="preserve">The 2001 scheme uses the </w:t>
      </w:r>
      <w:hyperlink r:id="rId10" w:history="1">
        <w:r w:rsidRPr="00680A84">
          <w:rPr>
            <w:rStyle w:val="Hyperlink"/>
          </w:rPr>
          <w:t>Accessibility/Remoteness Index of Australia (ARIA</w:t>
        </w:r>
        <w:r w:rsidR="00710C55">
          <w:rPr>
            <w:rStyle w:val="Hyperlink"/>
          </w:rPr>
          <w:t>) scale</w:t>
        </w:r>
      </w:hyperlink>
      <w:r w:rsidRPr="00680A84">
        <w:t>.</w:t>
      </w:r>
    </w:p>
    <w:p w14:paraId="1C35C429" w14:textId="77777777" w:rsidR="00680A84" w:rsidRPr="00680A84" w:rsidRDefault="00680A84" w:rsidP="00680A84">
      <w:r w:rsidRPr="00680A84">
        <w:t>A residential care service is eligible for the viability supplement under the 2001 scheme if:</w:t>
      </w:r>
    </w:p>
    <w:p w14:paraId="55B32C83" w14:textId="77777777" w:rsidR="00680A84" w:rsidRPr="00680A84" w:rsidRDefault="00680A84" w:rsidP="00710C55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</w:pPr>
      <w:r>
        <w:t>it was operating</w:t>
      </w:r>
      <w:r w:rsidRPr="00680A84">
        <w:t xml:space="preserve"> on 31 December 2004 and had a score of at least 40 points based on the 2001 points system</w:t>
      </w:r>
      <w:r>
        <w:t xml:space="preserve"> —</w:t>
      </w:r>
      <w:r w:rsidRPr="00680A84">
        <w:t xml:space="preserve"> </w:t>
      </w:r>
      <w:r>
        <w:t xml:space="preserve">see </w:t>
      </w:r>
      <w:hyperlink r:id="rId11" w:anchor="_Toc535399216" w:history="1">
        <w:r>
          <w:rPr>
            <w:rStyle w:val="Hyperlink"/>
          </w:rPr>
          <w:t>2001</w:t>
        </w:r>
        <w:r w:rsidRPr="00680A84">
          <w:rPr>
            <w:rStyle w:val="Hyperlink"/>
          </w:rPr>
          <w:t xml:space="preserve"> scheme service</w:t>
        </w:r>
      </w:hyperlink>
      <w:r>
        <w:t xml:space="preserve"> in the Subsidy Principles 2014</w:t>
      </w:r>
    </w:p>
    <w:p w14:paraId="55BF92B4" w14:textId="64547188" w:rsidR="00680A84" w:rsidRPr="00680A84" w:rsidRDefault="00680A84" w:rsidP="00680A84">
      <w:pPr>
        <w:pStyle w:val="ListParagraph"/>
        <w:numPr>
          <w:ilvl w:val="0"/>
          <w:numId w:val="7"/>
        </w:numPr>
        <w:rPr>
          <w:b/>
          <w:bCs/>
          <w:iCs/>
        </w:rPr>
      </w:pPr>
      <w:r>
        <w:t>t</w:t>
      </w:r>
      <w:r w:rsidRPr="00680A84">
        <w:t xml:space="preserve">he amount payable to the service using the </w:t>
      </w:r>
      <w:hyperlink r:id="rId12" w:history="1">
        <w:r w:rsidRPr="00680A84">
          <w:rPr>
            <w:rStyle w:val="Hyperlink"/>
          </w:rPr>
          <w:t>2017 scheme</w:t>
        </w:r>
      </w:hyperlink>
      <w:r w:rsidRPr="00680A84">
        <w:t xml:space="preserve"> would be less than the amoun</w:t>
      </w:r>
      <w:r>
        <w:t>t payable under the 2001 scheme</w:t>
      </w:r>
    </w:p>
    <w:p w14:paraId="316BD98F" w14:textId="77777777" w:rsidR="003E45F8" w:rsidRDefault="00D550C8" w:rsidP="00680A84">
      <w:pPr>
        <w:pStyle w:val="Heading2"/>
      </w:pPr>
      <w:bookmarkStart w:id="2" w:name="_2005_scheme_1"/>
      <w:bookmarkEnd w:id="2"/>
      <w:r>
        <w:t>2005 scheme</w:t>
      </w:r>
    </w:p>
    <w:p w14:paraId="11861872" w14:textId="77777777" w:rsidR="00680A84" w:rsidRPr="00680A84" w:rsidRDefault="00680A84" w:rsidP="00680A84">
      <w:r>
        <w:t>The 2005</w:t>
      </w:r>
      <w:r w:rsidRPr="00680A84">
        <w:t xml:space="preserve"> scheme uses the </w:t>
      </w:r>
      <w:hyperlink r:id="rId13" w:history="1">
        <w:r w:rsidRPr="00680A84">
          <w:rPr>
            <w:rStyle w:val="Hyperlink"/>
          </w:rPr>
          <w:t>Accessibility/Remoteness Index of Australia (ARIA)</w:t>
        </w:r>
      </w:hyperlink>
      <w:r w:rsidRPr="00680A84">
        <w:t xml:space="preserve"> scale.</w:t>
      </w:r>
    </w:p>
    <w:p w14:paraId="60648A8E" w14:textId="77777777" w:rsidR="00680A84" w:rsidRDefault="00680A84" w:rsidP="00680A84">
      <w:r>
        <w:t>A residential care service is eligible for the viability supplement under the 2005 scheme if:</w:t>
      </w:r>
    </w:p>
    <w:p w14:paraId="0C244BD2" w14:textId="77777777" w:rsidR="00680A84" w:rsidRDefault="00680A84" w:rsidP="00710C5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it was operating</w:t>
      </w:r>
      <w:r w:rsidRPr="00680A84">
        <w:t xml:space="preserve"> on </w:t>
      </w:r>
      <w:r>
        <w:t>31 December 2016 and had a score of at least 50 points based on the 2005 points system —</w:t>
      </w:r>
      <w:r w:rsidRPr="00680A84">
        <w:t xml:space="preserve"> </w:t>
      </w:r>
      <w:r>
        <w:t xml:space="preserve">see </w:t>
      </w:r>
      <w:hyperlink r:id="rId14" w:anchor="_Toc535399217" w:history="1">
        <w:r>
          <w:rPr>
            <w:rStyle w:val="Hyperlink"/>
          </w:rPr>
          <w:t>2005</w:t>
        </w:r>
        <w:r w:rsidRPr="00680A84">
          <w:rPr>
            <w:rStyle w:val="Hyperlink"/>
          </w:rPr>
          <w:t xml:space="preserve"> scheme service</w:t>
        </w:r>
      </w:hyperlink>
      <w:r>
        <w:t xml:space="preserve"> in the Subsidy Principles 2014</w:t>
      </w:r>
    </w:p>
    <w:p w14:paraId="677D6FC8" w14:textId="48B639EF" w:rsidR="00280050" w:rsidRDefault="00680A84" w:rsidP="00680A84">
      <w:pPr>
        <w:pStyle w:val="ListParagraph"/>
        <w:numPr>
          <w:ilvl w:val="0"/>
          <w:numId w:val="8"/>
        </w:numPr>
      </w:pPr>
      <w:r>
        <w:t xml:space="preserve">the amount payable to the service using the </w:t>
      </w:r>
      <w:hyperlink r:id="rId15" w:history="1">
        <w:r w:rsidR="009B698C" w:rsidRPr="00680A84">
          <w:rPr>
            <w:rStyle w:val="Hyperlink"/>
          </w:rPr>
          <w:t>2017 scheme</w:t>
        </w:r>
      </w:hyperlink>
      <w:r w:rsidR="009B698C" w:rsidRPr="00680A84">
        <w:t xml:space="preserve"> </w:t>
      </w:r>
      <w:r>
        <w:t>would be less than the amount payable under the 2005 scheme</w:t>
      </w:r>
    </w:p>
    <w:p w14:paraId="52364A36" w14:textId="77777777" w:rsidR="00680A84" w:rsidRDefault="00680A84" w:rsidP="00680A84">
      <w:pPr>
        <w:pStyle w:val="Heading2"/>
      </w:pPr>
      <w:r>
        <w:lastRenderedPageBreak/>
        <w:t>Safety net</w:t>
      </w:r>
    </w:p>
    <w:p w14:paraId="79F50E13" w14:textId="77777777" w:rsidR="007F0723" w:rsidRPr="007F0723" w:rsidRDefault="007F0723" w:rsidP="007F0723">
      <w:r w:rsidRPr="007F0723">
        <w:t>The safety net is for services that were:</w:t>
      </w:r>
    </w:p>
    <w:p w14:paraId="4929D6C1" w14:textId="15AB31D2" w:rsidR="007F0723" w:rsidRPr="007F0723" w:rsidRDefault="007F0723" w:rsidP="007F0723">
      <w:pPr>
        <w:pStyle w:val="ListParagraph"/>
        <w:numPr>
          <w:ilvl w:val="0"/>
          <w:numId w:val="12"/>
        </w:numPr>
      </w:pPr>
      <w:r w:rsidRPr="007F0723">
        <w:t>previously eligible for the 1997 or 2001 scheme</w:t>
      </w:r>
    </w:p>
    <w:p w14:paraId="65207AA9" w14:textId="63A301C1" w:rsidR="007F0723" w:rsidRPr="007F0723" w:rsidRDefault="007F0723" w:rsidP="007F0723">
      <w:pPr>
        <w:pStyle w:val="ListParagraph"/>
        <w:numPr>
          <w:ilvl w:val="0"/>
          <w:numId w:val="12"/>
        </w:numPr>
      </w:pPr>
      <w:r w:rsidRPr="007F0723">
        <w:t xml:space="preserve">defaulted to the 2005 or 2017 scheme </w:t>
      </w:r>
    </w:p>
    <w:p w14:paraId="0AB80103" w14:textId="77296E6B" w:rsidR="007F0723" w:rsidRPr="007F0723" w:rsidRDefault="007F0723" w:rsidP="007F0723">
      <w:r w:rsidRPr="007F0723">
        <w:t>These services are eligible for the safety net payment rate if they:</w:t>
      </w:r>
    </w:p>
    <w:p w14:paraId="500B9639" w14:textId="7F87395A" w:rsidR="007F0723" w:rsidRPr="007F0723" w:rsidRDefault="007F0723" w:rsidP="007F0723">
      <w:pPr>
        <w:pStyle w:val="ListParagraph"/>
        <w:numPr>
          <w:ilvl w:val="0"/>
          <w:numId w:val="11"/>
        </w:numPr>
      </w:pPr>
      <w:r w:rsidRPr="007F0723">
        <w:t>score below the 50 points required to be eligible under the 2005 or 2017 scheme</w:t>
      </w:r>
    </w:p>
    <w:p w14:paraId="006016DF" w14:textId="77777777" w:rsidR="007F0723" w:rsidRPr="007F0723" w:rsidRDefault="007F0723" w:rsidP="007F0723">
      <w:pPr>
        <w:pStyle w:val="ListParagraph"/>
        <w:numPr>
          <w:ilvl w:val="0"/>
          <w:numId w:val="11"/>
        </w:numPr>
        <w:rPr>
          <w:b/>
          <w:bCs/>
          <w:iCs/>
        </w:rPr>
      </w:pPr>
      <w:r w:rsidRPr="007F0723">
        <w:t>have at least 40 points</w:t>
      </w:r>
    </w:p>
    <w:p w14:paraId="0C13FFBD" w14:textId="6006CFD5" w:rsidR="00710C55" w:rsidRDefault="00710C55" w:rsidP="007F0723">
      <w:pPr>
        <w:pStyle w:val="Heading2"/>
      </w:pPr>
      <w:r>
        <w:t>Contact</w:t>
      </w:r>
    </w:p>
    <w:p w14:paraId="7646AD54" w14:textId="77777777" w:rsidR="00710C55" w:rsidRDefault="00710C55" w:rsidP="00680A84">
      <w:r>
        <w:t xml:space="preserve">If you have questions about the viability supplement, email </w:t>
      </w:r>
      <w:hyperlink r:id="rId16" w:history="1">
        <w:r w:rsidRPr="00304C19">
          <w:rPr>
            <w:rStyle w:val="Hyperlink"/>
          </w:rPr>
          <w:t>subsidiesandsupplements@health.gov.au</w:t>
        </w:r>
      </w:hyperlink>
      <w:r>
        <w:t xml:space="preserve"> </w:t>
      </w:r>
    </w:p>
    <w:p w14:paraId="10746E26" w14:textId="77777777" w:rsidR="00AD75B8" w:rsidRDefault="00AD75B8" w:rsidP="00AD75B8">
      <w:pPr>
        <w:pStyle w:val="Heading2"/>
      </w:pPr>
      <w:r>
        <w:t>More information</w:t>
      </w:r>
    </w:p>
    <w:p w14:paraId="5DB25A61" w14:textId="2E9EDDC5" w:rsidR="00AD75B8" w:rsidRDefault="00DA2A56" w:rsidP="00AD75B8">
      <w:pPr>
        <w:pStyle w:val="ListParagraph"/>
        <w:numPr>
          <w:ilvl w:val="0"/>
          <w:numId w:val="10"/>
        </w:numPr>
      </w:pPr>
      <w:hyperlink r:id="rId17" w:history="1">
        <w:r w:rsidR="00AD75B8" w:rsidRPr="00505992">
          <w:rPr>
            <w:rStyle w:val="Hyperlink"/>
          </w:rPr>
          <w:t>Viability supplement expansion</w:t>
        </w:r>
      </w:hyperlink>
    </w:p>
    <w:p w14:paraId="1E422C62" w14:textId="56D5CBBD" w:rsidR="00AD75B8" w:rsidRDefault="00DA2A56" w:rsidP="00AD75B8">
      <w:pPr>
        <w:pStyle w:val="ListParagraph"/>
        <w:numPr>
          <w:ilvl w:val="0"/>
          <w:numId w:val="10"/>
        </w:numPr>
      </w:pPr>
      <w:hyperlink r:id="rId18" w:history="1">
        <w:r w:rsidR="00AD75B8">
          <w:rPr>
            <w:rStyle w:val="Hyperlink"/>
          </w:rPr>
          <w:t>2017 scheme</w:t>
        </w:r>
        <w:r w:rsidR="00AD75B8" w:rsidRPr="00505992">
          <w:rPr>
            <w:rStyle w:val="Hyperlink"/>
          </w:rPr>
          <w:t xml:space="preserve"> for the viability supplement</w:t>
        </w:r>
      </w:hyperlink>
    </w:p>
    <w:p w14:paraId="6BAD69B7" w14:textId="77777777" w:rsidR="00AD75B8" w:rsidRDefault="00DA2A56" w:rsidP="00680A84">
      <w:pPr>
        <w:pStyle w:val="ListParagraph"/>
        <w:numPr>
          <w:ilvl w:val="0"/>
          <w:numId w:val="10"/>
        </w:numPr>
      </w:pPr>
      <w:hyperlink r:id="rId19" w:history="1">
        <w:r w:rsidR="00AD75B8" w:rsidRPr="00505992">
          <w:rPr>
            <w:rStyle w:val="Hyperlink"/>
          </w:rPr>
          <w:t>Viability supplement for care providers</w:t>
        </w:r>
      </w:hyperlink>
      <w:r w:rsidR="00AD75B8">
        <w:t xml:space="preserve"> on the Department of Human Services website</w:t>
      </w:r>
    </w:p>
    <w:sectPr w:rsidR="00AD75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7E2A" w14:textId="77777777" w:rsidR="00DA2A56" w:rsidRDefault="00DA2A56" w:rsidP="00DA2A56">
      <w:pPr>
        <w:spacing w:after="0"/>
      </w:pPr>
      <w:r>
        <w:separator/>
      </w:r>
    </w:p>
  </w:endnote>
  <w:endnote w:type="continuationSeparator" w:id="0">
    <w:p w14:paraId="3DD5C84C" w14:textId="77777777" w:rsidR="00DA2A56" w:rsidRDefault="00DA2A56" w:rsidP="00DA2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B84" w14:textId="77777777" w:rsidR="00DA2A56" w:rsidRDefault="00DA2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E74D" w14:textId="77777777" w:rsidR="00DA2A56" w:rsidRDefault="00DA2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5009" w14:textId="77777777" w:rsidR="00DA2A56" w:rsidRDefault="00DA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E5F" w14:textId="77777777" w:rsidR="00DA2A56" w:rsidRDefault="00DA2A56" w:rsidP="00DA2A56">
      <w:pPr>
        <w:spacing w:after="0"/>
      </w:pPr>
      <w:r>
        <w:separator/>
      </w:r>
    </w:p>
  </w:footnote>
  <w:footnote w:type="continuationSeparator" w:id="0">
    <w:p w14:paraId="1E5F9643" w14:textId="77777777" w:rsidR="00DA2A56" w:rsidRDefault="00DA2A56" w:rsidP="00DA2A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9375" w14:textId="77777777" w:rsidR="00DA2A56" w:rsidRDefault="00DA2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3014" w14:textId="77777777" w:rsidR="00DA2A56" w:rsidRDefault="00DA2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6A30" w14:textId="77777777" w:rsidR="00DA2A56" w:rsidRDefault="00DA2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CE3"/>
    <w:multiLevelType w:val="hybridMultilevel"/>
    <w:tmpl w:val="FBB85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3C72"/>
    <w:multiLevelType w:val="hybridMultilevel"/>
    <w:tmpl w:val="4D6469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5E337D"/>
    <w:multiLevelType w:val="hybridMultilevel"/>
    <w:tmpl w:val="FD008F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721CE4"/>
    <w:multiLevelType w:val="hybridMultilevel"/>
    <w:tmpl w:val="15E42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4822"/>
    <w:multiLevelType w:val="hybridMultilevel"/>
    <w:tmpl w:val="F3F24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21AD"/>
    <w:multiLevelType w:val="hybridMultilevel"/>
    <w:tmpl w:val="695C81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C2D5B62"/>
    <w:multiLevelType w:val="hybridMultilevel"/>
    <w:tmpl w:val="20884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1ECB"/>
    <w:multiLevelType w:val="hybridMultilevel"/>
    <w:tmpl w:val="17707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2726"/>
    <w:multiLevelType w:val="hybridMultilevel"/>
    <w:tmpl w:val="2D4C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75BE8"/>
    <w:multiLevelType w:val="hybridMultilevel"/>
    <w:tmpl w:val="51023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2CF9"/>
    <w:multiLevelType w:val="hybridMultilevel"/>
    <w:tmpl w:val="FC866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2345"/>
    <w:multiLevelType w:val="hybridMultilevel"/>
    <w:tmpl w:val="8ABE1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8"/>
    <w:rsid w:val="001866E9"/>
    <w:rsid w:val="001A4D54"/>
    <w:rsid w:val="00280050"/>
    <w:rsid w:val="00360633"/>
    <w:rsid w:val="003E45F8"/>
    <w:rsid w:val="00462F23"/>
    <w:rsid w:val="00680A84"/>
    <w:rsid w:val="00710C55"/>
    <w:rsid w:val="007F0723"/>
    <w:rsid w:val="008E3E34"/>
    <w:rsid w:val="00901715"/>
    <w:rsid w:val="009B698C"/>
    <w:rsid w:val="00AD75B8"/>
    <w:rsid w:val="00D550C8"/>
    <w:rsid w:val="00DA2A56"/>
    <w:rsid w:val="00DB2814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7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F8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60633"/>
    <w:pPr>
      <w:keepNext/>
      <w:spacing w:after="600"/>
      <w:outlineLvl w:val="0"/>
    </w:pPr>
    <w:rPr>
      <w:rFonts w:ascii="Arial" w:hAnsi="Arial" w:cs="Arial"/>
      <w:b/>
      <w:bCs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D550C8"/>
    <w:pPr>
      <w:keepNext/>
      <w:pBdr>
        <w:bottom w:val="single" w:sz="4" w:space="1" w:color="7F7F7F" w:themeColor="text1" w:themeTint="80"/>
      </w:pBdr>
      <w:spacing w:before="3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1715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01715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1715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01715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901715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901715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360633"/>
    <w:rPr>
      <w:rFonts w:ascii="Arial" w:hAnsi="Arial" w:cs="Arial"/>
      <w:b/>
      <w:bCs/>
      <w:kern w:val="28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D550C8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1715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01715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01715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901715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1715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01715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90171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901715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901715"/>
    <w:rPr>
      <w:b/>
      <w:bCs/>
    </w:rPr>
  </w:style>
  <w:style w:type="character" w:styleId="Emphasis">
    <w:name w:val="Emphasis"/>
    <w:basedOn w:val="DefaultParagraphFont"/>
    <w:qFormat/>
    <w:rsid w:val="00901715"/>
    <w:rPr>
      <w:i/>
      <w:iCs/>
    </w:rPr>
  </w:style>
  <w:style w:type="paragraph" w:styleId="NoSpacing">
    <w:name w:val="No Spacing"/>
    <w:uiPriority w:val="1"/>
    <w:qFormat/>
    <w:rsid w:val="009017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7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715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01715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71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715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017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171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17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1715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901715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3E45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6E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E9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6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A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2A56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2A56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aged-care/providing-aged-care-services/funding-for-aged-care-service-providers/viability-supplement-for-aged-care" TargetMode="External"/><Relationship Id="rId13" Type="http://schemas.openxmlformats.org/officeDocument/2006/relationships/hyperlink" Target="http://webarchive.nla.gov.au/gov/20070904164042/http:/drinkingchoices.gov.au/internet/wcms/publishing.nsf/Content/health-pubs-hfsocc-ocpanew14a.htm" TargetMode="External"/><Relationship Id="rId18" Type="http://schemas.openxmlformats.org/officeDocument/2006/relationships/hyperlink" Target="https://www.health.gov.au/resources/publications/2017-scheme-for-the-viability-supplement-residential-aged-car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2017-scheme-for-the-viability-supplement-residential-aged-care" TargetMode="External"/><Relationship Id="rId17" Type="http://schemas.openxmlformats.org/officeDocument/2006/relationships/hyperlink" Target="https://www.health.gov.au/health-topics/aged-care/providing-aged-care-services/funding-for-aged-care-service-providers/viability-supplement-expansion-for-aged-car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ubsidiesandsupplements@health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Latest/F2019C00060/Tex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publications/2017-scheme-for-the-viability-supplement-residential-aged-car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ebarchive.nla.gov.au/gov/20070904164042/http:/drinkingchoices.gov.au/internet/wcms/publishing.nsf/Content/health-pubs-hfsocc-ocpanew14a.htm" TargetMode="External"/><Relationship Id="rId19" Type="http://schemas.openxmlformats.org/officeDocument/2006/relationships/hyperlink" Target="https://www.humanservices.gov.au/health-professionals/services/aged-care-viability-supplement-care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Latest/F2019C00060/Text" TargetMode="External"/><Relationship Id="rId14" Type="http://schemas.openxmlformats.org/officeDocument/2006/relationships/hyperlink" Target="https://www.legislation.gov.au/Latest/F2019C00060/Tex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56F1-A7F9-4ADD-AB12-E3C3E7AD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1997, 2001 and 2005 schemes for the viability supplement</dc:title>
  <dc:subject/>
  <dc:creator/>
  <cp:keywords/>
  <dc:description/>
  <cp:lastModifiedBy/>
  <cp:revision>1</cp:revision>
  <dcterms:created xsi:type="dcterms:W3CDTF">2019-12-19T04:30:00Z</dcterms:created>
  <dcterms:modified xsi:type="dcterms:W3CDTF">2019-12-19T04:30:00Z</dcterms:modified>
</cp:coreProperties>
</file>