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767A" w:rsidRPr="00596D01" w:rsidRDefault="00E6767A" w:rsidP="00A261F3">
      <w:pPr>
        <w:pStyle w:val="Subtitle"/>
      </w:pPr>
      <w:r w:rsidRPr="00596D01">
        <w:t>Aged Care Financing Authority</w:t>
      </w:r>
    </w:p>
    <w:p w:rsidR="00F14524" w:rsidRPr="00A261F3" w:rsidRDefault="00D67106" w:rsidP="00A261F3">
      <w:pPr>
        <w:pStyle w:val="Title"/>
      </w:pPr>
      <w:r w:rsidRPr="00A261F3">
        <w:t>Sixth</w:t>
      </w:r>
      <w:r w:rsidR="00E6767A" w:rsidRPr="00A261F3">
        <w:t xml:space="preserve"> report on the Funding and Financing of the Aged Care Sector</w:t>
      </w:r>
    </w:p>
    <w:p w:rsidR="009E0783" w:rsidRPr="00596D01" w:rsidRDefault="00751D97" w:rsidP="00596D01">
      <w:pPr>
        <w:pStyle w:val="CoverDate"/>
      </w:pPr>
      <w:r w:rsidRPr="00596D01">
        <w:t>July</w:t>
      </w:r>
      <w:r w:rsidR="00A261F3" w:rsidRPr="00596D01">
        <w:t> 201</w:t>
      </w:r>
      <w:r w:rsidRPr="00596D01">
        <w:t>8</w:t>
      </w:r>
    </w:p>
    <w:p w:rsidR="00966BAF" w:rsidRPr="00A261F3" w:rsidRDefault="00966BAF" w:rsidP="00596D01">
      <w:r w:rsidRPr="00A261F3">
        <w:br w:type="page"/>
      </w:r>
    </w:p>
    <w:p w:rsidR="00D8721E" w:rsidRDefault="00E11F88" w:rsidP="00596D01">
      <w:pPr>
        <w:pStyle w:val="TOCHeading"/>
      </w:pPr>
      <w:r w:rsidRPr="00E96A72">
        <w:lastRenderedPageBreak/>
        <w:t>Contents</w:t>
      </w:r>
    </w:p>
    <w:p w:rsidR="00222BEE" w:rsidRDefault="00222BEE">
      <w:pPr>
        <w:pStyle w:val="TOC1"/>
        <w:rPr>
          <w:rFonts w:asciiTheme="minorHAnsi" w:hAnsiTheme="minorHAnsi" w:cstheme="minorBidi"/>
          <w:b w:val="0"/>
          <w:noProof/>
          <w:color w:val="auto"/>
          <w:sz w:val="22"/>
          <w:szCs w:val="22"/>
          <w:lang w:eastAsia="zh-CN"/>
        </w:rPr>
      </w:pPr>
      <w:r>
        <w:rPr>
          <w:b w:val="0"/>
          <w:caps/>
          <w:color w:val="0D0D0D" w:themeColor="text1" w:themeTint="F2"/>
        </w:rPr>
        <w:fldChar w:fldCharType="begin"/>
      </w:r>
      <w:r>
        <w:rPr>
          <w:b w:val="0"/>
          <w:caps/>
          <w:color w:val="0D0D0D" w:themeColor="text1" w:themeTint="F2"/>
        </w:rPr>
        <w:instrText xml:space="preserve"> TOC \o "2-3" \h \z \t "Heading 1,1,Heading 1 Numbered,1" </w:instrText>
      </w:r>
      <w:r>
        <w:rPr>
          <w:b w:val="0"/>
          <w:caps/>
          <w:color w:val="0D0D0D" w:themeColor="text1" w:themeTint="F2"/>
        </w:rPr>
        <w:fldChar w:fldCharType="separate"/>
      </w:r>
      <w:hyperlink w:anchor="_Toc524424670" w:history="1">
        <w:r w:rsidRPr="00974114">
          <w:rPr>
            <w:rStyle w:val="Hyperlink"/>
            <w:noProof/>
          </w:rPr>
          <w:t>Glossary</w:t>
        </w:r>
        <w:r>
          <w:rPr>
            <w:noProof/>
            <w:webHidden/>
          </w:rPr>
          <w:tab/>
        </w:r>
        <w:r>
          <w:rPr>
            <w:noProof/>
            <w:webHidden/>
          </w:rPr>
          <w:fldChar w:fldCharType="begin"/>
        </w:r>
        <w:r>
          <w:rPr>
            <w:noProof/>
            <w:webHidden/>
          </w:rPr>
          <w:instrText xml:space="preserve"> PAGEREF _Toc524424670 \h </w:instrText>
        </w:r>
        <w:r>
          <w:rPr>
            <w:noProof/>
            <w:webHidden/>
          </w:rPr>
        </w:r>
        <w:r>
          <w:rPr>
            <w:noProof/>
            <w:webHidden/>
          </w:rPr>
          <w:fldChar w:fldCharType="separate"/>
        </w:r>
        <w:r>
          <w:rPr>
            <w:noProof/>
            <w:webHidden/>
          </w:rPr>
          <w:t>7</w:t>
        </w:r>
        <w:r>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71" w:history="1">
        <w:r w:rsidR="00222BEE" w:rsidRPr="00974114">
          <w:rPr>
            <w:rStyle w:val="Hyperlink"/>
            <w:noProof/>
          </w:rPr>
          <w:t>Foreword</w:t>
        </w:r>
        <w:r w:rsidR="00222BEE">
          <w:rPr>
            <w:noProof/>
            <w:webHidden/>
          </w:rPr>
          <w:tab/>
        </w:r>
        <w:r w:rsidR="00222BEE">
          <w:rPr>
            <w:noProof/>
            <w:webHidden/>
          </w:rPr>
          <w:fldChar w:fldCharType="begin"/>
        </w:r>
        <w:r w:rsidR="00222BEE">
          <w:rPr>
            <w:noProof/>
            <w:webHidden/>
          </w:rPr>
          <w:instrText xml:space="preserve"> PAGEREF _Toc524424671 \h </w:instrText>
        </w:r>
        <w:r w:rsidR="00222BEE">
          <w:rPr>
            <w:noProof/>
            <w:webHidden/>
          </w:rPr>
        </w:r>
        <w:r w:rsidR="00222BEE">
          <w:rPr>
            <w:noProof/>
            <w:webHidden/>
          </w:rPr>
          <w:fldChar w:fldCharType="separate"/>
        </w:r>
        <w:r w:rsidR="00222BEE">
          <w:rPr>
            <w:noProof/>
            <w:webHidden/>
          </w:rPr>
          <w:t>15</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72" w:history="1">
        <w:r w:rsidR="00222BEE" w:rsidRPr="00974114">
          <w:rPr>
            <w:rStyle w:val="Hyperlink"/>
            <w:rFonts w:ascii="Segoe UI" w:hAnsi="Segoe UI" w:cs="Segoe UI"/>
            <w:noProof/>
          </w:rPr>
          <w:t>Executive Summary</w:t>
        </w:r>
        <w:r w:rsidR="00222BEE">
          <w:rPr>
            <w:noProof/>
            <w:webHidden/>
          </w:rPr>
          <w:tab/>
        </w:r>
        <w:r w:rsidR="00222BEE">
          <w:rPr>
            <w:noProof/>
            <w:webHidden/>
          </w:rPr>
          <w:fldChar w:fldCharType="begin"/>
        </w:r>
        <w:r w:rsidR="00222BEE">
          <w:rPr>
            <w:noProof/>
            <w:webHidden/>
          </w:rPr>
          <w:instrText xml:space="preserve"> PAGEREF _Toc524424672 \h </w:instrText>
        </w:r>
        <w:r w:rsidR="00222BEE">
          <w:rPr>
            <w:noProof/>
            <w:webHidden/>
          </w:rPr>
        </w:r>
        <w:r w:rsidR="00222BEE">
          <w:rPr>
            <w:noProof/>
            <w:webHidden/>
          </w:rPr>
          <w:fldChar w:fldCharType="separate"/>
        </w:r>
        <w:r w:rsidR="00222BEE">
          <w:rPr>
            <w:noProof/>
            <w:webHidden/>
          </w:rPr>
          <w:t>17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3" w:history="1">
        <w:r w:rsidR="00222BEE" w:rsidRPr="00974114">
          <w:rPr>
            <w:rStyle w:val="Hyperlink"/>
            <w:bCs/>
            <w:noProof/>
          </w:rPr>
          <w:t>Aged care in Australia</w:t>
        </w:r>
        <w:r w:rsidR="00222BEE">
          <w:rPr>
            <w:noProof/>
            <w:webHidden/>
          </w:rPr>
          <w:tab/>
        </w:r>
        <w:r w:rsidR="00222BEE">
          <w:rPr>
            <w:noProof/>
            <w:webHidden/>
          </w:rPr>
          <w:fldChar w:fldCharType="begin"/>
        </w:r>
        <w:r w:rsidR="00222BEE">
          <w:rPr>
            <w:noProof/>
            <w:webHidden/>
          </w:rPr>
          <w:instrText xml:space="preserve"> PAGEREF _Toc524424673 \h </w:instrText>
        </w:r>
        <w:r w:rsidR="00222BEE">
          <w:rPr>
            <w:noProof/>
            <w:webHidden/>
          </w:rPr>
        </w:r>
        <w:r w:rsidR="00222BEE">
          <w:rPr>
            <w:noProof/>
            <w:webHidden/>
          </w:rPr>
          <w:fldChar w:fldCharType="separate"/>
        </w:r>
        <w:r w:rsidR="00222BEE">
          <w:rPr>
            <w:noProof/>
            <w:webHidden/>
          </w:rPr>
          <w:t>17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4" w:history="1">
        <w:r w:rsidR="00222BEE" w:rsidRPr="00974114">
          <w:rPr>
            <w:rStyle w:val="Hyperlink"/>
            <w:bCs/>
            <w:noProof/>
          </w:rPr>
          <w:t>Aged care workforce</w:t>
        </w:r>
        <w:r w:rsidR="00222BEE">
          <w:rPr>
            <w:noProof/>
            <w:webHidden/>
          </w:rPr>
          <w:tab/>
        </w:r>
        <w:r w:rsidR="00222BEE">
          <w:rPr>
            <w:noProof/>
            <w:webHidden/>
          </w:rPr>
          <w:fldChar w:fldCharType="begin"/>
        </w:r>
        <w:r w:rsidR="00222BEE">
          <w:rPr>
            <w:noProof/>
            <w:webHidden/>
          </w:rPr>
          <w:instrText xml:space="preserve"> PAGEREF _Toc524424674 \h </w:instrText>
        </w:r>
        <w:r w:rsidR="00222BEE">
          <w:rPr>
            <w:noProof/>
            <w:webHidden/>
          </w:rPr>
        </w:r>
        <w:r w:rsidR="00222BEE">
          <w:rPr>
            <w:noProof/>
            <w:webHidden/>
          </w:rPr>
          <w:fldChar w:fldCharType="separate"/>
        </w:r>
        <w:r w:rsidR="00222BEE">
          <w:rPr>
            <w:noProof/>
            <w:webHidden/>
          </w:rPr>
          <w:t>17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5" w:history="1">
        <w:r w:rsidR="00222BEE" w:rsidRPr="00974114">
          <w:rPr>
            <w:rStyle w:val="Hyperlink"/>
            <w:bCs/>
            <w:noProof/>
          </w:rPr>
          <w:t>Aged care reforms</w:t>
        </w:r>
        <w:r w:rsidR="00222BEE">
          <w:rPr>
            <w:noProof/>
            <w:webHidden/>
          </w:rPr>
          <w:tab/>
        </w:r>
        <w:r w:rsidR="00222BEE">
          <w:rPr>
            <w:noProof/>
            <w:webHidden/>
          </w:rPr>
          <w:fldChar w:fldCharType="begin"/>
        </w:r>
        <w:r w:rsidR="00222BEE">
          <w:rPr>
            <w:noProof/>
            <w:webHidden/>
          </w:rPr>
          <w:instrText xml:space="preserve"> PAGEREF _Toc524424675 \h </w:instrText>
        </w:r>
        <w:r w:rsidR="00222BEE">
          <w:rPr>
            <w:noProof/>
            <w:webHidden/>
          </w:rPr>
        </w:r>
        <w:r w:rsidR="00222BEE">
          <w:rPr>
            <w:noProof/>
            <w:webHidden/>
          </w:rPr>
          <w:fldChar w:fldCharType="separate"/>
        </w:r>
        <w:r w:rsidR="00222BEE">
          <w:rPr>
            <w:noProof/>
            <w:webHidden/>
          </w:rPr>
          <w:t>17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6" w:history="1">
        <w:r w:rsidR="00222BEE" w:rsidRPr="00974114">
          <w:rPr>
            <w:rStyle w:val="Hyperlink"/>
            <w:bCs/>
            <w:noProof/>
          </w:rPr>
          <w:t>Access to aged care</w:t>
        </w:r>
        <w:r w:rsidR="00222BEE">
          <w:rPr>
            <w:noProof/>
            <w:webHidden/>
          </w:rPr>
          <w:tab/>
        </w:r>
        <w:r w:rsidR="00222BEE">
          <w:rPr>
            <w:noProof/>
            <w:webHidden/>
          </w:rPr>
          <w:fldChar w:fldCharType="begin"/>
        </w:r>
        <w:r w:rsidR="00222BEE">
          <w:rPr>
            <w:noProof/>
            <w:webHidden/>
          </w:rPr>
          <w:instrText xml:space="preserve"> PAGEREF _Toc524424676 \h </w:instrText>
        </w:r>
        <w:r w:rsidR="00222BEE">
          <w:rPr>
            <w:noProof/>
            <w:webHidden/>
          </w:rPr>
        </w:r>
        <w:r w:rsidR="00222BEE">
          <w:rPr>
            <w:noProof/>
            <w:webHidden/>
          </w:rPr>
          <w:fldChar w:fldCharType="separate"/>
        </w:r>
        <w:r w:rsidR="00222BEE">
          <w:rPr>
            <w:noProof/>
            <w:webHidden/>
          </w:rPr>
          <w:t>18</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7" w:history="1">
        <w:r w:rsidR="00222BEE" w:rsidRPr="00974114">
          <w:rPr>
            <w:rStyle w:val="Hyperlink"/>
            <w:bCs/>
            <w:noProof/>
          </w:rPr>
          <w:t>Home support</w:t>
        </w:r>
        <w:r w:rsidR="00222BEE">
          <w:rPr>
            <w:noProof/>
            <w:webHidden/>
          </w:rPr>
          <w:tab/>
        </w:r>
        <w:r w:rsidR="00222BEE">
          <w:rPr>
            <w:noProof/>
            <w:webHidden/>
          </w:rPr>
          <w:fldChar w:fldCharType="begin"/>
        </w:r>
        <w:r w:rsidR="00222BEE">
          <w:rPr>
            <w:noProof/>
            <w:webHidden/>
          </w:rPr>
          <w:instrText xml:space="preserve"> PAGEREF _Toc524424677 \h </w:instrText>
        </w:r>
        <w:r w:rsidR="00222BEE">
          <w:rPr>
            <w:noProof/>
            <w:webHidden/>
          </w:rPr>
        </w:r>
        <w:r w:rsidR="00222BEE">
          <w:rPr>
            <w:noProof/>
            <w:webHidden/>
          </w:rPr>
          <w:fldChar w:fldCharType="separate"/>
        </w:r>
        <w:r w:rsidR="00222BEE">
          <w:rPr>
            <w:noProof/>
            <w:webHidden/>
          </w:rPr>
          <w:t>19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8" w:history="1">
        <w:r w:rsidR="00222BEE" w:rsidRPr="00974114">
          <w:rPr>
            <w:rStyle w:val="Hyperlink"/>
            <w:bCs/>
            <w:noProof/>
          </w:rPr>
          <w:t>Home care – operational performance</w:t>
        </w:r>
        <w:r w:rsidR="00222BEE">
          <w:rPr>
            <w:noProof/>
            <w:webHidden/>
          </w:rPr>
          <w:tab/>
        </w:r>
        <w:r w:rsidR="00222BEE">
          <w:rPr>
            <w:noProof/>
            <w:webHidden/>
          </w:rPr>
          <w:fldChar w:fldCharType="begin"/>
        </w:r>
        <w:r w:rsidR="00222BEE">
          <w:rPr>
            <w:noProof/>
            <w:webHidden/>
          </w:rPr>
          <w:instrText xml:space="preserve"> PAGEREF _Toc524424678 \h </w:instrText>
        </w:r>
        <w:r w:rsidR="00222BEE">
          <w:rPr>
            <w:noProof/>
            <w:webHidden/>
          </w:rPr>
        </w:r>
        <w:r w:rsidR="00222BEE">
          <w:rPr>
            <w:noProof/>
            <w:webHidden/>
          </w:rPr>
          <w:fldChar w:fldCharType="separate"/>
        </w:r>
        <w:r w:rsidR="00222BEE">
          <w:rPr>
            <w:noProof/>
            <w:webHidden/>
          </w:rPr>
          <w:t>19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79" w:history="1">
        <w:r w:rsidR="00222BEE" w:rsidRPr="00974114">
          <w:rPr>
            <w:rStyle w:val="Hyperlink"/>
            <w:bCs/>
            <w:noProof/>
          </w:rPr>
          <w:t>Residential aged care – characteristics of the sector</w:t>
        </w:r>
        <w:r w:rsidR="00222BEE">
          <w:rPr>
            <w:noProof/>
            <w:webHidden/>
          </w:rPr>
          <w:tab/>
        </w:r>
        <w:r w:rsidR="00222BEE">
          <w:rPr>
            <w:noProof/>
            <w:webHidden/>
          </w:rPr>
          <w:fldChar w:fldCharType="begin"/>
        </w:r>
        <w:r w:rsidR="00222BEE">
          <w:rPr>
            <w:noProof/>
            <w:webHidden/>
          </w:rPr>
          <w:instrText xml:space="preserve"> PAGEREF _Toc524424679 \h </w:instrText>
        </w:r>
        <w:r w:rsidR="00222BEE">
          <w:rPr>
            <w:noProof/>
            <w:webHidden/>
          </w:rPr>
        </w:r>
        <w:r w:rsidR="00222BEE">
          <w:rPr>
            <w:noProof/>
            <w:webHidden/>
          </w:rPr>
          <w:fldChar w:fldCharType="separate"/>
        </w:r>
        <w:r w:rsidR="00222BEE">
          <w:rPr>
            <w:noProof/>
            <w:webHidden/>
          </w:rPr>
          <w:t>19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0" w:history="1">
        <w:r w:rsidR="00222BEE" w:rsidRPr="00974114">
          <w:rPr>
            <w:rStyle w:val="Hyperlink"/>
            <w:bCs/>
            <w:noProof/>
          </w:rPr>
          <w:t>Residential aged care – operational performance</w:t>
        </w:r>
        <w:r w:rsidR="00222BEE">
          <w:rPr>
            <w:noProof/>
            <w:webHidden/>
          </w:rPr>
          <w:tab/>
        </w:r>
        <w:r w:rsidR="00222BEE">
          <w:rPr>
            <w:noProof/>
            <w:webHidden/>
          </w:rPr>
          <w:fldChar w:fldCharType="begin"/>
        </w:r>
        <w:r w:rsidR="00222BEE">
          <w:rPr>
            <w:noProof/>
            <w:webHidden/>
          </w:rPr>
          <w:instrText xml:space="preserve"> PAGEREF _Toc524424680 \h </w:instrText>
        </w:r>
        <w:r w:rsidR="00222BEE">
          <w:rPr>
            <w:noProof/>
            <w:webHidden/>
          </w:rPr>
        </w:r>
        <w:r w:rsidR="00222BEE">
          <w:rPr>
            <w:noProof/>
            <w:webHidden/>
          </w:rPr>
          <w:fldChar w:fldCharType="separate"/>
        </w:r>
        <w:r w:rsidR="00222BEE">
          <w:rPr>
            <w:noProof/>
            <w:webHidden/>
          </w:rPr>
          <w:t>19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1" w:history="1">
        <w:r w:rsidR="00222BEE" w:rsidRPr="00974114">
          <w:rPr>
            <w:rStyle w:val="Hyperlink"/>
            <w:bCs/>
            <w:noProof/>
          </w:rPr>
          <w:t>Residential aged care – capital investment</w:t>
        </w:r>
        <w:r w:rsidR="00222BEE">
          <w:rPr>
            <w:noProof/>
            <w:webHidden/>
          </w:rPr>
          <w:tab/>
        </w:r>
        <w:r w:rsidR="00222BEE">
          <w:rPr>
            <w:noProof/>
            <w:webHidden/>
          </w:rPr>
          <w:fldChar w:fldCharType="begin"/>
        </w:r>
        <w:r w:rsidR="00222BEE">
          <w:rPr>
            <w:noProof/>
            <w:webHidden/>
          </w:rPr>
          <w:instrText xml:space="preserve"> PAGEREF _Toc524424681 \h </w:instrText>
        </w:r>
        <w:r w:rsidR="00222BEE">
          <w:rPr>
            <w:noProof/>
            <w:webHidden/>
          </w:rPr>
        </w:r>
        <w:r w:rsidR="00222BEE">
          <w:rPr>
            <w:noProof/>
            <w:webHidden/>
          </w:rPr>
          <w:fldChar w:fldCharType="separate"/>
        </w:r>
        <w:r w:rsidR="00222BEE">
          <w:rPr>
            <w:noProof/>
            <w:webHidden/>
          </w:rPr>
          <w:t>20</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2" w:history="1">
        <w:r w:rsidR="00222BEE" w:rsidRPr="00974114">
          <w:rPr>
            <w:rStyle w:val="Hyperlink"/>
            <w:bCs/>
            <w:noProof/>
          </w:rPr>
          <w:t>Residential aged care – funding and financing challenges</w:t>
        </w:r>
        <w:r w:rsidR="00222BEE">
          <w:rPr>
            <w:noProof/>
            <w:webHidden/>
          </w:rPr>
          <w:tab/>
        </w:r>
        <w:r w:rsidR="00222BEE">
          <w:rPr>
            <w:noProof/>
            <w:webHidden/>
          </w:rPr>
          <w:fldChar w:fldCharType="begin"/>
        </w:r>
        <w:r w:rsidR="00222BEE">
          <w:rPr>
            <w:noProof/>
            <w:webHidden/>
          </w:rPr>
          <w:instrText xml:space="preserve"> PAGEREF _Toc524424682 \h </w:instrText>
        </w:r>
        <w:r w:rsidR="00222BEE">
          <w:rPr>
            <w:noProof/>
            <w:webHidden/>
          </w:rPr>
        </w:r>
        <w:r w:rsidR="00222BEE">
          <w:rPr>
            <w:noProof/>
            <w:webHidden/>
          </w:rPr>
          <w:fldChar w:fldCharType="separate"/>
        </w:r>
        <w:r w:rsidR="00222BEE">
          <w:rPr>
            <w:noProof/>
            <w:webHidden/>
          </w:rPr>
          <w:t>20</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83" w:history="1">
        <w:r w:rsidR="00222BEE" w:rsidRPr="00974114">
          <w:rPr>
            <w:rStyle w:val="Hyperlink"/>
            <w:noProof/>
          </w:rPr>
          <w:t>The Aged Care Financing Authority and the 2018 Annual Sector Report</w:t>
        </w:r>
        <w:r w:rsidR="00222BEE">
          <w:rPr>
            <w:noProof/>
            <w:webHidden/>
          </w:rPr>
          <w:tab/>
        </w:r>
        <w:r w:rsidR="00222BEE">
          <w:rPr>
            <w:noProof/>
            <w:webHidden/>
          </w:rPr>
          <w:fldChar w:fldCharType="begin"/>
        </w:r>
        <w:r w:rsidR="00222BEE">
          <w:rPr>
            <w:noProof/>
            <w:webHidden/>
          </w:rPr>
          <w:instrText xml:space="preserve"> PAGEREF _Toc524424683 \h </w:instrText>
        </w:r>
        <w:r w:rsidR="00222BEE">
          <w:rPr>
            <w:noProof/>
            <w:webHidden/>
          </w:rPr>
        </w:r>
        <w:r w:rsidR="00222BEE">
          <w:rPr>
            <w:noProof/>
            <w:webHidden/>
          </w:rPr>
          <w:fldChar w:fldCharType="separate"/>
        </w:r>
        <w:r w:rsidR="00222BEE">
          <w:rPr>
            <w:noProof/>
            <w:webHidden/>
          </w:rPr>
          <w:t>22</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84" w:history="1">
        <w:r w:rsidR="00222BEE" w:rsidRPr="00974114">
          <w:rPr>
            <w:rStyle w:val="Hyperlink"/>
            <w:noProof/>
          </w:rPr>
          <w:t>1.</w:t>
        </w:r>
        <w:r w:rsidR="00222BEE">
          <w:rPr>
            <w:rFonts w:asciiTheme="minorHAnsi" w:hAnsiTheme="minorHAnsi" w:cstheme="minorBidi"/>
            <w:b w:val="0"/>
            <w:noProof/>
            <w:color w:val="auto"/>
            <w:sz w:val="22"/>
            <w:szCs w:val="22"/>
            <w:lang w:eastAsia="zh-CN"/>
          </w:rPr>
          <w:tab/>
        </w:r>
        <w:r w:rsidR="00222BEE" w:rsidRPr="00974114">
          <w:rPr>
            <w:rStyle w:val="Hyperlink"/>
            <w:noProof/>
          </w:rPr>
          <w:t>This report</w:t>
        </w:r>
        <w:r w:rsidR="00222BEE">
          <w:rPr>
            <w:noProof/>
            <w:webHidden/>
          </w:rPr>
          <w:tab/>
        </w:r>
        <w:r w:rsidR="00222BEE">
          <w:rPr>
            <w:noProof/>
            <w:webHidden/>
          </w:rPr>
          <w:fldChar w:fldCharType="begin"/>
        </w:r>
        <w:r w:rsidR="00222BEE">
          <w:rPr>
            <w:noProof/>
            <w:webHidden/>
          </w:rPr>
          <w:instrText xml:space="preserve"> PAGEREF _Toc524424684 \h </w:instrText>
        </w:r>
        <w:r w:rsidR="00222BEE">
          <w:rPr>
            <w:noProof/>
            <w:webHidden/>
          </w:rPr>
        </w:r>
        <w:r w:rsidR="00222BEE">
          <w:rPr>
            <w:noProof/>
            <w:webHidden/>
          </w:rPr>
          <w:fldChar w:fldCharType="separate"/>
        </w:r>
        <w:r w:rsidR="00222BEE">
          <w:rPr>
            <w:noProof/>
            <w:webHidden/>
          </w:rPr>
          <w:t>23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5" w:history="1">
        <w:r w:rsidR="00222BEE" w:rsidRPr="00974114">
          <w:rPr>
            <w:rStyle w:val="Hyperlink"/>
            <w:bCs/>
            <w:noProof/>
          </w:rPr>
          <w:t>1.1</w:t>
        </w:r>
        <w:r w:rsidR="00222BEE">
          <w:rPr>
            <w:rFonts w:asciiTheme="minorHAnsi" w:hAnsiTheme="minorHAnsi" w:cstheme="minorBidi"/>
            <w:b w:val="0"/>
            <w:noProof/>
            <w:color w:val="auto"/>
            <w:sz w:val="22"/>
            <w:szCs w:val="22"/>
            <w:lang w:eastAsia="zh-CN"/>
          </w:rPr>
          <w:tab/>
        </w:r>
        <w:r w:rsidR="00222BEE" w:rsidRPr="00974114">
          <w:rPr>
            <w:rStyle w:val="Hyperlink"/>
            <w:bCs/>
            <w:noProof/>
          </w:rPr>
          <w:t>Aged care in Australia</w:t>
        </w:r>
        <w:r w:rsidR="00222BEE">
          <w:rPr>
            <w:noProof/>
            <w:webHidden/>
          </w:rPr>
          <w:tab/>
        </w:r>
        <w:r w:rsidR="00222BEE">
          <w:rPr>
            <w:noProof/>
            <w:webHidden/>
          </w:rPr>
          <w:fldChar w:fldCharType="begin"/>
        </w:r>
        <w:r w:rsidR="00222BEE">
          <w:rPr>
            <w:noProof/>
            <w:webHidden/>
          </w:rPr>
          <w:instrText xml:space="preserve"> PAGEREF _Toc524424685 \h </w:instrText>
        </w:r>
        <w:r w:rsidR="00222BEE">
          <w:rPr>
            <w:noProof/>
            <w:webHidden/>
          </w:rPr>
        </w:r>
        <w:r w:rsidR="00222BEE">
          <w:rPr>
            <w:noProof/>
            <w:webHidden/>
          </w:rPr>
          <w:fldChar w:fldCharType="separate"/>
        </w:r>
        <w:r w:rsidR="00222BEE">
          <w:rPr>
            <w:noProof/>
            <w:webHidden/>
          </w:rPr>
          <w:t>23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6" w:history="1">
        <w:r w:rsidR="00222BEE" w:rsidRPr="00974114">
          <w:rPr>
            <w:rStyle w:val="Hyperlink"/>
            <w:bCs/>
            <w:noProof/>
          </w:rPr>
          <w:t>1.2</w:t>
        </w:r>
        <w:r w:rsidR="00222BEE">
          <w:rPr>
            <w:rFonts w:asciiTheme="minorHAnsi" w:hAnsiTheme="minorHAnsi" w:cstheme="minorBidi"/>
            <w:b w:val="0"/>
            <w:noProof/>
            <w:color w:val="auto"/>
            <w:sz w:val="22"/>
            <w:szCs w:val="22"/>
            <w:lang w:eastAsia="zh-CN"/>
          </w:rPr>
          <w:tab/>
        </w:r>
        <w:r w:rsidR="00222BEE" w:rsidRPr="00974114">
          <w:rPr>
            <w:rStyle w:val="Hyperlink"/>
            <w:bCs/>
            <w:noProof/>
          </w:rPr>
          <w:t>About the Aged Care Financing Authority</w:t>
        </w:r>
        <w:r w:rsidR="00222BEE">
          <w:rPr>
            <w:noProof/>
            <w:webHidden/>
          </w:rPr>
          <w:tab/>
        </w:r>
        <w:r w:rsidR="00222BEE">
          <w:rPr>
            <w:noProof/>
            <w:webHidden/>
          </w:rPr>
          <w:fldChar w:fldCharType="begin"/>
        </w:r>
        <w:r w:rsidR="00222BEE">
          <w:rPr>
            <w:noProof/>
            <w:webHidden/>
          </w:rPr>
          <w:instrText xml:space="preserve"> PAGEREF _Toc524424686 \h </w:instrText>
        </w:r>
        <w:r w:rsidR="00222BEE">
          <w:rPr>
            <w:noProof/>
            <w:webHidden/>
          </w:rPr>
        </w:r>
        <w:r w:rsidR="00222BEE">
          <w:rPr>
            <w:noProof/>
            <w:webHidden/>
          </w:rPr>
          <w:fldChar w:fldCharType="separate"/>
        </w:r>
        <w:r w:rsidR="00222BEE">
          <w:rPr>
            <w:noProof/>
            <w:webHidden/>
          </w:rPr>
          <w:t>23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87" w:history="1">
        <w:r w:rsidR="00222BEE" w:rsidRPr="00974114">
          <w:rPr>
            <w:rStyle w:val="Hyperlink"/>
            <w:bCs/>
            <w:noProof/>
          </w:rPr>
          <w:t>1.3</w:t>
        </w:r>
        <w:r w:rsidR="00222BEE">
          <w:rPr>
            <w:rFonts w:asciiTheme="minorHAnsi" w:hAnsiTheme="minorHAnsi" w:cstheme="minorBidi"/>
            <w:b w:val="0"/>
            <w:noProof/>
            <w:color w:val="auto"/>
            <w:sz w:val="22"/>
            <w:szCs w:val="22"/>
            <w:lang w:eastAsia="zh-CN"/>
          </w:rPr>
          <w:tab/>
        </w:r>
        <w:r w:rsidR="00222BEE" w:rsidRPr="00974114">
          <w:rPr>
            <w:rStyle w:val="Hyperlink"/>
            <w:bCs/>
            <w:noProof/>
          </w:rPr>
          <w:t>The Annual Report on the Funding and Financing of the Aged Care Sector</w:t>
        </w:r>
        <w:r w:rsidR="00222BEE">
          <w:rPr>
            <w:noProof/>
            <w:webHidden/>
          </w:rPr>
          <w:tab/>
        </w:r>
        <w:r w:rsidR="00222BEE">
          <w:rPr>
            <w:noProof/>
            <w:webHidden/>
          </w:rPr>
          <w:fldChar w:fldCharType="begin"/>
        </w:r>
        <w:r w:rsidR="00222BEE">
          <w:rPr>
            <w:noProof/>
            <w:webHidden/>
          </w:rPr>
          <w:instrText xml:space="preserve"> PAGEREF _Toc524424687 \h </w:instrText>
        </w:r>
        <w:r w:rsidR="00222BEE">
          <w:rPr>
            <w:noProof/>
            <w:webHidden/>
          </w:rPr>
        </w:r>
        <w:r w:rsidR="00222BEE">
          <w:rPr>
            <w:noProof/>
            <w:webHidden/>
          </w:rPr>
          <w:fldChar w:fldCharType="separate"/>
        </w:r>
        <w:r w:rsidR="00222BEE">
          <w:rPr>
            <w:noProof/>
            <w:webHidden/>
          </w:rPr>
          <w:t>23</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688" w:history="1">
        <w:r w:rsidR="00222BEE" w:rsidRPr="00974114">
          <w:rPr>
            <w:rStyle w:val="Hyperlink"/>
            <w:bCs/>
          </w:rPr>
          <w:t>1.3.1</w:t>
        </w:r>
        <w:r w:rsidR="00222BEE">
          <w:rPr>
            <w:rFonts w:asciiTheme="minorHAnsi" w:hAnsiTheme="minorHAnsi" w:cstheme="minorBidi"/>
            <w:color w:val="auto"/>
            <w:sz w:val="22"/>
            <w:szCs w:val="22"/>
            <w:lang w:eastAsia="zh-CN"/>
          </w:rPr>
          <w:tab/>
        </w:r>
        <w:r w:rsidR="00222BEE" w:rsidRPr="00974114">
          <w:rPr>
            <w:rStyle w:val="Hyperlink"/>
            <w:bCs/>
          </w:rPr>
          <w:t>Methodology</w:t>
        </w:r>
        <w:r w:rsidR="00222BEE">
          <w:rPr>
            <w:webHidden/>
          </w:rPr>
          <w:tab/>
        </w:r>
        <w:r w:rsidR="00222BEE">
          <w:rPr>
            <w:webHidden/>
          </w:rPr>
          <w:fldChar w:fldCharType="begin"/>
        </w:r>
        <w:r w:rsidR="00222BEE">
          <w:rPr>
            <w:webHidden/>
          </w:rPr>
          <w:instrText xml:space="preserve"> PAGEREF _Toc524424688 \h </w:instrText>
        </w:r>
        <w:r w:rsidR="00222BEE">
          <w:rPr>
            <w:webHidden/>
          </w:rPr>
        </w:r>
        <w:r w:rsidR="00222BEE">
          <w:rPr>
            <w:webHidden/>
          </w:rPr>
          <w:fldChar w:fldCharType="separate"/>
        </w:r>
        <w:r w:rsidR="00222BEE">
          <w:rPr>
            <w:webHidden/>
          </w:rPr>
          <w:t>24</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89" w:history="1">
        <w:r w:rsidR="00222BEE" w:rsidRPr="00974114">
          <w:rPr>
            <w:rStyle w:val="Hyperlink"/>
            <w:noProof/>
          </w:rPr>
          <w:t>2.</w:t>
        </w:r>
        <w:r w:rsidR="00222BEE">
          <w:rPr>
            <w:rFonts w:asciiTheme="minorHAnsi" w:hAnsiTheme="minorHAnsi" w:cstheme="minorBidi"/>
            <w:b w:val="0"/>
            <w:noProof/>
            <w:color w:val="auto"/>
            <w:sz w:val="22"/>
            <w:szCs w:val="22"/>
            <w:lang w:eastAsia="zh-CN"/>
          </w:rPr>
          <w:tab/>
        </w:r>
        <w:r w:rsidR="00222BEE" w:rsidRPr="00974114">
          <w:rPr>
            <w:rStyle w:val="Hyperlink"/>
            <w:noProof/>
          </w:rPr>
          <w:t>Aged care in Australia</w:t>
        </w:r>
        <w:r w:rsidR="00222BEE">
          <w:rPr>
            <w:noProof/>
            <w:webHidden/>
          </w:rPr>
          <w:tab/>
        </w:r>
        <w:r w:rsidR="00222BEE">
          <w:rPr>
            <w:noProof/>
            <w:webHidden/>
          </w:rPr>
          <w:fldChar w:fldCharType="begin"/>
        </w:r>
        <w:r w:rsidR="00222BEE">
          <w:rPr>
            <w:noProof/>
            <w:webHidden/>
          </w:rPr>
          <w:instrText xml:space="preserve"> PAGEREF _Toc524424689 \h </w:instrText>
        </w:r>
        <w:r w:rsidR="00222BEE">
          <w:rPr>
            <w:noProof/>
            <w:webHidden/>
          </w:rPr>
        </w:r>
        <w:r w:rsidR="00222BEE">
          <w:rPr>
            <w:noProof/>
            <w:webHidden/>
          </w:rPr>
          <w:fldChar w:fldCharType="separate"/>
        </w:r>
        <w:r w:rsidR="00222BEE">
          <w:rPr>
            <w:noProof/>
            <w:webHidden/>
          </w:rPr>
          <w:t>26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0" w:history="1">
        <w:r w:rsidR="00222BEE" w:rsidRPr="00974114">
          <w:rPr>
            <w:rStyle w:val="Hyperlink"/>
            <w:bCs/>
            <w:noProof/>
          </w:rPr>
          <w:t>2.1</w:t>
        </w:r>
        <w:r w:rsidR="00222BEE">
          <w:rPr>
            <w:rFonts w:asciiTheme="minorHAnsi" w:hAnsiTheme="minorHAnsi" w:cstheme="minorBidi"/>
            <w:b w:val="0"/>
            <w:noProof/>
            <w:color w:val="auto"/>
            <w:sz w:val="22"/>
            <w:szCs w:val="22"/>
            <w:lang w:eastAsia="zh-CN"/>
          </w:rPr>
          <w:tab/>
        </w:r>
        <w:r w:rsidR="00222BEE" w:rsidRPr="00974114">
          <w:rPr>
            <w:rStyle w:val="Hyperlink"/>
            <w:bCs/>
            <w:noProof/>
          </w:rPr>
          <w:t>Overview</w:t>
        </w:r>
        <w:r w:rsidR="00222BEE">
          <w:rPr>
            <w:noProof/>
            <w:webHidden/>
          </w:rPr>
          <w:tab/>
        </w:r>
        <w:r w:rsidR="00222BEE">
          <w:rPr>
            <w:noProof/>
            <w:webHidden/>
          </w:rPr>
          <w:fldChar w:fldCharType="begin"/>
        </w:r>
        <w:r w:rsidR="00222BEE">
          <w:rPr>
            <w:noProof/>
            <w:webHidden/>
          </w:rPr>
          <w:instrText xml:space="preserve"> PAGEREF _Toc524424690 \h </w:instrText>
        </w:r>
        <w:r w:rsidR="00222BEE">
          <w:rPr>
            <w:noProof/>
            <w:webHidden/>
          </w:rPr>
        </w:r>
        <w:r w:rsidR="00222BEE">
          <w:rPr>
            <w:noProof/>
            <w:webHidden/>
          </w:rPr>
          <w:fldChar w:fldCharType="separate"/>
        </w:r>
        <w:r w:rsidR="00222BEE">
          <w:rPr>
            <w:noProof/>
            <w:webHidden/>
          </w:rPr>
          <w:t>26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1" w:history="1">
        <w:r w:rsidR="00222BEE" w:rsidRPr="00974114">
          <w:rPr>
            <w:rStyle w:val="Hyperlink"/>
            <w:bCs/>
            <w:noProof/>
          </w:rPr>
          <w:t>2.2</w:t>
        </w:r>
        <w:r w:rsidR="00222BEE">
          <w:rPr>
            <w:rFonts w:asciiTheme="minorHAnsi" w:hAnsiTheme="minorHAnsi" w:cstheme="minorBidi"/>
            <w:b w:val="0"/>
            <w:noProof/>
            <w:color w:val="auto"/>
            <w:sz w:val="22"/>
            <w:szCs w:val="22"/>
            <w:lang w:eastAsia="zh-CN"/>
          </w:rPr>
          <w:tab/>
        </w:r>
        <w:r w:rsidR="00222BEE" w:rsidRPr="00974114">
          <w:rPr>
            <w:rStyle w:val="Hyperlink"/>
            <w:bCs/>
            <w:noProof/>
          </w:rPr>
          <w:t>Current aged care</w:t>
        </w:r>
        <w:r w:rsidR="00222BEE">
          <w:rPr>
            <w:noProof/>
            <w:webHidden/>
          </w:rPr>
          <w:tab/>
        </w:r>
        <w:r w:rsidR="00222BEE">
          <w:rPr>
            <w:noProof/>
            <w:webHidden/>
          </w:rPr>
          <w:fldChar w:fldCharType="begin"/>
        </w:r>
        <w:r w:rsidR="00222BEE">
          <w:rPr>
            <w:noProof/>
            <w:webHidden/>
          </w:rPr>
          <w:instrText xml:space="preserve"> PAGEREF _Toc524424691 \h </w:instrText>
        </w:r>
        <w:r w:rsidR="00222BEE">
          <w:rPr>
            <w:noProof/>
            <w:webHidden/>
          </w:rPr>
        </w:r>
        <w:r w:rsidR="00222BEE">
          <w:rPr>
            <w:noProof/>
            <w:webHidden/>
          </w:rPr>
          <w:fldChar w:fldCharType="separate"/>
        </w:r>
        <w:r w:rsidR="00222BEE">
          <w:rPr>
            <w:noProof/>
            <w:webHidden/>
          </w:rPr>
          <w:t>29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2" w:history="1">
        <w:r w:rsidR="00222BEE" w:rsidRPr="00974114">
          <w:rPr>
            <w:rStyle w:val="Hyperlink"/>
            <w:bCs/>
            <w:noProof/>
          </w:rPr>
          <w:t>2.3</w:t>
        </w:r>
        <w:r w:rsidR="00222BEE">
          <w:rPr>
            <w:rFonts w:asciiTheme="minorHAnsi" w:hAnsiTheme="minorHAnsi" w:cstheme="minorBidi"/>
            <w:b w:val="0"/>
            <w:noProof/>
            <w:color w:val="auto"/>
            <w:sz w:val="22"/>
            <w:szCs w:val="22"/>
            <w:lang w:eastAsia="zh-CN"/>
          </w:rPr>
          <w:tab/>
        </w:r>
        <w:r w:rsidR="00222BEE" w:rsidRPr="00974114">
          <w:rPr>
            <w:rStyle w:val="Hyperlink"/>
            <w:bCs/>
            <w:noProof/>
          </w:rPr>
          <w:t>Australian Government expenditure on aged care</w:t>
        </w:r>
        <w:r w:rsidR="00222BEE">
          <w:rPr>
            <w:noProof/>
            <w:webHidden/>
          </w:rPr>
          <w:tab/>
        </w:r>
        <w:r w:rsidR="00222BEE">
          <w:rPr>
            <w:noProof/>
            <w:webHidden/>
          </w:rPr>
          <w:fldChar w:fldCharType="begin"/>
        </w:r>
        <w:r w:rsidR="00222BEE">
          <w:rPr>
            <w:noProof/>
            <w:webHidden/>
          </w:rPr>
          <w:instrText xml:space="preserve"> PAGEREF _Toc524424692 \h </w:instrText>
        </w:r>
        <w:r w:rsidR="00222BEE">
          <w:rPr>
            <w:noProof/>
            <w:webHidden/>
          </w:rPr>
        </w:r>
        <w:r w:rsidR="00222BEE">
          <w:rPr>
            <w:noProof/>
            <w:webHidden/>
          </w:rPr>
          <w:fldChar w:fldCharType="separate"/>
        </w:r>
        <w:r w:rsidR="00222BEE">
          <w:rPr>
            <w:noProof/>
            <w:webHidden/>
          </w:rPr>
          <w:t>31</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3" w:history="1">
        <w:r w:rsidR="00222BEE" w:rsidRPr="00974114">
          <w:rPr>
            <w:rStyle w:val="Hyperlink"/>
            <w:noProof/>
          </w:rPr>
          <w:t>2.4</w:t>
        </w:r>
        <w:r w:rsidR="00222BEE">
          <w:rPr>
            <w:rFonts w:asciiTheme="minorHAnsi" w:hAnsiTheme="minorHAnsi" w:cstheme="minorBidi"/>
            <w:b w:val="0"/>
            <w:noProof/>
            <w:color w:val="auto"/>
            <w:sz w:val="22"/>
            <w:szCs w:val="22"/>
            <w:lang w:eastAsia="zh-CN"/>
          </w:rPr>
          <w:tab/>
        </w:r>
        <w:r w:rsidR="00222BEE" w:rsidRPr="00974114">
          <w:rPr>
            <w:rStyle w:val="Hyperlink"/>
            <w:noProof/>
          </w:rPr>
          <w:t>Consumer contributions</w:t>
        </w:r>
        <w:r w:rsidR="00222BEE">
          <w:rPr>
            <w:noProof/>
            <w:webHidden/>
          </w:rPr>
          <w:tab/>
        </w:r>
        <w:r w:rsidR="00222BEE">
          <w:rPr>
            <w:noProof/>
            <w:webHidden/>
          </w:rPr>
          <w:fldChar w:fldCharType="begin"/>
        </w:r>
        <w:r w:rsidR="00222BEE">
          <w:rPr>
            <w:noProof/>
            <w:webHidden/>
          </w:rPr>
          <w:instrText xml:space="preserve"> PAGEREF _Toc524424693 \h </w:instrText>
        </w:r>
        <w:r w:rsidR="00222BEE">
          <w:rPr>
            <w:noProof/>
            <w:webHidden/>
          </w:rPr>
        </w:r>
        <w:r w:rsidR="00222BEE">
          <w:rPr>
            <w:noProof/>
            <w:webHidden/>
          </w:rPr>
          <w:fldChar w:fldCharType="separate"/>
        </w:r>
        <w:r w:rsidR="00222BEE">
          <w:rPr>
            <w:noProof/>
            <w:webHidden/>
          </w:rPr>
          <w:t>32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4" w:history="1">
        <w:r w:rsidR="00222BEE" w:rsidRPr="00974114">
          <w:rPr>
            <w:rStyle w:val="Hyperlink"/>
            <w:noProof/>
          </w:rPr>
          <w:t>2.5</w:t>
        </w:r>
        <w:r w:rsidR="00222BEE">
          <w:rPr>
            <w:rFonts w:asciiTheme="minorHAnsi" w:hAnsiTheme="minorHAnsi" w:cstheme="minorBidi"/>
            <w:b w:val="0"/>
            <w:noProof/>
            <w:color w:val="auto"/>
            <w:sz w:val="22"/>
            <w:szCs w:val="22"/>
            <w:lang w:eastAsia="zh-CN"/>
          </w:rPr>
          <w:tab/>
        </w:r>
        <w:r w:rsidR="00222BEE" w:rsidRPr="00974114">
          <w:rPr>
            <w:rStyle w:val="Hyperlink"/>
            <w:noProof/>
          </w:rPr>
          <w:t>Aged care providers</w:t>
        </w:r>
        <w:r w:rsidR="00222BEE">
          <w:rPr>
            <w:noProof/>
            <w:webHidden/>
          </w:rPr>
          <w:tab/>
        </w:r>
        <w:r w:rsidR="00222BEE">
          <w:rPr>
            <w:noProof/>
            <w:webHidden/>
          </w:rPr>
          <w:fldChar w:fldCharType="begin"/>
        </w:r>
        <w:r w:rsidR="00222BEE">
          <w:rPr>
            <w:noProof/>
            <w:webHidden/>
          </w:rPr>
          <w:instrText xml:space="preserve"> PAGEREF _Toc524424694 \h </w:instrText>
        </w:r>
        <w:r w:rsidR="00222BEE">
          <w:rPr>
            <w:noProof/>
            <w:webHidden/>
          </w:rPr>
        </w:r>
        <w:r w:rsidR="00222BEE">
          <w:rPr>
            <w:noProof/>
            <w:webHidden/>
          </w:rPr>
          <w:fldChar w:fldCharType="separate"/>
        </w:r>
        <w:r w:rsidR="00222BEE">
          <w:rPr>
            <w:noProof/>
            <w:webHidden/>
          </w:rPr>
          <w:t>32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5" w:history="1">
        <w:r w:rsidR="00222BEE" w:rsidRPr="00974114">
          <w:rPr>
            <w:rStyle w:val="Hyperlink"/>
            <w:bCs/>
            <w:noProof/>
          </w:rPr>
          <w:t>2.6</w:t>
        </w:r>
        <w:r w:rsidR="00222BEE">
          <w:rPr>
            <w:rFonts w:asciiTheme="minorHAnsi" w:hAnsiTheme="minorHAnsi" w:cstheme="minorBidi"/>
            <w:b w:val="0"/>
            <w:noProof/>
            <w:color w:val="auto"/>
            <w:sz w:val="22"/>
            <w:szCs w:val="22"/>
            <w:lang w:eastAsia="zh-CN"/>
          </w:rPr>
          <w:tab/>
        </w:r>
        <w:r w:rsidR="00222BEE" w:rsidRPr="00974114">
          <w:rPr>
            <w:rStyle w:val="Hyperlink"/>
            <w:bCs/>
            <w:noProof/>
          </w:rPr>
          <w:t>Regulation of supply</w:t>
        </w:r>
        <w:r w:rsidR="00222BEE">
          <w:rPr>
            <w:noProof/>
            <w:webHidden/>
          </w:rPr>
          <w:tab/>
        </w:r>
        <w:r w:rsidR="00222BEE">
          <w:rPr>
            <w:noProof/>
            <w:webHidden/>
          </w:rPr>
          <w:fldChar w:fldCharType="begin"/>
        </w:r>
        <w:r w:rsidR="00222BEE">
          <w:rPr>
            <w:noProof/>
            <w:webHidden/>
          </w:rPr>
          <w:instrText xml:space="preserve"> PAGEREF _Toc524424695 \h </w:instrText>
        </w:r>
        <w:r w:rsidR="00222BEE">
          <w:rPr>
            <w:noProof/>
            <w:webHidden/>
          </w:rPr>
        </w:r>
        <w:r w:rsidR="00222BEE">
          <w:rPr>
            <w:noProof/>
            <w:webHidden/>
          </w:rPr>
          <w:fldChar w:fldCharType="separate"/>
        </w:r>
        <w:r w:rsidR="00222BEE">
          <w:rPr>
            <w:noProof/>
            <w:webHidden/>
          </w:rPr>
          <w:t>33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6" w:history="1">
        <w:r w:rsidR="00222BEE" w:rsidRPr="00974114">
          <w:rPr>
            <w:rStyle w:val="Hyperlink"/>
            <w:bCs/>
            <w:noProof/>
          </w:rPr>
          <w:t>2.7</w:t>
        </w:r>
        <w:r w:rsidR="00222BEE">
          <w:rPr>
            <w:rFonts w:asciiTheme="minorHAnsi" w:hAnsiTheme="minorHAnsi" w:cstheme="minorBidi"/>
            <w:b w:val="0"/>
            <w:noProof/>
            <w:color w:val="auto"/>
            <w:sz w:val="22"/>
            <w:szCs w:val="22"/>
            <w:lang w:eastAsia="zh-CN"/>
          </w:rPr>
          <w:tab/>
        </w:r>
        <w:r w:rsidR="00222BEE" w:rsidRPr="00974114">
          <w:rPr>
            <w:rStyle w:val="Hyperlink"/>
            <w:bCs/>
            <w:noProof/>
          </w:rPr>
          <w:t>Sector viability and sustainability</w:t>
        </w:r>
        <w:r w:rsidR="00222BEE">
          <w:rPr>
            <w:noProof/>
            <w:webHidden/>
          </w:rPr>
          <w:tab/>
        </w:r>
        <w:r w:rsidR="00222BEE">
          <w:rPr>
            <w:noProof/>
            <w:webHidden/>
          </w:rPr>
          <w:fldChar w:fldCharType="begin"/>
        </w:r>
        <w:r w:rsidR="00222BEE">
          <w:rPr>
            <w:noProof/>
            <w:webHidden/>
          </w:rPr>
          <w:instrText xml:space="preserve"> PAGEREF _Toc524424696 \h </w:instrText>
        </w:r>
        <w:r w:rsidR="00222BEE">
          <w:rPr>
            <w:noProof/>
            <w:webHidden/>
          </w:rPr>
        </w:r>
        <w:r w:rsidR="00222BEE">
          <w:rPr>
            <w:noProof/>
            <w:webHidden/>
          </w:rPr>
          <w:fldChar w:fldCharType="separate"/>
        </w:r>
        <w:r w:rsidR="00222BEE">
          <w:rPr>
            <w:noProof/>
            <w:webHidden/>
          </w:rPr>
          <w:t>34</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697" w:history="1">
        <w:r w:rsidR="00222BEE" w:rsidRPr="00974114">
          <w:rPr>
            <w:rStyle w:val="Hyperlink"/>
            <w:bCs/>
            <w:noProof/>
          </w:rPr>
          <w:t>2.8</w:t>
        </w:r>
        <w:r w:rsidR="00222BEE">
          <w:rPr>
            <w:rFonts w:asciiTheme="minorHAnsi" w:hAnsiTheme="minorHAnsi" w:cstheme="minorBidi"/>
            <w:b w:val="0"/>
            <w:noProof/>
            <w:color w:val="auto"/>
            <w:sz w:val="22"/>
            <w:szCs w:val="22"/>
            <w:lang w:eastAsia="zh-CN"/>
          </w:rPr>
          <w:tab/>
        </w:r>
        <w:r w:rsidR="00222BEE" w:rsidRPr="00974114">
          <w:rPr>
            <w:rStyle w:val="Hyperlink"/>
            <w:bCs/>
            <w:noProof/>
          </w:rPr>
          <w:t>Changing population</w:t>
        </w:r>
        <w:r w:rsidR="00222BEE">
          <w:rPr>
            <w:noProof/>
            <w:webHidden/>
          </w:rPr>
          <w:tab/>
        </w:r>
        <w:r w:rsidR="00222BEE">
          <w:rPr>
            <w:noProof/>
            <w:webHidden/>
          </w:rPr>
          <w:fldChar w:fldCharType="begin"/>
        </w:r>
        <w:r w:rsidR="00222BEE">
          <w:rPr>
            <w:noProof/>
            <w:webHidden/>
          </w:rPr>
          <w:instrText xml:space="preserve"> PAGEREF _Toc524424697 \h </w:instrText>
        </w:r>
        <w:r w:rsidR="00222BEE">
          <w:rPr>
            <w:noProof/>
            <w:webHidden/>
          </w:rPr>
        </w:r>
        <w:r w:rsidR="00222BEE">
          <w:rPr>
            <w:noProof/>
            <w:webHidden/>
          </w:rPr>
          <w:fldChar w:fldCharType="separate"/>
        </w:r>
        <w:r w:rsidR="00222BEE">
          <w:rPr>
            <w:noProof/>
            <w:webHidden/>
          </w:rPr>
          <w:t>34</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698" w:history="1">
        <w:r w:rsidR="00222BEE" w:rsidRPr="00974114">
          <w:rPr>
            <w:rStyle w:val="Hyperlink"/>
            <w:bCs/>
          </w:rPr>
          <w:t>2.8.1</w:t>
        </w:r>
        <w:r w:rsidR="00222BEE">
          <w:rPr>
            <w:rFonts w:asciiTheme="minorHAnsi" w:hAnsiTheme="minorHAnsi" w:cstheme="minorBidi"/>
            <w:color w:val="auto"/>
            <w:sz w:val="22"/>
            <w:szCs w:val="22"/>
            <w:lang w:eastAsia="zh-CN"/>
          </w:rPr>
          <w:tab/>
        </w:r>
        <w:r w:rsidR="00222BEE" w:rsidRPr="00974114">
          <w:rPr>
            <w:rStyle w:val="Hyperlink"/>
            <w:bCs/>
          </w:rPr>
          <w:t>Independence</w:t>
        </w:r>
        <w:r w:rsidR="00222BEE">
          <w:rPr>
            <w:webHidden/>
          </w:rPr>
          <w:tab/>
        </w:r>
        <w:r w:rsidR="00222BEE">
          <w:rPr>
            <w:webHidden/>
          </w:rPr>
          <w:fldChar w:fldCharType="begin"/>
        </w:r>
        <w:r w:rsidR="00222BEE">
          <w:rPr>
            <w:webHidden/>
          </w:rPr>
          <w:instrText xml:space="preserve"> PAGEREF _Toc524424698 \h </w:instrText>
        </w:r>
        <w:r w:rsidR="00222BEE">
          <w:rPr>
            <w:webHidden/>
          </w:rPr>
        </w:r>
        <w:r w:rsidR="00222BEE">
          <w:rPr>
            <w:webHidden/>
          </w:rPr>
          <w:fldChar w:fldCharType="separate"/>
        </w:r>
        <w:r w:rsidR="00222BEE">
          <w:rPr>
            <w:webHidden/>
          </w:rPr>
          <w:t>34</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699" w:history="1">
        <w:r w:rsidR="00222BEE" w:rsidRPr="00974114">
          <w:rPr>
            <w:rStyle w:val="Hyperlink"/>
            <w:noProof/>
          </w:rPr>
          <w:t>3.</w:t>
        </w:r>
        <w:r w:rsidR="00222BEE">
          <w:rPr>
            <w:rFonts w:asciiTheme="minorHAnsi" w:hAnsiTheme="minorHAnsi" w:cstheme="minorBidi"/>
            <w:b w:val="0"/>
            <w:noProof/>
            <w:color w:val="auto"/>
            <w:sz w:val="22"/>
            <w:szCs w:val="22"/>
            <w:lang w:eastAsia="zh-CN"/>
          </w:rPr>
          <w:tab/>
        </w:r>
        <w:r w:rsidR="00222BEE" w:rsidRPr="00974114">
          <w:rPr>
            <w:rStyle w:val="Hyperlink"/>
            <w:noProof/>
          </w:rPr>
          <w:t>Aged care workforce</w:t>
        </w:r>
        <w:r w:rsidR="00222BEE">
          <w:rPr>
            <w:noProof/>
            <w:webHidden/>
          </w:rPr>
          <w:tab/>
        </w:r>
        <w:r w:rsidR="00222BEE">
          <w:rPr>
            <w:noProof/>
            <w:webHidden/>
          </w:rPr>
          <w:fldChar w:fldCharType="begin"/>
        </w:r>
        <w:r w:rsidR="00222BEE">
          <w:rPr>
            <w:noProof/>
            <w:webHidden/>
          </w:rPr>
          <w:instrText xml:space="preserve"> PAGEREF _Toc524424699 \h </w:instrText>
        </w:r>
        <w:r w:rsidR="00222BEE">
          <w:rPr>
            <w:noProof/>
            <w:webHidden/>
          </w:rPr>
        </w:r>
        <w:r w:rsidR="00222BEE">
          <w:rPr>
            <w:noProof/>
            <w:webHidden/>
          </w:rPr>
          <w:fldChar w:fldCharType="separate"/>
        </w:r>
        <w:r w:rsidR="00222BEE">
          <w:rPr>
            <w:noProof/>
            <w:webHidden/>
          </w:rPr>
          <w:t>36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00" w:history="1">
        <w:r w:rsidR="00222BEE" w:rsidRPr="00974114">
          <w:rPr>
            <w:rStyle w:val="Hyperlink"/>
            <w:bCs/>
            <w:noProof/>
          </w:rPr>
          <w:t>3.1</w:t>
        </w:r>
        <w:r w:rsidR="00222BEE">
          <w:rPr>
            <w:rFonts w:asciiTheme="minorHAnsi" w:hAnsiTheme="minorHAnsi" w:cstheme="minorBidi"/>
            <w:b w:val="0"/>
            <w:noProof/>
            <w:color w:val="auto"/>
            <w:sz w:val="22"/>
            <w:szCs w:val="22"/>
            <w:lang w:eastAsia="zh-CN"/>
          </w:rPr>
          <w:tab/>
        </w:r>
        <w:r w:rsidR="00222BEE" w:rsidRPr="00974114">
          <w:rPr>
            <w:rStyle w:val="Hyperlink"/>
            <w:bCs/>
            <w:noProof/>
          </w:rPr>
          <w:t>Workforce</w:t>
        </w:r>
        <w:r w:rsidR="00222BEE">
          <w:rPr>
            <w:noProof/>
            <w:webHidden/>
          </w:rPr>
          <w:tab/>
        </w:r>
        <w:r w:rsidR="00222BEE">
          <w:rPr>
            <w:noProof/>
            <w:webHidden/>
          </w:rPr>
          <w:fldChar w:fldCharType="begin"/>
        </w:r>
        <w:r w:rsidR="00222BEE">
          <w:rPr>
            <w:noProof/>
            <w:webHidden/>
          </w:rPr>
          <w:instrText xml:space="preserve"> PAGEREF _Toc524424700 \h </w:instrText>
        </w:r>
        <w:r w:rsidR="00222BEE">
          <w:rPr>
            <w:noProof/>
            <w:webHidden/>
          </w:rPr>
        </w:r>
        <w:r w:rsidR="00222BEE">
          <w:rPr>
            <w:noProof/>
            <w:webHidden/>
          </w:rPr>
          <w:fldChar w:fldCharType="separate"/>
        </w:r>
        <w:r w:rsidR="00222BEE">
          <w:rPr>
            <w:noProof/>
            <w:webHidden/>
          </w:rPr>
          <w:t>36</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01" w:history="1">
        <w:r w:rsidR="00222BEE" w:rsidRPr="00974114">
          <w:rPr>
            <w:rStyle w:val="Hyperlink"/>
            <w:bCs/>
          </w:rPr>
          <w:t>3.1.1</w:t>
        </w:r>
        <w:r w:rsidR="00222BEE">
          <w:rPr>
            <w:rFonts w:asciiTheme="minorHAnsi" w:hAnsiTheme="minorHAnsi" w:cstheme="minorBidi"/>
            <w:color w:val="auto"/>
            <w:sz w:val="22"/>
            <w:szCs w:val="22"/>
            <w:lang w:eastAsia="zh-CN"/>
          </w:rPr>
          <w:tab/>
        </w:r>
        <w:r w:rsidR="00222BEE" w:rsidRPr="00974114">
          <w:rPr>
            <w:rStyle w:val="Hyperlink"/>
            <w:bCs/>
          </w:rPr>
          <w:t>Aged care workforce composition</w:t>
        </w:r>
        <w:r w:rsidR="00222BEE">
          <w:rPr>
            <w:webHidden/>
          </w:rPr>
          <w:tab/>
        </w:r>
        <w:r w:rsidR="00222BEE">
          <w:rPr>
            <w:webHidden/>
          </w:rPr>
          <w:fldChar w:fldCharType="begin"/>
        </w:r>
        <w:r w:rsidR="00222BEE">
          <w:rPr>
            <w:webHidden/>
          </w:rPr>
          <w:instrText xml:space="preserve"> PAGEREF _Toc524424701 \h </w:instrText>
        </w:r>
        <w:r w:rsidR="00222BEE">
          <w:rPr>
            <w:webHidden/>
          </w:rPr>
        </w:r>
        <w:r w:rsidR="00222BEE">
          <w:rPr>
            <w:webHidden/>
          </w:rPr>
          <w:fldChar w:fldCharType="separate"/>
        </w:r>
        <w:r w:rsidR="00222BEE">
          <w:rPr>
            <w:webHidden/>
          </w:rPr>
          <w:t>36</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02" w:history="1">
        <w:r w:rsidR="00222BEE" w:rsidRPr="00974114">
          <w:rPr>
            <w:rStyle w:val="Hyperlink"/>
            <w:bCs/>
          </w:rPr>
          <w:t>3.1.2</w:t>
        </w:r>
        <w:r w:rsidR="00222BEE">
          <w:rPr>
            <w:rFonts w:asciiTheme="minorHAnsi" w:hAnsiTheme="minorHAnsi" w:cstheme="minorBidi"/>
            <w:color w:val="auto"/>
            <w:sz w:val="22"/>
            <w:szCs w:val="22"/>
            <w:lang w:eastAsia="zh-CN"/>
          </w:rPr>
          <w:tab/>
        </w:r>
        <w:r w:rsidR="00222BEE" w:rsidRPr="00974114">
          <w:rPr>
            <w:rStyle w:val="Hyperlink"/>
            <w:bCs/>
          </w:rPr>
          <w:t>Aged Care Workforce Taskforce</w:t>
        </w:r>
        <w:r w:rsidR="00222BEE">
          <w:rPr>
            <w:webHidden/>
          </w:rPr>
          <w:tab/>
        </w:r>
        <w:r w:rsidR="00222BEE">
          <w:rPr>
            <w:webHidden/>
          </w:rPr>
          <w:fldChar w:fldCharType="begin"/>
        </w:r>
        <w:r w:rsidR="00222BEE">
          <w:rPr>
            <w:webHidden/>
          </w:rPr>
          <w:instrText xml:space="preserve"> PAGEREF _Toc524424702 \h </w:instrText>
        </w:r>
        <w:r w:rsidR="00222BEE">
          <w:rPr>
            <w:webHidden/>
          </w:rPr>
        </w:r>
        <w:r w:rsidR="00222BEE">
          <w:rPr>
            <w:webHidden/>
          </w:rPr>
          <w:fldChar w:fldCharType="separate"/>
        </w:r>
        <w:r w:rsidR="00222BEE">
          <w:rPr>
            <w:webHidden/>
          </w:rPr>
          <w:t>41</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03" w:history="1">
        <w:r w:rsidR="00222BEE" w:rsidRPr="00974114">
          <w:rPr>
            <w:rStyle w:val="Hyperlink"/>
            <w:noProof/>
          </w:rPr>
          <w:t>4.</w:t>
        </w:r>
        <w:r w:rsidR="00222BEE">
          <w:rPr>
            <w:rFonts w:asciiTheme="minorHAnsi" w:hAnsiTheme="minorHAnsi" w:cstheme="minorBidi"/>
            <w:b w:val="0"/>
            <w:noProof/>
            <w:color w:val="auto"/>
            <w:sz w:val="22"/>
            <w:szCs w:val="22"/>
            <w:lang w:eastAsia="zh-CN"/>
          </w:rPr>
          <w:tab/>
        </w:r>
        <w:r w:rsidR="00222BEE" w:rsidRPr="00974114">
          <w:rPr>
            <w:rStyle w:val="Hyperlink"/>
            <w:noProof/>
          </w:rPr>
          <w:t>Aged care reforms</w:t>
        </w:r>
        <w:r w:rsidR="00222BEE">
          <w:rPr>
            <w:noProof/>
            <w:webHidden/>
          </w:rPr>
          <w:tab/>
        </w:r>
        <w:r w:rsidR="00222BEE">
          <w:rPr>
            <w:noProof/>
            <w:webHidden/>
          </w:rPr>
          <w:fldChar w:fldCharType="begin"/>
        </w:r>
        <w:r w:rsidR="00222BEE">
          <w:rPr>
            <w:noProof/>
            <w:webHidden/>
          </w:rPr>
          <w:instrText xml:space="preserve"> PAGEREF _Toc524424703 \h </w:instrText>
        </w:r>
        <w:r w:rsidR="00222BEE">
          <w:rPr>
            <w:noProof/>
            <w:webHidden/>
          </w:rPr>
        </w:r>
        <w:r w:rsidR="00222BEE">
          <w:rPr>
            <w:noProof/>
            <w:webHidden/>
          </w:rPr>
          <w:fldChar w:fldCharType="separate"/>
        </w:r>
        <w:r w:rsidR="00222BEE">
          <w:rPr>
            <w:noProof/>
            <w:webHidden/>
          </w:rPr>
          <w:t>42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04" w:history="1">
        <w:r w:rsidR="00222BEE" w:rsidRPr="00974114">
          <w:rPr>
            <w:rStyle w:val="Hyperlink"/>
            <w:bCs/>
            <w:noProof/>
          </w:rPr>
          <w:t>4.1</w:t>
        </w:r>
        <w:r w:rsidR="00222BEE">
          <w:rPr>
            <w:rFonts w:asciiTheme="minorHAnsi" w:hAnsiTheme="minorHAnsi" w:cstheme="minorBidi"/>
            <w:b w:val="0"/>
            <w:noProof/>
            <w:color w:val="auto"/>
            <w:sz w:val="22"/>
            <w:szCs w:val="22"/>
            <w:lang w:eastAsia="zh-CN"/>
          </w:rPr>
          <w:tab/>
        </w:r>
        <w:r w:rsidR="00222BEE" w:rsidRPr="00974114">
          <w:rPr>
            <w:rStyle w:val="Hyperlink"/>
            <w:bCs/>
            <w:noProof/>
          </w:rPr>
          <w:t>Description of reforms to date</w:t>
        </w:r>
        <w:r w:rsidR="00222BEE">
          <w:rPr>
            <w:noProof/>
            <w:webHidden/>
          </w:rPr>
          <w:tab/>
        </w:r>
        <w:r w:rsidR="00222BEE">
          <w:rPr>
            <w:noProof/>
            <w:webHidden/>
          </w:rPr>
          <w:fldChar w:fldCharType="begin"/>
        </w:r>
        <w:r w:rsidR="00222BEE">
          <w:rPr>
            <w:noProof/>
            <w:webHidden/>
          </w:rPr>
          <w:instrText xml:space="preserve"> PAGEREF _Toc524424704 \h </w:instrText>
        </w:r>
        <w:r w:rsidR="00222BEE">
          <w:rPr>
            <w:noProof/>
            <w:webHidden/>
          </w:rPr>
        </w:r>
        <w:r w:rsidR="00222BEE">
          <w:rPr>
            <w:noProof/>
            <w:webHidden/>
          </w:rPr>
          <w:fldChar w:fldCharType="separate"/>
        </w:r>
        <w:r w:rsidR="00222BEE">
          <w:rPr>
            <w:noProof/>
            <w:webHidden/>
          </w:rPr>
          <w:t>42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05" w:history="1">
        <w:r w:rsidR="00222BEE" w:rsidRPr="00974114">
          <w:rPr>
            <w:rStyle w:val="Hyperlink"/>
            <w:bCs/>
            <w:noProof/>
          </w:rPr>
          <w:t>4.2</w:t>
        </w:r>
        <w:r w:rsidR="00222BEE">
          <w:rPr>
            <w:rFonts w:asciiTheme="minorHAnsi" w:hAnsiTheme="minorHAnsi" w:cstheme="minorBidi"/>
            <w:b w:val="0"/>
            <w:noProof/>
            <w:color w:val="auto"/>
            <w:sz w:val="22"/>
            <w:szCs w:val="22"/>
            <w:lang w:eastAsia="zh-CN"/>
          </w:rPr>
          <w:tab/>
        </w:r>
        <w:r w:rsidR="00222BEE" w:rsidRPr="00974114">
          <w:rPr>
            <w:rStyle w:val="Hyperlink"/>
            <w:bCs/>
            <w:noProof/>
          </w:rPr>
          <w:t>Reform monitoring</w:t>
        </w:r>
        <w:r w:rsidR="00222BEE">
          <w:rPr>
            <w:noProof/>
            <w:webHidden/>
          </w:rPr>
          <w:tab/>
        </w:r>
        <w:r w:rsidR="00222BEE">
          <w:rPr>
            <w:noProof/>
            <w:webHidden/>
          </w:rPr>
          <w:fldChar w:fldCharType="begin"/>
        </w:r>
        <w:r w:rsidR="00222BEE">
          <w:rPr>
            <w:noProof/>
            <w:webHidden/>
          </w:rPr>
          <w:instrText xml:space="preserve"> PAGEREF _Toc524424705 \h </w:instrText>
        </w:r>
        <w:r w:rsidR="00222BEE">
          <w:rPr>
            <w:noProof/>
            <w:webHidden/>
          </w:rPr>
        </w:r>
        <w:r w:rsidR="00222BEE">
          <w:rPr>
            <w:noProof/>
            <w:webHidden/>
          </w:rPr>
          <w:fldChar w:fldCharType="separate"/>
        </w:r>
        <w:r w:rsidR="00222BEE">
          <w:rPr>
            <w:noProof/>
            <w:webHidden/>
          </w:rPr>
          <w:t>45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06" w:history="1">
        <w:r w:rsidR="00222BEE" w:rsidRPr="00974114">
          <w:rPr>
            <w:rStyle w:val="Hyperlink"/>
            <w:bCs/>
            <w:noProof/>
          </w:rPr>
          <w:t>4.3</w:t>
        </w:r>
        <w:r w:rsidR="00222BEE">
          <w:rPr>
            <w:rFonts w:asciiTheme="minorHAnsi" w:hAnsiTheme="minorHAnsi" w:cstheme="minorBidi"/>
            <w:b w:val="0"/>
            <w:noProof/>
            <w:color w:val="auto"/>
            <w:sz w:val="22"/>
            <w:szCs w:val="22"/>
            <w:lang w:eastAsia="zh-CN"/>
          </w:rPr>
          <w:tab/>
        </w:r>
        <w:r w:rsidR="00222BEE" w:rsidRPr="00974114">
          <w:rPr>
            <w:rStyle w:val="Hyperlink"/>
            <w:bCs/>
            <w:noProof/>
          </w:rPr>
          <w:t>Accommodation payment changes</w:t>
        </w:r>
        <w:r w:rsidR="00222BEE">
          <w:rPr>
            <w:noProof/>
            <w:webHidden/>
          </w:rPr>
          <w:tab/>
        </w:r>
        <w:r w:rsidR="00222BEE">
          <w:rPr>
            <w:noProof/>
            <w:webHidden/>
          </w:rPr>
          <w:fldChar w:fldCharType="begin"/>
        </w:r>
        <w:r w:rsidR="00222BEE">
          <w:rPr>
            <w:noProof/>
            <w:webHidden/>
          </w:rPr>
          <w:instrText xml:space="preserve"> PAGEREF _Toc524424706 \h </w:instrText>
        </w:r>
        <w:r w:rsidR="00222BEE">
          <w:rPr>
            <w:noProof/>
            <w:webHidden/>
          </w:rPr>
        </w:r>
        <w:r w:rsidR="00222BEE">
          <w:rPr>
            <w:noProof/>
            <w:webHidden/>
          </w:rPr>
          <w:fldChar w:fldCharType="separate"/>
        </w:r>
        <w:r w:rsidR="00222BEE">
          <w:rPr>
            <w:noProof/>
            <w:webHidden/>
          </w:rPr>
          <w:t>45</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07" w:history="1">
        <w:r w:rsidR="00222BEE" w:rsidRPr="00974114">
          <w:rPr>
            <w:rStyle w:val="Hyperlink"/>
            <w:bCs/>
          </w:rPr>
          <w:t>4.3.1</w:t>
        </w:r>
        <w:r w:rsidR="00222BEE">
          <w:rPr>
            <w:rFonts w:asciiTheme="minorHAnsi" w:hAnsiTheme="minorHAnsi" w:cstheme="minorBidi"/>
            <w:color w:val="auto"/>
            <w:sz w:val="22"/>
            <w:szCs w:val="22"/>
            <w:lang w:eastAsia="zh-CN"/>
          </w:rPr>
          <w:tab/>
        </w:r>
        <w:r w:rsidR="00222BEE" w:rsidRPr="00974114">
          <w:rPr>
            <w:rStyle w:val="Hyperlink"/>
            <w:bCs/>
          </w:rPr>
          <w:t>Choice of payment options for accommodation</w:t>
        </w:r>
        <w:r w:rsidR="00222BEE">
          <w:rPr>
            <w:webHidden/>
          </w:rPr>
          <w:tab/>
        </w:r>
        <w:r w:rsidR="00222BEE">
          <w:rPr>
            <w:webHidden/>
          </w:rPr>
          <w:fldChar w:fldCharType="begin"/>
        </w:r>
        <w:r w:rsidR="00222BEE">
          <w:rPr>
            <w:webHidden/>
          </w:rPr>
          <w:instrText xml:space="preserve"> PAGEREF _Toc524424707 \h </w:instrText>
        </w:r>
        <w:r w:rsidR="00222BEE">
          <w:rPr>
            <w:webHidden/>
          </w:rPr>
        </w:r>
        <w:r w:rsidR="00222BEE">
          <w:rPr>
            <w:webHidden/>
          </w:rPr>
          <w:fldChar w:fldCharType="separate"/>
        </w:r>
        <w:r w:rsidR="00222BEE">
          <w:rPr>
            <w:webHidden/>
          </w:rPr>
          <w:t>45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08" w:history="1">
        <w:r w:rsidR="00222BEE" w:rsidRPr="00974114">
          <w:rPr>
            <w:rStyle w:val="Hyperlink"/>
            <w:bCs/>
          </w:rPr>
          <w:t>4.3.2</w:t>
        </w:r>
        <w:r w:rsidR="00222BEE">
          <w:rPr>
            <w:rFonts w:asciiTheme="minorHAnsi" w:hAnsiTheme="minorHAnsi" w:cstheme="minorBidi"/>
            <w:color w:val="auto"/>
            <w:sz w:val="22"/>
            <w:szCs w:val="22"/>
            <w:lang w:eastAsia="zh-CN"/>
          </w:rPr>
          <w:tab/>
        </w:r>
        <w:r w:rsidR="00222BEE" w:rsidRPr="00974114">
          <w:rPr>
            <w:rStyle w:val="Hyperlink"/>
            <w:bCs/>
          </w:rPr>
          <w:t>Accommodation prices</w:t>
        </w:r>
        <w:r w:rsidR="00222BEE">
          <w:rPr>
            <w:webHidden/>
          </w:rPr>
          <w:tab/>
        </w:r>
        <w:r w:rsidR="00222BEE">
          <w:rPr>
            <w:webHidden/>
          </w:rPr>
          <w:fldChar w:fldCharType="begin"/>
        </w:r>
        <w:r w:rsidR="00222BEE">
          <w:rPr>
            <w:webHidden/>
          </w:rPr>
          <w:instrText xml:space="preserve"> PAGEREF _Toc524424708 \h </w:instrText>
        </w:r>
        <w:r w:rsidR="00222BEE">
          <w:rPr>
            <w:webHidden/>
          </w:rPr>
        </w:r>
        <w:r w:rsidR="00222BEE">
          <w:rPr>
            <w:webHidden/>
          </w:rPr>
          <w:fldChar w:fldCharType="separate"/>
        </w:r>
        <w:r w:rsidR="00222BEE">
          <w:rPr>
            <w:webHidden/>
          </w:rPr>
          <w:t>48</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09" w:history="1">
        <w:r w:rsidR="00222BEE" w:rsidRPr="00974114">
          <w:rPr>
            <w:rStyle w:val="Hyperlink"/>
            <w:bCs/>
            <w:noProof/>
          </w:rPr>
          <w:t>4.4</w:t>
        </w:r>
        <w:r w:rsidR="00222BEE">
          <w:rPr>
            <w:rFonts w:asciiTheme="minorHAnsi" w:hAnsiTheme="minorHAnsi" w:cstheme="minorBidi"/>
            <w:b w:val="0"/>
            <w:noProof/>
            <w:color w:val="auto"/>
            <w:sz w:val="22"/>
            <w:szCs w:val="22"/>
            <w:lang w:eastAsia="zh-CN"/>
          </w:rPr>
          <w:tab/>
        </w:r>
        <w:r w:rsidR="00222BEE" w:rsidRPr="00974114">
          <w:rPr>
            <w:rStyle w:val="Hyperlink"/>
            <w:bCs/>
            <w:noProof/>
          </w:rPr>
          <w:t>Means testing and sustainability</w:t>
        </w:r>
        <w:r w:rsidR="00222BEE">
          <w:rPr>
            <w:noProof/>
            <w:webHidden/>
          </w:rPr>
          <w:tab/>
        </w:r>
        <w:r w:rsidR="00222BEE">
          <w:rPr>
            <w:noProof/>
            <w:webHidden/>
          </w:rPr>
          <w:fldChar w:fldCharType="begin"/>
        </w:r>
        <w:r w:rsidR="00222BEE">
          <w:rPr>
            <w:noProof/>
            <w:webHidden/>
          </w:rPr>
          <w:instrText xml:space="preserve"> PAGEREF _Toc524424709 \h </w:instrText>
        </w:r>
        <w:r w:rsidR="00222BEE">
          <w:rPr>
            <w:noProof/>
            <w:webHidden/>
          </w:rPr>
        </w:r>
        <w:r w:rsidR="00222BEE">
          <w:rPr>
            <w:noProof/>
            <w:webHidden/>
          </w:rPr>
          <w:fldChar w:fldCharType="separate"/>
        </w:r>
        <w:r w:rsidR="00222BEE">
          <w:rPr>
            <w:noProof/>
            <w:webHidden/>
          </w:rPr>
          <w:t>50</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10" w:history="1">
        <w:r w:rsidR="00222BEE" w:rsidRPr="00974114">
          <w:rPr>
            <w:rStyle w:val="Hyperlink"/>
            <w:bCs/>
          </w:rPr>
          <w:t>4.4.1</w:t>
        </w:r>
        <w:r w:rsidR="00222BEE">
          <w:rPr>
            <w:rFonts w:asciiTheme="minorHAnsi" w:hAnsiTheme="minorHAnsi" w:cstheme="minorBidi"/>
            <w:color w:val="auto"/>
            <w:sz w:val="22"/>
            <w:szCs w:val="22"/>
            <w:lang w:eastAsia="zh-CN"/>
          </w:rPr>
          <w:tab/>
        </w:r>
        <w:r w:rsidR="00222BEE" w:rsidRPr="00974114">
          <w:rPr>
            <w:rStyle w:val="Hyperlink"/>
            <w:bCs/>
          </w:rPr>
          <w:t>Home care</w:t>
        </w:r>
        <w:r w:rsidR="00222BEE">
          <w:rPr>
            <w:webHidden/>
          </w:rPr>
          <w:tab/>
        </w:r>
        <w:r w:rsidR="00222BEE">
          <w:rPr>
            <w:webHidden/>
          </w:rPr>
          <w:fldChar w:fldCharType="begin"/>
        </w:r>
        <w:r w:rsidR="00222BEE">
          <w:rPr>
            <w:webHidden/>
          </w:rPr>
          <w:instrText xml:space="preserve"> PAGEREF _Toc524424710 \h </w:instrText>
        </w:r>
        <w:r w:rsidR="00222BEE">
          <w:rPr>
            <w:webHidden/>
          </w:rPr>
        </w:r>
        <w:r w:rsidR="00222BEE">
          <w:rPr>
            <w:webHidden/>
          </w:rPr>
          <w:fldChar w:fldCharType="separate"/>
        </w:r>
        <w:r w:rsidR="00222BEE">
          <w:rPr>
            <w:webHidden/>
          </w:rPr>
          <w:t>51</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11" w:history="1">
        <w:r w:rsidR="00222BEE" w:rsidRPr="00974114">
          <w:rPr>
            <w:rStyle w:val="Hyperlink"/>
            <w:bCs/>
          </w:rPr>
          <w:t>4.4.2</w:t>
        </w:r>
        <w:r w:rsidR="00222BEE">
          <w:rPr>
            <w:rFonts w:asciiTheme="minorHAnsi" w:hAnsiTheme="minorHAnsi" w:cstheme="minorBidi"/>
            <w:color w:val="auto"/>
            <w:sz w:val="22"/>
            <w:szCs w:val="22"/>
            <w:lang w:eastAsia="zh-CN"/>
          </w:rPr>
          <w:tab/>
        </w:r>
        <w:r w:rsidR="00222BEE" w:rsidRPr="00974114">
          <w:rPr>
            <w:rStyle w:val="Hyperlink"/>
            <w:bCs/>
          </w:rPr>
          <w:t>Residential care</w:t>
        </w:r>
        <w:r w:rsidR="00222BEE">
          <w:rPr>
            <w:webHidden/>
          </w:rPr>
          <w:tab/>
        </w:r>
        <w:r w:rsidR="00222BEE">
          <w:rPr>
            <w:webHidden/>
          </w:rPr>
          <w:fldChar w:fldCharType="begin"/>
        </w:r>
        <w:r w:rsidR="00222BEE">
          <w:rPr>
            <w:webHidden/>
          </w:rPr>
          <w:instrText xml:space="preserve"> PAGEREF _Toc524424711 \h </w:instrText>
        </w:r>
        <w:r w:rsidR="00222BEE">
          <w:rPr>
            <w:webHidden/>
          </w:rPr>
        </w:r>
        <w:r w:rsidR="00222BEE">
          <w:rPr>
            <w:webHidden/>
          </w:rPr>
          <w:fldChar w:fldCharType="separate"/>
        </w:r>
        <w:r w:rsidR="00222BEE">
          <w:rPr>
            <w:webHidden/>
          </w:rPr>
          <w:t>52</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2" w:history="1">
        <w:r w:rsidR="00222BEE" w:rsidRPr="00974114">
          <w:rPr>
            <w:rStyle w:val="Hyperlink"/>
            <w:bCs/>
            <w:noProof/>
          </w:rPr>
          <w:t>4.5</w:t>
        </w:r>
        <w:r w:rsidR="00222BEE">
          <w:rPr>
            <w:rFonts w:asciiTheme="minorHAnsi" w:hAnsiTheme="minorHAnsi" w:cstheme="minorBidi"/>
            <w:b w:val="0"/>
            <w:noProof/>
            <w:color w:val="auto"/>
            <w:sz w:val="22"/>
            <w:szCs w:val="22"/>
            <w:lang w:eastAsia="zh-CN"/>
          </w:rPr>
          <w:tab/>
        </w:r>
        <w:r w:rsidR="00222BEE" w:rsidRPr="00974114">
          <w:rPr>
            <w:rStyle w:val="Hyperlink"/>
            <w:bCs/>
            <w:noProof/>
          </w:rPr>
          <w:t>The higher accommodation supplement</w:t>
        </w:r>
        <w:r w:rsidR="00222BEE">
          <w:rPr>
            <w:noProof/>
            <w:webHidden/>
          </w:rPr>
          <w:tab/>
        </w:r>
        <w:r w:rsidR="00222BEE">
          <w:rPr>
            <w:noProof/>
            <w:webHidden/>
          </w:rPr>
          <w:fldChar w:fldCharType="begin"/>
        </w:r>
        <w:r w:rsidR="00222BEE">
          <w:rPr>
            <w:noProof/>
            <w:webHidden/>
          </w:rPr>
          <w:instrText xml:space="preserve"> PAGEREF _Toc524424712 \h </w:instrText>
        </w:r>
        <w:r w:rsidR="00222BEE">
          <w:rPr>
            <w:noProof/>
            <w:webHidden/>
          </w:rPr>
        </w:r>
        <w:r w:rsidR="00222BEE">
          <w:rPr>
            <w:noProof/>
            <w:webHidden/>
          </w:rPr>
          <w:fldChar w:fldCharType="separate"/>
        </w:r>
        <w:r w:rsidR="00222BEE">
          <w:rPr>
            <w:noProof/>
            <w:webHidden/>
          </w:rPr>
          <w:t>53</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13" w:history="1">
        <w:r w:rsidR="00222BEE" w:rsidRPr="00974114">
          <w:rPr>
            <w:rStyle w:val="Hyperlink"/>
            <w:bCs/>
          </w:rPr>
          <w:t>4.5.1</w:t>
        </w:r>
        <w:r w:rsidR="00222BEE">
          <w:rPr>
            <w:rFonts w:asciiTheme="minorHAnsi" w:hAnsiTheme="minorHAnsi" w:cstheme="minorBidi"/>
            <w:color w:val="auto"/>
            <w:sz w:val="22"/>
            <w:szCs w:val="22"/>
            <w:lang w:eastAsia="zh-CN"/>
          </w:rPr>
          <w:tab/>
        </w:r>
        <w:r w:rsidR="00222BEE" w:rsidRPr="00974114">
          <w:rPr>
            <w:rStyle w:val="Hyperlink"/>
            <w:bCs/>
          </w:rPr>
          <w:t>Uptake and expenditure</w:t>
        </w:r>
        <w:r w:rsidR="00222BEE">
          <w:rPr>
            <w:webHidden/>
          </w:rPr>
          <w:tab/>
        </w:r>
        <w:r w:rsidR="00222BEE">
          <w:rPr>
            <w:webHidden/>
          </w:rPr>
          <w:fldChar w:fldCharType="begin"/>
        </w:r>
        <w:r w:rsidR="00222BEE">
          <w:rPr>
            <w:webHidden/>
          </w:rPr>
          <w:instrText xml:space="preserve"> PAGEREF _Toc524424713 \h </w:instrText>
        </w:r>
        <w:r w:rsidR="00222BEE">
          <w:rPr>
            <w:webHidden/>
          </w:rPr>
        </w:r>
        <w:r w:rsidR="00222BEE">
          <w:rPr>
            <w:webHidden/>
          </w:rPr>
          <w:fldChar w:fldCharType="separate"/>
        </w:r>
        <w:r w:rsidR="00222BEE">
          <w:rPr>
            <w:webHidden/>
          </w:rPr>
          <w:t>53</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4" w:history="1">
        <w:r w:rsidR="00222BEE" w:rsidRPr="00974114">
          <w:rPr>
            <w:rStyle w:val="Hyperlink"/>
            <w:bCs/>
            <w:noProof/>
          </w:rPr>
          <w:t>4.6</w:t>
        </w:r>
        <w:r w:rsidR="00222BEE">
          <w:rPr>
            <w:rFonts w:asciiTheme="minorHAnsi" w:hAnsiTheme="minorHAnsi" w:cstheme="minorBidi"/>
            <w:b w:val="0"/>
            <w:noProof/>
            <w:color w:val="auto"/>
            <w:sz w:val="22"/>
            <w:szCs w:val="22"/>
            <w:lang w:eastAsia="zh-CN"/>
          </w:rPr>
          <w:tab/>
        </w:r>
        <w:r w:rsidR="00222BEE" w:rsidRPr="00974114">
          <w:rPr>
            <w:rStyle w:val="Hyperlink"/>
            <w:bCs/>
            <w:noProof/>
          </w:rPr>
          <w:t>Extra service</w:t>
        </w:r>
        <w:r w:rsidR="00222BEE">
          <w:rPr>
            <w:noProof/>
            <w:webHidden/>
          </w:rPr>
          <w:tab/>
        </w:r>
        <w:r w:rsidR="00222BEE">
          <w:rPr>
            <w:noProof/>
            <w:webHidden/>
          </w:rPr>
          <w:fldChar w:fldCharType="begin"/>
        </w:r>
        <w:r w:rsidR="00222BEE">
          <w:rPr>
            <w:noProof/>
            <w:webHidden/>
          </w:rPr>
          <w:instrText xml:space="preserve"> PAGEREF _Toc524424714 \h </w:instrText>
        </w:r>
        <w:r w:rsidR="00222BEE">
          <w:rPr>
            <w:noProof/>
            <w:webHidden/>
          </w:rPr>
        </w:r>
        <w:r w:rsidR="00222BEE">
          <w:rPr>
            <w:noProof/>
            <w:webHidden/>
          </w:rPr>
          <w:fldChar w:fldCharType="separate"/>
        </w:r>
        <w:r w:rsidR="00222BEE">
          <w:rPr>
            <w:noProof/>
            <w:webHidden/>
          </w:rPr>
          <w:t>53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5" w:history="1">
        <w:r w:rsidR="00222BEE" w:rsidRPr="00974114">
          <w:rPr>
            <w:rStyle w:val="Hyperlink"/>
            <w:bCs/>
            <w:noProof/>
          </w:rPr>
          <w:t>4.7</w:t>
        </w:r>
        <w:r w:rsidR="00222BEE">
          <w:rPr>
            <w:rFonts w:asciiTheme="minorHAnsi" w:hAnsiTheme="minorHAnsi" w:cstheme="minorBidi"/>
            <w:b w:val="0"/>
            <w:noProof/>
            <w:color w:val="auto"/>
            <w:sz w:val="22"/>
            <w:szCs w:val="22"/>
            <w:lang w:eastAsia="zh-CN"/>
          </w:rPr>
          <w:tab/>
        </w:r>
        <w:r w:rsidR="00222BEE" w:rsidRPr="00974114">
          <w:rPr>
            <w:rStyle w:val="Hyperlink"/>
            <w:bCs/>
            <w:noProof/>
          </w:rPr>
          <w:t>Additional services</w:t>
        </w:r>
        <w:r w:rsidR="00222BEE">
          <w:rPr>
            <w:noProof/>
            <w:webHidden/>
          </w:rPr>
          <w:tab/>
        </w:r>
        <w:r w:rsidR="00222BEE">
          <w:rPr>
            <w:noProof/>
            <w:webHidden/>
          </w:rPr>
          <w:fldChar w:fldCharType="begin"/>
        </w:r>
        <w:r w:rsidR="00222BEE">
          <w:rPr>
            <w:noProof/>
            <w:webHidden/>
          </w:rPr>
          <w:instrText xml:space="preserve"> PAGEREF _Toc524424715 \h </w:instrText>
        </w:r>
        <w:r w:rsidR="00222BEE">
          <w:rPr>
            <w:noProof/>
            <w:webHidden/>
          </w:rPr>
        </w:r>
        <w:r w:rsidR="00222BEE">
          <w:rPr>
            <w:noProof/>
            <w:webHidden/>
          </w:rPr>
          <w:fldChar w:fldCharType="separate"/>
        </w:r>
        <w:r w:rsidR="00222BEE">
          <w:rPr>
            <w:noProof/>
            <w:webHidden/>
          </w:rPr>
          <w:t>54</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6" w:history="1">
        <w:r w:rsidR="00222BEE" w:rsidRPr="00974114">
          <w:rPr>
            <w:rStyle w:val="Hyperlink"/>
            <w:bCs/>
            <w:noProof/>
          </w:rPr>
          <w:t>4.8</w:t>
        </w:r>
        <w:r w:rsidR="00222BEE">
          <w:rPr>
            <w:rFonts w:asciiTheme="minorHAnsi" w:hAnsiTheme="minorHAnsi" w:cstheme="minorBidi"/>
            <w:b w:val="0"/>
            <w:noProof/>
            <w:color w:val="auto"/>
            <w:sz w:val="22"/>
            <w:szCs w:val="22"/>
            <w:lang w:eastAsia="zh-CN"/>
          </w:rPr>
          <w:tab/>
        </w:r>
        <w:r w:rsidR="00222BEE" w:rsidRPr="00974114">
          <w:rPr>
            <w:rStyle w:val="Hyperlink"/>
            <w:bCs/>
            <w:noProof/>
          </w:rPr>
          <w:t>More choice in home care</w:t>
        </w:r>
        <w:r w:rsidR="00222BEE">
          <w:rPr>
            <w:noProof/>
            <w:webHidden/>
          </w:rPr>
          <w:tab/>
        </w:r>
        <w:r w:rsidR="00222BEE">
          <w:rPr>
            <w:noProof/>
            <w:webHidden/>
          </w:rPr>
          <w:fldChar w:fldCharType="begin"/>
        </w:r>
        <w:r w:rsidR="00222BEE">
          <w:rPr>
            <w:noProof/>
            <w:webHidden/>
          </w:rPr>
          <w:instrText xml:space="preserve"> PAGEREF _Toc524424716 \h </w:instrText>
        </w:r>
        <w:r w:rsidR="00222BEE">
          <w:rPr>
            <w:noProof/>
            <w:webHidden/>
          </w:rPr>
        </w:r>
        <w:r w:rsidR="00222BEE">
          <w:rPr>
            <w:noProof/>
            <w:webHidden/>
          </w:rPr>
          <w:fldChar w:fldCharType="separate"/>
        </w:r>
        <w:r w:rsidR="00222BEE">
          <w:rPr>
            <w:noProof/>
            <w:webHidden/>
          </w:rPr>
          <w:t>54</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17" w:history="1">
        <w:r w:rsidR="00222BEE" w:rsidRPr="00974114">
          <w:rPr>
            <w:rStyle w:val="Hyperlink"/>
            <w:bCs/>
          </w:rPr>
          <w:t>4.8.1</w:t>
        </w:r>
        <w:r w:rsidR="00222BEE">
          <w:rPr>
            <w:rFonts w:asciiTheme="minorHAnsi" w:hAnsiTheme="minorHAnsi" w:cstheme="minorBidi"/>
            <w:color w:val="auto"/>
            <w:sz w:val="22"/>
            <w:szCs w:val="22"/>
            <w:lang w:eastAsia="zh-CN"/>
          </w:rPr>
          <w:tab/>
        </w:r>
        <w:r w:rsidR="00222BEE" w:rsidRPr="00974114">
          <w:rPr>
            <w:rStyle w:val="Hyperlink"/>
            <w:bCs/>
          </w:rPr>
          <w:t>Unspent funds</w:t>
        </w:r>
        <w:r w:rsidR="00222BEE">
          <w:rPr>
            <w:webHidden/>
          </w:rPr>
          <w:tab/>
        </w:r>
        <w:r w:rsidR="00222BEE">
          <w:rPr>
            <w:webHidden/>
          </w:rPr>
          <w:fldChar w:fldCharType="begin"/>
        </w:r>
        <w:r w:rsidR="00222BEE">
          <w:rPr>
            <w:webHidden/>
          </w:rPr>
          <w:instrText xml:space="preserve"> PAGEREF _Toc524424717 \h </w:instrText>
        </w:r>
        <w:r w:rsidR="00222BEE">
          <w:rPr>
            <w:webHidden/>
          </w:rPr>
        </w:r>
        <w:r w:rsidR="00222BEE">
          <w:rPr>
            <w:webHidden/>
          </w:rPr>
          <w:fldChar w:fldCharType="separate"/>
        </w:r>
        <w:r w:rsidR="00222BEE">
          <w:rPr>
            <w:webHidden/>
          </w:rPr>
          <w:t>55</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8" w:history="1">
        <w:r w:rsidR="00222BEE" w:rsidRPr="00974114">
          <w:rPr>
            <w:rStyle w:val="Hyperlink"/>
            <w:bCs/>
            <w:noProof/>
          </w:rPr>
          <w:t>4.9</w:t>
        </w:r>
        <w:r w:rsidR="00222BEE">
          <w:rPr>
            <w:rFonts w:asciiTheme="minorHAnsi" w:hAnsiTheme="minorHAnsi" w:cstheme="minorBidi"/>
            <w:b w:val="0"/>
            <w:noProof/>
            <w:color w:val="auto"/>
            <w:sz w:val="22"/>
            <w:szCs w:val="22"/>
            <w:lang w:eastAsia="zh-CN"/>
          </w:rPr>
          <w:tab/>
        </w:r>
        <w:r w:rsidR="00222BEE" w:rsidRPr="00974114">
          <w:rPr>
            <w:rStyle w:val="Hyperlink"/>
            <w:bCs/>
            <w:noProof/>
          </w:rPr>
          <w:t>Review of Alternative Residential Aged Care Funding Options</w:t>
        </w:r>
        <w:r w:rsidR="00222BEE">
          <w:rPr>
            <w:noProof/>
            <w:webHidden/>
          </w:rPr>
          <w:tab/>
        </w:r>
        <w:r w:rsidR="00222BEE">
          <w:rPr>
            <w:noProof/>
            <w:webHidden/>
          </w:rPr>
          <w:fldChar w:fldCharType="begin"/>
        </w:r>
        <w:r w:rsidR="00222BEE">
          <w:rPr>
            <w:noProof/>
            <w:webHidden/>
          </w:rPr>
          <w:instrText xml:space="preserve"> PAGEREF _Toc524424718 \h </w:instrText>
        </w:r>
        <w:r w:rsidR="00222BEE">
          <w:rPr>
            <w:noProof/>
            <w:webHidden/>
          </w:rPr>
        </w:r>
        <w:r w:rsidR="00222BEE">
          <w:rPr>
            <w:noProof/>
            <w:webHidden/>
          </w:rPr>
          <w:fldChar w:fldCharType="separate"/>
        </w:r>
        <w:r w:rsidR="00222BEE">
          <w:rPr>
            <w:noProof/>
            <w:webHidden/>
          </w:rPr>
          <w:t>55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19" w:history="1">
        <w:r w:rsidR="00222BEE" w:rsidRPr="00974114">
          <w:rPr>
            <w:rStyle w:val="Hyperlink"/>
            <w:bCs/>
            <w:noProof/>
          </w:rPr>
          <w:t>4.10</w:t>
        </w:r>
        <w:r w:rsidR="00222BEE">
          <w:rPr>
            <w:rFonts w:asciiTheme="minorHAnsi" w:hAnsiTheme="minorHAnsi" w:cstheme="minorBidi"/>
            <w:b w:val="0"/>
            <w:noProof/>
            <w:color w:val="auto"/>
            <w:sz w:val="22"/>
            <w:szCs w:val="22"/>
            <w:lang w:eastAsia="zh-CN"/>
          </w:rPr>
          <w:tab/>
        </w:r>
        <w:r w:rsidR="00222BEE" w:rsidRPr="00974114">
          <w:rPr>
            <w:rStyle w:val="Hyperlink"/>
            <w:bCs/>
            <w:noProof/>
          </w:rPr>
          <w:t>Review of National Aged Care Quality Regulatory Processes</w:t>
        </w:r>
        <w:r w:rsidR="00222BEE">
          <w:rPr>
            <w:noProof/>
            <w:webHidden/>
          </w:rPr>
          <w:tab/>
        </w:r>
        <w:r w:rsidR="00222BEE">
          <w:rPr>
            <w:noProof/>
            <w:webHidden/>
          </w:rPr>
          <w:fldChar w:fldCharType="begin"/>
        </w:r>
        <w:r w:rsidR="00222BEE">
          <w:rPr>
            <w:noProof/>
            <w:webHidden/>
          </w:rPr>
          <w:instrText xml:space="preserve"> PAGEREF _Toc524424719 \h </w:instrText>
        </w:r>
        <w:r w:rsidR="00222BEE">
          <w:rPr>
            <w:noProof/>
            <w:webHidden/>
          </w:rPr>
        </w:r>
        <w:r w:rsidR="00222BEE">
          <w:rPr>
            <w:noProof/>
            <w:webHidden/>
          </w:rPr>
          <w:fldChar w:fldCharType="separate"/>
        </w:r>
        <w:r w:rsidR="00222BEE">
          <w:rPr>
            <w:noProof/>
            <w:webHidden/>
          </w:rPr>
          <w:t>56</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20" w:history="1">
        <w:r w:rsidR="00222BEE" w:rsidRPr="00974114">
          <w:rPr>
            <w:rStyle w:val="Hyperlink"/>
            <w:noProof/>
          </w:rPr>
          <w:t>5.</w:t>
        </w:r>
        <w:r w:rsidR="00222BEE">
          <w:rPr>
            <w:rFonts w:asciiTheme="minorHAnsi" w:hAnsiTheme="minorHAnsi" w:cstheme="minorBidi"/>
            <w:b w:val="0"/>
            <w:noProof/>
            <w:color w:val="auto"/>
            <w:sz w:val="22"/>
            <w:szCs w:val="22"/>
            <w:lang w:eastAsia="zh-CN"/>
          </w:rPr>
          <w:tab/>
        </w:r>
        <w:r w:rsidR="00222BEE" w:rsidRPr="00974114">
          <w:rPr>
            <w:rStyle w:val="Hyperlink"/>
            <w:noProof/>
          </w:rPr>
          <w:t>Access to aged care</w:t>
        </w:r>
        <w:r w:rsidR="00222BEE">
          <w:rPr>
            <w:noProof/>
            <w:webHidden/>
          </w:rPr>
          <w:tab/>
        </w:r>
        <w:r w:rsidR="00222BEE">
          <w:rPr>
            <w:noProof/>
            <w:webHidden/>
          </w:rPr>
          <w:fldChar w:fldCharType="begin"/>
        </w:r>
        <w:r w:rsidR="00222BEE">
          <w:rPr>
            <w:noProof/>
            <w:webHidden/>
          </w:rPr>
          <w:instrText xml:space="preserve"> PAGEREF _Toc524424720 \h </w:instrText>
        </w:r>
        <w:r w:rsidR="00222BEE">
          <w:rPr>
            <w:noProof/>
            <w:webHidden/>
          </w:rPr>
        </w:r>
        <w:r w:rsidR="00222BEE">
          <w:rPr>
            <w:noProof/>
            <w:webHidden/>
          </w:rPr>
          <w:fldChar w:fldCharType="separate"/>
        </w:r>
        <w:r w:rsidR="00222BEE">
          <w:rPr>
            <w:noProof/>
            <w:webHidden/>
          </w:rPr>
          <w:t>57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21" w:history="1">
        <w:r w:rsidR="00222BEE" w:rsidRPr="00974114">
          <w:rPr>
            <w:rStyle w:val="Hyperlink"/>
            <w:bCs/>
            <w:noProof/>
          </w:rPr>
          <w:t>5.1</w:t>
        </w:r>
        <w:r w:rsidR="00222BEE">
          <w:rPr>
            <w:rFonts w:asciiTheme="minorHAnsi" w:hAnsiTheme="minorHAnsi" w:cstheme="minorBidi"/>
            <w:b w:val="0"/>
            <w:noProof/>
            <w:color w:val="auto"/>
            <w:sz w:val="22"/>
            <w:szCs w:val="22"/>
            <w:lang w:eastAsia="zh-CN"/>
          </w:rPr>
          <w:tab/>
        </w:r>
        <w:r w:rsidR="00222BEE" w:rsidRPr="00974114">
          <w:rPr>
            <w:rStyle w:val="Hyperlink"/>
            <w:bCs/>
            <w:noProof/>
          </w:rPr>
          <w:t>Access to aged care</w:t>
        </w:r>
        <w:r w:rsidR="00222BEE">
          <w:rPr>
            <w:noProof/>
            <w:webHidden/>
          </w:rPr>
          <w:tab/>
        </w:r>
        <w:r w:rsidR="00222BEE">
          <w:rPr>
            <w:noProof/>
            <w:webHidden/>
          </w:rPr>
          <w:fldChar w:fldCharType="begin"/>
        </w:r>
        <w:r w:rsidR="00222BEE">
          <w:rPr>
            <w:noProof/>
            <w:webHidden/>
          </w:rPr>
          <w:instrText xml:space="preserve"> PAGEREF _Toc524424721 \h </w:instrText>
        </w:r>
        <w:r w:rsidR="00222BEE">
          <w:rPr>
            <w:noProof/>
            <w:webHidden/>
          </w:rPr>
        </w:r>
        <w:r w:rsidR="00222BEE">
          <w:rPr>
            <w:noProof/>
            <w:webHidden/>
          </w:rPr>
          <w:fldChar w:fldCharType="separate"/>
        </w:r>
        <w:r w:rsidR="00222BEE">
          <w:rPr>
            <w:noProof/>
            <w:webHidden/>
          </w:rPr>
          <w:t>57</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22" w:history="1">
        <w:r w:rsidR="00222BEE" w:rsidRPr="00974114">
          <w:rPr>
            <w:rStyle w:val="Hyperlink"/>
            <w:bCs/>
          </w:rPr>
          <w:t>5.1.1</w:t>
        </w:r>
        <w:r w:rsidR="00222BEE">
          <w:rPr>
            <w:rFonts w:asciiTheme="minorHAnsi" w:hAnsiTheme="minorHAnsi" w:cstheme="minorBidi"/>
            <w:color w:val="auto"/>
            <w:sz w:val="22"/>
            <w:szCs w:val="22"/>
            <w:lang w:eastAsia="zh-CN"/>
          </w:rPr>
          <w:tab/>
        </w:r>
        <w:r w:rsidR="00222BEE" w:rsidRPr="00974114">
          <w:rPr>
            <w:rStyle w:val="Hyperlink"/>
            <w:bCs/>
          </w:rPr>
          <w:t>Supply of aged care</w:t>
        </w:r>
        <w:r w:rsidR="00222BEE">
          <w:rPr>
            <w:webHidden/>
          </w:rPr>
          <w:tab/>
        </w:r>
        <w:r w:rsidR="00222BEE">
          <w:rPr>
            <w:webHidden/>
          </w:rPr>
          <w:fldChar w:fldCharType="begin"/>
        </w:r>
        <w:r w:rsidR="00222BEE">
          <w:rPr>
            <w:webHidden/>
          </w:rPr>
          <w:instrText xml:space="preserve"> PAGEREF _Toc524424722 \h </w:instrText>
        </w:r>
        <w:r w:rsidR="00222BEE">
          <w:rPr>
            <w:webHidden/>
          </w:rPr>
        </w:r>
        <w:r w:rsidR="00222BEE">
          <w:rPr>
            <w:webHidden/>
          </w:rPr>
          <w:fldChar w:fldCharType="separate"/>
        </w:r>
        <w:r w:rsidR="00222BEE">
          <w:rPr>
            <w:webHidden/>
          </w:rPr>
          <w:t>57</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23" w:history="1">
        <w:r w:rsidR="00222BEE" w:rsidRPr="00974114">
          <w:rPr>
            <w:rStyle w:val="Hyperlink"/>
            <w:bCs/>
          </w:rPr>
          <w:t>5.1.2</w:t>
        </w:r>
        <w:r w:rsidR="00222BEE">
          <w:rPr>
            <w:rFonts w:asciiTheme="minorHAnsi" w:hAnsiTheme="minorHAnsi" w:cstheme="minorBidi"/>
            <w:color w:val="auto"/>
            <w:sz w:val="22"/>
            <w:szCs w:val="22"/>
            <w:lang w:eastAsia="zh-CN"/>
          </w:rPr>
          <w:tab/>
        </w:r>
        <w:r w:rsidR="00222BEE" w:rsidRPr="00974114">
          <w:rPr>
            <w:rStyle w:val="Hyperlink"/>
            <w:bCs/>
          </w:rPr>
          <w:t>Affordability for consumers</w:t>
        </w:r>
        <w:r w:rsidR="00222BEE">
          <w:rPr>
            <w:webHidden/>
          </w:rPr>
          <w:tab/>
        </w:r>
        <w:r w:rsidR="00222BEE">
          <w:rPr>
            <w:webHidden/>
          </w:rPr>
          <w:fldChar w:fldCharType="begin"/>
        </w:r>
        <w:r w:rsidR="00222BEE">
          <w:rPr>
            <w:webHidden/>
          </w:rPr>
          <w:instrText xml:space="preserve"> PAGEREF _Toc524424723 \h </w:instrText>
        </w:r>
        <w:r w:rsidR="00222BEE">
          <w:rPr>
            <w:webHidden/>
          </w:rPr>
        </w:r>
        <w:r w:rsidR="00222BEE">
          <w:rPr>
            <w:webHidden/>
          </w:rPr>
          <w:fldChar w:fldCharType="separate"/>
        </w:r>
        <w:r w:rsidR="00222BEE">
          <w:rPr>
            <w:webHidden/>
          </w:rPr>
          <w:t>60</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24" w:history="1">
        <w:r w:rsidR="00222BEE" w:rsidRPr="00974114">
          <w:rPr>
            <w:rStyle w:val="Hyperlink"/>
            <w:bCs/>
            <w:noProof/>
          </w:rPr>
          <w:t>5.2</w:t>
        </w:r>
        <w:r w:rsidR="00222BEE">
          <w:rPr>
            <w:rFonts w:asciiTheme="minorHAnsi" w:hAnsiTheme="minorHAnsi" w:cstheme="minorBidi"/>
            <w:b w:val="0"/>
            <w:noProof/>
            <w:color w:val="auto"/>
            <w:sz w:val="22"/>
            <w:szCs w:val="22"/>
            <w:lang w:eastAsia="zh-CN"/>
          </w:rPr>
          <w:tab/>
        </w:r>
        <w:r w:rsidR="00222BEE" w:rsidRPr="00974114">
          <w:rPr>
            <w:rStyle w:val="Hyperlink"/>
            <w:bCs/>
            <w:noProof/>
          </w:rPr>
          <w:t>Age profile across care types</w:t>
        </w:r>
        <w:r w:rsidR="00222BEE">
          <w:rPr>
            <w:noProof/>
            <w:webHidden/>
          </w:rPr>
          <w:tab/>
        </w:r>
        <w:r w:rsidR="00222BEE">
          <w:rPr>
            <w:noProof/>
            <w:webHidden/>
          </w:rPr>
          <w:fldChar w:fldCharType="begin"/>
        </w:r>
        <w:r w:rsidR="00222BEE">
          <w:rPr>
            <w:noProof/>
            <w:webHidden/>
          </w:rPr>
          <w:instrText xml:space="preserve"> PAGEREF _Toc524424724 \h </w:instrText>
        </w:r>
        <w:r w:rsidR="00222BEE">
          <w:rPr>
            <w:noProof/>
            <w:webHidden/>
          </w:rPr>
        </w:r>
        <w:r w:rsidR="00222BEE">
          <w:rPr>
            <w:noProof/>
            <w:webHidden/>
          </w:rPr>
          <w:fldChar w:fldCharType="separate"/>
        </w:r>
        <w:r w:rsidR="00222BEE">
          <w:rPr>
            <w:noProof/>
            <w:webHidden/>
          </w:rPr>
          <w:t>60</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25" w:history="1">
        <w:r w:rsidR="00222BEE" w:rsidRPr="00974114">
          <w:rPr>
            <w:rStyle w:val="Hyperlink"/>
            <w:bCs/>
            <w:noProof/>
          </w:rPr>
          <w:t>5.3</w:t>
        </w:r>
        <w:r w:rsidR="00222BEE">
          <w:rPr>
            <w:rFonts w:asciiTheme="minorHAnsi" w:hAnsiTheme="minorHAnsi" w:cstheme="minorBidi"/>
            <w:b w:val="0"/>
            <w:noProof/>
            <w:color w:val="auto"/>
            <w:sz w:val="22"/>
            <w:szCs w:val="22"/>
            <w:lang w:eastAsia="zh-CN"/>
          </w:rPr>
          <w:tab/>
        </w:r>
        <w:r w:rsidR="00222BEE" w:rsidRPr="00974114">
          <w:rPr>
            <w:rStyle w:val="Hyperlink"/>
            <w:bCs/>
            <w:noProof/>
          </w:rPr>
          <w:t>Access by Culturally and Linguistically Diverse and Indigenous Australians</w:t>
        </w:r>
        <w:r w:rsidR="00222BEE">
          <w:rPr>
            <w:noProof/>
            <w:webHidden/>
          </w:rPr>
          <w:tab/>
        </w:r>
        <w:r w:rsidR="00222BEE">
          <w:rPr>
            <w:noProof/>
            <w:webHidden/>
          </w:rPr>
          <w:fldChar w:fldCharType="begin"/>
        </w:r>
        <w:r w:rsidR="00222BEE">
          <w:rPr>
            <w:noProof/>
            <w:webHidden/>
          </w:rPr>
          <w:instrText xml:space="preserve"> PAGEREF _Toc524424725 \h </w:instrText>
        </w:r>
        <w:r w:rsidR="00222BEE">
          <w:rPr>
            <w:noProof/>
            <w:webHidden/>
          </w:rPr>
        </w:r>
        <w:r w:rsidR="00222BEE">
          <w:rPr>
            <w:noProof/>
            <w:webHidden/>
          </w:rPr>
          <w:fldChar w:fldCharType="separate"/>
        </w:r>
        <w:r w:rsidR="00222BEE">
          <w:rPr>
            <w:noProof/>
            <w:webHidden/>
          </w:rPr>
          <w:t>62</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26" w:history="1">
        <w:r w:rsidR="00222BEE" w:rsidRPr="00974114">
          <w:rPr>
            <w:rStyle w:val="Hyperlink"/>
            <w:bCs/>
          </w:rPr>
          <w:t>5.3.1</w:t>
        </w:r>
        <w:r w:rsidR="00222BEE">
          <w:rPr>
            <w:rFonts w:asciiTheme="minorHAnsi" w:hAnsiTheme="minorHAnsi" w:cstheme="minorBidi"/>
            <w:color w:val="auto"/>
            <w:sz w:val="22"/>
            <w:szCs w:val="22"/>
            <w:lang w:eastAsia="zh-CN"/>
          </w:rPr>
          <w:tab/>
        </w:r>
        <w:r w:rsidR="00222BEE" w:rsidRPr="00974114">
          <w:rPr>
            <w:rStyle w:val="Hyperlink"/>
            <w:bCs/>
          </w:rPr>
          <w:t>Culturally and Linguistically Diverse Australians</w:t>
        </w:r>
        <w:r w:rsidR="00222BEE">
          <w:rPr>
            <w:webHidden/>
          </w:rPr>
          <w:tab/>
        </w:r>
        <w:r w:rsidR="00222BEE">
          <w:rPr>
            <w:webHidden/>
          </w:rPr>
          <w:fldChar w:fldCharType="begin"/>
        </w:r>
        <w:r w:rsidR="00222BEE">
          <w:rPr>
            <w:webHidden/>
          </w:rPr>
          <w:instrText xml:space="preserve"> PAGEREF _Toc524424726 \h </w:instrText>
        </w:r>
        <w:r w:rsidR="00222BEE">
          <w:rPr>
            <w:webHidden/>
          </w:rPr>
        </w:r>
        <w:r w:rsidR="00222BEE">
          <w:rPr>
            <w:webHidden/>
          </w:rPr>
          <w:fldChar w:fldCharType="separate"/>
        </w:r>
        <w:r w:rsidR="00222BEE">
          <w:rPr>
            <w:webHidden/>
          </w:rPr>
          <w:t>62</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27" w:history="1">
        <w:r w:rsidR="00222BEE" w:rsidRPr="00974114">
          <w:rPr>
            <w:rStyle w:val="Hyperlink"/>
            <w:bCs/>
          </w:rPr>
          <w:t>5.3.2</w:t>
        </w:r>
        <w:r w:rsidR="00222BEE">
          <w:rPr>
            <w:rFonts w:asciiTheme="minorHAnsi" w:hAnsiTheme="minorHAnsi" w:cstheme="minorBidi"/>
            <w:color w:val="auto"/>
            <w:sz w:val="22"/>
            <w:szCs w:val="22"/>
            <w:lang w:eastAsia="zh-CN"/>
          </w:rPr>
          <w:tab/>
        </w:r>
        <w:r w:rsidR="00222BEE" w:rsidRPr="00974114">
          <w:rPr>
            <w:rStyle w:val="Hyperlink"/>
            <w:bCs/>
          </w:rPr>
          <w:t>Indigenous Australians</w:t>
        </w:r>
        <w:r w:rsidR="00222BEE">
          <w:rPr>
            <w:webHidden/>
          </w:rPr>
          <w:tab/>
        </w:r>
        <w:r w:rsidR="00222BEE">
          <w:rPr>
            <w:webHidden/>
          </w:rPr>
          <w:fldChar w:fldCharType="begin"/>
        </w:r>
        <w:r w:rsidR="00222BEE">
          <w:rPr>
            <w:webHidden/>
          </w:rPr>
          <w:instrText xml:space="preserve"> PAGEREF _Toc524424727 \h </w:instrText>
        </w:r>
        <w:r w:rsidR="00222BEE">
          <w:rPr>
            <w:webHidden/>
          </w:rPr>
        </w:r>
        <w:r w:rsidR="00222BEE">
          <w:rPr>
            <w:webHidden/>
          </w:rPr>
          <w:fldChar w:fldCharType="separate"/>
        </w:r>
        <w:r w:rsidR="00222BEE">
          <w:rPr>
            <w:webHidden/>
          </w:rPr>
          <w:t>64</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28" w:history="1">
        <w:r w:rsidR="00222BEE" w:rsidRPr="00974114">
          <w:rPr>
            <w:rStyle w:val="Hyperlink"/>
            <w:bCs/>
            <w:noProof/>
          </w:rPr>
          <w:t>5.4</w:t>
        </w:r>
        <w:r w:rsidR="00222BEE">
          <w:rPr>
            <w:rFonts w:asciiTheme="minorHAnsi" w:hAnsiTheme="minorHAnsi" w:cstheme="minorBidi"/>
            <w:b w:val="0"/>
            <w:noProof/>
            <w:color w:val="auto"/>
            <w:sz w:val="22"/>
            <w:szCs w:val="22"/>
            <w:lang w:eastAsia="zh-CN"/>
          </w:rPr>
          <w:tab/>
        </w:r>
        <w:r w:rsidR="00222BEE" w:rsidRPr="00974114">
          <w:rPr>
            <w:rStyle w:val="Hyperlink"/>
            <w:bCs/>
            <w:noProof/>
          </w:rPr>
          <w:t>Access to home care</w:t>
        </w:r>
        <w:r w:rsidR="00222BEE">
          <w:rPr>
            <w:noProof/>
            <w:webHidden/>
          </w:rPr>
          <w:tab/>
        </w:r>
        <w:r w:rsidR="00222BEE">
          <w:rPr>
            <w:noProof/>
            <w:webHidden/>
          </w:rPr>
          <w:fldChar w:fldCharType="begin"/>
        </w:r>
        <w:r w:rsidR="00222BEE">
          <w:rPr>
            <w:noProof/>
            <w:webHidden/>
          </w:rPr>
          <w:instrText xml:space="preserve"> PAGEREF _Toc524424728 \h </w:instrText>
        </w:r>
        <w:r w:rsidR="00222BEE">
          <w:rPr>
            <w:noProof/>
            <w:webHidden/>
          </w:rPr>
        </w:r>
        <w:r w:rsidR="00222BEE">
          <w:rPr>
            <w:noProof/>
            <w:webHidden/>
          </w:rPr>
          <w:fldChar w:fldCharType="separate"/>
        </w:r>
        <w:r w:rsidR="00222BEE">
          <w:rPr>
            <w:noProof/>
            <w:webHidden/>
          </w:rPr>
          <w:t>65</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29" w:history="1">
        <w:r w:rsidR="00222BEE" w:rsidRPr="00974114">
          <w:rPr>
            <w:rStyle w:val="Hyperlink"/>
            <w:bCs/>
          </w:rPr>
          <w:t>5.4.1</w:t>
        </w:r>
        <w:r w:rsidR="00222BEE">
          <w:rPr>
            <w:rFonts w:asciiTheme="minorHAnsi" w:hAnsiTheme="minorHAnsi" w:cstheme="minorBidi"/>
            <w:color w:val="auto"/>
            <w:sz w:val="22"/>
            <w:szCs w:val="22"/>
            <w:lang w:eastAsia="zh-CN"/>
          </w:rPr>
          <w:tab/>
        </w:r>
        <w:r w:rsidR="00222BEE" w:rsidRPr="00974114">
          <w:rPr>
            <w:rStyle w:val="Hyperlink"/>
            <w:bCs/>
          </w:rPr>
          <w:t>Consumers</w:t>
        </w:r>
        <w:r w:rsidR="00222BEE">
          <w:rPr>
            <w:webHidden/>
          </w:rPr>
          <w:tab/>
        </w:r>
        <w:r w:rsidR="00222BEE">
          <w:rPr>
            <w:webHidden/>
          </w:rPr>
          <w:fldChar w:fldCharType="begin"/>
        </w:r>
        <w:r w:rsidR="00222BEE">
          <w:rPr>
            <w:webHidden/>
          </w:rPr>
          <w:instrText xml:space="preserve"> PAGEREF _Toc524424729 \h </w:instrText>
        </w:r>
        <w:r w:rsidR="00222BEE">
          <w:rPr>
            <w:webHidden/>
          </w:rPr>
        </w:r>
        <w:r w:rsidR="00222BEE">
          <w:rPr>
            <w:webHidden/>
          </w:rPr>
          <w:fldChar w:fldCharType="separate"/>
        </w:r>
        <w:r w:rsidR="00222BEE">
          <w:rPr>
            <w:webHidden/>
          </w:rPr>
          <w:t>65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0" w:history="1">
        <w:r w:rsidR="00222BEE" w:rsidRPr="00974114">
          <w:rPr>
            <w:rStyle w:val="Hyperlink"/>
            <w:bCs/>
          </w:rPr>
          <w:t>5.4.2</w:t>
        </w:r>
        <w:r w:rsidR="00222BEE">
          <w:rPr>
            <w:rFonts w:asciiTheme="minorHAnsi" w:hAnsiTheme="minorHAnsi" w:cstheme="minorBidi"/>
            <w:color w:val="auto"/>
            <w:sz w:val="22"/>
            <w:szCs w:val="22"/>
            <w:lang w:eastAsia="zh-CN"/>
          </w:rPr>
          <w:tab/>
        </w:r>
        <w:r w:rsidR="00222BEE" w:rsidRPr="00974114">
          <w:rPr>
            <w:rStyle w:val="Hyperlink"/>
            <w:bCs/>
          </w:rPr>
          <w:t>Release of home care packages</w:t>
        </w:r>
        <w:r w:rsidR="00222BEE">
          <w:rPr>
            <w:webHidden/>
          </w:rPr>
          <w:tab/>
        </w:r>
        <w:r w:rsidR="00222BEE">
          <w:rPr>
            <w:webHidden/>
          </w:rPr>
          <w:fldChar w:fldCharType="begin"/>
        </w:r>
        <w:r w:rsidR="00222BEE">
          <w:rPr>
            <w:webHidden/>
          </w:rPr>
          <w:instrText xml:space="preserve"> PAGEREF _Toc524424730 \h </w:instrText>
        </w:r>
        <w:r w:rsidR="00222BEE">
          <w:rPr>
            <w:webHidden/>
          </w:rPr>
        </w:r>
        <w:r w:rsidR="00222BEE">
          <w:rPr>
            <w:webHidden/>
          </w:rPr>
          <w:fldChar w:fldCharType="separate"/>
        </w:r>
        <w:r w:rsidR="00222BEE">
          <w:rPr>
            <w:webHidden/>
          </w:rPr>
          <w:t>65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1" w:history="1">
        <w:r w:rsidR="00222BEE" w:rsidRPr="00974114">
          <w:rPr>
            <w:rStyle w:val="Hyperlink"/>
            <w:bCs/>
          </w:rPr>
          <w:t>5.4.3</w:t>
        </w:r>
        <w:r w:rsidR="00222BEE">
          <w:rPr>
            <w:rFonts w:asciiTheme="minorHAnsi" w:hAnsiTheme="minorHAnsi" w:cstheme="minorBidi"/>
            <w:color w:val="auto"/>
            <w:sz w:val="22"/>
            <w:szCs w:val="22"/>
            <w:lang w:eastAsia="zh-CN"/>
          </w:rPr>
          <w:tab/>
        </w:r>
        <w:r w:rsidR="00222BEE" w:rsidRPr="00974114">
          <w:rPr>
            <w:rStyle w:val="Hyperlink"/>
            <w:bCs/>
          </w:rPr>
          <w:t>Demand for home care packages</w:t>
        </w:r>
        <w:r w:rsidR="00222BEE">
          <w:rPr>
            <w:webHidden/>
          </w:rPr>
          <w:tab/>
        </w:r>
        <w:r w:rsidR="00222BEE">
          <w:rPr>
            <w:webHidden/>
          </w:rPr>
          <w:fldChar w:fldCharType="begin"/>
        </w:r>
        <w:r w:rsidR="00222BEE">
          <w:rPr>
            <w:webHidden/>
          </w:rPr>
          <w:instrText xml:space="preserve"> PAGEREF _Toc524424731 \h </w:instrText>
        </w:r>
        <w:r w:rsidR="00222BEE">
          <w:rPr>
            <w:webHidden/>
          </w:rPr>
        </w:r>
        <w:r w:rsidR="00222BEE">
          <w:rPr>
            <w:webHidden/>
          </w:rPr>
          <w:fldChar w:fldCharType="separate"/>
        </w:r>
        <w:r w:rsidR="00222BEE">
          <w:rPr>
            <w:webHidden/>
          </w:rPr>
          <w:t>66</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2" w:history="1">
        <w:r w:rsidR="00222BEE" w:rsidRPr="00974114">
          <w:rPr>
            <w:rStyle w:val="Hyperlink"/>
            <w:bCs/>
          </w:rPr>
          <w:t>5.4.4</w:t>
        </w:r>
        <w:r w:rsidR="00222BEE">
          <w:rPr>
            <w:rFonts w:asciiTheme="minorHAnsi" w:hAnsiTheme="minorHAnsi" w:cstheme="minorBidi"/>
            <w:color w:val="auto"/>
            <w:sz w:val="22"/>
            <w:szCs w:val="22"/>
            <w:lang w:eastAsia="zh-CN"/>
          </w:rPr>
          <w:tab/>
        </w:r>
        <w:r w:rsidR="00222BEE" w:rsidRPr="00974114">
          <w:rPr>
            <w:rStyle w:val="Hyperlink"/>
            <w:bCs/>
          </w:rPr>
          <w:t>Home care admissions</w:t>
        </w:r>
        <w:r w:rsidR="00222BEE">
          <w:rPr>
            <w:webHidden/>
          </w:rPr>
          <w:tab/>
        </w:r>
        <w:r w:rsidR="00222BEE">
          <w:rPr>
            <w:webHidden/>
          </w:rPr>
          <w:fldChar w:fldCharType="begin"/>
        </w:r>
        <w:r w:rsidR="00222BEE">
          <w:rPr>
            <w:webHidden/>
          </w:rPr>
          <w:instrText xml:space="preserve"> PAGEREF _Toc524424732 \h </w:instrText>
        </w:r>
        <w:r w:rsidR="00222BEE">
          <w:rPr>
            <w:webHidden/>
          </w:rPr>
        </w:r>
        <w:r w:rsidR="00222BEE">
          <w:rPr>
            <w:webHidden/>
          </w:rPr>
          <w:fldChar w:fldCharType="separate"/>
        </w:r>
        <w:r w:rsidR="00222BEE">
          <w:rPr>
            <w:webHidden/>
          </w:rPr>
          <w:t>66</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3" w:history="1">
        <w:r w:rsidR="00222BEE" w:rsidRPr="00974114">
          <w:rPr>
            <w:rStyle w:val="Hyperlink"/>
            <w:bCs/>
          </w:rPr>
          <w:t>5.4.5</w:t>
        </w:r>
        <w:r w:rsidR="00222BEE">
          <w:rPr>
            <w:rFonts w:asciiTheme="minorHAnsi" w:hAnsiTheme="minorHAnsi" w:cstheme="minorBidi"/>
            <w:color w:val="auto"/>
            <w:sz w:val="22"/>
            <w:szCs w:val="22"/>
            <w:lang w:eastAsia="zh-CN"/>
          </w:rPr>
          <w:tab/>
        </w:r>
        <w:r w:rsidR="00222BEE" w:rsidRPr="00974114">
          <w:rPr>
            <w:rStyle w:val="Hyperlink"/>
            <w:bCs/>
          </w:rPr>
          <w:t>Length of stay in home care</w:t>
        </w:r>
        <w:r w:rsidR="00222BEE">
          <w:rPr>
            <w:webHidden/>
          </w:rPr>
          <w:tab/>
        </w:r>
        <w:r w:rsidR="00222BEE">
          <w:rPr>
            <w:webHidden/>
          </w:rPr>
          <w:fldChar w:fldCharType="begin"/>
        </w:r>
        <w:r w:rsidR="00222BEE">
          <w:rPr>
            <w:webHidden/>
          </w:rPr>
          <w:instrText xml:space="preserve"> PAGEREF _Toc524424733 \h </w:instrText>
        </w:r>
        <w:r w:rsidR="00222BEE">
          <w:rPr>
            <w:webHidden/>
          </w:rPr>
        </w:r>
        <w:r w:rsidR="00222BEE">
          <w:rPr>
            <w:webHidden/>
          </w:rPr>
          <w:fldChar w:fldCharType="separate"/>
        </w:r>
        <w:r w:rsidR="00222BEE">
          <w:rPr>
            <w:webHidden/>
          </w:rPr>
          <w:t>67</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34" w:history="1">
        <w:r w:rsidR="00222BEE" w:rsidRPr="00974114">
          <w:rPr>
            <w:rStyle w:val="Hyperlink"/>
            <w:bCs/>
            <w:noProof/>
          </w:rPr>
          <w:t>5.5</w:t>
        </w:r>
        <w:r w:rsidR="00222BEE">
          <w:rPr>
            <w:rFonts w:asciiTheme="minorHAnsi" w:hAnsiTheme="minorHAnsi" w:cstheme="minorBidi"/>
            <w:b w:val="0"/>
            <w:noProof/>
            <w:color w:val="auto"/>
            <w:sz w:val="22"/>
            <w:szCs w:val="22"/>
            <w:lang w:eastAsia="zh-CN"/>
          </w:rPr>
          <w:tab/>
        </w:r>
        <w:r w:rsidR="00222BEE" w:rsidRPr="00974114">
          <w:rPr>
            <w:rStyle w:val="Hyperlink"/>
            <w:bCs/>
            <w:noProof/>
          </w:rPr>
          <w:t>Access to residential care</w:t>
        </w:r>
        <w:r w:rsidR="00222BEE">
          <w:rPr>
            <w:noProof/>
            <w:webHidden/>
          </w:rPr>
          <w:tab/>
        </w:r>
        <w:r w:rsidR="00222BEE">
          <w:rPr>
            <w:noProof/>
            <w:webHidden/>
          </w:rPr>
          <w:fldChar w:fldCharType="begin"/>
        </w:r>
        <w:r w:rsidR="00222BEE">
          <w:rPr>
            <w:noProof/>
            <w:webHidden/>
          </w:rPr>
          <w:instrText xml:space="preserve"> PAGEREF _Toc524424734 \h </w:instrText>
        </w:r>
        <w:r w:rsidR="00222BEE">
          <w:rPr>
            <w:noProof/>
            <w:webHidden/>
          </w:rPr>
        </w:r>
        <w:r w:rsidR="00222BEE">
          <w:rPr>
            <w:noProof/>
            <w:webHidden/>
          </w:rPr>
          <w:fldChar w:fldCharType="separate"/>
        </w:r>
        <w:r w:rsidR="00222BEE">
          <w:rPr>
            <w:noProof/>
            <w:webHidden/>
          </w:rPr>
          <w:t>67</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5" w:history="1">
        <w:r w:rsidR="00222BEE" w:rsidRPr="00974114">
          <w:rPr>
            <w:rStyle w:val="Hyperlink"/>
            <w:bCs/>
          </w:rPr>
          <w:t>5.5.1</w:t>
        </w:r>
        <w:r w:rsidR="00222BEE">
          <w:rPr>
            <w:rFonts w:asciiTheme="minorHAnsi" w:hAnsiTheme="minorHAnsi" w:cstheme="minorBidi"/>
            <w:color w:val="auto"/>
            <w:sz w:val="22"/>
            <w:szCs w:val="22"/>
            <w:lang w:eastAsia="zh-CN"/>
          </w:rPr>
          <w:tab/>
        </w:r>
        <w:r w:rsidR="00222BEE" w:rsidRPr="00974114">
          <w:rPr>
            <w:rStyle w:val="Hyperlink"/>
            <w:bCs/>
          </w:rPr>
          <w:t>Residents</w:t>
        </w:r>
        <w:r w:rsidR="00222BEE">
          <w:rPr>
            <w:webHidden/>
          </w:rPr>
          <w:tab/>
        </w:r>
        <w:r w:rsidR="00222BEE">
          <w:rPr>
            <w:webHidden/>
          </w:rPr>
          <w:fldChar w:fldCharType="begin"/>
        </w:r>
        <w:r w:rsidR="00222BEE">
          <w:rPr>
            <w:webHidden/>
          </w:rPr>
          <w:instrText xml:space="preserve"> PAGEREF _Toc524424735 \h </w:instrText>
        </w:r>
        <w:r w:rsidR="00222BEE">
          <w:rPr>
            <w:webHidden/>
          </w:rPr>
        </w:r>
        <w:r w:rsidR="00222BEE">
          <w:rPr>
            <w:webHidden/>
          </w:rPr>
          <w:fldChar w:fldCharType="separate"/>
        </w:r>
        <w:r w:rsidR="00222BEE">
          <w:rPr>
            <w:webHidden/>
          </w:rPr>
          <w:t>67</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36" w:history="1">
        <w:r w:rsidR="00222BEE" w:rsidRPr="00974114">
          <w:rPr>
            <w:rStyle w:val="Hyperlink"/>
            <w:bCs/>
            <w:noProof/>
          </w:rPr>
          <w:t>5.6</w:t>
        </w:r>
        <w:r w:rsidR="00222BEE">
          <w:rPr>
            <w:rFonts w:asciiTheme="minorHAnsi" w:hAnsiTheme="minorHAnsi" w:cstheme="minorBidi"/>
            <w:b w:val="0"/>
            <w:noProof/>
            <w:color w:val="auto"/>
            <w:sz w:val="22"/>
            <w:szCs w:val="22"/>
            <w:lang w:eastAsia="zh-CN"/>
          </w:rPr>
          <w:tab/>
        </w:r>
        <w:r w:rsidR="00222BEE" w:rsidRPr="00974114">
          <w:rPr>
            <w:rStyle w:val="Hyperlink"/>
            <w:bCs/>
            <w:noProof/>
          </w:rPr>
          <w:t>Demand for residential aged care</w:t>
        </w:r>
        <w:r w:rsidR="00222BEE">
          <w:rPr>
            <w:noProof/>
            <w:webHidden/>
          </w:rPr>
          <w:tab/>
        </w:r>
        <w:r w:rsidR="00222BEE">
          <w:rPr>
            <w:noProof/>
            <w:webHidden/>
          </w:rPr>
          <w:fldChar w:fldCharType="begin"/>
        </w:r>
        <w:r w:rsidR="00222BEE">
          <w:rPr>
            <w:noProof/>
            <w:webHidden/>
          </w:rPr>
          <w:instrText xml:space="preserve"> PAGEREF _Toc524424736 \h </w:instrText>
        </w:r>
        <w:r w:rsidR="00222BEE">
          <w:rPr>
            <w:noProof/>
            <w:webHidden/>
          </w:rPr>
        </w:r>
        <w:r w:rsidR="00222BEE">
          <w:rPr>
            <w:noProof/>
            <w:webHidden/>
          </w:rPr>
          <w:fldChar w:fldCharType="separate"/>
        </w:r>
        <w:r w:rsidR="00222BEE">
          <w:rPr>
            <w:noProof/>
            <w:webHidden/>
          </w:rPr>
          <w:t>68</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7" w:history="1">
        <w:r w:rsidR="00222BEE" w:rsidRPr="00974114">
          <w:rPr>
            <w:rStyle w:val="Hyperlink"/>
            <w:bCs/>
          </w:rPr>
          <w:t>5.6.1</w:t>
        </w:r>
        <w:r w:rsidR="00222BEE">
          <w:rPr>
            <w:rFonts w:asciiTheme="minorHAnsi" w:hAnsiTheme="minorHAnsi" w:cstheme="minorBidi"/>
            <w:color w:val="auto"/>
            <w:sz w:val="22"/>
            <w:szCs w:val="22"/>
            <w:lang w:eastAsia="zh-CN"/>
          </w:rPr>
          <w:tab/>
        </w:r>
        <w:r w:rsidR="00222BEE" w:rsidRPr="00974114">
          <w:rPr>
            <w:rStyle w:val="Hyperlink"/>
            <w:bCs/>
          </w:rPr>
          <w:t>Occupancy rates</w:t>
        </w:r>
        <w:r w:rsidR="00222BEE">
          <w:rPr>
            <w:webHidden/>
          </w:rPr>
          <w:tab/>
        </w:r>
        <w:r w:rsidR="00222BEE">
          <w:rPr>
            <w:webHidden/>
          </w:rPr>
          <w:fldChar w:fldCharType="begin"/>
        </w:r>
        <w:r w:rsidR="00222BEE">
          <w:rPr>
            <w:webHidden/>
          </w:rPr>
          <w:instrText xml:space="preserve"> PAGEREF _Toc524424737 \h </w:instrText>
        </w:r>
        <w:r w:rsidR="00222BEE">
          <w:rPr>
            <w:webHidden/>
          </w:rPr>
        </w:r>
        <w:r w:rsidR="00222BEE">
          <w:rPr>
            <w:webHidden/>
          </w:rPr>
          <w:fldChar w:fldCharType="separate"/>
        </w:r>
        <w:r w:rsidR="00222BEE">
          <w:rPr>
            <w:webHidden/>
          </w:rPr>
          <w:t>68</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8" w:history="1">
        <w:r w:rsidR="00222BEE" w:rsidRPr="00974114">
          <w:rPr>
            <w:rStyle w:val="Hyperlink"/>
            <w:bCs/>
          </w:rPr>
          <w:t>5.6.2</w:t>
        </w:r>
        <w:r w:rsidR="00222BEE">
          <w:rPr>
            <w:rFonts w:asciiTheme="minorHAnsi" w:hAnsiTheme="minorHAnsi" w:cstheme="minorBidi"/>
            <w:color w:val="auto"/>
            <w:sz w:val="22"/>
            <w:szCs w:val="22"/>
            <w:lang w:eastAsia="zh-CN"/>
          </w:rPr>
          <w:tab/>
        </w:r>
        <w:r w:rsidR="00222BEE" w:rsidRPr="00974114">
          <w:rPr>
            <w:rStyle w:val="Hyperlink"/>
            <w:bCs/>
          </w:rPr>
          <w:t>Admissions in residential care</w:t>
        </w:r>
        <w:r w:rsidR="00222BEE">
          <w:rPr>
            <w:webHidden/>
          </w:rPr>
          <w:tab/>
        </w:r>
        <w:r w:rsidR="00222BEE">
          <w:rPr>
            <w:webHidden/>
          </w:rPr>
          <w:fldChar w:fldCharType="begin"/>
        </w:r>
        <w:r w:rsidR="00222BEE">
          <w:rPr>
            <w:webHidden/>
          </w:rPr>
          <w:instrText xml:space="preserve"> PAGEREF _Toc524424738 \h </w:instrText>
        </w:r>
        <w:r w:rsidR="00222BEE">
          <w:rPr>
            <w:webHidden/>
          </w:rPr>
        </w:r>
        <w:r w:rsidR="00222BEE">
          <w:rPr>
            <w:webHidden/>
          </w:rPr>
          <w:fldChar w:fldCharType="separate"/>
        </w:r>
        <w:r w:rsidR="00222BEE">
          <w:rPr>
            <w:webHidden/>
          </w:rPr>
          <w:t>69</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39" w:history="1">
        <w:r w:rsidR="00222BEE" w:rsidRPr="00974114">
          <w:rPr>
            <w:rStyle w:val="Hyperlink"/>
            <w:bCs/>
          </w:rPr>
          <w:t>5.6.3</w:t>
        </w:r>
        <w:r w:rsidR="00222BEE">
          <w:rPr>
            <w:rFonts w:asciiTheme="minorHAnsi" w:hAnsiTheme="minorHAnsi" w:cstheme="minorBidi"/>
            <w:color w:val="auto"/>
            <w:sz w:val="22"/>
            <w:szCs w:val="22"/>
            <w:lang w:eastAsia="zh-CN"/>
          </w:rPr>
          <w:tab/>
        </w:r>
        <w:r w:rsidR="00222BEE" w:rsidRPr="00974114">
          <w:rPr>
            <w:rStyle w:val="Hyperlink"/>
            <w:bCs/>
          </w:rPr>
          <w:t>Length of stay in residential aged care</w:t>
        </w:r>
        <w:r w:rsidR="00222BEE">
          <w:rPr>
            <w:webHidden/>
          </w:rPr>
          <w:tab/>
        </w:r>
        <w:r w:rsidR="00222BEE">
          <w:rPr>
            <w:webHidden/>
          </w:rPr>
          <w:fldChar w:fldCharType="begin"/>
        </w:r>
        <w:r w:rsidR="00222BEE">
          <w:rPr>
            <w:webHidden/>
          </w:rPr>
          <w:instrText xml:space="preserve"> PAGEREF _Toc524424739 \h </w:instrText>
        </w:r>
        <w:r w:rsidR="00222BEE">
          <w:rPr>
            <w:webHidden/>
          </w:rPr>
        </w:r>
        <w:r w:rsidR="00222BEE">
          <w:rPr>
            <w:webHidden/>
          </w:rPr>
          <w:fldChar w:fldCharType="separate"/>
        </w:r>
        <w:r w:rsidR="00222BEE">
          <w:rPr>
            <w:webHidden/>
          </w:rPr>
          <w:t>70</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0" w:history="1">
        <w:r w:rsidR="00222BEE" w:rsidRPr="00974114">
          <w:rPr>
            <w:rStyle w:val="Hyperlink"/>
            <w:bCs/>
            <w:noProof/>
          </w:rPr>
          <w:t>5.7</w:t>
        </w:r>
        <w:r w:rsidR="00222BEE">
          <w:rPr>
            <w:rFonts w:asciiTheme="minorHAnsi" w:hAnsiTheme="minorHAnsi" w:cstheme="minorBidi"/>
            <w:b w:val="0"/>
            <w:noProof/>
            <w:color w:val="auto"/>
            <w:sz w:val="22"/>
            <w:szCs w:val="22"/>
            <w:lang w:eastAsia="zh-CN"/>
          </w:rPr>
          <w:tab/>
        </w:r>
        <w:r w:rsidR="00222BEE" w:rsidRPr="00974114">
          <w:rPr>
            <w:rStyle w:val="Hyperlink"/>
            <w:bCs/>
            <w:noProof/>
          </w:rPr>
          <w:t>Residential respite care</w:t>
        </w:r>
        <w:r w:rsidR="00222BEE">
          <w:rPr>
            <w:noProof/>
            <w:webHidden/>
          </w:rPr>
          <w:tab/>
        </w:r>
        <w:r w:rsidR="00222BEE">
          <w:rPr>
            <w:noProof/>
            <w:webHidden/>
          </w:rPr>
          <w:fldChar w:fldCharType="begin"/>
        </w:r>
        <w:r w:rsidR="00222BEE">
          <w:rPr>
            <w:noProof/>
            <w:webHidden/>
          </w:rPr>
          <w:instrText xml:space="preserve"> PAGEREF _Toc524424740 \h </w:instrText>
        </w:r>
        <w:r w:rsidR="00222BEE">
          <w:rPr>
            <w:noProof/>
            <w:webHidden/>
          </w:rPr>
        </w:r>
        <w:r w:rsidR="00222BEE">
          <w:rPr>
            <w:noProof/>
            <w:webHidden/>
          </w:rPr>
          <w:fldChar w:fldCharType="separate"/>
        </w:r>
        <w:r w:rsidR="00222BEE">
          <w:rPr>
            <w:noProof/>
            <w:webHidden/>
          </w:rPr>
          <w:t>73</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41" w:history="1">
        <w:r w:rsidR="00222BEE" w:rsidRPr="00974114">
          <w:rPr>
            <w:rStyle w:val="Hyperlink"/>
            <w:bCs/>
          </w:rPr>
          <w:t>5.7.1</w:t>
        </w:r>
        <w:r w:rsidR="00222BEE">
          <w:rPr>
            <w:rFonts w:asciiTheme="minorHAnsi" w:hAnsiTheme="minorHAnsi" w:cstheme="minorBidi"/>
            <w:color w:val="auto"/>
            <w:sz w:val="22"/>
            <w:szCs w:val="22"/>
            <w:lang w:eastAsia="zh-CN"/>
          </w:rPr>
          <w:tab/>
        </w:r>
        <w:r w:rsidR="00222BEE" w:rsidRPr="00974114">
          <w:rPr>
            <w:rStyle w:val="Hyperlink"/>
            <w:bCs/>
          </w:rPr>
          <w:t>Number of respite care consumers</w:t>
        </w:r>
        <w:r w:rsidR="00222BEE">
          <w:rPr>
            <w:webHidden/>
          </w:rPr>
          <w:tab/>
        </w:r>
        <w:r w:rsidR="00222BEE">
          <w:rPr>
            <w:webHidden/>
          </w:rPr>
          <w:fldChar w:fldCharType="begin"/>
        </w:r>
        <w:r w:rsidR="00222BEE">
          <w:rPr>
            <w:webHidden/>
          </w:rPr>
          <w:instrText xml:space="preserve"> PAGEREF _Toc524424741 \h </w:instrText>
        </w:r>
        <w:r w:rsidR="00222BEE">
          <w:rPr>
            <w:webHidden/>
          </w:rPr>
        </w:r>
        <w:r w:rsidR="00222BEE">
          <w:rPr>
            <w:webHidden/>
          </w:rPr>
          <w:fldChar w:fldCharType="separate"/>
        </w:r>
        <w:r w:rsidR="00222BEE">
          <w:rPr>
            <w:webHidden/>
          </w:rPr>
          <w:t>73</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42" w:history="1">
        <w:r w:rsidR="00222BEE" w:rsidRPr="00974114">
          <w:rPr>
            <w:rStyle w:val="Hyperlink"/>
            <w:bCs/>
          </w:rPr>
          <w:t>5.7.2</w:t>
        </w:r>
        <w:r w:rsidR="00222BEE">
          <w:rPr>
            <w:rFonts w:asciiTheme="minorHAnsi" w:hAnsiTheme="minorHAnsi" w:cstheme="minorBidi"/>
            <w:color w:val="auto"/>
            <w:sz w:val="22"/>
            <w:szCs w:val="22"/>
            <w:lang w:eastAsia="zh-CN"/>
          </w:rPr>
          <w:tab/>
        </w:r>
        <w:r w:rsidR="00222BEE" w:rsidRPr="00974114">
          <w:rPr>
            <w:rStyle w:val="Hyperlink"/>
            <w:bCs/>
          </w:rPr>
          <w:t>Length and frequency of stay in residential respite care</w:t>
        </w:r>
        <w:r w:rsidR="00222BEE">
          <w:rPr>
            <w:webHidden/>
          </w:rPr>
          <w:tab/>
        </w:r>
        <w:r w:rsidR="00222BEE">
          <w:rPr>
            <w:webHidden/>
          </w:rPr>
          <w:fldChar w:fldCharType="begin"/>
        </w:r>
        <w:r w:rsidR="00222BEE">
          <w:rPr>
            <w:webHidden/>
          </w:rPr>
          <w:instrText xml:space="preserve"> PAGEREF _Toc524424742 \h </w:instrText>
        </w:r>
        <w:r w:rsidR="00222BEE">
          <w:rPr>
            <w:webHidden/>
          </w:rPr>
        </w:r>
        <w:r w:rsidR="00222BEE">
          <w:rPr>
            <w:webHidden/>
          </w:rPr>
          <w:fldChar w:fldCharType="separate"/>
        </w:r>
        <w:r w:rsidR="00222BEE">
          <w:rPr>
            <w:webHidden/>
          </w:rPr>
          <w:t>74</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3" w:history="1">
        <w:r w:rsidR="00222BEE" w:rsidRPr="00974114">
          <w:rPr>
            <w:rStyle w:val="Hyperlink"/>
            <w:bCs/>
            <w:noProof/>
          </w:rPr>
          <w:t>5.8</w:t>
        </w:r>
        <w:r w:rsidR="00222BEE">
          <w:rPr>
            <w:rFonts w:asciiTheme="minorHAnsi" w:hAnsiTheme="minorHAnsi" w:cstheme="minorBidi"/>
            <w:b w:val="0"/>
            <w:noProof/>
            <w:color w:val="auto"/>
            <w:sz w:val="22"/>
            <w:szCs w:val="22"/>
            <w:lang w:eastAsia="zh-CN"/>
          </w:rPr>
          <w:tab/>
        </w:r>
        <w:r w:rsidR="00222BEE" w:rsidRPr="00974114">
          <w:rPr>
            <w:rStyle w:val="Hyperlink"/>
            <w:bCs/>
            <w:noProof/>
          </w:rPr>
          <w:t>Supported residents</w:t>
        </w:r>
        <w:r w:rsidR="00222BEE">
          <w:rPr>
            <w:noProof/>
            <w:webHidden/>
          </w:rPr>
          <w:tab/>
        </w:r>
        <w:r w:rsidR="00222BEE">
          <w:rPr>
            <w:noProof/>
            <w:webHidden/>
          </w:rPr>
          <w:fldChar w:fldCharType="begin"/>
        </w:r>
        <w:r w:rsidR="00222BEE">
          <w:rPr>
            <w:noProof/>
            <w:webHidden/>
          </w:rPr>
          <w:instrText xml:space="preserve"> PAGEREF _Toc524424743 \h </w:instrText>
        </w:r>
        <w:r w:rsidR="00222BEE">
          <w:rPr>
            <w:noProof/>
            <w:webHidden/>
          </w:rPr>
        </w:r>
        <w:r w:rsidR="00222BEE">
          <w:rPr>
            <w:noProof/>
            <w:webHidden/>
          </w:rPr>
          <w:fldChar w:fldCharType="separate"/>
        </w:r>
        <w:r w:rsidR="00222BEE">
          <w:rPr>
            <w:noProof/>
            <w:webHidden/>
          </w:rPr>
          <w:t>76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4" w:history="1">
        <w:r w:rsidR="00222BEE" w:rsidRPr="00974114">
          <w:rPr>
            <w:rStyle w:val="Hyperlink"/>
            <w:bCs/>
            <w:noProof/>
          </w:rPr>
          <w:t>5.9</w:t>
        </w:r>
        <w:r w:rsidR="00222BEE">
          <w:rPr>
            <w:rFonts w:asciiTheme="minorHAnsi" w:hAnsiTheme="minorHAnsi" w:cstheme="minorBidi"/>
            <w:b w:val="0"/>
            <w:noProof/>
            <w:color w:val="auto"/>
            <w:sz w:val="22"/>
            <w:szCs w:val="22"/>
            <w:lang w:eastAsia="zh-CN"/>
          </w:rPr>
          <w:tab/>
        </w:r>
        <w:r w:rsidR="00222BEE" w:rsidRPr="00974114">
          <w:rPr>
            <w:rStyle w:val="Hyperlink"/>
            <w:bCs/>
            <w:noProof/>
          </w:rPr>
          <w:t>Future demand growth for aged care</w:t>
        </w:r>
        <w:r w:rsidR="00222BEE">
          <w:rPr>
            <w:noProof/>
            <w:webHidden/>
          </w:rPr>
          <w:tab/>
        </w:r>
        <w:r w:rsidR="00222BEE">
          <w:rPr>
            <w:noProof/>
            <w:webHidden/>
          </w:rPr>
          <w:fldChar w:fldCharType="begin"/>
        </w:r>
        <w:r w:rsidR="00222BEE">
          <w:rPr>
            <w:noProof/>
            <w:webHidden/>
          </w:rPr>
          <w:instrText xml:space="preserve"> PAGEREF _Toc524424744 \h </w:instrText>
        </w:r>
        <w:r w:rsidR="00222BEE">
          <w:rPr>
            <w:noProof/>
            <w:webHidden/>
          </w:rPr>
        </w:r>
        <w:r w:rsidR="00222BEE">
          <w:rPr>
            <w:noProof/>
            <w:webHidden/>
          </w:rPr>
          <w:fldChar w:fldCharType="separate"/>
        </w:r>
        <w:r w:rsidR="00222BEE">
          <w:rPr>
            <w:noProof/>
            <w:webHidden/>
          </w:rPr>
          <w:t>77</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45" w:history="1">
        <w:r w:rsidR="00222BEE" w:rsidRPr="00974114">
          <w:rPr>
            <w:rStyle w:val="Hyperlink"/>
            <w:bCs/>
          </w:rPr>
          <w:t>5.9.1</w:t>
        </w:r>
        <w:r w:rsidR="00222BEE">
          <w:rPr>
            <w:rFonts w:asciiTheme="minorHAnsi" w:hAnsiTheme="minorHAnsi" w:cstheme="minorBidi"/>
            <w:color w:val="auto"/>
            <w:sz w:val="22"/>
            <w:szCs w:val="22"/>
            <w:lang w:eastAsia="zh-CN"/>
          </w:rPr>
          <w:tab/>
        </w:r>
        <w:r w:rsidR="00222BEE" w:rsidRPr="00974114">
          <w:rPr>
            <w:rStyle w:val="Hyperlink"/>
            <w:bCs/>
          </w:rPr>
          <w:t>Probability of entering permanent residential aged care</w:t>
        </w:r>
        <w:r w:rsidR="00222BEE">
          <w:rPr>
            <w:webHidden/>
          </w:rPr>
          <w:tab/>
        </w:r>
        <w:r w:rsidR="00222BEE">
          <w:rPr>
            <w:webHidden/>
          </w:rPr>
          <w:fldChar w:fldCharType="begin"/>
        </w:r>
        <w:r w:rsidR="00222BEE">
          <w:rPr>
            <w:webHidden/>
          </w:rPr>
          <w:instrText xml:space="preserve"> PAGEREF _Toc524424745 \h </w:instrText>
        </w:r>
        <w:r w:rsidR="00222BEE">
          <w:rPr>
            <w:webHidden/>
          </w:rPr>
        </w:r>
        <w:r w:rsidR="00222BEE">
          <w:rPr>
            <w:webHidden/>
          </w:rPr>
          <w:fldChar w:fldCharType="separate"/>
        </w:r>
        <w:r w:rsidR="00222BEE">
          <w:rPr>
            <w:webHidden/>
          </w:rPr>
          <w:t>80</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46" w:history="1">
        <w:r w:rsidR="00222BEE" w:rsidRPr="00974114">
          <w:rPr>
            <w:rStyle w:val="Hyperlink"/>
            <w:noProof/>
          </w:rPr>
          <w:t>6.</w:t>
        </w:r>
        <w:r w:rsidR="00222BEE">
          <w:rPr>
            <w:rFonts w:asciiTheme="minorHAnsi" w:hAnsiTheme="minorHAnsi" w:cstheme="minorBidi"/>
            <w:b w:val="0"/>
            <w:noProof/>
            <w:color w:val="auto"/>
            <w:sz w:val="22"/>
            <w:szCs w:val="22"/>
            <w:lang w:eastAsia="zh-CN"/>
          </w:rPr>
          <w:tab/>
        </w:r>
        <w:r w:rsidR="00222BEE" w:rsidRPr="00974114">
          <w:rPr>
            <w:rStyle w:val="Hyperlink"/>
            <w:noProof/>
          </w:rPr>
          <w:t>Home Support</w:t>
        </w:r>
        <w:r w:rsidR="00222BEE">
          <w:rPr>
            <w:noProof/>
            <w:webHidden/>
          </w:rPr>
          <w:tab/>
        </w:r>
        <w:r w:rsidR="00222BEE">
          <w:rPr>
            <w:noProof/>
            <w:webHidden/>
          </w:rPr>
          <w:fldChar w:fldCharType="begin"/>
        </w:r>
        <w:r w:rsidR="00222BEE">
          <w:rPr>
            <w:noProof/>
            <w:webHidden/>
          </w:rPr>
          <w:instrText xml:space="preserve"> PAGEREF _Toc524424746 \h </w:instrText>
        </w:r>
        <w:r w:rsidR="00222BEE">
          <w:rPr>
            <w:noProof/>
            <w:webHidden/>
          </w:rPr>
        </w:r>
        <w:r w:rsidR="00222BEE">
          <w:rPr>
            <w:noProof/>
            <w:webHidden/>
          </w:rPr>
          <w:fldChar w:fldCharType="separate"/>
        </w:r>
        <w:r w:rsidR="00222BEE">
          <w:rPr>
            <w:noProof/>
            <w:webHidden/>
          </w:rPr>
          <w:t>82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7" w:history="1">
        <w:r w:rsidR="00222BEE" w:rsidRPr="00974114">
          <w:rPr>
            <w:rStyle w:val="Hyperlink"/>
            <w:bCs/>
            <w:noProof/>
          </w:rPr>
          <w:t>6.1</w:t>
        </w:r>
        <w:r w:rsidR="00222BEE">
          <w:rPr>
            <w:rFonts w:asciiTheme="minorHAnsi" w:hAnsiTheme="minorHAnsi" w:cstheme="minorBidi"/>
            <w:b w:val="0"/>
            <w:noProof/>
            <w:color w:val="auto"/>
            <w:sz w:val="22"/>
            <w:szCs w:val="22"/>
            <w:lang w:eastAsia="zh-CN"/>
          </w:rPr>
          <w:tab/>
        </w:r>
        <w:r w:rsidR="00222BEE" w:rsidRPr="00974114">
          <w:rPr>
            <w:rStyle w:val="Hyperlink"/>
            <w:bCs/>
            <w:noProof/>
          </w:rPr>
          <w:t>Introduction</w:t>
        </w:r>
        <w:r w:rsidR="00222BEE">
          <w:rPr>
            <w:noProof/>
            <w:webHidden/>
          </w:rPr>
          <w:tab/>
        </w:r>
        <w:r w:rsidR="00222BEE">
          <w:rPr>
            <w:noProof/>
            <w:webHidden/>
          </w:rPr>
          <w:fldChar w:fldCharType="begin"/>
        </w:r>
        <w:r w:rsidR="00222BEE">
          <w:rPr>
            <w:noProof/>
            <w:webHidden/>
          </w:rPr>
          <w:instrText xml:space="preserve"> PAGEREF _Toc524424747 \h </w:instrText>
        </w:r>
        <w:r w:rsidR="00222BEE">
          <w:rPr>
            <w:noProof/>
            <w:webHidden/>
          </w:rPr>
        </w:r>
        <w:r w:rsidR="00222BEE">
          <w:rPr>
            <w:noProof/>
            <w:webHidden/>
          </w:rPr>
          <w:fldChar w:fldCharType="separate"/>
        </w:r>
        <w:r w:rsidR="00222BEE">
          <w:rPr>
            <w:noProof/>
            <w:webHidden/>
          </w:rPr>
          <w:t>83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8" w:history="1">
        <w:r w:rsidR="00222BEE" w:rsidRPr="00974114">
          <w:rPr>
            <w:rStyle w:val="Hyperlink"/>
            <w:bCs/>
            <w:noProof/>
          </w:rPr>
          <w:t>6.2</w:t>
        </w:r>
        <w:r w:rsidR="00222BEE">
          <w:rPr>
            <w:rFonts w:asciiTheme="minorHAnsi" w:hAnsiTheme="minorHAnsi" w:cstheme="minorBidi"/>
            <w:b w:val="0"/>
            <w:noProof/>
            <w:color w:val="auto"/>
            <w:sz w:val="22"/>
            <w:szCs w:val="22"/>
            <w:lang w:eastAsia="zh-CN"/>
          </w:rPr>
          <w:tab/>
        </w:r>
        <w:r w:rsidR="00222BEE" w:rsidRPr="00974114">
          <w:rPr>
            <w:rStyle w:val="Hyperlink"/>
            <w:bCs/>
            <w:noProof/>
          </w:rPr>
          <w:t>Commonwealth Home Support Programme</w:t>
        </w:r>
        <w:r w:rsidR="00222BEE">
          <w:rPr>
            <w:noProof/>
            <w:webHidden/>
          </w:rPr>
          <w:tab/>
        </w:r>
        <w:r w:rsidR="00222BEE">
          <w:rPr>
            <w:noProof/>
            <w:webHidden/>
          </w:rPr>
          <w:fldChar w:fldCharType="begin"/>
        </w:r>
        <w:r w:rsidR="00222BEE">
          <w:rPr>
            <w:noProof/>
            <w:webHidden/>
          </w:rPr>
          <w:instrText xml:space="preserve"> PAGEREF _Toc524424748 \h </w:instrText>
        </w:r>
        <w:r w:rsidR="00222BEE">
          <w:rPr>
            <w:noProof/>
            <w:webHidden/>
          </w:rPr>
        </w:r>
        <w:r w:rsidR="00222BEE">
          <w:rPr>
            <w:noProof/>
            <w:webHidden/>
          </w:rPr>
          <w:fldChar w:fldCharType="separate"/>
        </w:r>
        <w:r w:rsidR="00222BEE">
          <w:rPr>
            <w:noProof/>
            <w:webHidden/>
          </w:rPr>
          <w:t>83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49" w:history="1">
        <w:r w:rsidR="00222BEE" w:rsidRPr="00974114">
          <w:rPr>
            <w:rStyle w:val="Hyperlink"/>
            <w:bCs/>
            <w:noProof/>
          </w:rPr>
          <w:t>6.3</w:t>
        </w:r>
        <w:r w:rsidR="00222BEE">
          <w:rPr>
            <w:rFonts w:asciiTheme="minorHAnsi" w:hAnsiTheme="minorHAnsi" w:cstheme="minorBidi"/>
            <w:b w:val="0"/>
            <w:noProof/>
            <w:color w:val="auto"/>
            <w:sz w:val="22"/>
            <w:szCs w:val="22"/>
            <w:lang w:eastAsia="zh-CN"/>
          </w:rPr>
          <w:tab/>
        </w:r>
        <w:r w:rsidR="00222BEE" w:rsidRPr="00974114">
          <w:rPr>
            <w:rStyle w:val="Hyperlink"/>
            <w:bCs/>
            <w:noProof/>
          </w:rPr>
          <w:t>Home and Community Care — Western Australia</w:t>
        </w:r>
        <w:r w:rsidR="00222BEE">
          <w:rPr>
            <w:noProof/>
            <w:webHidden/>
          </w:rPr>
          <w:tab/>
        </w:r>
        <w:r w:rsidR="00222BEE">
          <w:rPr>
            <w:noProof/>
            <w:webHidden/>
          </w:rPr>
          <w:fldChar w:fldCharType="begin"/>
        </w:r>
        <w:r w:rsidR="00222BEE">
          <w:rPr>
            <w:noProof/>
            <w:webHidden/>
          </w:rPr>
          <w:instrText xml:space="preserve"> PAGEREF _Toc524424749 \h </w:instrText>
        </w:r>
        <w:r w:rsidR="00222BEE">
          <w:rPr>
            <w:noProof/>
            <w:webHidden/>
          </w:rPr>
        </w:r>
        <w:r w:rsidR="00222BEE">
          <w:rPr>
            <w:noProof/>
            <w:webHidden/>
          </w:rPr>
          <w:fldChar w:fldCharType="separate"/>
        </w:r>
        <w:r w:rsidR="00222BEE">
          <w:rPr>
            <w:noProof/>
            <w:webHidden/>
          </w:rPr>
          <w:t>85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0" w:history="1">
        <w:r w:rsidR="00222BEE" w:rsidRPr="00974114">
          <w:rPr>
            <w:rStyle w:val="Hyperlink"/>
            <w:bCs/>
            <w:noProof/>
          </w:rPr>
          <w:t>6.4</w:t>
        </w:r>
        <w:r w:rsidR="00222BEE">
          <w:rPr>
            <w:rFonts w:asciiTheme="minorHAnsi" w:hAnsiTheme="minorHAnsi" w:cstheme="minorBidi"/>
            <w:b w:val="0"/>
            <w:noProof/>
            <w:color w:val="auto"/>
            <w:sz w:val="22"/>
            <w:szCs w:val="22"/>
            <w:lang w:eastAsia="zh-CN"/>
          </w:rPr>
          <w:tab/>
        </w:r>
        <w:r w:rsidR="00222BEE" w:rsidRPr="00974114">
          <w:rPr>
            <w:rStyle w:val="Hyperlink"/>
            <w:bCs/>
            <w:noProof/>
          </w:rPr>
          <w:t>Sector overview</w:t>
        </w:r>
        <w:r w:rsidR="00222BEE">
          <w:rPr>
            <w:noProof/>
            <w:webHidden/>
          </w:rPr>
          <w:tab/>
        </w:r>
        <w:r w:rsidR="00222BEE">
          <w:rPr>
            <w:noProof/>
            <w:webHidden/>
          </w:rPr>
          <w:fldChar w:fldCharType="begin"/>
        </w:r>
        <w:r w:rsidR="00222BEE">
          <w:rPr>
            <w:noProof/>
            <w:webHidden/>
          </w:rPr>
          <w:instrText xml:space="preserve"> PAGEREF _Toc524424750 \h </w:instrText>
        </w:r>
        <w:r w:rsidR="00222BEE">
          <w:rPr>
            <w:noProof/>
            <w:webHidden/>
          </w:rPr>
        </w:r>
        <w:r w:rsidR="00222BEE">
          <w:rPr>
            <w:noProof/>
            <w:webHidden/>
          </w:rPr>
          <w:fldChar w:fldCharType="separate"/>
        </w:r>
        <w:r w:rsidR="00222BEE">
          <w:rPr>
            <w:noProof/>
            <w:webHidden/>
          </w:rPr>
          <w:t>85</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51" w:history="1">
        <w:r w:rsidR="00222BEE" w:rsidRPr="00974114">
          <w:rPr>
            <w:rStyle w:val="Hyperlink"/>
            <w:bCs/>
          </w:rPr>
          <w:t>6.4.1</w:t>
        </w:r>
        <w:r w:rsidR="00222BEE">
          <w:rPr>
            <w:rFonts w:asciiTheme="minorHAnsi" w:hAnsiTheme="minorHAnsi" w:cstheme="minorBidi"/>
            <w:color w:val="auto"/>
            <w:sz w:val="22"/>
            <w:szCs w:val="22"/>
            <w:lang w:eastAsia="zh-CN"/>
          </w:rPr>
          <w:tab/>
        </w:r>
        <w:r w:rsidR="00222BEE" w:rsidRPr="00974114">
          <w:rPr>
            <w:rStyle w:val="Hyperlink"/>
            <w:bCs/>
          </w:rPr>
          <w:t>Providers of home support</w:t>
        </w:r>
        <w:r w:rsidR="00222BEE">
          <w:rPr>
            <w:webHidden/>
          </w:rPr>
          <w:tab/>
        </w:r>
        <w:r w:rsidR="00222BEE">
          <w:rPr>
            <w:webHidden/>
          </w:rPr>
          <w:fldChar w:fldCharType="begin"/>
        </w:r>
        <w:r w:rsidR="00222BEE">
          <w:rPr>
            <w:webHidden/>
          </w:rPr>
          <w:instrText xml:space="preserve"> PAGEREF _Toc524424751 \h </w:instrText>
        </w:r>
        <w:r w:rsidR="00222BEE">
          <w:rPr>
            <w:webHidden/>
          </w:rPr>
        </w:r>
        <w:r w:rsidR="00222BEE">
          <w:rPr>
            <w:webHidden/>
          </w:rPr>
          <w:fldChar w:fldCharType="separate"/>
        </w:r>
        <w:r w:rsidR="00222BEE">
          <w:rPr>
            <w:webHidden/>
          </w:rPr>
          <w:t>85</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2" w:history="1">
        <w:r w:rsidR="00222BEE" w:rsidRPr="00974114">
          <w:rPr>
            <w:rStyle w:val="Hyperlink"/>
            <w:bCs/>
            <w:noProof/>
          </w:rPr>
          <w:t>6.5</w:t>
        </w:r>
        <w:r w:rsidR="00222BEE">
          <w:rPr>
            <w:rFonts w:asciiTheme="minorHAnsi" w:hAnsiTheme="minorHAnsi" w:cstheme="minorBidi"/>
            <w:b w:val="0"/>
            <w:noProof/>
            <w:color w:val="auto"/>
            <w:sz w:val="22"/>
            <w:szCs w:val="22"/>
            <w:lang w:eastAsia="zh-CN"/>
          </w:rPr>
          <w:tab/>
        </w:r>
        <w:r w:rsidR="00222BEE" w:rsidRPr="00974114">
          <w:rPr>
            <w:rStyle w:val="Hyperlink"/>
            <w:bCs/>
            <w:noProof/>
          </w:rPr>
          <w:t>Funding for CHSP and HACC</w:t>
        </w:r>
        <w:r w:rsidR="00222BEE">
          <w:rPr>
            <w:noProof/>
            <w:webHidden/>
          </w:rPr>
          <w:tab/>
        </w:r>
        <w:r w:rsidR="00222BEE">
          <w:rPr>
            <w:noProof/>
            <w:webHidden/>
          </w:rPr>
          <w:fldChar w:fldCharType="begin"/>
        </w:r>
        <w:r w:rsidR="00222BEE">
          <w:rPr>
            <w:noProof/>
            <w:webHidden/>
          </w:rPr>
          <w:instrText xml:space="preserve"> PAGEREF _Toc524424752 \h </w:instrText>
        </w:r>
        <w:r w:rsidR="00222BEE">
          <w:rPr>
            <w:noProof/>
            <w:webHidden/>
          </w:rPr>
        </w:r>
        <w:r w:rsidR="00222BEE">
          <w:rPr>
            <w:noProof/>
            <w:webHidden/>
          </w:rPr>
          <w:fldChar w:fldCharType="separate"/>
        </w:r>
        <w:r w:rsidR="00222BEE">
          <w:rPr>
            <w:noProof/>
            <w:webHidden/>
          </w:rPr>
          <w:t>85</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53" w:history="1">
        <w:r w:rsidR="00222BEE" w:rsidRPr="00974114">
          <w:rPr>
            <w:rStyle w:val="Hyperlink"/>
            <w:bCs/>
          </w:rPr>
          <w:t>6.5.1</w:t>
        </w:r>
        <w:r w:rsidR="00222BEE">
          <w:rPr>
            <w:rFonts w:asciiTheme="minorHAnsi" w:hAnsiTheme="minorHAnsi" w:cstheme="minorBidi"/>
            <w:color w:val="auto"/>
            <w:sz w:val="22"/>
            <w:szCs w:val="22"/>
            <w:lang w:eastAsia="zh-CN"/>
          </w:rPr>
          <w:tab/>
        </w:r>
        <w:r w:rsidR="00222BEE" w:rsidRPr="00974114">
          <w:rPr>
            <w:rStyle w:val="Hyperlink"/>
            <w:bCs/>
          </w:rPr>
          <w:t>Consumer contributions</w:t>
        </w:r>
        <w:r w:rsidR="00222BEE">
          <w:rPr>
            <w:webHidden/>
          </w:rPr>
          <w:tab/>
        </w:r>
        <w:r w:rsidR="00222BEE">
          <w:rPr>
            <w:webHidden/>
          </w:rPr>
          <w:fldChar w:fldCharType="begin"/>
        </w:r>
        <w:r w:rsidR="00222BEE">
          <w:rPr>
            <w:webHidden/>
          </w:rPr>
          <w:instrText xml:space="preserve"> PAGEREF _Toc524424753 \h </w:instrText>
        </w:r>
        <w:r w:rsidR="00222BEE">
          <w:rPr>
            <w:webHidden/>
          </w:rPr>
        </w:r>
        <w:r w:rsidR="00222BEE">
          <w:rPr>
            <w:webHidden/>
          </w:rPr>
          <w:fldChar w:fldCharType="separate"/>
        </w:r>
        <w:r w:rsidR="00222BEE">
          <w:rPr>
            <w:webHidden/>
          </w:rPr>
          <w:t>87</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4" w:history="1">
        <w:r w:rsidR="00222BEE" w:rsidRPr="00974114">
          <w:rPr>
            <w:rStyle w:val="Hyperlink"/>
            <w:bCs/>
            <w:noProof/>
          </w:rPr>
          <w:t>6.6</w:t>
        </w:r>
        <w:r w:rsidR="00222BEE">
          <w:rPr>
            <w:rFonts w:asciiTheme="minorHAnsi" w:hAnsiTheme="minorHAnsi" w:cstheme="minorBidi"/>
            <w:b w:val="0"/>
            <w:noProof/>
            <w:color w:val="auto"/>
            <w:sz w:val="22"/>
            <w:szCs w:val="22"/>
            <w:lang w:eastAsia="zh-CN"/>
          </w:rPr>
          <w:tab/>
        </w:r>
        <w:r w:rsidR="00222BEE" w:rsidRPr="00974114">
          <w:rPr>
            <w:rStyle w:val="Hyperlink"/>
            <w:bCs/>
            <w:noProof/>
          </w:rPr>
          <w:t>Looking forward</w:t>
        </w:r>
        <w:r w:rsidR="00222BEE">
          <w:rPr>
            <w:noProof/>
            <w:webHidden/>
          </w:rPr>
          <w:tab/>
        </w:r>
        <w:r w:rsidR="00222BEE">
          <w:rPr>
            <w:noProof/>
            <w:webHidden/>
          </w:rPr>
          <w:fldChar w:fldCharType="begin"/>
        </w:r>
        <w:r w:rsidR="00222BEE">
          <w:rPr>
            <w:noProof/>
            <w:webHidden/>
          </w:rPr>
          <w:instrText xml:space="preserve"> PAGEREF _Toc524424754 \h </w:instrText>
        </w:r>
        <w:r w:rsidR="00222BEE">
          <w:rPr>
            <w:noProof/>
            <w:webHidden/>
          </w:rPr>
        </w:r>
        <w:r w:rsidR="00222BEE">
          <w:rPr>
            <w:noProof/>
            <w:webHidden/>
          </w:rPr>
          <w:fldChar w:fldCharType="separate"/>
        </w:r>
        <w:r w:rsidR="00222BEE">
          <w:rPr>
            <w:noProof/>
            <w:webHidden/>
          </w:rPr>
          <w:t>87</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55" w:history="1">
        <w:r w:rsidR="00222BEE" w:rsidRPr="00974114">
          <w:rPr>
            <w:rStyle w:val="Hyperlink"/>
            <w:noProof/>
          </w:rPr>
          <w:t>7.</w:t>
        </w:r>
        <w:r w:rsidR="00222BEE">
          <w:rPr>
            <w:rFonts w:asciiTheme="minorHAnsi" w:hAnsiTheme="minorHAnsi" w:cstheme="minorBidi"/>
            <w:b w:val="0"/>
            <w:noProof/>
            <w:color w:val="auto"/>
            <w:sz w:val="22"/>
            <w:szCs w:val="22"/>
            <w:lang w:eastAsia="zh-CN"/>
          </w:rPr>
          <w:tab/>
        </w:r>
        <w:r w:rsidR="00222BEE" w:rsidRPr="00974114">
          <w:rPr>
            <w:rStyle w:val="Hyperlink"/>
            <w:noProof/>
          </w:rPr>
          <w:t>Home care: operational performance</w:t>
        </w:r>
        <w:r w:rsidR="00222BEE">
          <w:rPr>
            <w:noProof/>
            <w:webHidden/>
          </w:rPr>
          <w:tab/>
        </w:r>
        <w:r w:rsidR="00222BEE">
          <w:rPr>
            <w:noProof/>
            <w:webHidden/>
          </w:rPr>
          <w:fldChar w:fldCharType="begin"/>
        </w:r>
        <w:r w:rsidR="00222BEE">
          <w:rPr>
            <w:noProof/>
            <w:webHidden/>
          </w:rPr>
          <w:instrText xml:space="preserve"> PAGEREF _Toc524424755 \h </w:instrText>
        </w:r>
        <w:r w:rsidR="00222BEE">
          <w:rPr>
            <w:noProof/>
            <w:webHidden/>
          </w:rPr>
        </w:r>
        <w:r w:rsidR="00222BEE">
          <w:rPr>
            <w:noProof/>
            <w:webHidden/>
          </w:rPr>
          <w:fldChar w:fldCharType="separate"/>
        </w:r>
        <w:r w:rsidR="00222BEE">
          <w:rPr>
            <w:noProof/>
            <w:webHidden/>
          </w:rPr>
          <w:t>88</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6" w:history="1">
        <w:r w:rsidR="00222BEE" w:rsidRPr="00974114">
          <w:rPr>
            <w:rStyle w:val="Hyperlink"/>
            <w:bCs/>
            <w:noProof/>
          </w:rPr>
          <w:t>7.1</w:t>
        </w:r>
        <w:r w:rsidR="00222BEE">
          <w:rPr>
            <w:rFonts w:asciiTheme="minorHAnsi" w:hAnsiTheme="minorHAnsi" w:cstheme="minorBidi"/>
            <w:b w:val="0"/>
            <w:noProof/>
            <w:color w:val="auto"/>
            <w:sz w:val="22"/>
            <w:szCs w:val="22"/>
            <w:lang w:eastAsia="zh-CN"/>
          </w:rPr>
          <w:tab/>
        </w:r>
        <w:r w:rsidR="00222BEE" w:rsidRPr="00974114">
          <w:rPr>
            <w:rStyle w:val="Hyperlink"/>
            <w:bCs/>
            <w:noProof/>
          </w:rPr>
          <w:t>The Home Care Packages Programme</w:t>
        </w:r>
        <w:r w:rsidR="00222BEE">
          <w:rPr>
            <w:noProof/>
            <w:webHidden/>
          </w:rPr>
          <w:tab/>
        </w:r>
        <w:r w:rsidR="00222BEE">
          <w:rPr>
            <w:noProof/>
            <w:webHidden/>
          </w:rPr>
          <w:fldChar w:fldCharType="begin"/>
        </w:r>
        <w:r w:rsidR="00222BEE">
          <w:rPr>
            <w:noProof/>
            <w:webHidden/>
          </w:rPr>
          <w:instrText xml:space="preserve"> PAGEREF _Toc524424756 \h </w:instrText>
        </w:r>
        <w:r w:rsidR="00222BEE">
          <w:rPr>
            <w:noProof/>
            <w:webHidden/>
          </w:rPr>
        </w:r>
        <w:r w:rsidR="00222BEE">
          <w:rPr>
            <w:noProof/>
            <w:webHidden/>
          </w:rPr>
          <w:fldChar w:fldCharType="separate"/>
        </w:r>
        <w:r w:rsidR="00222BEE">
          <w:rPr>
            <w:noProof/>
            <w:webHidden/>
          </w:rPr>
          <w:t>88</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57" w:history="1">
        <w:r w:rsidR="00222BEE" w:rsidRPr="00974114">
          <w:rPr>
            <w:rStyle w:val="Hyperlink"/>
            <w:bCs/>
          </w:rPr>
          <w:t>7.1.1</w:t>
        </w:r>
        <w:r w:rsidR="00222BEE">
          <w:rPr>
            <w:rFonts w:asciiTheme="minorHAnsi" w:hAnsiTheme="minorHAnsi" w:cstheme="minorBidi"/>
            <w:color w:val="auto"/>
            <w:sz w:val="22"/>
            <w:szCs w:val="22"/>
            <w:lang w:eastAsia="zh-CN"/>
          </w:rPr>
          <w:tab/>
        </w:r>
        <w:r w:rsidR="00222BEE" w:rsidRPr="00974114">
          <w:rPr>
            <w:rStyle w:val="Hyperlink"/>
            <w:bCs/>
          </w:rPr>
          <w:t>Measuring financial performance of home care</w:t>
        </w:r>
        <w:r w:rsidR="00222BEE">
          <w:rPr>
            <w:webHidden/>
          </w:rPr>
          <w:tab/>
        </w:r>
        <w:r w:rsidR="00222BEE">
          <w:rPr>
            <w:webHidden/>
          </w:rPr>
          <w:fldChar w:fldCharType="begin"/>
        </w:r>
        <w:r w:rsidR="00222BEE">
          <w:rPr>
            <w:webHidden/>
          </w:rPr>
          <w:instrText xml:space="preserve"> PAGEREF _Toc524424757 \h </w:instrText>
        </w:r>
        <w:r w:rsidR="00222BEE">
          <w:rPr>
            <w:webHidden/>
          </w:rPr>
        </w:r>
        <w:r w:rsidR="00222BEE">
          <w:rPr>
            <w:webHidden/>
          </w:rPr>
          <w:fldChar w:fldCharType="separate"/>
        </w:r>
        <w:r w:rsidR="00222BEE">
          <w:rPr>
            <w:webHidden/>
          </w:rPr>
          <w:t>89</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8" w:history="1">
        <w:r w:rsidR="00222BEE" w:rsidRPr="00974114">
          <w:rPr>
            <w:rStyle w:val="Hyperlink"/>
            <w:bCs/>
            <w:noProof/>
          </w:rPr>
          <w:t>7.2</w:t>
        </w:r>
        <w:r w:rsidR="00222BEE">
          <w:rPr>
            <w:rFonts w:asciiTheme="minorHAnsi" w:hAnsiTheme="minorHAnsi" w:cstheme="minorBidi"/>
            <w:b w:val="0"/>
            <w:noProof/>
            <w:color w:val="auto"/>
            <w:sz w:val="22"/>
            <w:szCs w:val="22"/>
            <w:lang w:eastAsia="zh-CN"/>
          </w:rPr>
          <w:tab/>
        </w:r>
        <w:r w:rsidR="00222BEE" w:rsidRPr="00974114">
          <w:rPr>
            <w:rStyle w:val="Hyperlink"/>
            <w:bCs/>
            <w:noProof/>
          </w:rPr>
          <w:t>Providers of home care</w:t>
        </w:r>
        <w:r w:rsidR="00222BEE">
          <w:rPr>
            <w:noProof/>
            <w:webHidden/>
          </w:rPr>
          <w:tab/>
        </w:r>
        <w:r w:rsidR="00222BEE">
          <w:rPr>
            <w:noProof/>
            <w:webHidden/>
          </w:rPr>
          <w:fldChar w:fldCharType="begin"/>
        </w:r>
        <w:r w:rsidR="00222BEE">
          <w:rPr>
            <w:noProof/>
            <w:webHidden/>
          </w:rPr>
          <w:instrText xml:space="preserve"> PAGEREF _Toc524424758 \h </w:instrText>
        </w:r>
        <w:r w:rsidR="00222BEE">
          <w:rPr>
            <w:noProof/>
            <w:webHidden/>
          </w:rPr>
        </w:r>
        <w:r w:rsidR="00222BEE">
          <w:rPr>
            <w:noProof/>
            <w:webHidden/>
          </w:rPr>
          <w:fldChar w:fldCharType="separate"/>
        </w:r>
        <w:r w:rsidR="00222BEE">
          <w:rPr>
            <w:noProof/>
            <w:webHidden/>
          </w:rPr>
          <w:t>89</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59" w:history="1">
        <w:r w:rsidR="00222BEE" w:rsidRPr="00974114">
          <w:rPr>
            <w:rStyle w:val="Hyperlink"/>
            <w:bCs/>
            <w:noProof/>
          </w:rPr>
          <w:t>7.3</w:t>
        </w:r>
        <w:r w:rsidR="00222BEE">
          <w:rPr>
            <w:rFonts w:asciiTheme="minorHAnsi" w:hAnsiTheme="minorHAnsi" w:cstheme="minorBidi"/>
            <w:b w:val="0"/>
            <w:noProof/>
            <w:color w:val="auto"/>
            <w:sz w:val="22"/>
            <w:szCs w:val="22"/>
            <w:lang w:eastAsia="zh-CN"/>
          </w:rPr>
          <w:tab/>
        </w:r>
        <w:r w:rsidR="00222BEE" w:rsidRPr="00974114">
          <w:rPr>
            <w:rStyle w:val="Hyperlink"/>
            <w:bCs/>
            <w:noProof/>
          </w:rPr>
          <w:t>Analysis of 2016–17 financial performance of home care providers</w:t>
        </w:r>
        <w:r w:rsidR="00222BEE">
          <w:rPr>
            <w:noProof/>
            <w:webHidden/>
          </w:rPr>
          <w:tab/>
        </w:r>
        <w:r w:rsidR="00222BEE">
          <w:rPr>
            <w:noProof/>
            <w:webHidden/>
          </w:rPr>
          <w:fldChar w:fldCharType="begin"/>
        </w:r>
        <w:r w:rsidR="00222BEE">
          <w:rPr>
            <w:noProof/>
            <w:webHidden/>
          </w:rPr>
          <w:instrText xml:space="preserve"> PAGEREF _Toc524424759 \h </w:instrText>
        </w:r>
        <w:r w:rsidR="00222BEE">
          <w:rPr>
            <w:noProof/>
            <w:webHidden/>
          </w:rPr>
        </w:r>
        <w:r w:rsidR="00222BEE">
          <w:rPr>
            <w:noProof/>
            <w:webHidden/>
          </w:rPr>
          <w:fldChar w:fldCharType="separate"/>
        </w:r>
        <w:r w:rsidR="00222BEE">
          <w:rPr>
            <w:noProof/>
            <w:webHidden/>
          </w:rPr>
          <w:t>93</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0" w:history="1">
        <w:r w:rsidR="00222BEE" w:rsidRPr="00974114">
          <w:rPr>
            <w:rStyle w:val="Hyperlink"/>
            <w:bCs/>
          </w:rPr>
          <w:t>7.3.1</w:t>
        </w:r>
        <w:r w:rsidR="00222BEE">
          <w:rPr>
            <w:rFonts w:asciiTheme="minorHAnsi" w:hAnsiTheme="minorHAnsi" w:cstheme="minorBidi"/>
            <w:color w:val="auto"/>
            <w:sz w:val="22"/>
            <w:szCs w:val="22"/>
            <w:lang w:eastAsia="zh-CN"/>
          </w:rPr>
          <w:tab/>
        </w:r>
        <w:r w:rsidR="00222BEE" w:rsidRPr="00974114">
          <w:rPr>
            <w:rStyle w:val="Hyperlink"/>
            <w:bCs/>
          </w:rPr>
          <w:t>Home care funding sources</w:t>
        </w:r>
        <w:r w:rsidR="00222BEE">
          <w:rPr>
            <w:webHidden/>
          </w:rPr>
          <w:tab/>
        </w:r>
        <w:r w:rsidR="00222BEE">
          <w:rPr>
            <w:webHidden/>
          </w:rPr>
          <w:fldChar w:fldCharType="begin"/>
        </w:r>
        <w:r w:rsidR="00222BEE">
          <w:rPr>
            <w:webHidden/>
          </w:rPr>
          <w:instrText xml:space="preserve"> PAGEREF _Toc524424760 \h </w:instrText>
        </w:r>
        <w:r w:rsidR="00222BEE">
          <w:rPr>
            <w:webHidden/>
          </w:rPr>
        </w:r>
        <w:r w:rsidR="00222BEE">
          <w:rPr>
            <w:webHidden/>
          </w:rPr>
          <w:fldChar w:fldCharType="separate"/>
        </w:r>
        <w:r w:rsidR="00222BEE">
          <w:rPr>
            <w:webHidden/>
          </w:rPr>
          <w:t>94</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1" w:history="1">
        <w:r w:rsidR="00222BEE" w:rsidRPr="00974114">
          <w:rPr>
            <w:rStyle w:val="Hyperlink"/>
            <w:bCs/>
          </w:rPr>
          <w:t>7.3.2</w:t>
        </w:r>
        <w:r w:rsidR="00222BEE">
          <w:rPr>
            <w:rFonts w:asciiTheme="minorHAnsi" w:hAnsiTheme="minorHAnsi" w:cstheme="minorBidi"/>
            <w:color w:val="auto"/>
            <w:sz w:val="22"/>
            <w:szCs w:val="22"/>
            <w:lang w:eastAsia="zh-CN"/>
          </w:rPr>
          <w:tab/>
        </w:r>
        <w:r w:rsidR="00222BEE" w:rsidRPr="00974114">
          <w:rPr>
            <w:rStyle w:val="Hyperlink"/>
            <w:bCs/>
          </w:rPr>
          <w:t>Revenue</w:t>
        </w:r>
        <w:r w:rsidR="00222BEE">
          <w:rPr>
            <w:webHidden/>
          </w:rPr>
          <w:tab/>
        </w:r>
        <w:r w:rsidR="00222BEE">
          <w:rPr>
            <w:webHidden/>
          </w:rPr>
          <w:fldChar w:fldCharType="begin"/>
        </w:r>
        <w:r w:rsidR="00222BEE">
          <w:rPr>
            <w:webHidden/>
          </w:rPr>
          <w:instrText xml:space="preserve"> PAGEREF _Toc524424761 \h </w:instrText>
        </w:r>
        <w:r w:rsidR="00222BEE">
          <w:rPr>
            <w:webHidden/>
          </w:rPr>
        </w:r>
        <w:r w:rsidR="00222BEE">
          <w:rPr>
            <w:webHidden/>
          </w:rPr>
          <w:fldChar w:fldCharType="separate"/>
        </w:r>
        <w:r w:rsidR="00222BEE">
          <w:rPr>
            <w:webHidden/>
          </w:rPr>
          <w:t>95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2" w:history="1">
        <w:r w:rsidR="00222BEE" w:rsidRPr="00974114">
          <w:rPr>
            <w:rStyle w:val="Hyperlink"/>
            <w:bCs/>
          </w:rPr>
          <w:t>7.3.3</w:t>
        </w:r>
        <w:r w:rsidR="00222BEE">
          <w:rPr>
            <w:rFonts w:asciiTheme="minorHAnsi" w:hAnsiTheme="minorHAnsi" w:cstheme="minorBidi"/>
            <w:color w:val="auto"/>
            <w:sz w:val="22"/>
            <w:szCs w:val="22"/>
            <w:lang w:eastAsia="zh-CN"/>
          </w:rPr>
          <w:tab/>
        </w:r>
        <w:r w:rsidR="00222BEE" w:rsidRPr="00974114">
          <w:rPr>
            <w:rStyle w:val="Hyperlink"/>
            <w:bCs/>
          </w:rPr>
          <w:t>Expenditure</w:t>
        </w:r>
        <w:r w:rsidR="00222BEE">
          <w:rPr>
            <w:webHidden/>
          </w:rPr>
          <w:tab/>
        </w:r>
        <w:r w:rsidR="00222BEE">
          <w:rPr>
            <w:webHidden/>
          </w:rPr>
          <w:fldChar w:fldCharType="begin"/>
        </w:r>
        <w:r w:rsidR="00222BEE">
          <w:rPr>
            <w:webHidden/>
          </w:rPr>
          <w:instrText xml:space="preserve"> PAGEREF _Toc524424762 \h </w:instrText>
        </w:r>
        <w:r w:rsidR="00222BEE">
          <w:rPr>
            <w:webHidden/>
          </w:rPr>
        </w:r>
        <w:r w:rsidR="00222BEE">
          <w:rPr>
            <w:webHidden/>
          </w:rPr>
          <w:fldChar w:fldCharType="separate"/>
        </w:r>
        <w:r w:rsidR="00222BEE">
          <w:rPr>
            <w:webHidden/>
          </w:rPr>
          <w:t>96</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3" w:history="1">
        <w:r w:rsidR="00222BEE" w:rsidRPr="00974114">
          <w:rPr>
            <w:rStyle w:val="Hyperlink"/>
            <w:bCs/>
          </w:rPr>
          <w:t>7.3.4</w:t>
        </w:r>
        <w:r w:rsidR="00222BEE">
          <w:rPr>
            <w:rFonts w:asciiTheme="minorHAnsi" w:hAnsiTheme="minorHAnsi" w:cstheme="minorBidi"/>
            <w:color w:val="auto"/>
            <w:sz w:val="22"/>
            <w:szCs w:val="22"/>
            <w:lang w:eastAsia="zh-CN"/>
          </w:rPr>
          <w:tab/>
        </w:r>
        <w:r w:rsidR="00222BEE" w:rsidRPr="00974114">
          <w:rPr>
            <w:rStyle w:val="Hyperlink"/>
            <w:bCs/>
          </w:rPr>
          <w:t>Profit</w:t>
        </w:r>
        <w:r w:rsidR="00222BEE">
          <w:rPr>
            <w:webHidden/>
          </w:rPr>
          <w:tab/>
        </w:r>
        <w:r w:rsidR="00222BEE">
          <w:rPr>
            <w:webHidden/>
          </w:rPr>
          <w:fldChar w:fldCharType="begin"/>
        </w:r>
        <w:r w:rsidR="00222BEE">
          <w:rPr>
            <w:webHidden/>
          </w:rPr>
          <w:instrText xml:space="preserve"> PAGEREF _Toc524424763 \h </w:instrText>
        </w:r>
        <w:r w:rsidR="00222BEE">
          <w:rPr>
            <w:webHidden/>
          </w:rPr>
        </w:r>
        <w:r w:rsidR="00222BEE">
          <w:rPr>
            <w:webHidden/>
          </w:rPr>
          <w:fldChar w:fldCharType="separate"/>
        </w:r>
        <w:r w:rsidR="00222BEE">
          <w:rPr>
            <w:webHidden/>
          </w:rPr>
          <w:t>98</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4" w:history="1">
        <w:r w:rsidR="00222BEE" w:rsidRPr="00974114">
          <w:rPr>
            <w:rStyle w:val="Hyperlink"/>
            <w:bCs/>
          </w:rPr>
          <w:t>7.3.5</w:t>
        </w:r>
        <w:r w:rsidR="00222BEE">
          <w:rPr>
            <w:rFonts w:asciiTheme="minorHAnsi" w:hAnsiTheme="minorHAnsi" w:cstheme="minorBidi"/>
            <w:color w:val="auto"/>
            <w:sz w:val="22"/>
            <w:szCs w:val="22"/>
            <w:lang w:eastAsia="zh-CN"/>
          </w:rPr>
          <w:tab/>
        </w:r>
        <w:r w:rsidR="00222BEE" w:rsidRPr="00974114">
          <w:rPr>
            <w:rStyle w:val="Hyperlink"/>
            <w:bCs/>
          </w:rPr>
          <w:t>Financial performance analysis 2017–18</w:t>
        </w:r>
        <w:r w:rsidR="00222BEE">
          <w:rPr>
            <w:webHidden/>
          </w:rPr>
          <w:tab/>
        </w:r>
        <w:r w:rsidR="00222BEE">
          <w:rPr>
            <w:webHidden/>
          </w:rPr>
          <w:fldChar w:fldCharType="begin"/>
        </w:r>
        <w:r w:rsidR="00222BEE">
          <w:rPr>
            <w:webHidden/>
          </w:rPr>
          <w:instrText xml:space="preserve"> PAGEREF _Toc524424764 \h </w:instrText>
        </w:r>
        <w:r w:rsidR="00222BEE">
          <w:rPr>
            <w:webHidden/>
          </w:rPr>
        </w:r>
        <w:r w:rsidR="00222BEE">
          <w:rPr>
            <w:webHidden/>
          </w:rPr>
          <w:fldChar w:fldCharType="separate"/>
        </w:r>
        <w:r w:rsidR="00222BEE">
          <w:rPr>
            <w:webHidden/>
          </w:rPr>
          <w:t>104</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65" w:history="1">
        <w:r w:rsidR="00222BEE" w:rsidRPr="00974114">
          <w:rPr>
            <w:rStyle w:val="Hyperlink"/>
            <w:bCs/>
          </w:rPr>
          <w:t>7.3.6</w:t>
        </w:r>
        <w:r w:rsidR="00222BEE">
          <w:rPr>
            <w:rFonts w:asciiTheme="minorHAnsi" w:hAnsiTheme="minorHAnsi" w:cstheme="minorBidi"/>
            <w:color w:val="auto"/>
            <w:sz w:val="22"/>
            <w:szCs w:val="22"/>
            <w:lang w:eastAsia="zh-CN"/>
          </w:rPr>
          <w:tab/>
        </w:r>
        <w:r w:rsidR="00222BEE" w:rsidRPr="00974114">
          <w:rPr>
            <w:rStyle w:val="Hyperlink"/>
            <w:bCs/>
          </w:rPr>
          <w:t>Unspent funds</w:t>
        </w:r>
        <w:r w:rsidR="00222BEE">
          <w:rPr>
            <w:webHidden/>
          </w:rPr>
          <w:tab/>
        </w:r>
        <w:r w:rsidR="00222BEE">
          <w:rPr>
            <w:webHidden/>
          </w:rPr>
          <w:fldChar w:fldCharType="begin"/>
        </w:r>
        <w:r w:rsidR="00222BEE">
          <w:rPr>
            <w:webHidden/>
          </w:rPr>
          <w:instrText xml:space="preserve"> PAGEREF _Toc524424765 \h </w:instrText>
        </w:r>
        <w:r w:rsidR="00222BEE">
          <w:rPr>
            <w:webHidden/>
          </w:rPr>
        </w:r>
        <w:r w:rsidR="00222BEE">
          <w:rPr>
            <w:webHidden/>
          </w:rPr>
          <w:fldChar w:fldCharType="separate"/>
        </w:r>
        <w:r w:rsidR="00222BEE">
          <w:rPr>
            <w:webHidden/>
          </w:rPr>
          <w:t>105</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66" w:history="1">
        <w:r w:rsidR="00222BEE" w:rsidRPr="00974114">
          <w:rPr>
            <w:rStyle w:val="Hyperlink"/>
            <w:bCs/>
            <w:noProof/>
          </w:rPr>
          <w:t>7.4</w:t>
        </w:r>
        <w:r w:rsidR="00222BEE">
          <w:rPr>
            <w:rFonts w:asciiTheme="minorHAnsi" w:hAnsiTheme="minorHAnsi" w:cstheme="minorBidi"/>
            <w:b w:val="0"/>
            <w:noProof/>
            <w:color w:val="auto"/>
            <w:sz w:val="22"/>
            <w:szCs w:val="22"/>
            <w:lang w:eastAsia="zh-CN"/>
          </w:rPr>
          <w:tab/>
        </w:r>
        <w:r w:rsidR="00222BEE" w:rsidRPr="00974114">
          <w:rPr>
            <w:rStyle w:val="Hyperlink"/>
            <w:bCs/>
            <w:noProof/>
          </w:rPr>
          <w:t>Looking forward</w:t>
        </w:r>
        <w:r w:rsidR="00222BEE">
          <w:rPr>
            <w:noProof/>
            <w:webHidden/>
          </w:rPr>
          <w:tab/>
        </w:r>
        <w:r w:rsidR="00222BEE">
          <w:rPr>
            <w:noProof/>
            <w:webHidden/>
          </w:rPr>
          <w:fldChar w:fldCharType="begin"/>
        </w:r>
        <w:r w:rsidR="00222BEE">
          <w:rPr>
            <w:noProof/>
            <w:webHidden/>
          </w:rPr>
          <w:instrText xml:space="preserve"> PAGEREF _Toc524424766 \h </w:instrText>
        </w:r>
        <w:r w:rsidR="00222BEE">
          <w:rPr>
            <w:noProof/>
            <w:webHidden/>
          </w:rPr>
        </w:r>
        <w:r w:rsidR="00222BEE">
          <w:rPr>
            <w:noProof/>
            <w:webHidden/>
          </w:rPr>
          <w:fldChar w:fldCharType="separate"/>
        </w:r>
        <w:r w:rsidR="00222BEE">
          <w:rPr>
            <w:noProof/>
            <w:webHidden/>
          </w:rPr>
          <w:t>105</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67" w:history="1">
        <w:r w:rsidR="00222BEE" w:rsidRPr="00974114">
          <w:rPr>
            <w:rStyle w:val="Hyperlink"/>
            <w:noProof/>
          </w:rPr>
          <w:t>8.</w:t>
        </w:r>
        <w:r w:rsidR="00222BEE">
          <w:rPr>
            <w:rFonts w:asciiTheme="minorHAnsi" w:hAnsiTheme="minorHAnsi" w:cstheme="minorBidi"/>
            <w:b w:val="0"/>
            <w:noProof/>
            <w:color w:val="auto"/>
            <w:sz w:val="22"/>
            <w:szCs w:val="22"/>
            <w:lang w:eastAsia="zh-CN"/>
          </w:rPr>
          <w:tab/>
        </w:r>
        <w:r w:rsidR="00222BEE" w:rsidRPr="00974114">
          <w:rPr>
            <w:rStyle w:val="Hyperlink"/>
            <w:noProof/>
          </w:rPr>
          <w:t>Residential aged care: characteristics of the sector</w:t>
        </w:r>
        <w:r w:rsidR="00222BEE">
          <w:rPr>
            <w:noProof/>
            <w:webHidden/>
          </w:rPr>
          <w:tab/>
        </w:r>
        <w:r w:rsidR="00222BEE">
          <w:rPr>
            <w:noProof/>
            <w:webHidden/>
          </w:rPr>
          <w:fldChar w:fldCharType="begin"/>
        </w:r>
        <w:r w:rsidR="00222BEE">
          <w:rPr>
            <w:noProof/>
            <w:webHidden/>
          </w:rPr>
          <w:instrText xml:space="preserve"> PAGEREF _Toc524424767 \h </w:instrText>
        </w:r>
        <w:r w:rsidR="00222BEE">
          <w:rPr>
            <w:noProof/>
            <w:webHidden/>
          </w:rPr>
        </w:r>
        <w:r w:rsidR="00222BEE">
          <w:rPr>
            <w:noProof/>
            <w:webHidden/>
          </w:rPr>
          <w:fldChar w:fldCharType="separate"/>
        </w:r>
        <w:r w:rsidR="00222BEE">
          <w:rPr>
            <w:noProof/>
            <w:webHidden/>
          </w:rPr>
          <w:t>107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68" w:history="1">
        <w:r w:rsidR="00222BEE" w:rsidRPr="00974114">
          <w:rPr>
            <w:rStyle w:val="Hyperlink"/>
            <w:bCs/>
            <w:noProof/>
          </w:rPr>
          <w:t>8.1</w:t>
        </w:r>
        <w:r w:rsidR="00222BEE">
          <w:rPr>
            <w:rFonts w:asciiTheme="minorHAnsi" w:hAnsiTheme="minorHAnsi" w:cstheme="minorBidi"/>
            <w:b w:val="0"/>
            <w:noProof/>
            <w:color w:val="auto"/>
            <w:sz w:val="22"/>
            <w:szCs w:val="22"/>
            <w:lang w:eastAsia="zh-CN"/>
          </w:rPr>
          <w:tab/>
        </w:r>
        <w:r w:rsidR="00222BEE" w:rsidRPr="00974114">
          <w:rPr>
            <w:rStyle w:val="Hyperlink"/>
            <w:bCs/>
            <w:noProof/>
          </w:rPr>
          <w:t>Sector overview</w:t>
        </w:r>
        <w:r w:rsidR="00222BEE">
          <w:rPr>
            <w:noProof/>
            <w:webHidden/>
          </w:rPr>
          <w:tab/>
        </w:r>
        <w:r w:rsidR="00222BEE">
          <w:rPr>
            <w:noProof/>
            <w:webHidden/>
          </w:rPr>
          <w:fldChar w:fldCharType="begin"/>
        </w:r>
        <w:r w:rsidR="00222BEE">
          <w:rPr>
            <w:noProof/>
            <w:webHidden/>
          </w:rPr>
          <w:instrText xml:space="preserve"> PAGEREF _Toc524424768 \h </w:instrText>
        </w:r>
        <w:r w:rsidR="00222BEE">
          <w:rPr>
            <w:noProof/>
            <w:webHidden/>
          </w:rPr>
        </w:r>
        <w:r w:rsidR="00222BEE">
          <w:rPr>
            <w:noProof/>
            <w:webHidden/>
          </w:rPr>
          <w:fldChar w:fldCharType="separate"/>
        </w:r>
        <w:r w:rsidR="00222BEE">
          <w:rPr>
            <w:noProof/>
            <w:webHidden/>
          </w:rPr>
          <w:t>108</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69" w:history="1">
        <w:r w:rsidR="00222BEE" w:rsidRPr="00974114">
          <w:rPr>
            <w:rStyle w:val="Hyperlink"/>
            <w:bCs/>
            <w:noProof/>
          </w:rPr>
          <w:t>8.2</w:t>
        </w:r>
        <w:r w:rsidR="00222BEE">
          <w:rPr>
            <w:rFonts w:asciiTheme="minorHAnsi" w:hAnsiTheme="minorHAnsi" w:cstheme="minorBidi"/>
            <w:b w:val="0"/>
            <w:noProof/>
            <w:color w:val="auto"/>
            <w:sz w:val="22"/>
            <w:szCs w:val="22"/>
            <w:lang w:eastAsia="zh-CN"/>
          </w:rPr>
          <w:tab/>
        </w:r>
        <w:r w:rsidR="00222BEE" w:rsidRPr="00974114">
          <w:rPr>
            <w:rStyle w:val="Hyperlink"/>
            <w:bCs/>
            <w:noProof/>
          </w:rPr>
          <w:t>Supply of residential care</w:t>
        </w:r>
        <w:r w:rsidR="00222BEE">
          <w:rPr>
            <w:noProof/>
            <w:webHidden/>
          </w:rPr>
          <w:tab/>
        </w:r>
        <w:r w:rsidR="00222BEE">
          <w:rPr>
            <w:noProof/>
            <w:webHidden/>
          </w:rPr>
          <w:fldChar w:fldCharType="begin"/>
        </w:r>
        <w:r w:rsidR="00222BEE">
          <w:rPr>
            <w:noProof/>
            <w:webHidden/>
          </w:rPr>
          <w:instrText xml:space="preserve"> PAGEREF _Toc524424769 \h </w:instrText>
        </w:r>
        <w:r w:rsidR="00222BEE">
          <w:rPr>
            <w:noProof/>
            <w:webHidden/>
          </w:rPr>
        </w:r>
        <w:r w:rsidR="00222BEE">
          <w:rPr>
            <w:noProof/>
            <w:webHidden/>
          </w:rPr>
          <w:fldChar w:fldCharType="separate"/>
        </w:r>
        <w:r w:rsidR="00222BEE">
          <w:rPr>
            <w:noProof/>
            <w:webHidden/>
          </w:rPr>
          <w:t>108</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0" w:history="1">
        <w:r w:rsidR="00222BEE" w:rsidRPr="00974114">
          <w:rPr>
            <w:rStyle w:val="Hyperlink"/>
            <w:bCs/>
          </w:rPr>
          <w:t>8.2.1</w:t>
        </w:r>
        <w:r w:rsidR="00222BEE">
          <w:rPr>
            <w:rFonts w:asciiTheme="minorHAnsi" w:hAnsiTheme="minorHAnsi" w:cstheme="minorBidi"/>
            <w:color w:val="auto"/>
            <w:sz w:val="22"/>
            <w:szCs w:val="22"/>
            <w:lang w:eastAsia="zh-CN"/>
          </w:rPr>
          <w:tab/>
        </w:r>
        <w:r w:rsidR="00222BEE" w:rsidRPr="00974114">
          <w:rPr>
            <w:rStyle w:val="Hyperlink"/>
            <w:bCs/>
          </w:rPr>
          <w:t>Residential care providers</w:t>
        </w:r>
        <w:r w:rsidR="00222BEE">
          <w:rPr>
            <w:webHidden/>
          </w:rPr>
          <w:tab/>
        </w:r>
        <w:r w:rsidR="00222BEE">
          <w:rPr>
            <w:webHidden/>
          </w:rPr>
          <w:fldChar w:fldCharType="begin"/>
        </w:r>
        <w:r w:rsidR="00222BEE">
          <w:rPr>
            <w:webHidden/>
          </w:rPr>
          <w:instrText xml:space="preserve"> PAGEREF _Toc524424770 \h </w:instrText>
        </w:r>
        <w:r w:rsidR="00222BEE">
          <w:rPr>
            <w:webHidden/>
          </w:rPr>
        </w:r>
        <w:r w:rsidR="00222BEE">
          <w:rPr>
            <w:webHidden/>
          </w:rPr>
          <w:fldChar w:fldCharType="separate"/>
        </w:r>
        <w:r w:rsidR="00222BEE">
          <w:rPr>
            <w:webHidden/>
          </w:rPr>
          <w:t>109</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1" w:history="1">
        <w:r w:rsidR="00222BEE" w:rsidRPr="00974114">
          <w:rPr>
            <w:rStyle w:val="Hyperlink"/>
            <w:bCs/>
          </w:rPr>
          <w:t>8.2.2</w:t>
        </w:r>
        <w:r w:rsidR="00222BEE">
          <w:rPr>
            <w:rFonts w:asciiTheme="minorHAnsi" w:hAnsiTheme="minorHAnsi" w:cstheme="minorBidi"/>
            <w:color w:val="auto"/>
            <w:sz w:val="22"/>
            <w:szCs w:val="22"/>
            <w:lang w:eastAsia="zh-CN"/>
          </w:rPr>
          <w:tab/>
        </w:r>
        <w:r w:rsidR="00222BEE" w:rsidRPr="00974114">
          <w:rPr>
            <w:rStyle w:val="Hyperlink"/>
            <w:bCs/>
          </w:rPr>
          <w:t>Ownership type</w:t>
        </w:r>
        <w:r w:rsidR="00222BEE">
          <w:rPr>
            <w:webHidden/>
          </w:rPr>
          <w:tab/>
        </w:r>
        <w:r w:rsidR="00222BEE">
          <w:rPr>
            <w:webHidden/>
          </w:rPr>
          <w:fldChar w:fldCharType="begin"/>
        </w:r>
        <w:r w:rsidR="00222BEE">
          <w:rPr>
            <w:webHidden/>
          </w:rPr>
          <w:instrText xml:space="preserve"> PAGEREF _Toc524424771 \h </w:instrText>
        </w:r>
        <w:r w:rsidR="00222BEE">
          <w:rPr>
            <w:webHidden/>
          </w:rPr>
        </w:r>
        <w:r w:rsidR="00222BEE">
          <w:rPr>
            <w:webHidden/>
          </w:rPr>
          <w:fldChar w:fldCharType="separate"/>
        </w:r>
        <w:r w:rsidR="00222BEE">
          <w:rPr>
            <w:webHidden/>
          </w:rPr>
          <w:t>110</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2" w:history="1">
        <w:r w:rsidR="00222BEE" w:rsidRPr="00974114">
          <w:rPr>
            <w:rStyle w:val="Hyperlink"/>
            <w:bCs/>
          </w:rPr>
          <w:t>8.2.3</w:t>
        </w:r>
        <w:r w:rsidR="00222BEE">
          <w:rPr>
            <w:rFonts w:asciiTheme="minorHAnsi" w:hAnsiTheme="minorHAnsi" w:cstheme="minorBidi"/>
            <w:color w:val="auto"/>
            <w:sz w:val="22"/>
            <w:szCs w:val="22"/>
            <w:lang w:eastAsia="zh-CN"/>
          </w:rPr>
          <w:tab/>
        </w:r>
        <w:r w:rsidR="00222BEE" w:rsidRPr="00974114">
          <w:rPr>
            <w:rStyle w:val="Hyperlink"/>
            <w:bCs/>
          </w:rPr>
          <w:t>Provider scale</w:t>
        </w:r>
        <w:r w:rsidR="00222BEE">
          <w:rPr>
            <w:webHidden/>
          </w:rPr>
          <w:tab/>
        </w:r>
        <w:r w:rsidR="00222BEE">
          <w:rPr>
            <w:webHidden/>
          </w:rPr>
          <w:fldChar w:fldCharType="begin"/>
        </w:r>
        <w:r w:rsidR="00222BEE">
          <w:rPr>
            <w:webHidden/>
          </w:rPr>
          <w:instrText xml:space="preserve"> PAGEREF _Toc524424772 \h </w:instrText>
        </w:r>
        <w:r w:rsidR="00222BEE">
          <w:rPr>
            <w:webHidden/>
          </w:rPr>
        </w:r>
        <w:r w:rsidR="00222BEE">
          <w:rPr>
            <w:webHidden/>
          </w:rPr>
          <w:fldChar w:fldCharType="separate"/>
        </w:r>
        <w:r w:rsidR="00222BEE">
          <w:rPr>
            <w:webHidden/>
          </w:rPr>
          <w:t>111</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3" w:history="1">
        <w:r w:rsidR="00222BEE" w:rsidRPr="00974114">
          <w:rPr>
            <w:rStyle w:val="Hyperlink"/>
            <w:bCs/>
          </w:rPr>
          <w:t>8.2.4</w:t>
        </w:r>
        <w:r w:rsidR="00222BEE">
          <w:rPr>
            <w:rFonts w:asciiTheme="minorHAnsi" w:hAnsiTheme="minorHAnsi" w:cstheme="minorBidi"/>
            <w:color w:val="auto"/>
            <w:sz w:val="22"/>
            <w:szCs w:val="22"/>
            <w:lang w:eastAsia="zh-CN"/>
          </w:rPr>
          <w:tab/>
        </w:r>
        <w:r w:rsidR="00222BEE" w:rsidRPr="00974114">
          <w:rPr>
            <w:rStyle w:val="Hyperlink"/>
            <w:bCs/>
          </w:rPr>
          <w:t>Provider location</w:t>
        </w:r>
        <w:r w:rsidR="00222BEE">
          <w:rPr>
            <w:webHidden/>
          </w:rPr>
          <w:tab/>
        </w:r>
        <w:r w:rsidR="00222BEE">
          <w:rPr>
            <w:webHidden/>
          </w:rPr>
          <w:fldChar w:fldCharType="begin"/>
        </w:r>
        <w:r w:rsidR="00222BEE">
          <w:rPr>
            <w:webHidden/>
          </w:rPr>
          <w:instrText xml:space="preserve"> PAGEREF _Toc524424773 \h </w:instrText>
        </w:r>
        <w:r w:rsidR="00222BEE">
          <w:rPr>
            <w:webHidden/>
          </w:rPr>
        </w:r>
        <w:r w:rsidR="00222BEE">
          <w:rPr>
            <w:webHidden/>
          </w:rPr>
          <w:fldChar w:fldCharType="separate"/>
        </w:r>
        <w:r w:rsidR="00222BEE">
          <w:rPr>
            <w:webHidden/>
          </w:rPr>
          <w:t>111</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4" w:history="1">
        <w:r w:rsidR="00222BEE" w:rsidRPr="00974114">
          <w:rPr>
            <w:rStyle w:val="Hyperlink"/>
            <w:bCs/>
          </w:rPr>
          <w:t>8.2.5</w:t>
        </w:r>
        <w:r w:rsidR="00222BEE">
          <w:rPr>
            <w:rFonts w:asciiTheme="minorHAnsi" w:hAnsiTheme="minorHAnsi" w:cstheme="minorBidi"/>
            <w:color w:val="auto"/>
            <w:sz w:val="22"/>
            <w:szCs w:val="22"/>
            <w:lang w:eastAsia="zh-CN"/>
          </w:rPr>
          <w:tab/>
        </w:r>
        <w:r w:rsidR="00222BEE" w:rsidRPr="00974114">
          <w:rPr>
            <w:rStyle w:val="Hyperlink"/>
            <w:bCs/>
          </w:rPr>
          <w:t>Residential care room configuration</w:t>
        </w:r>
        <w:r w:rsidR="00222BEE">
          <w:rPr>
            <w:webHidden/>
          </w:rPr>
          <w:tab/>
        </w:r>
        <w:r w:rsidR="00222BEE">
          <w:rPr>
            <w:webHidden/>
          </w:rPr>
          <w:fldChar w:fldCharType="begin"/>
        </w:r>
        <w:r w:rsidR="00222BEE">
          <w:rPr>
            <w:webHidden/>
          </w:rPr>
          <w:instrText xml:space="preserve"> PAGEREF _Toc524424774 \h </w:instrText>
        </w:r>
        <w:r w:rsidR="00222BEE">
          <w:rPr>
            <w:webHidden/>
          </w:rPr>
        </w:r>
        <w:r w:rsidR="00222BEE">
          <w:rPr>
            <w:webHidden/>
          </w:rPr>
          <w:fldChar w:fldCharType="separate"/>
        </w:r>
        <w:r w:rsidR="00222BEE">
          <w:rPr>
            <w:webHidden/>
          </w:rPr>
          <w:t>112</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5" w:history="1">
        <w:r w:rsidR="00222BEE" w:rsidRPr="00974114">
          <w:rPr>
            <w:rStyle w:val="Hyperlink"/>
            <w:bCs/>
          </w:rPr>
          <w:t>8.2.6</w:t>
        </w:r>
        <w:r w:rsidR="00222BEE">
          <w:rPr>
            <w:rFonts w:asciiTheme="minorHAnsi" w:hAnsiTheme="minorHAnsi" w:cstheme="minorBidi"/>
            <w:color w:val="auto"/>
            <w:sz w:val="22"/>
            <w:szCs w:val="22"/>
            <w:lang w:eastAsia="zh-CN"/>
          </w:rPr>
          <w:tab/>
        </w:r>
        <w:r w:rsidR="00222BEE" w:rsidRPr="00974114">
          <w:rPr>
            <w:rStyle w:val="Hyperlink"/>
            <w:bCs/>
          </w:rPr>
          <w:t>Provisionally allocated places</w:t>
        </w:r>
        <w:r w:rsidR="00222BEE">
          <w:rPr>
            <w:webHidden/>
          </w:rPr>
          <w:tab/>
        </w:r>
        <w:r w:rsidR="00222BEE">
          <w:rPr>
            <w:webHidden/>
          </w:rPr>
          <w:fldChar w:fldCharType="begin"/>
        </w:r>
        <w:r w:rsidR="00222BEE">
          <w:rPr>
            <w:webHidden/>
          </w:rPr>
          <w:instrText xml:space="preserve"> PAGEREF _Toc524424775 \h </w:instrText>
        </w:r>
        <w:r w:rsidR="00222BEE">
          <w:rPr>
            <w:webHidden/>
          </w:rPr>
        </w:r>
        <w:r w:rsidR="00222BEE">
          <w:rPr>
            <w:webHidden/>
          </w:rPr>
          <w:fldChar w:fldCharType="separate"/>
        </w:r>
        <w:r w:rsidR="00222BEE">
          <w:rPr>
            <w:webHidden/>
          </w:rPr>
          <w:t>112</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76" w:history="1">
        <w:r w:rsidR="00222BEE" w:rsidRPr="00974114">
          <w:rPr>
            <w:rStyle w:val="Hyperlink"/>
            <w:noProof/>
          </w:rPr>
          <w:t>9.</w:t>
        </w:r>
        <w:r w:rsidR="00222BEE">
          <w:rPr>
            <w:rFonts w:asciiTheme="minorHAnsi" w:hAnsiTheme="minorHAnsi" w:cstheme="minorBidi"/>
            <w:b w:val="0"/>
            <w:noProof/>
            <w:color w:val="auto"/>
            <w:sz w:val="22"/>
            <w:szCs w:val="22"/>
            <w:lang w:eastAsia="zh-CN"/>
          </w:rPr>
          <w:tab/>
        </w:r>
        <w:r w:rsidR="00222BEE" w:rsidRPr="00974114">
          <w:rPr>
            <w:rStyle w:val="Hyperlink"/>
            <w:noProof/>
          </w:rPr>
          <w:t>Residential aged care: operational performance</w:t>
        </w:r>
        <w:r w:rsidR="00222BEE">
          <w:rPr>
            <w:noProof/>
            <w:webHidden/>
          </w:rPr>
          <w:tab/>
        </w:r>
        <w:r w:rsidR="00222BEE">
          <w:rPr>
            <w:noProof/>
            <w:webHidden/>
          </w:rPr>
          <w:fldChar w:fldCharType="begin"/>
        </w:r>
        <w:r w:rsidR="00222BEE">
          <w:rPr>
            <w:noProof/>
            <w:webHidden/>
          </w:rPr>
          <w:instrText xml:space="preserve"> PAGEREF _Toc524424776 \h </w:instrText>
        </w:r>
        <w:r w:rsidR="00222BEE">
          <w:rPr>
            <w:noProof/>
            <w:webHidden/>
          </w:rPr>
        </w:r>
        <w:r w:rsidR="00222BEE">
          <w:rPr>
            <w:noProof/>
            <w:webHidden/>
          </w:rPr>
          <w:fldChar w:fldCharType="separate"/>
        </w:r>
        <w:r w:rsidR="00222BEE">
          <w:rPr>
            <w:noProof/>
            <w:webHidden/>
          </w:rPr>
          <w:t>115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77" w:history="1">
        <w:r w:rsidR="00222BEE" w:rsidRPr="00974114">
          <w:rPr>
            <w:rStyle w:val="Hyperlink"/>
            <w:bCs/>
            <w:noProof/>
          </w:rPr>
          <w:t>9.1</w:t>
        </w:r>
        <w:r w:rsidR="00222BEE">
          <w:rPr>
            <w:rFonts w:asciiTheme="minorHAnsi" w:hAnsiTheme="minorHAnsi" w:cstheme="minorBidi"/>
            <w:b w:val="0"/>
            <w:noProof/>
            <w:color w:val="auto"/>
            <w:sz w:val="22"/>
            <w:szCs w:val="22"/>
            <w:lang w:eastAsia="zh-CN"/>
          </w:rPr>
          <w:tab/>
        </w:r>
        <w:r w:rsidR="00222BEE" w:rsidRPr="00974114">
          <w:rPr>
            <w:rStyle w:val="Hyperlink"/>
            <w:bCs/>
            <w:noProof/>
          </w:rPr>
          <w:t>Introduction</w:t>
        </w:r>
        <w:r w:rsidR="00222BEE">
          <w:rPr>
            <w:noProof/>
            <w:webHidden/>
          </w:rPr>
          <w:tab/>
        </w:r>
        <w:r w:rsidR="00222BEE">
          <w:rPr>
            <w:noProof/>
            <w:webHidden/>
          </w:rPr>
          <w:fldChar w:fldCharType="begin"/>
        </w:r>
        <w:r w:rsidR="00222BEE">
          <w:rPr>
            <w:noProof/>
            <w:webHidden/>
          </w:rPr>
          <w:instrText xml:space="preserve"> PAGEREF _Toc524424777 \h </w:instrText>
        </w:r>
        <w:r w:rsidR="00222BEE">
          <w:rPr>
            <w:noProof/>
            <w:webHidden/>
          </w:rPr>
        </w:r>
        <w:r w:rsidR="00222BEE">
          <w:rPr>
            <w:noProof/>
            <w:webHidden/>
          </w:rPr>
          <w:fldChar w:fldCharType="separate"/>
        </w:r>
        <w:r w:rsidR="00222BEE">
          <w:rPr>
            <w:noProof/>
            <w:webHidden/>
          </w:rPr>
          <w:t>115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78" w:history="1">
        <w:r w:rsidR="00222BEE" w:rsidRPr="00974114">
          <w:rPr>
            <w:rStyle w:val="Hyperlink"/>
            <w:bCs/>
            <w:noProof/>
          </w:rPr>
          <w:t>9.2</w:t>
        </w:r>
        <w:r w:rsidR="00222BEE">
          <w:rPr>
            <w:rFonts w:asciiTheme="minorHAnsi" w:hAnsiTheme="minorHAnsi" w:cstheme="minorBidi"/>
            <w:b w:val="0"/>
            <w:noProof/>
            <w:color w:val="auto"/>
            <w:sz w:val="22"/>
            <w:szCs w:val="22"/>
            <w:lang w:eastAsia="zh-CN"/>
          </w:rPr>
          <w:tab/>
        </w:r>
        <w:r w:rsidR="00222BEE" w:rsidRPr="00974114">
          <w:rPr>
            <w:rStyle w:val="Hyperlink"/>
            <w:bCs/>
            <w:noProof/>
          </w:rPr>
          <w:t>Operational funding</w:t>
        </w:r>
        <w:r w:rsidR="00222BEE">
          <w:rPr>
            <w:noProof/>
            <w:webHidden/>
          </w:rPr>
          <w:tab/>
        </w:r>
        <w:r w:rsidR="00222BEE">
          <w:rPr>
            <w:noProof/>
            <w:webHidden/>
          </w:rPr>
          <w:fldChar w:fldCharType="begin"/>
        </w:r>
        <w:r w:rsidR="00222BEE">
          <w:rPr>
            <w:noProof/>
            <w:webHidden/>
          </w:rPr>
          <w:instrText xml:space="preserve"> PAGEREF _Toc524424778 \h </w:instrText>
        </w:r>
        <w:r w:rsidR="00222BEE">
          <w:rPr>
            <w:noProof/>
            <w:webHidden/>
          </w:rPr>
        </w:r>
        <w:r w:rsidR="00222BEE">
          <w:rPr>
            <w:noProof/>
            <w:webHidden/>
          </w:rPr>
          <w:fldChar w:fldCharType="separate"/>
        </w:r>
        <w:r w:rsidR="00222BEE">
          <w:rPr>
            <w:noProof/>
            <w:webHidden/>
          </w:rPr>
          <w:t>116</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79" w:history="1">
        <w:r w:rsidR="00222BEE" w:rsidRPr="00974114">
          <w:rPr>
            <w:rStyle w:val="Hyperlink"/>
            <w:bCs/>
          </w:rPr>
          <w:t>9.2.1</w:t>
        </w:r>
        <w:r w:rsidR="00222BEE">
          <w:rPr>
            <w:rFonts w:asciiTheme="minorHAnsi" w:hAnsiTheme="minorHAnsi" w:cstheme="minorBidi"/>
            <w:color w:val="auto"/>
            <w:sz w:val="22"/>
            <w:szCs w:val="22"/>
            <w:lang w:eastAsia="zh-CN"/>
          </w:rPr>
          <w:tab/>
        </w:r>
        <w:r w:rsidR="00222BEE" w:rsidRPr="00974114">
          <w:rPr>
            <w:rStyle w:val="Hyperlink"/>
            <w:bCs/>
          </w:rPr>
          <w:t>Commonwealth operational funding</w:t>
        </w:r>
        <w:r w:rsidR="00222BEE">
          <w:rPr>
            <w:webHidden/>
          </w:rPr>
          <w:tab/>
        </w:r>
        <w:r w:rsidR="00222BEE">
          <w:rPr>
            <w:webHidden/>
          </w:rPr>
          <w:fldChar w:fldCharType="begin"/>
        </w:r>
        <w:r w:rsidR="00222BEE">
          <w:rPr>
            <w:webHidden/>
          </w:rPr>
          <w:instrText xml:space="preserve"> PAGEREF _Toc524424779 \h </w:instrText>
        </w:r>
        <w:r w:rsidR="00222BEE">
          <w:rPr>
            <w:webHidden/>
          </w:rPr>
        </w:r>
        <w:r w:rsidR="00222BEE">
          <w:rPr>
            <w:webHidden/>
          </w:rPr>
          <w:fldChar w:fldCharType="separate"/>
        </w:r>
        <w:r w:rsidR="00222BEE">
          <w:rPr>
            <w:webHidden/>
          </w:rPr>
          <w:t>116</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0" w:history="1">
        <w:r w:rsidR="00222BEE" w:rsidRPr="00974114">
          <w:rPr>
            <w:rStyle w:val="Hyperlink"/>
            <w:bCs/>
          </w:rPr>
          <w:t>9.2.2</w:t>
        </w:r>
        <w:r w:rsidR="00222BEE">
          <w:rPr>
            <w:rFonts w:asciiTheme="minorHAnsi" w:hAnsiTheme="minorHAnsi" w:cstheme="minorBidi"/>
            <w:color w:val="auto"/>
            <w:sz w:val="22"/>
            <w:szCs w:val="22"/>
            <w:lang w:eastAsia="zh-CN"/>
          </w:rPr>
          <w:tab/>
        </w:r>
        <w:r w:rsidR="00222BEE" w:rsidRPr="00974114">
          <w:rPr>
            <w:rStyle w:val="Hyperlink"/>
            <w:bCs/>
          </w:rPr>
          <w:t>Basic care subsidies</w:t>
        </w:r>
        <w:r w:rsidR="00222BEE">
          <w:rPr>
            <w:webHidden/>
          </w:rPr>
          <w:tab/>
        </w:r>
        <w:r w:rsidR="00222BEE">
          <w:rPr>
            <w:webHidden/>
          </w:rPr>
          <w:fldChar w:fldCharType="begin"/>
        </w:r>
        <w:r w:rsidR="00222BEE">
          <w:rPr>
            <w:webHidden/>
          </w:rPr>
          <w:instrText xml:space="preserve"> PAGEREF _Toc524424780 \h </w:instrText>
        </w:r>
        <w:r w:rsidR="00222BEE">
          <w:rPr>
            <w:webHidden/>
          </w:rPr>
        </w:r>
        <w:r w:rsidR="00222BEE">
          <w:rPr>
            <w:webHidden/>
          </w:rPr>
          <w:fldChar w:fldCharType="separate"/>
        </w:r>
        <w:r w:rsidR="00222BEE">
          <w:rPr>
            <w:webHidden/>
          </w:rPr>
          <w:t>117</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1" w:history="1">
        <w:r w:rsidR="00222BEE" w:rsidRPr="00974114">
          <w:rPr>
            <w:rStyle w:val="Hyperlink"/>
            <w:bCs/>
          </w:rPr>
          <w:t>9.2.3</w:t>
        </w:r>
        <w:r w:rsidR="00222BEE">
          <w:rPr>
            <w:rFonts w:asciiTheme="minorHAnsi" w:hAnsiTheme="minorHAnsi" w:cstheme="minorBidi"/>
            <w:color w:val="auto"/>
            <w:sz w:val="22"/>
            <w:szCs w:val="22"/>
            <w:lang w:eastAsia="zh-CN"/>
          </w:rPr>
          <w:tab/>
        </w:r>
        <w:r w:rsidR="00222BEE" w:rsidRPr="00974114">
          <w:rPr>
            <w:rStyle w:val="Hyperlink"/>
            <w:bCs/>
          </w:rPr>
          <w:t>Payments for residential respite care</w:t>
        </w:r>
        <w:r w:rsidR="00222BEE">
          <w:rPr>
            <w:webHidden/>
          </w:rPr>
          <w:tab/>
        </w:r>
        <w:r w:rsidR="00222BEE">
          <w:rPr>
            <w:webHidden/>
          </w:rPr>
          <w:fldChar w:fldCharType="begin"/>
        </w:r>
        <w:r w:rsidR="00222BEE">
          <w:rPr>
            <w:webHidden/>
          </w:rPr>
          <w:instrText xml:space="preserve"> PAGEREF _Toc524424781 \h </w:instrText>
        </w:r>
        <w:r w:rsidR="00222BEE">
          <w:rPr>
            <w:webHidden/>
          </w:rPr>
        </w:r>
        <w:r w:rsidR="00222BEE">
          <w:rPr>
            <w:webHidden/>
          </w:rPr>
          <w:fldChar w:fldCharType="separate"/>
        </w:r>
        <w:r w:rsidR="00222BEE">
          <w:rPr>
            <w:webHidden/>
          </w:rPr>
          <w:t>118</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2" w:history="1">
        <w:r w:rsidR="00222BEE" w:rsidRPr="00974114">
          <w:rPr>
            <w:rStyle w:val="Hyperlink"/>
            <w:bCs/>
          </w:rPr>
          <w:t>9.2.4</w:t>
        </w:r>
        <w:r w:rsidR="00222BEE">
          <w:rPr>
            <w:rFonts w:asciiTheme="minorHAnsi" w:hAnsiTheme="minorHAnsi" w:cstheme="minorBidi"/>
            <w:color w:val="auto"/>
            <w:sz w:val="22"/>
            <w:szCs w:val="22"/>
            <w:lang w:eastAsia="zh-CN"/>
          </w:rPr>
          <w:tab/>
        </w:r>
        <w:r w:rsidR="00222BEE" w:rsidRPr="00974114">
          <w:rPr>
            <w:rStyle w:val="Hyperlink"/>
            <w:bCs/>
          </w:rPr>
          <w:t>Accommodation supplements</w:t>
        </w:r>
        <w:r w:rsidR="00222BEE">
          <w:rPr>
            <w:webHidden/>
          </w:rPr>
          <w:tab/>
        </w:r>
        <w:r w:rsidR="00222BEE">
          <w:rPr>
            <w:webHidden/>
          </w:rPr>
          <w:fldChar w:fldCharType="begin"/>
        </w:r>
        <w:r w:rsidR="00222BEE">
          <w:rPr>
            <w:webHidden/>
          </w:rPr>
          <w:instrText xml:space="preserve"> PAGEREF _Toc524424782 \h </w:instrText>
        </w:r>
        <w:r w:rsidR="00222BEE">
          <w:rPr>
            <w:webHidden/>
          </w:rPr>
        </w:r>
        <w:r w:rsidR="00222BEE">
          <w:rPr>
            <w:webHidden/>
          </w:rPr>
          <w:fldChar w:fldCharType="separate"/>
        </w:r>
        <w:r w:rsidR="00222BEE">
          <w:rPr>
            <w:webHidden/>
          </w:rPr>
          <w:t>119</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3" w:history="1">
        <w:r w:rsidR="00222BEE" w:rsidRPr="00974114">
          <w:rPr>
            <w:rStyle w:val="Hyperlink"/>
            <w:bCs/>
          </w:rPr>
          <w:t>9.2.5</w:t>
        </w:r>
        <w:r w:rsidR="00222BEE">
          <w:rPr>
            <w:rFonts w:asciiTheme="minorHAnsi" w:hAnsiTheme="minorHAnsi" w:cstheme="minorBidi"/>
            <w:color w:val="auto"/>
            <w:sz w:val="22"/>
            <w:szCs w:val="22"/>
            <w:lang w:eastAsia="zh-CN"/>
          </w:rPr>
          <w:tab/>
        </w:r>
        <w:r w:rsidR="00222BEE" w:rsidRPr="00974114">
          <w:rPr>
            <w:rStyle w:val="Hyperlink"/>
            <w:bCs/>
          </w:rPr>
          <w:t>Viability supplement</w:t>
        </w:r>
        <w:r w:rsidR="00222BEE">
          <w:rPr>
            <w:webHidden/>
          </w:rPr>
          <w:tab/>
        </w:r>
        <w:r w:rsidR="00222BEE">
          <w:rPr>
            <w:webHidden/>
          </w:rPr>
          <w:fldChar w:fldCharType="begin"/>
        </w:r>
        <w:r w:rsidR="00222BEE">
          <w:rPr>
            <w:webHidden/>
          </w:rPr>
          <w:instrText xml:space="preserve"> PAGEREF _Toc524424783 \h </w:instrText>
        </w:r>
        <w:r w:rsidR="00222BEE">
          <w:rPr>
            <w:webHidden/>
          </w:rPr>
        </w:r>
        <w:r w:rsidR="00222BEE">
          <w:rPr>
            <w:webHidden/>
          </w:rPr>
          <w:fldChar w:fldCharType="separate"/>
        </w:r>
        <w:r w:rsidR="00222BEE">
          <w:rPr>
            <w:webHidden/>
          </w:rPr>
          <w:t>120</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4" w:history="1">
        <w:r w:rsidR="00222BEE" w:rsidRPr="00974114">
          <w:rPr>
            <w:rStyle w:val="Hyperlink"/>
            <w:bCs/>
          </w:rPr>
          <w:t>9.2.6</w:t>
        </w:r>
        <w:r w:rsidR="00222BEE">
          <w:rPr>
            <w:rFonts w:asciiTheme="minorHAnsi" w:hAnsiTheme="minorHAnsi" w:cstheme="minorBidi"/>
            <w:color w:val="auto"/>
            <w:sz w:val="22"/>
            <w:szCs w:val="22"/>
            <w:lang w:eastAsia="zh-CN"/>
          </w:rPr>
          <w:tab/>
        </w:r>
        <w:r w:rsidR="00222BEE" w:rsidRPr="00974114">
          <w:rPr>
            <w:rStyle w:val="Hyperlink"/>
            <w:bCs/>
          </w:rPr>
          <w:t>Homeless supplement</w:t>
        </w:r>
        <w:r w:rsidR="00222BEE">
          <w:rPr>
            <w:webHidden/>
          </w:rPr>
          <w:tab/>
        </w:r>
        <w:r w:rsidR="00222BEE">
          <w:rPr>
            <w:webHidden/>
          </w:rPr>
          <w:fldChar w:fldCharType="begin"/>
        </w:r>
        <w:r w:rsidR="00222BEE">
          <w:rPr>
            <w:webHidden/>
          </w:rPr>
          <w:instrText xml:space="preserve"> PAGEREF _Toc524424784 \h </w:instrText>
        </w:r>
        <w:r w:rsidR="00222BEE">
          <w:rPr>
            <w:webHidden/>
          </w:rPr>
        </w:r>
        <w:r w:rsidR="00222BEE">
          <w:rPr>
            <w:webHidden/>
          </w:rPr>
          <w:fldChar w:fldCharType="separate"/>
        </w:r>
        <w:r w:rsidR="00222BEE">
          <w:rPr>
            <w:webHidden/>
          </w:rPr>
          <w:t>120</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5" w:history="1">
        <w:r w:rsidR="00222BEE" w:rsidRPr="00974114">
          <w:rPr>
            <w:rStyle w:val="Hyperlink"/>
            <w:bCs/>
          </w:rPr>
          <w:t>9.2.7</w:t>
        </w:r>
        <w:r w:rsidR="00222BEE">
          <w:rPr>
            <w:rFonts w:asciiTheme="minorHAnsi" w:hAnsiTheme="minorHAnsi" w:cstheme="minorBidi"/>
            <w:color w:val="auto"/>
            <w:sz w:val="22"/>
            <w:szCs w:val="22"/>
            <w:lang w:eastAsia="zh-CN"/>
          </w:rPr>
          <w:tab/>
        </w:r>
        <w:r w:rsidR="00222BEE" w:rsidRPr="00974114">
          <w:rPr>
            <w:rStyle w:val="Hyperlink"/>
            <w:bCs/>
          </w:rPr>
          <w:t>Resident operational funding</w:t>
        </w:r>
        <w:r w:rsidR="00222BEE">
          <w:rPr>
            <w:webHidden/>
          </w:rPr>
          <w:tab/>
        </w:r>
        <w:r w:rsidR="00222BEE">
          <w:rPr>
            <w:webHidden/>
          </w:rPr>
          <w:fldChar w:fldCharType="begin"/>
        </w:r>
        <w:r w:rsidR="00222BEE">
          <w:rPr>
            <w:webHidden/>
          </w:rPr>
          <w:instrText xml:space="preserve"> PAGEREF _Toc524424785 \h </w:instrText>
        </w:r>
        <w:r w:rsidR="00222BEE">
          <w:rPr>
            <w:webHidden/>
          </w:rPr>
        </w:r>
        <w:r w:rsidR="00222BEE">
          <w:rPr>
            <w:webHidden/>
          </w:rPr>
          <w:fldChar w:fldCharType="separate"/>
        </w:r>
        <w:r w:rsidR="00222BEE">
          <w:rPr>
            <w:webHidden/>
          </w:rPr>
          <w:t>120</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86" w:history="1">
        <w:r w:rsidR="00222BEE" w:rsidRPr="00974114">
          <w:rPr>
            <w:rStyle w:val="Hyperlink"/>
            <w:bCs/>
            <w:noProof/>
          </w:rPr>
          <w:t>9.3</w:t>
        </w:r>
        <w:r w:rsidR="00222BEE">
          <w:rPr>
            <w:rFonts w:asciiTheme="minorHAnsi" w:hAnsiTheme="minorHAnsi" w:cstheme="minorBidi"/>
            <w:b w:val="0"/>
            <w:noProof/>
            <w:color w:val="auto"/>
            <w:sz w:val="22"/>
            <w:szCs w:val="22"/>
            <w:lang w:eastAsia="zh-CN"/>
          </w:rPr>
          <w:tab/>
        </w:r>
        <w:r w:rsidR="00222BEE" w:rsidRPr="00974114">
          <w:rPr>
            <w:rStyle w:val="Hyperlink"/>
            <w:bCs/>
            <w:noProof/>
          </w:rPr>
          <w:t>Analysis of 2016–17 financial performance of residential aged care providers</w:t>
        </w:r>
        <w:r w:rsidR="00222BEE">
          <w:rPr>
            <w:noProof/>
            <w:webHidden/>
          </w:rPr>
          <w:tab/>
        </w:r>
        <w:r w:rsidR="00222BEE">
          <w:rPr>
            <w:noProof/>
            <w:webHidden/>
          </w:rPr>
          <w:fldChar w:fldCharType="begin"/>
        </w:r>
        <w:r w:rsidR="00222BEE">
          <w:rPr>
            <w:noProof/>
            <w:webHidden/>
          </w:rPr>
          <w:instrText xml:space="preserve"> PAGEREF _Toc524424786 \h </w:instrText>
        </w:r>
        <w:r w:rsidR="00222BEE">
          <w:rPr>
            <w:noProof/>
            <w:webHidden/>
          </w:rPr>
        </w:r>
        <w:r w:rsidR="00222BEE">
          <w:rPr>
            <w:noProof/>
            <w:webHidden/>
          </w:rPr>
          <w:fldChar w:fldCharType="separate"/>
        </w:r>
        <w:r w:rsidR="00222BEE">
          <w:rPr>
            <w:noProof/>
            <w:webHidden/>
          </w:rPr>
          <w:t>121</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7" w:history="1">
        <w:r w:rsidR="00222BEE" w:rsidRPr="00974114">
          <w:rPr>
            <w:rStyle w:val="Hyperlink"/>
            <w:bCs/>
          </w:rPr>
          <w:t>9.3.1</w:t>
        </w:r>
        <w:r w:rsidR="00222BEE">
          <w:rPr>
            <w:rFonts w:asciiTheme="minorHAnsi" w:hAnsiTheme="minorHAnsi" w:cstheme="minorBidi"/>
            <w:color w:val="auto"/>
            <w:sz w:val="22"/>
            <w:szCs w:val="22"/>
            <w:lang w:eastAsia="zh-CN"/>
          </w:rPr>
          <w:tab/>
        </w:r>
        <w:r w:rsidR="00222BEE" w:rsidRPr="00974114">
          <w:rPr>
            <w:rStyle w:val="Hyperlink"/>
            <w:bCs/>
          </w:rPr>
          <w:t>Revenue</w:t>
        </w:r>
        <w:r w:rsidR="00222BEE">
          <w:rPr>
            <w:webHidden/>
          </w:rPr>
          <w:tab/>
        </w:r>
        <w:r w:rsidR="00222BEE">
          <w:rPr>
            <w:webHidden/>
          </w:rPr>
          <w:fldChar w:fldCharType="begin"/>
        </w:r>
        <w:r w:rsidR="00222BEE">
          <w:rPr>
            <w:webHidden/>
          </w:rPr>
          <w:instrText xml:space="preserve"> PAGEREF _Toc524424787 \h </w:instrText>
        </w:r>
        <w:r w:rsidR="00222BEE">
          <w:rPr>
            <w:webHidden/>
          </w:rPr>
        </w:r>
        <w:r w:rsidR="00222BEE">
          <w:rPr>
            <w:webHidden/>
          </w:rPr>
          <w:fldChar w:fldCharType="separate"/>
        </w:r>
        <w:r w:rsidR="00222BEE">
          <w:rPr>
            <w:webHidden/>
          </w:rPr>
          <w:t>124</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8" w:history="1">
        <w:r w:rsidR="00222BEE" w:rsidRPr="00974114">
          <w:rPr>
            <w:rStyle w:val="Hyperlink"/>
            <w:bCs/>
          </w:rPr>
          <w:t>9.3.2</w:t>
        </w:r>
        <w:r w:rsidR="00222BEE">
          <w:rPr>
            <w:rFonts w:asciiTheme="minorHAnsi" w:hAnsiTheme="minorHAnsi" w:cstheme="minorBidi"/>
            <w:color w:val="auto"/>
            <w:sz w:val="22"/>
            <w:szCs w:val="22"/>
            <w:lang w:eastAsia="zh-CN"/>
          </w:rPr>
          <w:tab/>
        </w:r>
        <w:r w:rsidR="00222BEE" w:rsidRPr="00974114">
          <w:rPr>
            <w:rStyle w:val="Hyperlink"/>
            <w:bCs/>
          </w:rPr>
          <w:t>Expenditure</w:t>
        </w:r>
        <w:r w:rsidR="00222BEE">
          <w:rPr>
            <w:webHidden/>
          </w:rPr>
          <w:tab/>
        </w:r>
        <w:r w:rsidR="00222BEE">
          <w:rPr>
            <w:webHidden/>
          </w:rPr>
          <w:fldChar w:fldCharType="begin"/>
        </w:r>
        <w:r w:rsidR="00222BEE">
          <w:rPr>
            <w:webHidden/>
          </w:rPr>
          <w:instrText xml:space="preserve"> PAGEREF _Toc524424788 \h </w:instrText>
        </w:r>
        <w:r w:rsidR="00222BEE">
          <w:rPr>
            <w:webHidden/>
          </w:rPr>
        </w:r>
        <w:r w:rsidR="00222BEE">
          <w:rPr>
            <w:webHidden/>
          </w:rPr>
          <w:fldChar w:fldCharType="separate"/>
        </w:r>
        <w:r w:rsidR="00222BEE">
          <w:rPr>
            <w:webHidden/>
          </w:rPr>
          <w:t>129</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89" w:history="1">
        <w:r w:rsidR="00222BEE" w:rsidRPr="00974114">
          <w:rPr>
            <w:rStyle w:val="Hyperlink"/>
            <w:bCs/>
          </w:rPr>
          <w:t>9.3.3</w:t>
        </w:r>
        <w:r w:rsidR="00222BEE">
          <w:rPr>
            <w:rFonts w:asciiTheme="minorHAnsi" w:hAnsiTheme="minorHAnsi" w:cstheme="minorBidi"/>
            <w:color w:val="auto"/>
            <w:sz w:val="22"/>
            <w:szCs w:val="22"/>
            <w:lang w:eastAsia="zh-CN"/>
          </w:rPr>
          <w:tab/>
        </w:r>
        <w:r w:rsidR="00222BEE" w:rsidRPr="00974114">
          <w:rPr>
            <w:rStyle w:val="Hyperlink"/>
            <w:bCs/>
          </w:rPr>
          <w:t>Operating position – profit</w:t>
        </w:r>
        <w:r w:rsidR="00222BEE">
          <w:rPr>
            <w:webHidden/>
          </w:rPr>
          <w:tab/>
        </w:r>
        <w:r w:rsidR="00222BEE">
          <w:rPr>
            <w:webHidden/>
          </w:rPr>
          <w:fldChar w:fldCharType="begin"/>
        </w:r>
        <w:r w:rsidR="00222BEE">
          <w:rPr>
            <w:webHidden/>
          </w:rPr>
          <w:instrText xml:space="preserve"> PAGEREF _Toc524424789 \h </w:instrText>
        </w:r>
        <w:r w:rsidR="00222BEE">
          <w:rPr>
            <w:webHidden/>
          </w:rPr>
        </w:r>
        <w:r w:rsidR="00222BEE">
          <w:rPr>
            <w:webHidden/>
          </w:rPr>
          <w:fldChar w:fldCharType="separate"/>
        </w:r>
        <w:r w:rsidR="00222BEE">
          <w:rPr>
            <w:webHidden/>
          </w:rPr>
          <w:t>133</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90" w:history="1">
        <w:r w:rsidR="00222BEE" w:rsidRPr="00974114">
          <w:rPr>
            <w:rStyle w:val="Hyperlink"/>
            <w:bCs/>
          </w:rPr>
          <w:t>9.3.4</w:t>
        </w:r>
        <w:r w:rsidR="00222BEE">
          <w:rPr>
            <w:rFonts w:asciiTheme="minorHAnsi" w:hAnsiTheme="minorHAnsi" w:cstheme="minorBidi"/>
            <w:color w:val="auto"/>
            <w:sz w:val="22"/>
            <w:szCs w:val="22"/>
            <w:lang w:eastAsia="zh-CN"/>
          </w:rPr>
          <w:tab/>
        </w:r>
        <w:r w:rsidR="00222BEE" w:rsidRPr="00974114">
          <w:rPr>
            <w:rStyle w:val="Hyperlink"/>
            <w:bCs/>
          </w:rPr>
          <w:t>Financial performance analysis 2017–18</w:t>
        </w:r>
        <w:r w:rsidR="00222BEE">
          <w:rPr>
            <w:webHidden/>
          </w:rPr>
          <w:tab/>
        </w:r>
        <w:r w:rsidR="00222BEE">
          <w:rPr>
            <w:webHidden/>
          </w:rPr>
          <w:fldChar w:fldCharType="begin"/>
        </w:r>
        <w:r w:rsidR="00222BEE">
          <w:rPr>
            <w:webHidden/>
          </w:rPr>
          <w:instrText xml:space="preserve"> PAGEREF _Toc524424790 \h </w:instrText>
        </w:r>
        <w:r w:rsidR="00222BEE">
          <w:rPr>
            <w:webHidden/>
          </w:rPr>
        </w:r>
        <w:r w:rsidR="00222BEE">
          <w:rPr>
            <w:webHidden/>
          </w:rPr>
          <w:fldChar w:fldCharType="separate"/>
        </w:r>
        <w:r w:rsidR="00222BEE">
          <w:rPr>
            <w:webHidden/>
          </w:rPr>
          <w:t>141</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91" w:history="1">
        <w:r w:rsidR="00222BEE" w:rsidRPr="00974114">
          <w:rPr>
            <w:rStyle w:val="Hyperlink"/>
            <w:bCs/>
            <w:noProof/>
          </w:rPr>
          <w:t>9.4</w:t>
        </w:r>
        <w:r w:rsidR="00222BEE">
          <w:rPr>
            <w:rFonts w:asciiTheme="minorHAnsi" w:hAnsiTheme="minorHAnsi" w:cstheme="minorBidi"/>
            <w:b w:val="0"/>
            <w:noProof/>
            <w:color w:val="auto"/>
            <w:sz w:val="22"/>
            <w:szCs w:val="22"/>
            <w:lang w:eastAsia="zh-CN"/>
          </w:rPr>
          <w:tab/>
        </w:r>
        <w:r w:rsidR="00222BEE" w:rsidRPr="00974114">
          <w:rPr>
            <w:rStyle w:val="Hyperlink"/>
            <w:bCs/>
            <w:noProof/>
          </w:rPr>
          <w:t>Looking forward</w:t>
        </w:r>
        <w:r w:rsidR="00222BEE">
          <w:rPr>
            <w:noProof/>
            <w:webHidden/>
          </w:rPr>
          <w:tab/>
        </w:r>
        <w:r w:rsidR="00222BEE">
          <w:rPr>
            <w:noProof/>
            <w:webHidden/>
          </w:rPr>
          <w:fldChar w:fldCharType="begin"/>
        </w:r>
        <w:r w:rsidR="00222BEE">
          <w:rPr>
            <w:noProof/>
            <w:webHidden/>
          </w:rPr>
          <w:instrText xml:space="preserve"> PAGEREF _Toc524424791 \h </w:instrText>
        </w:r>
        <w:r w:rsidR="00222BEE">
          <w:rPr>
            <w:noProof/>
            <w:webHidden/>
          </w:rPr>
        </w:r>
        <w:r w:rsidR="00222BEE">
          <w:rPr>
            <w:noProof/>
            <w:webHidden/>
          </w:rPr>
          <w:fldChar w:fldCharType="separate"/>
        </w:r>
        <w:r w:rsidR="00222BEE">
          <w:rPr>
            <w:noProof/>
            <w:webHidden/>
          </w:rPr>
          <w:t>142</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792" w:history="1">
        <w:r w:rsidR="00222BEE" w:rsidRPr="00974114">
          <w:rPr>
            <w:rStyle w:val="Hyperlink"/>
            <w:noProof/>
          </w:rPr>
          <w:t>10.</w:t>
        </w:r>
        <w:r w:rsidR="00222BEE">
          <w:rPr>
            <w:rFonts w:asciiTheme="minorHAnsi" w:hAnsiTheme="minorHAnsi" w:cstheme="minorBidi"/>
            <w:b w:val="0"/>
            <w:noProof/>
            <w:color w:val="auto"/>
            <w:sz w:val="22"/>
            <w:szCs w:val="22"/>
            <w:lang w:eastAsia="zh-CN"/>
          </w:rPr>
          <w:tab/>
        </w:r>
        <w:r w:rsidR="00222BEE" w:rsidRPr="00974114">
          <w:rPr>
            <w:rStyle w:val="Hyperlink"/>
            <w:noProof/>
          </w:rPr>
          <w:t>Residential aged care: capital investment</w:t>
        </w:r>
        <w:r w:rsidR="00222BEE">
          <w:rPr>
            <w:noProof/>
            <w:webHidden/>
          </w:rPr>
          <w:tab/>
        </w:r>
        <w:r w:rsidR="00222BEE">
          <w:rPr>
            <w:noProof/>
            <w:webHidden/>
          </w:rPr>
          <w:fldChar w:fldCharType="begin"/>
        </w:r>
        <w:r w:rsidR="00222BEE">
          <w:rPr>
            <w:noProof/>
            <w:webHidden/>
          </w:rPr>
          <w:instrText xml:space="preserve"> PAGEREF _Toc524424792 \h </w:instrText>
        </w:r>
        <w:r w:rsidR="00222BEE">
          <w:rPr>
            <w:noProof/>
            <w:webHidden/>
          </w:rPr>
        </w:r>
        <w:r w:rsidR="00222BEE">
          <w:rPr>
            <w:noProof/>
            <w:webHidden/>
          </w:rPr>
          <w:fldChar w:fldCharType="separate"/>
        </w:r>
        <w:r w:rsidR="00222BEE">
          <w:rPr>
            <w:noProof/>
            <w:webHidden/>
          </w:rPr>
          <w:t>143</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93" w:history="1">
        <w:r w:rsidR="00222BEE" w:rsidRPr="00974114">
          <w:rPr>
            <w:rStyle w:val="Hyperlink"/>
            <w:bCs/>
            <w:noProof/>
          </w:rPr>
          <w:t>10.1</w:t>
        </w:r>
        <w:r w:rsidR="00222BEE">
          <w:rPr>
            <w:rFonts w:asciiTheme="minorHAnsi" w:hAnsiTheme="minorHAnsi" w:cstheme="minorBidi"/>
            <w:b w:val="0"/>
            <w:noProof/>
            <w:color w:val="auto"/>
            <w:sz w:val="22"/>
            <w:szCs w:val="22"/>
            <w:lang w:eastAsia="zh-CN"/>
          </w:rPr>
          <w:tab/>
        </w:r>
        <w:r w:rsidR="00222BEE" w:rsidRPr="00974114">
          <w:rPr>
            <w:rStyle w:val="Hyperlink"/>
            <w:bCs/>
            <w:noProof/>
          </w:rPr>
          <w:t>Capital financing</w:t>
        </w:r>
        <w:r w:rsidR="00222BEE">
          <w:rPr>
            <w:noProof/>
            <w:webHidden/>
          </w:rPr>
          <w:tab/>
        </w:r>
        <w:r w:rsidR="00222BEE">
          <w:rPr>
            <w:noProof/>
            <w:webHidden/>
          </w:rPr>
          <w:fldChar w:fldCharType="begin"/>
        </w:r>
        <w:r w:rsidR="00222BEE">
          <w:rPr>
            <w:noProof/>
            <w:webHidden/>
          </w:rPr>
          <w:instrText xml:space="preserve"> PAGEREF _Toc524424793 \h </w:instrText>
        </w:r>
        <w:r w:rsidR="00222BEE">
          <w:rPr>
            <w:noProof/>
            <w:webHidden/>
          </w:rPr>
        </w:r>
        <w:r w:rsidR="00222BEE">
          <w:rPr>
            <w:noProof/>
            <w:webHidden/>
          </w:rPr>
          <w:fldChar w:fldCharType="separate"/>
        </w:r>
        <w:r w:rsidR="00222BEE">
          <w:rPr>
            <w:noProof/>
            <w:webHidden/>
          </w:rPr>
          <w:t>144</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94" w:history="1">
        <w:r w:rsidR="00222BEE" w:rsidRPr="00974114">
          <w:rPr>
            <w:rStyle w:val="Hyperlink"/>
            <w:bCs/>
          </w:rPr>
          <w:t>10.1.1</w:t>
        </w:r>
        <w:r w:rsidR="00222BEE">
          <w:rPr>
            <w:rFonts w:asciiTheme="minorHAnsi" w:hAnsiTheme="minorHAnsi" w:cstheme="minorBidi"/>
            <w:color w:val="auto"/>
            <w:sz w:val="22"/>
            <w:szCs w:val="22"/>
            <w:lang w:eastAsia="zh-CN"/>
          </w:rPr>
          <w:tab/>
        </w:r>
        <w:r w:rsidR="00222BEE" w:rsidRPr="00974114">
          <w:rPr>
            <w:rStyle w:val="Hyperlink"/>
            <w:bCs/>
          </w:rPr>
          <w:t>Residents</w:t>
        </w:r>
        <w:r w:rsidR="00222BEE">
          <w:rPr>
            <w:webHidden/>
          </w:rPr>
          <w:tab/>
        </w:r>
        <w:r w:rsidR="00222BEE">
          <w:rPr>
            <w:webHidden/>
          </w:rPr>
          <w:fldChar w:fldCharType="begin"/>
        </w:r>
        <w:r w:rsidR="00222BEE">
          <w:rPr>
            <w:webHidden/>
          </w:rPr>
          <w:instrText xml:space="preserve"> PAGEREF _Toc524424794 \h </w:instrText>
        </w:r>
        <w:r w:rsidR="00222BEE">
          <w:rPr>
            <w:webHidden/>
          </w:rPr>
        </w:r>
        <w:r w:rsidR="00222BEE">
          <w:rPr>
            <w:webHidden/>
          </w:rPr>
          <w:fldChar w:fldCharType="separate"/>
        </w:r>
        <w:r w:rsidR="00222BEE">
          <w:rPr>
            <w:webHidden/>
          </w:rPr>
          <w:t>144</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95" w:history="1">
        <w:r w:rsidR="00222BEE" w:rsidRPr="00974114">
          <w:rPr>
            <w:rStyle w:val="Hyperlink"/>
            <w:bCs/>
          </w:rPr>
          <w:t>10.1.2</w:t>
        </w:r>
        <w:r w:rsidR="00222BEE">
          <w:rPr>
            <w:rFonts w:asciiTheme="minorHAnsi" w:hAnsiTheme="minorHAnsi" w:cstheme="minorBidi"/>
            <w:color w:val="auto"/>
            <w:sz w:val="22"/>
            <w:szCs w:val="22"/>
            <w:lang w:eastAsia="zh-CN"/>
          </w:rPr>
          <w:tab/>
        </w:r>
        <w:r w:rsidR="00222BEE" w:rsidRPr="00974114">
          <w:rPr>
            <w:rStyle w:val="Hyperlink"/>
            <w:bCs/>
          </w:rPr>
          <w:t>Australian Government</w:t>
        </w:r>
        <w:r w:rsidR="00222BEE">
          <w:rPr>
            <w:webHidden/>
          </w:rPr>
          <w:tab/>
        </w:r>
        <w:r w:rsidR="00222BEE">
          <w:rPr>
            <w:webHidden/>
          </w:rPr>
          <w:fldChar w:fldCharType="begin"/>
        </w:r>
        <w:r w:rsidR="00222BEE">
          <w:rPr>
            <w:webHidden/>
          </w:rPr>
          <w:instrText xml:space="preserve"> PAGEREF _Toc524424795 \h </w:instrText>
        </w:r>
        <w:r w:rsidR="00222BEE">
          <w:rPr>
            <w:webHidden/>
          </w:rPr>
        </w:r>
        <w:r w:rsidR="00222BEE">
          <w:rPr>
            <w:webHidden/>
          </w:rPr>
          <w:fldChar w:fldCharType="separate"/>
        </w:r>
        <w:r w:rsidR="00222BEE">
          <w:rPr>
            <w:webHidden/>
          </w:rPr>
          <w:t>144</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96" w:history="1">
        <w:r w:rsidR="00222BEE" w:rsidRPr="00974114">
          <w:rPr>
            <w:rStyle w:val="Hyperlink"/>
            <w:bCs/>
          </w:rPr>
          <w:t>10.1.3</w:t>
        </w:r>
        <w:r w:rsidR="00222BEE">
          <w:rPr>
            <w:rFonts w:asciiTheme="minorHAnsi" w:hAnsiTheme="minorHAnsi" w:cstheme="minorBidi"/>
            <w:color w:val="auto"/>
            <w:sz w:val="22"/>
            <w:szCs w:val="22"/>
            <w:lang w:eastAsia="zh-CN"/>
          </w:rPr>
          <w:tab/>
        </w:r>
        <w:r w:rsidR="00222BEE" w:rsidRPr="00974114">
          <w:rPr>
            <w:rStyle w:val="Hyperlink"/>
            <w:bCs/>
          </w:rPr>
          <w:t>Other sources of capital finance</w:t>
        </w:r>
        <w:r w:rsidR="00222BEE">
          <w:rPr>
            <w:webHidden/>
          </w:rPr>
          <w:tab/>
        </w:r>
        <w:r w:rsidR="00222BEE">
          <w:rPr>
            <w:webHidden/>
          </w:rPr>
          <w:fldChar w:fldCharType="begin"/>
        </w:r>
        <w:r w:rsidR="00222BEE">
          <w:rPr>
            <w:webHidden/>
          </w:rPr>
          <w:instrText xml:space="preserve"> PAGEREF _Toc524424796 \h </w:instrText>
        </w:r>
        <w:r w:rsidR="00222BEE">
          <w:rPr>
            <w:webHidden/>
          </w:rPr>
        </w:r>
        <w:r w:rsidR="00222BEE">
          <w:rPr>
            <w:webHidden/>
          </w:rPr>
          <w:fldChar w:fldCharType="separate"/>
        </w:r>
        <w:r w:rsidR="00222BEE">
          <w:rPr>
            <w:webHidden/>
          </w:rPr>
          <w:t>144</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97" w:history="1">
        <w:r w:rsidR="00222BEE" w:rsidRPr="00974114">
          <w:rPr>
            <w:rStyle w:val="Hyperlink"/>
            <w:bCs/>
            <w:noProof/>
          </w:rPr>
          <w:t>10.2</w:t>
        </w:r>
        <w:r w:rsidR="00222BEE">
          <w:rPr>
            <w:rFonts w:asciiTheme="minorHAnsi" w:hAnsiTheme="minorHAnsi" w:cstheme="minorBidi"/>
            <w:b w:val="0"/>
            <w:noProof/>
            <w:color w:val="auto"/>
            <w:sz w:val="22"/>
            <w:szCs w:val="22"/>
            <w:lang w:eastAsia="zh-CN"/>
          </w:rPr>
          <w:tab/>
        </w:r>
        <w:r w:rsidR="00222BEE" w:rsidRPr="00974114">
          <w:rPr>
            <w:rStyle w:val="Hyperlink"/>
            <w:bCs/>
            <w:noProof/>
          </w:rPr>
          <w:t>Accommodation deposits</w:t>
        </w:r>
        <w:r w:rsidR="00222BEE">
          <w:rPr>
            <w:noProof/>
            <w:webHidden/>
          </w:rPr>
          <w:tab/>
        </w:r>
        <w:r w:rsidR="00222BEE">
          <w:rPr>
            <w:noProof/>
            <w:webHidden/>
          </w:rPr>
          <w:fldChar w:fldCharType="begin"/>
        </w:r>
        <w:r w:rsidR="00222BEE">
          <w:rPr>
            <w:noProof/>
            <w:webHidden/>
          </w:rPr>
          <w:instrText xml:space="preserve"> PAGEREF _Toc524424797 \h </w:instrText>
        </w:r>
        <w:r w:rsidR="00222BEE">
          <w:rPr>
            <w:noProof/>
            <w:webHidden/>
          </w:rPr>
        </w:r>
        <w:r w:rsidR="00222BEE">
          <w:rPr>
            <w:noProof/>
            <w:webHidden/>
          </w:rPr>
          <w:fldChar w:fldCharType="separate"/>
        </w:r>
        <w:r w:rsidR="00222BEE">
          <w:rPr>
            <w:noProof/>
            <w:webHidden/>
          </w:rPr>
          <w:t>145</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798" w:history="1">
        <w:r w:rsidR="00222BEE" w:rsidRPr="00974114">
          <w:rPr>
            <w:rStyle w:val="Hyperlink"/>
            <w:bCs/>
          </w:rPr>
          <w:t>10.2.1</w:t>
        </w:r>
        <w:r w:rsidR="00222BEE">
          <w:rPr>
            <w:rFonts w:asciiTheme="minorHAnsi" w:hAnsiTheme="minorHAnsi" w:cstheme="minorBidi"/>
            <w:color w:val="auto"/>
            <w:sz w:val="22"/>
            <w:szCs w:val="22"/>
            <w:lang w:eastAsia="zh-CN"/>
          </w:rPr>
          <w:tab/>
        </w:r>
        <w:r w:rsidR="00222BEE" w:rsidRPr="00974114">
          <w:rPr>
            <w:rStyle w:val="Hyperlink"/>
            <w:bCs/>
          </w:rPr>
          <w:t>Accommodation deposit prices</w:t>
        </w:r>
        <w:r w:rsidR="00222BEE">
          <w:rPr>
            <w:webHidden/>
          </w:rPr>
          <w:tab/>
        </w:r>
        <w:r w:rsidR="00222BEE">
          <w:rPr>
            <w:webHidden/>
          </w:rPr>
          <w:fldChar w:fldCharType="begin"/>
        </w:r>
        <w:r w:rsidR="00222BEE">
          <w:rPr>
            <w:webHidden/>
          </w:rPr>
          <w:instrText xml:space="preserve"> PAGEREF _Toc524424798 \h </w:instrText>
        </w:r>
        <w:r w:rsidR="00222BEE">
          <w:rPr>
            <w:webHidden/>
          </w:rPr>
        </w:r>
        <w:r w:rsidR="00222BEE">
          <w:rPr>
            <w:webHidden/>
          </w:rPr>
          <w:fldChar w:fldCharType="separate"/>
        </w:r>
        <w:r w:rsidR="00222BEE">
          <w:rPr>
            <w:webHidden/>
          </w:rPr>
          <w:t>145</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799" w:history="1">
        <w:r w:rsidR="00222BEE" w:rsidRPr="00974114">
          <w:rPr>
            <w:rStyle w:val="Hyperlink"/>
            <w:bCs/>
            <w:noProof/>
          </w:rPr>
          <w:t>10.3</w:t>
        </w:r>
        <w:r w:rsidR="00222BEE">
          <w:rPr>
            <w:rFonts w:asciiTheme="minorHAnsi" w:hAnsiTheme="minorHAnsi" w:cstheme="minorBidi"/>
            <w:b w:val="0"/>
            <w:noProof/>
            <w:color w:val="auto"/>
            <w:sz w:val="22"/>
            <w:szCs w:val="22"/>
            <w:lang w:eastAsia="zh-CN"/>
          </w:rPr>
          <w:tab/>
        </w:r>
        <w:r w:rsidR="00222BEE" w:rsidRPr="00974114">
          <w:rPr>
            <w:rStyle w:val="Hyperlink"/>
            <w:bCs/>
            <w:noProof/>
          </w:rPr>
          <w:t>Financing status – balance sheet</w:t>
        </w:r>
        <w:r w:rsidR="00222BEE">
          <w:rPr>
            <w:noProof/>
            <w:webHidden/>
          </w:rPr>
          <w:tab/>
        </w:r>
        <w:r w:rsidR="00222BEE">
          <w:rPr>
            <w:noProof/>
            <w:webHidden/>
          </w:rPr>
          <w:fldChar w:fldCharType="begin"/>
        </w:r>
        <w:r w:rsidR="00222BEE">
          <w:rPr>
            <w:noProof/>
            <w:webHidden/>
          </w:rPr>
          <w:instrText xml:space="preserve"> PAGEREF _Toc524424799 \h </w:instrText>
        </w:r>
        <w:r w:rsidR="00222BEE">
          <w:rPr>
            <w:noProof/>
            <w:webHidden/>
          </w:rPr>
        </w:r>
        <w:r w:rsidR="00222BEE">
          <w:rPr>
            <w:noProof/>
            <w:webHidden/>
          </w:rPr>
          <w:fldChar w:fldCharType="separate"/>
        </w:r>
        <w:r w:rsidR="00222BEE">
          <w:rPr>
            <w:noProof/>
            <w:webHidden/>
          </w:rPr>
          <w:t>147</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0" w:history="1">
        <w:r w:rsidR="00222BEE" w:rsidRPr="00974114">
          <w:rPr>
            <w:rStyle w:val="Hyperlink"/>
            <w:bCs/>
          </w:rPr>
          <w:t>10.3.2</w:t>
        </w:r>
        <w:r w:rsidR="00222BEE">
          <w:rPr>
            <w:rFonts w:asciiTheme="minorHAnsi" w:hAnsiTheme="minorHAnsi" w:cstheme="minorBidi"/>
            <w:color w:val="auto"/>
            <w:sz w:val="22"/>
            <w:szCs w:val="22"/>
            <w:lang w:eastAsia="zh-CN"/>
          </w:rPr>
          <w:tab/>
        </w:r>
        <w:r w:rsidR="00222BEE" w:rsidRPr="00974114">
          <w:rPr>
            <w:rStyle w:val="Hyperlink"/>
            <w:bCs/>
          </w:rPr>
          <w:t>Balance sheet analysis by ownership type</w:t>
        </w:r>
        <w:r w:rsidR="00222BEE">
          <w:rPr>
            <w:webHidden/>
          </w:rPr>
          <w:tab/>
        </w:r>
        <w:r w:rsidR="00222BEE">
          <w:rPr>
            <w:webHidden/>
          </w:rPr>
          <w:fldChar w:fldCharType="begin"/>
        </w:r>
        <w:r w:rsidR="00222BEE">
          <w:rPr>
            <w:webHidden/>
          </w:rPr>
          <w:instrText xml:space="preserve"> PAGEREF _Toc524424800 \h </w:instrText>
        </w:r>
        <w:r w:rsidR="00222BEE">
          <w:rPr>
            <w:webHidden/>
          </w:rPr>
        </w:r>
        <w:r w:rsidR="00222BEE">
          <w:rPr>
            <w:webHidden/>
          </w:rPr>
          <w:fldChar w:fldCharType="separate"/>
        </w:r>
        <w:r w:rsidR="00222BEE">
          <w:rPr>
            <w:webHidden/>
          </w:rPr>
          <w:t>150</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1" w:history="1">
        <w:r w:rsidR="00222BEE" w:rsidRPr="00974114">
          <w:rPr>
            <w:rStyle w:val="Hyperlink"/>
            <w:bCs/>
          </w:rPr>
          <w:t>10.3.3</w:t>
        </w:r>
        <w:r w:rsidR="00222BEE">
          <w:rPr>
            <w:rFonts w:asciiTheme="minorHAnsi" w:hAnsiTheme="minorHAnsi" w:cstheme="minorBidi"/>
            <w:color w:val="auto"/>
            <w:sz w:val="22"/>
            <w:szCs w:val="22"/>
            <w:lang w:eastAsia="zh-CN"/>
          </w:rPr>
          <w:tab/>
        </w:r>
        <w:r w:rsidR="00222BEE" w:rsidRPr="00974114">
          <w:rPr>
            <w:rStyle w:val="Hyperlink"/>
            <w:bCs/>
          </w:rPr>
          <w:t>Balance sheet performance ratios</w:t>
        </w:r>
        <w:r w:rsidR="00222BEE">
          <w:rPr>
            <w:webHidden/>
          </w:rPr>
          <w:tab/>
        </w:r>
        <w:r w:rsidR="00222BEE">
          <w:rPr>
            <w:webHidden/>
          </w:rPr>
          <w:fldChar w:fldCharType="begin"/>
        </w:r>
        <w:r w:rsidR="00222BEE">
          <w:rPr>
            <w:webHidden/>
          </w:rPr>
          <w:instrText xml:space="preserve"> PAGEREF _Toc524424801 \h </w:instrText>
        </w:r>
        <w:r w:rsidR="00222BEE">
          <w:rPr>
            <w:webHidden/>
          </w:rPr>
        </w:r>
        <w:r w:rsidR="00222BEE">
          <w:rPr>
            <w:webHidden/>
          </w:rPr>
          <w:fldChar w:fldCharType="separate"/>
        </w:r>
        <w:r w:rsidR="00222BEE">
          <w:rPr>
            <w:webHidden/>
          </w:rPr>
          <w:t>154</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02" w:history="1">
        <w:r w:rsidR="00222BEE" w:rsidRPr="00974114">
          <w:rPr>
            <w:rStyle w:val="Hyperlink"/>
            <w:bCs/>
            <w:noProof/>
          </w:rPr>
          <w:t>10.4</w:t>
        </w:r>
        <w:r w:rsidR="00222BEE">
          <w:rPr>
            <w:rFonts w:asciiTheme="minorHAnsi" w:hAnsiTheme="minorHAnsi" w:cstheme="minorBidi"/>
            <w:b w:val="0"/>
            <w:noProof/>
            <w:color w:val="auto"/>
            <w:sz w:val="22"/>
            <w:szCs w:val="22"/>
            <w:lang w:eastAsia="zh-CN"/>
          </w:rPr>
          <w:tab/>
        </w:r>
        <w:r w:rsidR="00222BEE" w:rsidRPr="00974114">
          <w:rPr>
            <w:rStyle w:val="Hyperlink"/>
            <w:bCs/>
            <w:noProof/>
          </w:rPr>
          <w:t>Investment requirements</w:t>
        </w:r>
        <w:r w:rsidR="00222BEE">
          <w:rPr>
            <w:noProof/>
            <w:webHidden/>
          </w:rPr>
          <w:tab/>
        </w:r>
        <w:r w:rsidR="00222BEE">
          <w:rPr>
            <w:noProof/>
            <w:webHidden/>
          </w:rPr>
          <w:fldChar w:fldCharType="begin"/>
        </w:r>
        <w:r w:rsidR="00222BEE">
          <w:rPr>
            <w:noProof/>
            <w:webHidden/>
          </w:rPr>
          <w:instrText xml:space="preserve"> PAGEREF _Toc524424802 \h </w:instrText>
        </w:r>
        <w:r w:rsidR="00222BEE">
          <w:rPr>
            <w:noProof/>
            <w:webHidden/>
          </w:rPr>
        </w:r>
        <w:r w:rsidR="00222BEE">
          <w:rPr>
            <w:noProof/>
            <w:webHidden/>
          </w:rPr>
          <w:fldChar w:fldCharType="separate"/>
        </w:r>
        <w:r w:rsidR="00222BEE">
          <w:rPr>
            <w:noProof/>
            <w:webHidden/>
          </w:rPr>
          <w:t>156</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3" w:history="1">
        <w:r w:rsidR="00222BEE" w:rsidRPr="00974114">
          <w:rPr>
            <w:rStyle w:val="Hyperlink"/>
            <w:bCs/>
          </w:rPr>
          <w:t>10.4.1</w:t>
        </w:r>
        <w:r w:rsidR="00222BEE">
          <w:rPr>
            <w:rFonts w:asciiTheme="minorHAnsi" w:hAnsiTheme="minorHAnsi" w:cstheme="minorBidi"/>
            <w:color w:val="auto"/>
            <w:sz w:val="22"/>
            <w:szCs w:val="22"/>
            <w:lang w:eastAsia="zh-CN"/>
          </w:rPr>
          <w:tab/>
        </w:r>
        <w:r w:rsidR="00222BEE" w:rsidRPr="00974114">
          <w:rPr>
            <w:rStyle w:val="Hyperlink"/>
            <w:bCs/>
          </w:rPr>
          <w:t>Recent trends in investment in the residential care sector</w:t>
        </w:r>
        <w:r w:rsidR="00222BEE">
          <w:rPr>
            <w:webHidden/>
          </w:rPr>
          <w:tab/>
        </w:r>
        <w:r w:rsidR="00222BEE">
          <w:rPr>
            <w:webHidden/>
          </w:rPr>
          <w:fldChar w:fldCharType="begin"/>
        </w:r>
        <w:r w:rsidR="00222BEE">
          <w:rPr>
            <w:webHidden/>
          </w:rPr>
          <w:instrText xml:space="preserve"> PAGEREF _Toc524424803 \h </w:instrText>
        </w:r>
        <w:r w:rsidR="00222BEE">
          <w:rPr>
            <w:webHidden/>
          </w:rPr>
        </w:r>
        <w:r w:rsidR="00222BEE">
          <w:rPr>
            <w:webHidden/>
          </w:rPr>
          <w:fldChar w:fldCharType="separate"/>
        </w:r>
        <w:r w:rsidR="00222BEE">
          <w:rPr>
            <w:webHidden/>
          </w:rPr>
          <w:t>159</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4" w:history="1">
        <w:r w:rsidR="00222BEE" w:rsidRPr="00974114">
          <w:rPr>
            <w:rStyle w:val="Hyperlink"/>
            <w:bCs/>
          </w:rPr>
          <w:t>10.4.2</w:t>
        </w:r>
        <w:r w:rsidR="00222BEE">
          <w:rPr>
            <w:rFonts w:asciiTheme="minorHAnsi" w:hAnsiTheme="minorHAnsi" w:cstheme="minorBidi"/>
            <w:color w:val="auto"/>
            <w:sz w:val="22"/>
            <w:szCs w:val="22"/>
            <w:lang w:eastAsia="zh-CN"/>
          </w:rPr>
          <w:tab/>
        </w:r>
        <w:r w:rsidR="00222BEE" w:rsidRPr="00974114">
          <w:rPr>
            <w:rStyle w:val="Hyperlink"/>
            <w:bCs/>
          </w:rPr>
          <w:t>Building and construction statistics</w:t>
        </w:r>
        <w:r w:rsidR="00222BEE">
          <w:rPr>
            <w:webHidden/>
          </w:rPr>
          <w:tab/>
        </w:r>
        <w:r w:rsidR="00222BEE">
          <w:rPr>
            <w:webHidden/>
          </w:rPr>
          <w:fldChar w:fldCharType="begin"/>
        </w:r>
        <w:r w:rsidR="00222BEE">
          <w:rPr>
            <w:webHidden/>
          </w:rPr>
          <w:instrText xml:space="preserve"> PAGEREF _Toc524424804 \h </w:instrText>
        </w:r>
        <w:r w:rsidR="00222BEE">
          <w:rPr>
            <w:webHidden/>
          </w:rPr>
        </w:r>
        <w:r w:rsidR="00222BEE">
          <w:rPr>
            <w:webHidden/>
          </w:rPr>
          <w:fldChar w:fldCharType="separate"/>
        </w:r>
        <w:r w:rsidR="00222BEE">
          <w:rPr>
            <w:webHidden/>
          </w:rPr>
          <w:t>159</w:t>
        </w:r>
        <w:r w:rsidR="00222BEE">
          <w:rPr>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805" w:history="1">
        <w:r w:rsidR="00222BEE" w:rsidRPr="00974114">
          <w:rPr>
            <w:rStyle w:val="Hyperlink"/>
            <w:noProof/>
          </w:rPr>
          <w:t>11.</w:t>
        </w:r>
        <w:r w:rsidR="00222BEE">
          <w:rPr>
            <w:rFonts w:asciiTheme="minorHAnsi" w:hAnsiTheme="minorHAnsi" w:cstheme="minorBidi"/>
            <w:b w:val="0"/>
            <w:noProof/>
            <w:color w:val="auto"/>
            <w:sz w:val="22"/>
            <w:szCs w:val="22"/>
            <w:lang w:eastAsia="zh-CN"/>
          </w:rPr>
          <w:tab/>
        </w:r>
        <w:r w:rsidR="00222BEE" w:rsidRPr="00974114">
          <w:rPr>
            <w:rStyle w:val="Hyperlink"/>
            <w:noProof/>
          </w:rPr>
          <w:t>Funding and financing challenges in the residential care sector</w:t>
        </w:r>
        <w:r w:rsidR="00222BEE">
          <w:rPr>
            <w:noProof/>
            <w:webHidden/>
          </w:rPr>
          <w:tab/>
        </w:r>
        <w:r w:rsidR="00222BEE">
          <w:rPr>
            <w:noProof/>
            <w:webHidden/>
          </w:rPr>
          <w:fldChar w:fldCharType="begin"/>
        </w:r>
        <w:r w:rsidR="00222BEE">
          <w:rPr>
            <w:noProof/>
            <w:webHidden/>
          </w:rPr>
          <w:instrText xml:space="preserve"> PAGEREF _Toc524424805 \h </w:instrText>
        </w:r>
        <w:r w:rsidR="00222BEE">
          <w:rPr>
            <w:noProof/>
            <w:webHidden/>
          </w:rPr>
        </w:r>
        <w:r w:rsidR="00222BEE">
          <w:rPr>
            <w:noProof/>
            <w:webHidden/>
          </w:rPr>
          <w:fldChar w:fldCharType="separate"/>
        </w:r>
        <w:r w:rsidR="00222BEE">
          <w:rPr>
            <w:noProof/>
            <w:webHidden/>
          </w:rPr>
          <w:t>161</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06" w:history="1">
        <w:r w:rsidR="00222BEE" w:rsidRPr="00974114">
          <w:rPr>
            <w:rStyle w:val="Hyperlink"/>
            <w:bCs/>
            <w:noProof/>
          </w:rPr>
          <w:t>11.1</w:t>
        </w:r>
        <w:r w:rsidR="00222BEE">
          <w:rPr>
            <w:rFonts w:asciiTheme="minorHAnsi" w:hAnsiTheme="minorHAnsi" w:cstheme="minorBidi"/>
            <w:b w:val="0"/>
            <w:noProof/>
            <w:color w:val="auto"/>
            <w:sz w:val="22"/>
            <w:szCs w:val="22"/>
            <w:lang w:eastAsia="zh-CN"/>
          </w:rPr>
          <w:tab/>
        </w:r>
        <w:r w:rsidR="00222BEE" w:rsidRPr="00974114">
          <w:rPr>
            <w:rStyle w:val="Hyperlink"/>
            <w:bCs/>
            <w:noProof/>
          </w:rPr>
          <w:t>Introduction</w:t>
        </w:r>
        <w:r w:rsidR="00222BEE">
          <w:rPr>
            <w:noProof/>
            <w:webHidden/>
          </w:rPr>
          <w:tab/>
        </w:r>
        <w:r w:rsidR="00222BEE">
          <w:rPr>
            <w:noProof/>
            <w:webHidden/>
          </w:rPr>
          <w:fldChar w:fldCharType="begin"/>
        </w:r>
        <w:r w:rsidR="00222BEE">
          <w:rPr>
            <w:noProof/>
            <w:webHidden/>
          </w:rPr>
          <w:instrText xml:space="preserve"> PAGEREF _Toc524424806 \h </w:instrText>
        </w:r>
        <w:r w:rsidR="00222BEE">
          <w:rPr>
            <w:noProof/>
            <w:webHidden/>
          </w:rPr>
        </w:r>
        <w:r w:rsidR="00222BEE">
          <w:rPr>
            <w:noProof/>
            <w:webHidden/>
          </w:rPr>
          <w:fldChar w:fldCharType="separate"/>
        </w:r>
        <w:r w:rsidR="00222BEE">
          <w:rPr>
            <w:noProof/>
            <w:webHidden/>
          </w:rPr>
          <w:t>161</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07" w:history="1">
        <w:r w:rsidR="00222BEE" w:rsidRPr="00974114">
          <w:rPr>
            <w:rStyle w:val="Hyperlink"/>
            <w:bCs/>
            <w:noProof/>
          </w:rPr>
          <w:t>11.2</w:t>
        </w:r>
        <w:r w:rsidR="00222BEE">
          <w:rPr>
            <w:rFonts w:asciiTheme="minorHAnsi" w:hAnsiTheme="minorHAnsi" w:cstheme="minorBidi"/>
            <w:b w:val="0"/>
            <w:noProof/>
            <w:color w:val="auto"/>
            <w:sz w:val="22"/>
            <w:szCs w:val="22"/>
            <w:lang w:eastAsia="zh-CN"/>
          </w:rPr>
          <w:tab/>
        </w:r>
        <w:r w:rsidR="00222BEE" w:rsidRPr="00974114">
          <w:rPr>
            <w:rStyle w:val="Hyperlink"/>
            <w:bCs/>
            <w:noProof/>
          </w:rPr>
          <w:t>Residential care – revenue, expenses and balance sheets</w:t>
        </w:r>
        <w:r w:rsidR="00222BEE">
          <w:rPr>
            <w:noProof/>
            <w:webHidden/>
          </w:rPr>
          <w:tab/>
        </w:r>
        <w:r w:rsidR="00222BEE">
          <w:rPr>
            <w:noProof/>
            <w:webHidden/>
          </w:rPr>
          <w:fldChar w:fldCharType="begin"/>
        </w:r>
        <w:r w:rsidR="00222BEE">
          <w:rPr>
            <w:noProof/>
            <w:webHidden/>
          </w:rPr>
          <w:instrText xml:space="preserve"> PAGEREF _Toc524424807 \h </w:instrText>
        </w:r>
        <w:r w:rsidR="00222BEE">
          <w:rPr>
            <w:noProof/>
            <w:webHidden/>
          </w:rPr>
        </w:r>
        <w:r w:rsidR="00222BEE">
          <w:rPr>
            <w:noProof/>
            <w:webHidden/>
          </w:rPr>
          <w:fldChar w:fldCharType="separate"/>
        </w:r>
        <w:r w:rsidR="00222BEE">
          <w:rPr>
            <w:noProof/>
            <w:webHidden/>
          </w:rPr>
          <w:t>162</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8" w:history="1">
        <w:r w:rsidR="00222BEE" w:rsidRPr="00974114">
          <w:rPr>
            <w:rStyle w:val="Hyperlink"/>
            <w:bCs/>
          </w:rPr>
          <w:t>11.2.1</w:t>
        </w:r>
        <w:r w:rsidR="00222BEE">
          <w:rPr>
            <w:rFonts w:asciiTheme="minorHAnsi" w:hAnsiTheme="minorHAnsi" w:cstheme="minorBidi"/>
            <w:color w:val="auto"/>
            <w:sz w:val="22"/>
            <w:szCs w:val="22"/>
            <w:lang w:eastAsia="zh-CN"/>
          </w:rPr>
          <w:tab/>
        </w:r>
        <w:r w:rsidR="00222BEE" w:rsidRPr="00974114">
          <w:rPr>
            <w:rStyle w:val="Hyperlink"/>
            <w:bCs/>
          </w:rPr>
          <w:t>Revenue and Expenses</w:t>
        </w:r>
        <w:r w:rsidR="00222BEE">
          <w:rPr>
            <w:webHidden/>
          </w:rPr>
          <w:tab/>
        </w:r>
        <w:r w:rsidR="00222BEE">
          <w:rPr>
            <w:webHidden/>
          </w:rPr>
          <w:fldChar w:fldCharType="begin"/>
        </w:r>
        <w:r w:rsidR="00222BEE">
          <w:rPr>
            <w:webHidden/>
          </w:rPr>
          <w:instrText xml:space="preserve"> PAGEREF _Toc524424808 \h </w:instrText>
        </w:r>
        <w:r w:rsidR="00222BEE">
          <w:rPr>
            <w:webHidden/>
          </w:rPr>
        </w:r>
        <w:r w:rsidR="00222BEE">
          <w:rPr>
            <w:webHidden/>
          </w:rPr>
          <w:fldChar w:fldCharType="separate"/>
        </w:r>
        <w:r w:rsidR="00222BEE">
          <w:rPr>
            <w:webHidden/>
          </w:rPr>
          <w:t>162</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09" w:history="1">
        <w:r w:rsidR="00222BEE" w:rsidRPr="00974114">
          <w:rPr>
            <w:rStyle w:val="Hyperlink"/>
            <w:bCs/>
          </w:rPr>
          <w:t>11.2.2</w:t>
        </w:r>
        <w:r w:rsidR="00222BEE">
          <w:rPr>
            <w:rFonts w:asciiTheme="minorHAnsi" w:hAnsiTheme="minorHAnsi" w:cstheme="minorBidi"/>
            <w:color w:val="auto"/>
            <w:sz w:val="22"/>
            <w:szCs w:val="22"/>
            <w:lang w:eastAsia="zh-CN"/>
          </w:rPr>
          <w:tab/>
        </w:r>
        <w:r w:rsidR="00222BEE" w:rsidRPr="00974114">
          <w:rPr>
            <w:rStyle w:val="Hyperlink"/>
            <w:bCs/>
          </w:rPr>
          <w:t>The Balance Sheet</w:t>
        </w:r>
        <w:r w:rsidR="00222BEE">
          <w:rPr>
            <w:webHidden/>
          </w:rPr>
          <w:tab/>
        </w:r>
        <w:r w:rsidR="00222BEE">
          <w:rPr>
            <w:webHidden/>
          </w:rPr>
          <w:fldChar w:fldCharType="begin"/>
        </w:r>
        <w:r w:rsidR="00222BEE">
          <w:rPr>
            <w:webHidden/>
          </w:rPr>
          <w:instrText xml:space="preserve"> PAGEREF _Toc524424809 \h </w:instrText>
        </w:r>
        <w:r w:rsidR="00222BEE">
          <w:rPr>
            <w:webHidden/>
          </w:rPr>
        </w:r>
        <w:r w:rsidR="00222BEE">
          <w:rPr>
            <w:webHidden/>
          </w:rPr>
          <w:fldChar w:fldCharType="separate"/>
        </w:r>
        <w:r w:rsidR="00222BEE">
          <w:rPr>
            <w:webHidden/>
          </w:rPr>
          <w:t>164</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10" w:history="1">
        <w:r w:rsidR="00222BEE" w:rsidRPr="00974114">
          <w:rPr>
            <w:rStyle w:val="Hyperlink"/>
            <w:bCs/>
            <w:noProof/>
          </w:rPr>
          <w:t>11.3</w:t>
        </w:r>
        <w:r w:rsidR="00222BEE">
          <w:rPr>
            <w:rFonts w:asciiTheme="minorHAnsi" w:hAnsiTheme="minorHAnsi" w:cstheme="minorBidi"/>
            <w:b w:val="0"/>
            <w:noProof/>
            <w:color w:val="auto"/>
            <w:sz w:val="22"/>
            <w:szCs w:val="22"/>
            <w:lang w:eastAsia="zh-CN"/>
          </w:rPr>
          <w:tab/>
        </w:r>
        <w:r w:rsidR="00222BEE" w:rsidRPr="00974114">
          <w:rPr>
            <w:rStyle w:val="Hyperlink"/>
            <w:bCs/>
            <w:noProof/>
          </w:rPr>
          <w:t>Financial results – a longer term context</w:t>
        </w:r>
        <w:r w:rsidR="00222BEE">
          <w:rPr>
            <w:noProof/>
            <w:webHidden/>
          </w:rPr>
          <w:tab/>
        </w:r>
        <w:r w:rsidR="00222BEE">
          <w:rPr>
            <w:noProof/>
            <w:webHidden/>
          </w:rPr>
          <w:fldChar w:fldCharType="begin"/>
        </w:r>
        <w:r w:rsidR="00222BEE">
          <w:rPr>
            <w:noProof/>
            <w:webHidden/>
          </w:rPr>
          <w:instrText xml:space="preserve"> PAGEREF _Toc524424810 \h </w:instrText>
        </w:r>
        <w:r w:rsidR="00222BEE">
          <w:rPr>
            <w:noProof/>
            <w:webHidden/>
          </w:rPr>
        </w:r>
        <w:r w:rsidR="00222BEE">
          <w:rPr>
            <w:noProof/>
            <w:webHidden/>
          </w:rPr>
          <w:fldChar w:fldCharType="separate"/>
        </w:r>
        <w:r w:rsidR="00222BEE">
          <w:rPr>
            <w:noProof/>
            <w:webHidden/>
          </w:rPr>
          <w:t>164</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1" w:history="1">
        <w:r w:rsidR="00222BEE" w:rsidRPr="00974114">
          <w:rPr>
            <w:rStyle w:val="Hyperlink"/>
            <w:bCs/>
          </w:rPr>
          <w:t>11.3.1</w:t>
        </w:r>
        <w:r w:rsidR="00222BEE">
          <w:rPr>
            <w:rFonts w:asciiTheme="minorHAnsi" w:hAnsiTheme="minorHAnsi" w:cstheme="minorBidi"/>
            <w:color w:val="auto"/>
            <w:sz w:val="22"/>
            <w:szCs w:val="22"/>
            <w:lang w:eastAsia="zh-CN"/>
          </w:rPr>
          <w:tab/>
        </w:r>
        <w:r w:rsidR="00222BEE" w:rsidRPr="00974114">
          <w:rPr>
            <w:rStyle w:val="Hyperlink"/>
            <w:bCs/>
          </w:rPr>
          <w:t>Results over the past decade</w:t>
        </w:r>
        <w:r w:rsidR="00222BEE">
          <w:rPr>
            <w:webHidden/>
          </w:rPr>
          <w:tab/>
        </w:r>
        <w:r w:rsidR="00222BEE">
          <w:rPr>
            <w:webHidden/>
          </w:rPr>
          <w:fldChar w:fldCharType="begin"/>
        </w:r>
        <w:r w:rsidR="00222BEE">
          <w:rPr>
            <w:webHidden/>
          </w:rPr>
          <w:instrText xml:space="preserve"> PAGEREF _Toc524424811 \h </w:instrText>
        </w:r>
        <w:r w:rsidR="00222BEE">
          <w:rPr>
            <w:webHidden/>
          </w:rPr>
        </w:r>
        <w:r w:rsidR="00222BEE">
          <w:rPr>
            <w:webHidden/>
          </w:rPr>
          <w:fldChar w:fldCharType="separate"/>
        </w:r>
        <w:r w:rsidR="00222BEE">
          <w:rPr>
            <w:webHidden/>
          </w:rPr>
          <w:t>165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2" w:history="1">
        <w:r w:rsidR="00222BEE" w:rsidRPr="00974114">
          <w:rPr>
            <w:rStyle w:val="Hyperlink"/>
            <w:bCs/>
          </w:rPr>
          <w:t>11.3.2</w:t>
        </w:r>
        <w:r w:rsidR="00222BEE">
          <w:rPr>
            <w:rFonts w:asciiTheme="minorHAnsi" w:hAnsiTheme="minorHAnsi" w:cstheme="minorBidi"/>
            <w:color w:val="auto"/>
            <w:sz w:val="22"/>
            <w:szCs w:val="22"/>
            <w:lang w:eastAsia="zh-CN"/>
          </w:rPr>
          <w:tab/>
        </w:r>
        <w:r w:rsidR="00222BEE" w:rsidRPr="00974114">
          <w:rPr>
            <w:rStyle w:val="Hyperlink"/>
            <w:bCs/>
          </w:rPr>
          <w:t>ACFI claims growth and indexation</w:t>
        </w:r>
        <w:r w:rsidR="00222BEE">
          <w:rPr>
            <w:webHidden/>
          </w:rPr>
          <w:tab/>
        </w:r>
        <w:r w:rsidR="00222BEE">
          <w:rPr>
            <w:webHidden/>
          </w:rPr>
          <w:fldChar w:fldCharType="begin"/>
        </w:r>
        <w:r w:rsidR="00222BEE">
          <w:rPr>
            <w:webHidden/>
          </w:rPr>
          <w:instrText xml:space="preserve"> PAGEREF _Toc524424812 \h </w:instrText>
        </w:r>
        <w:r w:rsidR="00222BEE">
          <w:rPr>
            <w:webHidden/>
          </w:rPr>
        </w:r>
        <w:r w:rsidR="00222BEE">
          <w:rPr>
            <w:webHidden/>
          </w:rPr>
          <w:fldChar w:fldCharType="separate"/>
        </w:r>
        <w:r w:rsidR="00222BEE">
          <w:rPr>
            <w:webHidden/>
          </w:rPr>
          <w:t>165</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3" w:history="1">
        <w:r w:rsidR="00222BEE" w:rsidRPr="00974114">
          <w:rPr>
            <w:rStyle w:val="Hyperlink"/>
            <w:bCs/>
          </w:rPr>
          <w:t>11.3.3</w:t>
        </w:r>
        <w:r w:rsidR="00222BEE">
          <w:rPr>
            <w:rFonts w:asciiTheme="minorHAnsi" w:hAnsiTheme="minorHAnsi" w:cstheme="minorBidi"/>
            <w:color w:val="auto"/>
            <w:sz w:val="22"/>
            <w:szCs w:val="22"/>
            <w:lang w:eastAsia="zh-CN"/>
          </w:rPr>
          <w:tab/>
        </w:r>
        <w:r w:rsidR="00222BEE" w:rsidRPr="00974114">
          <w:rPr>
            <w:rStyle w:val="Hyperlink"/>
            <w:bCs/>
          </w:rPr>
          <w:t>Indexation</w:t>
        </w:r>
        <w:r w:rsidR="00222BEE">
          <w:rPr>
            <w:webHidden/>
          </w:rPr>
          <w:tab/>
        </w:r>
        <w:r w:rsidR="00222BEE">
          <w:rPr>
            <w:webHidden/>
          </w:rPr>
          <w:fldChar w:fldCharType="begin"/>
        </w:r>
        <w:r w:rsidR="00222BEE">
          <w:rPr>
            <w:webHidden/>
          </w:rPr>
          <w:instrText xml:space="preserve"> PAGEREF _Toc524424813 \h </w:instrText>
        </w:r>
        <w:r w:rsidR="00222BEE">
          <w:rPr>
            <w:webHidden/>
          </w:rPr>
        </w:r>
        <w:r w:rsidR="00222BEE">
          <w:rPr>
            <w:webHidden/>
          </w:rPr>
          <w:fldChar w:fldCharType="separate"/>
        </w:r>
        <w:r w:rsidR="00222BEE">
          <w:rPr>
            <w:webHidden/>
          </w:rPr>
          <w:t>168</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4" w:history="1">
        <w:r w:rsidR="00222BEE" w:rsidRPr="00974114">
          <w:rPr>
            <w:rStyle w:val="Hyperlink"/>
            <w:bCs/>
          </w:rPr>
          <w:t>11.3.4</w:t>
        </w:r>
        <w:r w:rsidR="00222BEE">
          <w:rPr>
            <w:rFonts w:asciiTheme="minorHAnsi" w:hAnsiTheme="minorHAnsi" w:cstheme="minorBidi"/>
            <w:color w:val="auto"/>
            <w:sz w:val="22"/>
            <w:szCs w:val="22"/>
            <w:lang w:eastAsia="zh-CN"/>
          </w:rPr>
          <w:tab/>
        </w:r>
        <w:r w:rsidR="00222BEE" w:rsidRPr="00974114">
          <w:rPr>
            <w:rStyle w:val="Hyperlink"/>
            <w:bCs/>
          </w:rPr>
          <w:t>Implication – the importance of appropriate indexation</w:t>
        </w:r>
        <w:r w:rsidR="00222BEE">
          <w:rPr>
            <w:webHidden/>
          </w:rPr>
          <w:tab/>
        </w:r>
        <w:r w:rsidR="00222BEE">
          <w:rPr>
            <w:webHidden/>
          </w:rPr>
          <w:fldChar w:fldCharType="begin"/>
        </w:r>
        <w:r w:rsidR="00222BEE">
          <w:rPr>
            <w:webHidden/>
          </w:rPr>
          <w:instrText xml:space="preserve"> PAGEREF _Toc524424814 \h </w:instrText>
        </w:r>
        <w:r w:rsidR="00222BEE">
          <w:rPr>
            <w:webHidden/>
          </w:rPr>
        </w:r>
        <w:r w:rsidR="00222BEE">
          <w:rPr>
            <w:webHidden/>
          </w:rPr>
          <w:fldChar w:fldCharType="separate"/>
        </w:r>
        <w:r w:rsidR="00222BEE">
          <w:rPr>
            <w:webHidden/>
          </w:rPr>
          <w:t>169</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15" w:history="1">
        <w:r w:rsidR="00222BEE" w:rsidRPr="00974114">
          <w:rPr>
            <w:rStyle w:val="Hyperlink"/>
            <w:bCs/>
            <w:noProof/>
          </w:rPr>
          <w:t>11.4</w:t>
        </w:r>
        <w:r w:rsidR="00222BEE">
          <w:rPr>
            <w:rFonts w:asciiTheme="minorHAnsi" w:hAnsiTheme="minorHAnsi" w:cstheme="minorBidi"/>
            <w:b w:val="0"/>
            <w:noProof/>
            <w:color w:val="auto"/>
            <w:sz w:val="22"/>
            <w:szCs w:val="22"/>
            <w:lang w:eastAsia="zh-CN"/>
          </w:rPr>
          <w:tab/>
        </w:r>
        <w:r w:rsidR="00222BEE" w:rsidRPr="00974114">
          <w:rPr>
            <w:rStyle w:val="Hyperlink"/>
            <w:bCs/>
            <w:noProof/>
          </w:rPr>
          <w:t>The long term demographic pressures and the capital investment challenge</w:t>
        </w:r>
        <w:r w:rsidR="00222BEE">
          <w:rPr>
            <w:noProof/>
            <w:webHidden/>
          </w:rPr>
          <w:tab/>
        </w:r>
        <w:r w:rsidR="00222BEE">
          <w:rPr>
            <w:noProof/>
            <w:webHidden/>
          </w:rPr>
          <w:fldChar w:fldCharType="begin"/>
        </w:r>
        <w:r w:rsidR="00222BEE">
          <w:rPr>
            <w:noProof/>
            <w:webHidden/>
          </w:rPr>
          <w:instrText xml:space="preserve"> PAGEREF _Toc524424815 \h </w:instrText>
        </w:r>
        <w:r w:rsidR="00222BEE">
          <w:rPr>
            <w:noProof/>
            <w:webHidden/>
          </w:rPr>
        </w:r>
        <w:r w:rsidR="00222BEE">
          <w:rPr>
            <w:noProof/>
            <w:webHidden/>
          </w:rPr>
          <w:fldChar w:fldCharType="separate"/>
        </w:r>
        <w:r w:rsidR="00222BEE">
          <w:rPr>
            <w:noProof/>
            <w:webHidden/>
          </w:rPr>
          <w:t>170</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6" w:history="1">
        <w:r w:rsidR="00222BEE" w:rsidRPr="00974114">
          <w:rPr>
            <w:rStyle w:val="Hyperlink"/>
            <w:bCs/>
          </w:rPr>
          <w:t>11.4.1</w:t>
        </w:r>
        <w:r w:rsidR="00222BEE">
          <w:rPr>
            <w:rFonts w:asciiTheme="minorHAnsi" w:hAnsiTheme="minorHAnsi" w:cstheme="minorBidi"/>
            <w:color w:val="auto"/>
            <w:sz w:val="22"/>
            <w:szCs w:val="22"/>
            <w:lang w:eastAsia="zh-CN"/>
          </w:rPr>
          <w:tab/>
        </w:r>
        <w:r w:rsidR="00222BEE" w:rsidRPr="00974114">
          <w:rPr>
            <w:rStyle w:val="Hyperlink"/>
            <w:bCs/>
          </w:rPr>
          <w:t>Recent history and reforms</w:t>
        </w:r>
        <w:r w:rsidR="00222BEE">
          <w:rPr>
            <w:webHidden/>
          </w:rPr>
          <w:tab/>
        </w:r>
        <w:r w:rsidR="00222BEE">
          <w:rPr>
            <w:webHidden/>
          </w:rPr>
          <w:fldChar w:fldCharType="begin"/>
        </w:r>
        <w:r w:rsidR="00222BEE">
          <w:rPr>
            <w:webHidden/>
          </w:rPr>
          <w:instrText xml:space="preserve"> PAGEREF _Toc524424816 \h </w:instrText>
        </w:r>
        <w:r w:rsidR="00222BEE">
          <w:rPr>
            <w:webHidden/>
          </w:rPr>
        </w:r>
        <w:r w:rsidR="00222BEE">
          <w:rPr>
            <w:webHidden/>
          </w:rPr>
          <w:fldChar w:fldCharType="separate"/>
        </w:r>
        <w:r w:rsidR="00222BEE">
          <w:rPr>
            <w:webHidden/>
          </w:rPr>
          <w:t>170</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17" w:history="1">
        <w:r w:rsidR="00222BEE" w:rsidRPr="00974114">
          <w:rPr>
            <w:rStyle w:val="Hyperlink"/>
            <w:bCs/>
          </w:rPr>
          <w:t>11.4.2</w:t>
        </w:r>
        <w:r w:rsidR="00222BEE">
          <w:rPr>
            <w:rFonts w:asciiTheme="minorHAnsi" w:hAnsiTheme="minorHAnsi" w:cstheme="minorBidi"/>
            <w:color w:val="auto"/>
            <w:sz w:val="22"/>
            <w:szCs w:val="22"/>
            <w:lang w:eastAsia="zh-CN"/>
          </w:rPr>
          <w:tab/>
        </w:r>
        <w:r w:rsidR="00222BEE" w:rsidRPr="00974114">
          <w:rPr>
            <w:rStyle w:val="Hyperlink"/>
            <w:bCs/>
          </w:rPr>
          <w:t>Current issues and looking forward</w:t>
        </w:r>
        <w:r w:rsidR="00222BEE">
          <w:rPr>
            <w:webHidden/>
          </w:rPr>
          <w:tab/>
        </w:r>
        <w:r w:rsidR="00222BEE">
          <w:rPr>
            <w:webHidden/>
          </w:rPr>
          <w:fldChar w:fldCharType="begin"/>
        </w:r>
        <w:r w:rsidR="00222BEE">
          <w:rPr>
            <w:webHidden/>
          </w:rPr>
          <w:instrText xml:space="preserve"> PAGEREF _Toc524424817 \h </w:instrText>
        </w:r>
        <w:r w:rsidR="00222BEE">
          <w:rPr>
            <w:webHidden/>
          </w:rPr>
        </w:r>
        <w:r w:rsidR="00222BEE">
          <w:rPr>
            <w:webHidden/>
          </w:rPr>
          <w:fldChar w:fldCharType="separate"/>
        </w:r>
        <w:r w:rsidR="00222BEE">
          <w:rPr>
            <w:webHidden/>
          </w:rPr>
          <w:t>171</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18" w:history="1">
        <w:r w:rsidR="00222BEE" w:rsidRPr="00974114">
          <w:rPr>
            <w:rStyle w:val="Hyperlink"/>
            <w:bCs/>
            <w:noProof/>
          </w:rPr>
          <w:t>11.5</w:t>
        </w:r>
        <w:r w:rsidR="00222BEE">
          <w:rPr>
            <w:rFonts w:asciiTheme="minorHAnsi" w:hAnsiTheme="minorHAnsi" w:cstheme="minorBidi"/>
            <w:b w:val="0"/>
            <w:noProof/>
            <w:color w:val="auto"/>
            <w:sz w:val="22"/>
            <w:szCs w:val="22"/>
            <w:lang w:eastAsia="zh-CN"/>
          </w:rPr>
          <w:tab/>
        </w:r>
        <w:r w:rsidR="00222BEE" w:rsidRPr="00974114">
          <w:rPr>
            <w:rStyle w:val="Hyperlink"/>
            <w:bCs/>
            <w:noProof/>
          </w:rPr>
          <w:t>The challenge for providers</w:t>
        </w:r>
        <w:r w:rsidR="00222BEE">
          <w:rPr>
            <w:noProof/>
            <w:webHidden/>
          </w:rPr>
          <w:tab/>
        </w:r>
        <w:r w:rsidR="00222BEE">
          <w:rPr>
            <w:noProof/>
            <w:webHidden/>
          </w:rPr>
          <w:fldChar w:fldCharType="begin"/>
        </w:r>
        <w:r w:rsidR="00222BEE">
          <w:rPr>
            <w:noProof/>
            <w:webHidden/>
          </w:rPr>
          <w:instrText xml:space="preserve"> PAGEREF _Toc524424818 \h </w:instrText>
        </w:r>
        <w:r w:rsidR="00222BEE">
          <w:rPr>
            <w:noProof/>
            <w:webHidden/>
          </w:rPr>
        </w:r>
        <w:r w:rsidR="00222BEE">
          <w:rPr>
            <w:noProof/>
            <w:webHidden/>
          </w:rPr>
          <w:fldChar w:fldCharType="separate"/>
        </w:r>
        <w:r w:rsidR="00222BEE">
          <w:rPr>
            <w:noProof/>
            <w:webHidden/>
          </w:rPr>
          <w:t>171</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19" w:history="1">
        <w:r w:rsidR="00222BEE" w:rsidRPr="00974114">
          <w:rPr>
            <w:rStyle w:val="Hyperlink"/>
            <w:bCs/>
            <w:noProof/>
          </w:rPr>
          <w:t>11.6</w:t>
        </w:r>
        <w:r w:rsidR="00222BEE">
          <w:rPr>
            <w:rFonts w:asciiTheme="minorHAnsi" w:hAnsiTheme="minorHAnsi" w:cstheme="minorBidi"/>
            <w:b w:val="0"/>
            <w:noProof/>
            <w:color w:val="auto"/>
            <w:sz w:val="22"/>
            <w:szCs w:val="22"/>
            <w:lang w:eastAsia="zh-CN"/>
          </w:rPr>
          <w:tab/>
        </w:r>
        <w:r w:rsidR="00222BEE" w:rsidRPr="00974114">
          <w:rPr>
            <w:rStyle w:val="Hyperlink"/>
            <w:bCs/>
            <w:noProof/>
          </w:rPr>
          <w:t>The role of consumers</w:t>
        </w:r>
        <w:r w:rsidR="00222BEE">
          <w:rPr>
            <w:noProof/>
            <w:webHidden/>
          </w:rPr>
          <w:tab/>
        </w:r>
        <w:r w:rsidR="00222BEE">
          <w:rPr>
            <w:noProof/>
            <w:webHidden/>
          </w:rPr>
          <w:fldChar w:fldCharType="begin"/>
        </w:r>
        <w:r w:rsidR="00222BEE">
          <w:rPr>
            <w:noProof/>
            <w:webHidden/>
          </w:rPr>
          <w:instrText xml:space="preserve"> PAGEREF _Toc524424819 \h </w:instrText>
        </w:r>
        <w:r w:rsidR="00222BEE">
          <w:rPr>
            <w:noProof/>
            <w:webHidden/>
          </w:rPr>
        </w:r>
        <w:r w:rsidR="00222BEE">
          <w:rPr>
            <w:noProof/>
            <w:webHidden/>
          </w:rPr>
          <w:fldChar w:fldCharType="separate"/>
        </w:r>
        <w:r w:rsidR="00222BEE">
          <w:rPr>
            <w:noProof/>
            <w:webHidden/>
          </w:rPr>
          <w:t>172</w:t>
        </w:r>
        <w:r w:rsidR="00222BEE">
          <w:rPr>
            <w:noProof/>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20" w:history="1">
        <w:r w:rsidR="00222BEE" w:rsidRPr="00974114">
          <w:rPr>
            <w:rStyle w:val="Hyperlink"/>
            <w:bCs/>
          </w:rPr>
          <w:t>11.6.1</w:t>
        </w:r>
        <w:r w:rsidR="00222BEE">
          <w:rPr>
            <w:rFonts w:asciiTheme="minorHAnsi" w:hAnsiTheme="minorHAnsi" w:cstheme="minorBidi"/>
            <w:color w:val="auto"/>
            <w:sz w:val="22"/>
            <w:szCs w:val="22"/>
            <w:lang w:eastAsia="zh-CN"/>
          </w:rPr>
          <w:tab/>
        </w:r>
        <w:r w:rsidR="00222BEE" w:rsidRPr="00974114">
          <w:rPr>
            <w:rStyle w:val="Hyperlink"/>
            <w:bCs/>
          </w:rPr>
          <w:t>Means tested care fees</w:t>
        </w:r>
        <w:r w:rsidR="00222BEE">
          <w:rPr>
            <w:webHidden/>
          </w:rPr>
          <w:tab/>
        </w:r>
        <w:r w:rsidR="00222BEE">
          <w:rPr>
            <w:webHidden/>
          </w:rPr>
          <w:fldChar w:fldCharType="begin"/>
        </w:r>
        <w:r w:rsidR="00222BEE">
          <w:rPr>
            <w:webHidden/>
          </w:rPr>
          <w:instrText xml:space="preserve"> PAGEREF _Toc524424820 \h </w:instrText>
        </w:r>
        <w:r w:rsidR="00222BEE">
          <w:rPr>
            <w:webHidden/>
          </w:rPr>
        </w:r>
        <w:r w:rsidR="00222BEE">
          <w:rPr>
            <w:webHidden/>
          </w:rPr>
          <w:fldChar w:fldCharType="separate"/>
        </w:r>
        <w:r w:rsidR="00222BEE">
          <w:rPr>
            <w:webHidden/>
          </w:rPr>
          <w:t>172</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21" w:history="1">
        <w:r w:rsidR="00222BEE" w:rsidRPr="00974114">
          <w:rPr>
            <w:rStyle w:val="Hyperlink"/>
            <w:bCs/>
          </w:rPr>
          <w:t>11.6.2</w:t>
        </w:r>
        <w:r w:rsidR="00222BEE">
          <w:rPr>
            <w:rFonts w:asciiTheme="minorHAnsi" w:hAnsiTheme="minorHAnsi" w:cstheme="minorBidi"/>
            <w:color w:val="auto"/>
            <w:sz w:val="22"/>
            <w:szCs w:val="22"/>
            <w:lang w:eastAsia="zh-CN"/>
          </w:rPr>
          <w:tab/>
        </w:r>
        <w:r w:rsidR="00222BEE" w:rsidRPr="00974114">
          <w:rPr>
            <w:rStyle w:val="Hyperlink"/>
            <w:bCs/>
          </w:rPr>
          <w:t>Basic daily fee</w:t>
        </w:r>
        <w:r w:rsidR="00222BEE">
          <w:rPr>
            <w:webHidden/>
          </w:rPr>
          <w:tab/>
        </w:r>
        <w:r w:rsidR="00222BEE">
          <w:rPr>
            <w:webHidden/>
          </w:rPr>
          <w:fldChar w:fldCharType="begin"/>
        </w:r>
        <w:r w:rsidR="00222BEE">
          <w:rPr>
            <w:webHidden/>
          </w:rPr>
          <w:instrText xml:space="preserve"> PAGEREF _Toc524424821 \h </w:instrText>
        </w:r>
        <w:r w:rsidR="00222BEE">
          <w:rPr>
            <w:webHidden/>
          </w:rPr>
        </w:r>
        <w:r w:rsidR="00222BEE">
          <w:rPr>
            <w:webHidden/>
          </w:rPr>
          <w:fldChar w:fldCharType="separate"/>
        </w:r>
        <w:r w:rsidR="00222BEE">
          <w:rPr>
            <w:webHidden/>
          </w:rPr>
          <w:t>173</w:t>
        </w:r>
        <w:r w:rsidR="00222BEE">
          <w:rPr>
            <w:webHidden/>
          </w:rPr>
          <w:fldChar w:fldCharType="end"/>
        </w:r>
      </w:hyperlink>
    </w:p>
    <w:p w:rsidR="00222BEE" w:rsidRDefault="00CD5700">
      <w:pPr>
        <w:pStyle w:val="TOC3"/>
        <w:tabs>
          <w:tab w:val="left" w:pos="1320"/>
        </w:tabs>
        <w:rPr>
          <w:rFonts w:asciiTheme="minorHAnsi" w:hAnsiTheme="minorHAnsi" w:cstheme="minorBidi"/>
          <w:color w:val="auto"/>
          <w:sz w:val="22"/>
          <w:szCs w:val="22"/>
          <w:lang w:eastAsia="zh-CN"/>
        </w:rPr>
      </w:pPr>
      <w:hyperlink w:anchor="_Toc524424822" w:history="1">
        <w:r w:rsidR="00222BEE" w:rsidRPr="00974114">
          <w:rPr>
            <w:rStyle w:val="Hyperlink"/>
            <w:bCs/>
          </w:rPr>
          <w:t>11.6.3</w:t>
        </w:r>
        <w:r w:rsidR="00222BEE">
          <w:rPr>
            <w:rFonts w:asciiTheme="minorHAnsi" w:hAnsiTheme="minorHAnsi" w:cstheme="minorBidi"/>
            <w:color w:val="auto"/>
            <w:sz w:val="22"/>
            <w:szCs w:val="22"/>
            <w:lang w:eastAsia="zh-CN"/>
          </w:rPr>
          <w:tab/>
        </w:r>
        <w:r w:rsidR="00222BEE" w:rsidRPr="00974114">
          <w:rPr>
            <w:rStyle w:val="Hyperlink"/>
            <w:bCs/>
          </w:rPr>
          <w:t>Additional service fees</w:t>
        </w:r>
        <w:r w:rsidR="00222BEE">
          <w:rPr>
            <w:webHidden/>
          </w:rPr>
          <w:tab/>
        </w:r>
        <w:r w:rsidR="00222BEE">
          <w:rPr>
            <w:webHidden/>
          </w:rPr>
          <w:fldChar w:fldCharType="begin"/>
        </w:r>
        <w:r w:rsidR="00222BEE">
          <w:rPr>
            <w:webHidden/>
          </w:rPr>
          <w:instrText xml:space="preserve"> PAGEREF _Toc524424822 \h </w:instrText>
        </w:r>
        <w:r w:rsidR="00222BEE">
          <w:rPr>
            <w:webHidden/>
          </w:rPr>
        </w:r>
        <w:r w:rsidR="00222BEE">
          <w:rPr>
            <w:webHidden/>
          </w:rPr>
          <w:fldChar w:fldCharType="separate"/>
        </w:r>
        <w:r w:rsidR="00222BEE">
          <w:rPr>
            <w:webHidden/>
          </w:rPr>
          <w:t>173</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23" w:history="1">
        <w:r w:rsidR="00222BEE" w:rsidRPr="00974114">
          <w:rPr>
            <w:rStyle w:val="Hyperlink"/>
            <w:bCs/>
            <w:noProof/>
          </w:rPr>
          <w:t>11.7</w:t>
        </w:r>
        <w:r w:rsidR="00222BEE">
          <w:rPr>
            <w:rFonts w:asciiTheme="minorHAnsi" w:hAnsiTheme="minorHAnsi" w:cstheme="minorBidi"/>
            <w:b w:val="0"/>
            <w:noProof/>
            <w:color w:val="auto"/>
            <w:sz w:val="22"/>
            <w:szCs w:val="22"/>
            <w:lang w:eastAsia="zh-CN"/>
          </w:rPr>
          <w:tab/>
        </w:r>
        <w:r w:rsidR="00222BEE" w:rsidRPr="00974114">
          <w:rPr>
            <w:rStyle w:val="Hyperlink"/>
            <w:bCs/>
            <w:noProof/>
          </w:rPr>
          <w:t>Other reform initiatives</w:t>
        </w:r>
        <w:r w:rsidR="00222BEE">
          <w:rPr>
            <w:noProof/>
            <w:webHidden/>
          </w:rPr>
          <w:tab/>
        </w:r>
        <w:r w:rsidR="00222BEE">
          <w:rPr>
            <w:noProof/>
            <w:webHidden/>
          </w:rPr>
          <w:fldChar w:fldCharType="begin"/>
        </w:r>
        <w:r w:rsidR="00222BEE">
          <w:rPr>
            <w:noProof/>
            <w:webHidden/>
          </w:rPr>
          <w:instrText xml:space="preserve"> PAGEREF _Toc524424823 \h </w:instrText>
        </w:r>
        <w:r w:rsidR="00222BEE">
          <w:rPr>
            <w:noProof/>
            <w:webHidden/>
          </w:rPr>
        </w:r>
        <w:r w:rsidR="00222BEE">
          <w:rPr>
            <w:noProof/>
            <w:webHidden/>
          </w:rPr>
          <w:fldChar w:fldCharType="separate"/>
        </w:r>
        <w:r w:rsidR="00222BEE">
          <w:rPr>
            <w:noProof/>
            <w:webHidden/>
          </w:rPr>
          <w:t>173</w:t>
        </w:r>
        <w:r w:rsidR="00222BEE">
          <w:rPr>
            <w:noProof/>
            <w:webHidden/>
          </w:rPr>
          <w:fldChar w:fldCharType="end"/>
        </w:r>
      </w:hyperlink>
    </w:p>
    <w:p w:rsidR="00222BEE" w:rsidRDefault="00CD5700">
      <w:pPr>
        <w:pStyle w:val="TOC1"/>
        <w:rPr>
          <w:rFonts w:asciiTheme="minorHAnsi" w:hAnsiTheme="minorHAnsi" w:cstheme="minorBidi"/>
          <w:b w:val="0"/>
          <w:noProof/>
          <w:color w:val="auto"/>
          <w:sz w:val="22"/>
          <w:szCs w:val="22"/>
          <w:lang w:eastAsia="zh-CN"/>
        </w:rPr>
      </w:pPr>
      <w:hyperlink w:anchor="_Toc524424824" w:history="1">
        <w:r w:rsidR="00222BEE" w:rsidRPr="00974114">
          <w:rPr>
            <w:rStyle w:val="Hyperlink"/>
            <w:noProof/>
          </w:rPr>
          <w:t>Appendices</w:t>
        </w:r>
        <w:r w:rsidR="00222BEE">
          <w:rPr>
            <w:noProof/>
            <w:webHidden/>
          </w:rPr>
          <w:tab/>
        </w:r>
        <w:r w:rsidR="00222BEE">
          <w:rPr>
            <w:noProof/>
            <w:webHidden/>
          </w:rPr>
          <w:fldChar w:fldCharType="begin"/>
        </w:r>
        <w:r w:rsidR="00222BEE">
          <w:rPr>
            <w:noProof/>
            <w:webHidden/>
          </w:rPr>
          <w:instrText xml:space="preserve"> PAGEREF _Toc524424824 \h </w:instrText>
        </w:r>
        <w:r w:rsidR="00222BEE">
          <w:rPr>
            <w:noProof/>
            <w:webHidden/>
          </w:rPr>
        </w:r>
        <w:r w:rsidR="00222BEE">
          <w:rPr>
            <w:noProof/>
            <w:webHidden/>
          </w:rPr>
          <w:fldChar w:fldCharType="separate"/>
        </w:r>
        <w:r w:rsidR="00222BEE">
          <w:rPr>
            <w:noProof/>
            <w:webHidden/>
          </w:rPr>
          <w:t>175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25" w:history="1">
        <w:r w:rsidR="00222BEE" w:rsidRPr="00974114">
          <w:rPr>
            <w:rStyle w:val="Hyperlink"/>
            <w:noProof/>
          </w:rPr>
          <w:t>Appendix A ACFA Membership</w:t>
        </w:r>
        <w:r w:rsidR="00222BEE">
          <w:rPr>
            <w:noProof/>
            <w:webHidden/>
          </w:rPr>
          <w:tab/>
        </w:r>
        <w:r w:rsidR="00222BEE">
          <w:rPr>
            <w:noProof/>
            <w:webHidden/>
          </w:rPr>
          <w:fldChar w:fldCharType="begin"/>
        </w:r>
        <w:r w:rsidR="00222BEE">
          <w:rPr>
            <w:noProof/>
            <w:webHidden/>
          </w:rPr>
          <w:instrText xml:space="preserve"> PAGEREF _Toc524424825 \h </w:instrText>
        </w:r>
        <w:r w:rsidR="00222BEE">
          <w:rPr>
            <w:noProof/>
            <w:webHidden/>
          </w:rPr>
        </w:r>
        <w:r w:rsidR="00222BEE">
          <w:rPr>
            <w:noProof/>
            <w:webHidden/>
          </w:rPr>
          <w:fldChar w:fldCharType="separate"/>
        </w:r>
        <w:r w:rsidR="00222BEE">
          <w:rPr>
            <w:noProof/>
            <w:webHidden/>
          </w:rPr>
          <w:t>176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26" w:history="1">
        <w:r w:rsidR="00222BEE" w:rsidRPr="00974114">
          <w:rPr>
            <w:rStyle w:val="Hyperlink"/>
            <w:noProof/>
          </w:rPr>
          <w:t>Appendix B Work completed by ACFA to date</w:t>
        </w:r>
        <w:r w:rsidR="00222BEE">
          <w:rPr>
            <w:noProof/>
            <w:webHidden/>
          </w:rPr>
          <w:tab/>
        </w:r>
        <w:r w:rsidR="00222BEE">
          <w:rPr>
            <w:noProof/>
            <w:webHidden/>
          </w:rPr>
          <w:fldChar w:fldCharType="begin"/>
        </w:r>
        <w:r w:rsidR="00222BEE">
          <w:rPr>
            <w:noProof/>
            <w:webHidden/>
          </w:rPr>
          <w:instrText xml:space="preserve"> PAGEREF _Toc524424826 \h </w:instrText>
        </w:r>
        <w:r w:rsidR="00222BEE">
          <w:rPr>
            <w:noProof/>
            <w:webHidden/>
          </w:rPr>
        </w:r>
        <w:r w:rsidR="00222BEE">
          <w:rPr>
            <w:noProof/>
            <w:webHidden/>
          </w:rPr>
          <w:fldChar w:fldCharType="separate"/>
        </w:r>
        <w:r w:rsidR="00222BEE">
          <w:rPr>
            <w:noProof/>
            <w:webHidden/>
          </w:rPr>
          <w:t>177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27" w:history="1">
        <w:r w:rsidR="00222BEE" w:rsidRPr="00974114">
          <w:rPr>
            <w:rStyle w:val="Hyperlink"/>
            <w:noProof/>
          </w:rPr>
          <w:t>Appendix C ACFA’s stakeholder engagement</w:t>
        </w:r>
        <w:r w:rsidR="00222BEE">
          <w:rPr>
            <w:noProof/>
            <w:webHidden/>
          </w:rPr>
          <w:tab/>
        </w:r>
        <w:r w:rsidR="00222BEE">
          <w:rPr>
            <w:noProof/>
            <w:webHidden/>
          </w:rPr>
          <w:fldChar w:fldCharType="begin"/>
        </w:r>
        <w:r w:rsidR="00222BEE">
          <w:rPr>
            <w:noProof/>
            <w:webHidden/>
          </w:rPr>
          <w:instrText xml:space="preserve"> PAGEREF _Toc524424827 \h </w:instrText>
        </w:r>
        <w:r w:rsidR="00222BEE">
          <w:rPr>
            <w:noProof/>
            <w:webHidden/>
          </w:rPr>
        </w:r>
        <w:r w:rsidR="00222BEE">
          <w:rPr>
            <w:noProof/>
            <w:webHidden/>
          </w:rPr>
          <w:fldChar w:fldCharType="separate"/>
        </w:r>
        <w:r w:rsidR="00222BEE">
          <w:rPr>
            <w:noProof/>
            <w:webHidden/>
          </w:rPr>
          <w:t>179</w:t>
        </w:r>
        <w:r w:rsidR="00222BEE">
          <w:rPr>
            <w:noProof/>
            <w:webHidden/>
          </w:rPr>
          <w:fldChar w:fldCharType="end"/>
        </w:r>
      </w:hyperlink>
    </w:p>
    <w:p w:rsidR="00222BEE" w:rsidRDefault="00CD5700">
      <w:pPr>
        <w:pStyle w:val="TOC3"/>
        <w:rPr>
          <w:rFonts w:asciiTheme="minorHAnsi" w:hAnsiTheme="minorHAnsi" w:cstheme="minorBidi"/>
          <w:color w:val="auto"/>
          <w:sz w:val="22"/>
          <w:szCs w:val="22"/>
          <w:lang w:eastAsia="zh-CN"/>
        </w:rPr>
      </w:pPr>
      <w:hyperlink w:anchor="_Toc524424828" w:history="1">
        <w:r w:rsidR="00222BEE" w:rsidRPr="00974114">
          <w:rPr>
            <w:rStyle w:val="Hyperlink"/>
            <w:bCs/>
          </w:rPr>
          <w:t>Investors</w:t>
        </w:r>
        <w:r w:rsidR="00222BEE">
          <w:rPr>
            <w:webHidden/>
          </w:rPr>
          <w:tab/>
        </w:r>
        <w:r w:rsidR="00222BEE">
          <w:rPr>
            <w:webHidden/>
          </w:rPr>
          <w:fldChar w:fldCharType="begin"/>
        </w:r>
        <w:r w:rsidR="00222BEE">
          <w:rPr>
            <w:webHidden/>
          </w:rPr>
          <w:instrText xml:space="preserve"> PAGEREF _Toc524424828 \h </w:instrText>
        </w:r>
        <w:r w:rsidR="00222BEE">
          <w:rPr>
            <w:webHidden/>
          </w:rPr>
        </w:r>
        <w:r w:rsidR="00222BEE">
          <w:rPr>
            <w:webHidden/>
          </w:rPr>
          <w:fldChar w:fldCharType="separate"/>
        </w:r>
        <w:r w:rsidR="00222BEE">
          <w:rPr>
            <w:webHidden/>
          </w:rPr>
          <w:t>179</w:t>
        </w:r>
        <w:r w:rsidR="00222BEE">
          <w:rPr>
            <w:webHidden/>
          </w:rPr>
          <w:fldChar w:fldCharType="end"/>
        </w:r>
      </w:hyperlink>
    </w:p>
    <w:p w:rsidR="00222BEE" w:rsidRDefault="00CD5700">
      <w:pPr>
        <w:pStyle w:val="TOC3"/>
        <w:rPr>
          <w:rFonts w:asciiTheme="minorHAnsi" w:hAnsiTheme="minorHAnsi" w:cstheme="minorBidi"/>
          <w:color w:val="auto"/>
          <w:sz w:val="22"/>
          <w:szCs w:val="22"/>
          <w:lang w:eastAsia="zh-CN"/>
        </w:rPr>
      </w:pPr>
      <w:hyperlink w:anchor="_Toc524424829" w:history="1">
        <w:r w:rsidR="00222BEE" w:rsidRPr="00974114">
          <w:rPr>
            <w:rStyle w:val="Hyperlink"/>
            <w:bCs/>
          </w:rPr>
          <w:t>Providers</w:t>
        </w:r>
        <w:r w:rsidR="00222BEE">
          <w:rPr>
            <w:webHidden/>
          </w:rPr>
          <w:tab/>
        </w:r>
        <w:r w:rsidR="00222BEE">
          <w:rPr>
            <w:webHidden/>
          </w:rPr>
          <w:fldChar w:fldCharType="begin"/>
        </w:r>
        <w:r w:rsidR="00222BEE">
          <w:rPr>
            <w:webHidden/>
          </w:rPr>
          <w:instrText xml:space="preserve"> PAGEREF _Toc524424829 \h </w:instrText>
        </w:r>
        <w:r w:rsidR="00222BEE">
          <w:rPr>
            <w:webHidden/>
          </w:rPr>
        </w:r>
        <w:r w:rsidR="00222BEE">
          <w:rPr>
            <w:webHidden/>
          </w:rPr>
          <w:fldChar w:fldCharType="separate"/>
        </w:r>
        <w:r w:rsidR="00222BEE">
          <w:rPr>
            <w:webHidden/>
          </w:rPr>
          <w:t>179</w:t>
        </w:r>
        <w:r w:rsidR="00222BEE">
          <w:rPr>
            <w:webHidden/>
          </w:rPr>
          <w:fldChar w:fldCharType="end"/>
        </w:r>
      </w:hyperlink>
    </w:p>
    <w:p w:rsidR="00222BEE" w:rsidRDefault="00CD5700">
      <w:pPr>
        <w:pStyle w:val="TOC3"/>
        <w:rPr>
          <w:rFonts w:asciiTheme="minorHAnsi" w:hAnsiTheme="minorHAnsi" w:cstheme="minorBidi"/>
          <w:color w:val="auto"/>
          <w:sz w:val="22"/>
          <w:szCs w:val="22"/>
          <w:lang w:eastAsia="zh-CN"/>
        </w:rPr>
      </w:pPr>
      <w:hyperlink w:anchor="_Toc524424830" w:history="1">
        <w:r w:rsidR="00222BEE" w:rsidRPr="00974114">
          <w:rPr>
            <w:rStyle w:val="Hyperlink"/>
            <w:bCs/>
          </w:rPr>
          <w:t>Other stakeholders</w:t>
        </w:r>
        <w:r w:rsidR="00222BEE">
          <w:rPr>
            <w:webHidden/>
          </w:rPr>
          <w:tab/>
        </w:r>
        <w:r w:rsidR="00222BEE">
          <w:rPr>
            <w:webHidden/>
          </w:rPr>
          <w:fldChar w:fldCharType="begin"/>
        </w:r>
        <w:r w:rsidR="00222BEE">
          <w:rPr>
            <w:webHidden/>
          </w:rPr>
          <w:instrText xml:space="preserve"> PAGEREF _Toc524424830 \h </w:instrText>
        </w:r>
        <w:r w:rsidR="00222BEE">
          <w:rPr>
            <w:webHidden/>
          </w:rPr>
        </w:r>
        <w:r w:rsidR="00222BEE">
          <w:rPr>
            <w:webHidden/>
          </w:rPr>
          <w:fldChar w:fldCharType="separate"/>
        </w:r>
        <w:r w:rsidR="00222BEE">
          <w:rPr>
            <w:webHidden/>
          </w:rPr>
          <w:t>179</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1" w:history="1">
        <w:r w:rsidR="00222BEE" w:rsidRPr="00974114">
          <w:rPr>
            <w:rStyle w:val="Hyperlink"/>
            <w:noProof/>
          </w:rPr>
          <w:t>Appendix D Aged care operational ratios</w:t>
        </w:r>
        <w:r w:rsidR="00222BEE">
          <w:rPr>
            <w:noProof/>
            <w:webHidden/>
          </w:rPr>
          <w:tab/>
        </w:r>
        <w:r w:rsidR="00222BEE">
          <w:rPr>
            <w:noProof/>
            <w:webHidden/>
          </w:rPr>
          <w:fldChar w:fldCharType="begin"/>
        </w:r>
        <w:r w:rsidR="00222BEE">
          <w:rPr>
            <w:noProof/>
            <w:webHidden/>
          </w:rPr>
          <w:instrText xml:space="preserve"> PAGEREF _Toc524424831 \h </w:instrText>
        </w:r>
        <w:r w:rsidR="00222BEE">
          <w:rPr>
            <w:noProof/>
            <w:webHidden/>
          </w:rPr>
        </w:r>
        <w:r w:rsidR="00222BEE">
          <w:rPr>
            <w:noProof/>
            <w:webHidden/>
          </w:rPr>
          <w:fldChar w:fldCharType="separate"/>
        </w:r>
        <w:r w:rsidR="00222BEE">
          <w:rPr>
            <w:noProof/>
            <w:webHidden/>
          </w:rPr>
          <w:t>180</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2" w:history="1">
        <w:r w:rsidR="00222BEE" w:rsidRPr="00974114">
          <w:rPr>
            <w:rStyle w:val="Hyperlink"/>
            <w:noProof/>
          </w:rPr>
          <w:t>Appendix E Means testing arrangements</w:t>
        </w:r>
        <w:r w:rsidR="00222BEE">
          <w:rPr>
            <w:noProof/>
            <w:webHidden/>
          </w:rPr>
          <w:tab/>
        </w:r>
        <w:r w:rsidR="00222BEE">
          <w:rPr>
            <w:noProof/>
            <w:webHidden/>
          </w:rPr>
          <w:fldChar w:fldCharType="begin"/>
        </w:r>
        <w:r w:rsidR="00222BEE">
          <w:rPr>
            <w:noProof/>
            <w:webHidden/>
          </w:rPr>
          <w:instrText xml:space="preserve"> PAGEREF _Toc524424832 \h </w:instrText>
        </w:r>
        <w:r w:rsidR="00222BEE">
          <w:rPr>
            <w:noProof/>
            <w:webHidden/>
          </w:rPr>
        </w:r>
        <w:r w:rsidR="00222BEE">
          <w:rPr>
            <w:noProof/>
            <w:webHidden/>
          </w:rPr>
          <w:fldChar w:fldCharType="separate"/>
        </w:r>
        <w:r w:rsidR="00222BEE">
          <w:rPr>
            <w:noProof/>
            <w:webHidden/>
          </w:rPr>
          <w:t>183</w:t>
        </w:r>
        <w:r w:rsidR="00222BEE">
          <w:rPr>
            <w:noProof/>
            <w:webHidden/>
          </w:rPr>
          <w:fldChar w:fldCharType="end"/>
        </w:r>
      </w:hyperlink>
    </w:p>
    <w:p w:rsidR="00222BEE" w:rsidRDefault="00CD5700">
      <w:pPr>
        <w:pStyle w:val="TOC3"/>
        <w:rPr>
          <w:rFonts w:asciiTheme="minorHAnsi" w:hAnsiTheme="minorHAnsi" w:cstheme="minorBidi"/>
          <w:color w:val="auto"/>
          <w:sz w:val="22"/>
          <w:szCs w:val="22"/>
          <w:lang w:eastAsia="zh-CN"/>
        </w:rPr>
      </w:pPr>
      <w:hyperlink w:anchor="_Toc524424833" w:history="1">
        <w:r w:rsidR="00222BEE" w:rsidRPr="00974114">
          <w:rPr>
            <w:rStyle w:val="Hyperlink"/>
            <w:bCs/>
          </w:rPr>
          <w:t>Home care</w:t>
        </w:r>
        <w:r w:rsidR="00222BEE">
          <w:rPr>
            <w:webHidden/>
          </w:rPr>
          <w:tab/>
        </w:r>
        <w:r w:rsidR="00222BEE">
          <w:rPr>
            <w:webHidden/>
          </w:rPr>
          <w:fldChar w:fldCharType="begin"/>
        </w:r>
        <w:r w:rsidR="00222BEE">
          <w:rPr>
            <w:webHidden/>
          </w:rPr>
          <w:instrText xml:space="preserve"> PAGEREF _Toc524424833 \h </w:instrText>
        </w:r>
        <w:r w:rsidR="00222BEE">
          <w:rPr>
            <w:webHidden/>
          </w:rPr>
        </w:r>
        <w:r w:rsidR="00222BEE">
          <w:rPr>
            <w:webHidden/>
          </w:rPr>
          <w:fldChar w:fldCharType="separate"/>
        </w:r>
        <w:r w:rsidR="00222BEE">
          <w:rPr>
            <w:webHidden/>
          </w:rPr>
          <w:t>183</w:t>
        </w:r>
        <w:r w:rsidR="00222BEE">
          <w:rPr>
            <w:webHidden/>
          </w:rPr>
          <w:fldChar w:fldCharType="end"/>
        </w:r>
      </w:hyperlink>
    </w:p>
    <w:p w:rsidR="00222BEE" w:rsidRDefault="00CD5700">
      <w:pPr>
        <w:pStyle w:val="TOC3"/>
        <w:rPr>
          <w:rFonts w:asciiTheme="minorHAnsi" w:hAnsiTheme="minorHAnsi" w:cstheme="minorBidi"/>
          <w:color w:val="auto"/>
          <w:sz w:val="22"/>
          <w:szCs w:val="22"/>
          <w:lang w:eastAsia="zh-CN"/>
        </w:rPr>
      </w:pPr>
      <w:hyperlink w:anchor="_Toc524424834" w:history="1">
        <w:r w:rsidR="00222BEE" w:rsidRPr="00974114">
          <w:rPr>
            <w:rStyle w:val="Hyperlink"/>
            <w:bCs/>
          </w:rPr>
          <w:t>Residential aged care</w:t>
        </w:r>
        <w:r w:rsidR="00222BEE">
          <w:rPr>
            <w:webHidden/>
          </w:rPr>
          <w:tab/>
        </w:r>
        <w:r w:rsidR="00222BEE">
          <w:rPr>
            <w:webHidden/>
          </w:rPr>
          <w:fldChar w:fldCharType="begin"/>
        </w:r>
        <w:r w:rsidR="00222BEE">
          <w:rPr>
            <w:webHidden/>
          </w:rPr>
          <w:instrText xml:space="preserve"> PAGEREF _Toc524424834 \h </w:instrText>
        </w:r>
        <w:r w:rsidR="00222BEE">
          <w:rPr>
            <w:webHidden/>
          </w:rPr>
        </w:r>
        <w:r w:rsidR="00222BEE">
          <w:rPr>
            <w:webHidden/>
          </w:rPr>
          <w:fldChar w:fldCharType="separate"/>
        </w:r>
        <w:r w:rsidR="00222BEE">
          <w:rPr>
            <w:webHidden/>
          </w:rPr>
          <w:t>183</w:t>
        </w:r>
        <w:r w:rsidR="00222BEE">
          <w:rPr>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5" w:history="1">
        <w:r w:rsidR="00222BEE" w:rsidRPr="00974114">
          <w:rPr>
            <w:rStyle w:val="Hyperlink"/>
            <w:noProof/>
          </w:rPr>
          <w:t>Appendix F Financial performance with government owned providers included and excluded, 2016–17.</w:t>
        </w:r>
        <w:r w:rsidR="00222BEE">
          <w:rPr>
            <w:noProof/>
            <w:webHidden/>
          </w:rPr>
          <w:tab/>
        </w:r>
        <w:r w:rsidR="00222BEE">
          <w:rPr>
            <w:noProof/>
            <w:webHidden/>
          </w:rPr>
          <w:fldChar w:fldCharType="begin"/>
        </w:r>
        <w:r w:rsidR="00222BEE">
          <w:rPr>
            <w:noProof/>
            <w:webHidden/>
          </w:rPr>
          <w:instrText xml:space="preserve"> PAGEREF _Toc524424835 \h </w:instrText>
        </w:r>
        <w:r w:rsidR="00222BEE">
          <w:rPr>
            <w:noProof/>
            <w:webHidden/>
          </w:rPr>
        </w:r>
        <w:r w:rsidR="00222BEE">
          <w:rPr>
            <w:noProof/>
            <w:webHidden/>
          </w:rPr>
          <w:fldChar w:fldCharType="separate"/>
        </w:r>
        <w:r w:rsidR="00222BEE">
          <w:rPr>
            <w:noProof/>
            <w:webHidden/>
          </w:rPr>
          <w:t>185</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6" w:history="1">
        <w:r w:rsidR="00222BEE" w:rsidRPr="00974114">
          <w:rPr>
            <w:rStyle w:val="Hyperlink"/>
            <w:noProof/>
          </w:rPr>
          <w:t>Appendix G Financial ratios by provider ownership type</w:t>
        </w:r>
        <w:r w:rsidR="00222BEE">
          <w:rPr>
            <w:noProof/>
            <w:webHidden/>
          </w:rPr>
          <w:tab/>
        </w:r>
        <w:r w:rsidR="00222BEE">
          <w:rPr>
            <w:noProof/>
            <w:webHidden/>
          </w:rPr>
          <w:fldChar w:fldCharType="begin"/>
        </w:r>
        <w:r w:rsidR="00222BEE">
          <w:rPr>
            <w:noProof/>
            <w:webHidden/>
          </w:rPr>
          <w:instrText xml:space="preserve"> PAGEREF _Toc524424836 \h </w:instrText>
        </w:r>
        <w:r w:rsidR="00222BEE">
          <w:rPr>
            <w:noProof/>
            <w:webHidden/>
          </w:rPr>
        </w:r>
        <w:r w:rsidR="00222BEE">
          <w:rPr>
            <w:noProof/>
            <w:webHidden/>
          </w:rPr>
          <w:fldChar w:fldCharType="separate"/>
        </w:r>
        <w:r w:rsidR="00222BEE">
          <w:rPr>
            <w:noProof/>
            <w:webHidden/>
          </w:rPr>
          <w:t>186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7" w:history="1">
        <w:r w:rsidR="00222BEE" w:rsidRPr="00974114">
          <w:rPr>
            <w:rStyle w:val="Hyperlink"/>
            <w:noProof/>
          </w:rPr>
          <w:t>Appendix H Residential aged care subsidies and supplements</w:t>
        </w:r>
        <w:r w:rsidR="00222BEE">
          <w:rPr>
            <w:noProof/>
            <w:webHidden/>
          </w:rPr>
          <w:tab/>
        </w:r>
        <w:r w:rsidR="00222BEE">
          <w:rPr>
            <w:noProof/>
            <w:webHidden/>
          </w:rPr>
          <w:fldChar w:fldCharType="begin"/>
        </w:r>
        <w:r w:rsidR="00222BEE">
          <w:rPr>
            <w:noProof/>
            <w:webHidden/>
          </w:rPr>
          <w:instrText xml:space="preserve"> PAGEREF _Toc524424837 \h </w:instrText>
        </w:r>
        <w:r w:rsidR="00222BEE">
          <w:rPr>
            <w:noProof/>
            <w:webHidden/>
          </w:rPr>
        </w:r>
        <w:r w:rsidR="00222BEE">
          <w:rPr>
            <w:noProof/>
            <w:webHidden/>
          </w:rPr>
          <w:fldChar w:fldCharType="separate"/>
        </w:r>
        <w:r w:rsidR="00222BEE">
          <w:rPr>
            <w:noProof/>
            <w:webHidden/>
          </w:rPr>
          <w:t>190</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8" w:history="1">
        <w:r w:rsidR="00222BEE" w:rsidRPr="00974114">
          <w:rPr>
            <w:rStyle w:val="Hyperlink"/>
            <w:noProof/>
          </w:rPr>
          <w:t>Appendix I Residential aged care subsidy and supplements rates</w:t>
        </w:r>
        <w:r w:rsidR="00222BEE">
          <w:rPr>
            <w:noProof/>
            <w:webHidden/>
          </w:rPr>
          <w:tab/>
        </w:r>
        <w:r w:rsidR="00222BEE">
          <w:rPr>
            <w:noProof/>
            <w:webHidden/>
          </w:rPr>
          <w:fldChar w:fldCharType="begin"/>
        </w:r>
        <w:r w:rsidR="00222BEE">
          <w:rPr>
            <w:noProof/>
            <w:webHidden/>
          </w:rPr>
          <w:instrText xml:space="preserve"> PAGEREF _Toc524424838 \h </w:instrText>
        </w:r>
        <w:r w:rsidR="00222BEE">
          <w:rPr>
            <w:noProof/>
            <w:webHidden/>
          </w:rPr>
        </w:r>
        <w:r w:rsidR="00222BEE">
          <w:rPr>
            <w:noProof/>
            <w:webHidden/>
          </w:rPr>
          <w:fldChar w:fldCharType="separate"/>
        </w:r>
        <w:r w:rsidR="00222BEE">
          <w:rPr>
            <w:noProof/>
            <w:webHidden/>
          </w:rPr>
          <w:t>192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39" w:history="1">
        <w:r w:rsidR="00222BEE" w:rsidRPr="00974114">
          <w:rPr>
            <w:rStyle w:val="Hyperlink"/>
            <w:noProof/>
          </w:rPr>
          <w:t>Appendix J Residential care financing structures and balance sheets</w:t>
        </w:r>
        <w:r w:rsidR="00222BEE">
          <w:rPr>
            <w:noProof/>
            <w:webHidden/>
          </w:rPr>
          <w:tab/>
        </w:r>
        <w:r w:rsidR="00222BEE">
          <w:rPr>
            <w:noProof/>
            <w:webHidden/>
          </w:rPr>
          <w:fldChar w:fldCharType="begin"/>
        </w:r>
        <w:r w:rsidR="00222BEE">
          <w:rPr>
            <w:noProof/>
            <w:webHidden/>
          </w:rPr>
          <w:instrText xml:space="preserve"> PAGEREF _Toc524424839 \h </w:instrText>
        </w:r>
        <w:r w:rsidR="00222BEE">
          <w:rPr>
            <w:noProof/>
            <w:webHidden/>
          </w:rPr>
        </w:r>
        <w:r w:rsidR="00222BEE">
          <w:rPr>
            <w:noProof/>
            <w:webHidden/>
          </w:rPr>
          <w:fldChar w:fldCharType="separate"/>
        </w:r>
        <w:r w:rsidR="00222BEE">
          <w:rPr>
            <w:noProof/>
            <w:webHidden/>
          </w:rPr>
          <w:t>196</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40" w:history="1">
        <w:r w:rsidR="00222BEE" w:rsidRPr="00974114">
          <w:rPr>
            <w:rStyle w:val="Hyperlink"/>
            <w:noProof/>
          </w:rPr>
          <w:t>Appendix K Home care revenue and expenditure</w:t>
        </w:r>
        <w:r w:rsidR="00222BEE">
          <w:rPr>
            <w:noProof/>
            <w:webHidden/>
          </w:rPr>
          <w:tab/>
        </w:r>
        <w:r w:rsidR="00222BEE">
          <w:rPr>
            <w:noProof/>
            <w:webHidden/>
          </w:rPr>
          <w:fldChar w:fldCharType="begin"/>
        </w:r>
        <w:r w:rsidR="00222BEE">
          <w:rPr>
            <w:noProof/>
            <w:webHidden/>
          </w:rPr>
          <w:instrText xml:space="preserve"> PAGEREF _Toc524424840 \h </w:instrText>
        </w:r>
        <w:r w:rsidR="00222BEE">
          <w:rPr>
            <w:noProof/>
            <w:webHidden/>
          </w:rPr>
        </w:r>
        <w:r w:rsidR="00222BEE">
          <w:rPr>
            <w:noProof/>
            <w:webHidden/>
          </w:rPr>
          <w:fldChar w:fldCharType="separate"/>
        </w:r>
        <w:r w:rsidR="00222BEE">
          <w:rPr>
            <w:noProof/>
            <w:webHidden/>
          </w:rPr>
          <w:t>197</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41" w:history="1">
        <w:r w:rsidR="00222BEE" w:rsidRPr="00974114">
          <w:rPr>
            <w:rStyle w:val="Hyperlink"/>
            <w:noProof/>
          </w:rPr>
          <w:t>Appendix L Home care subsidies and supplements</w:t>
        </w:r>
        <w:r w:rsidR="00222BEE">
          <w:rPr>
            <w:noProof/>
            <w:webHidden/>
          </w:rPr>
          <w:tab/>
        </w:r>
        <w:r w:rsidR="00222BEE">
          <w:rPr>
            <w:noProof/>
            <w:webHidden/>
          </w:rPr>
          <w:fldChar w:fldCharType="begin"/>
        </w:r>
        <w:r w:rsidR="00222BEE">
          <w:rPr>
            <w:noProof/>
            <w:webHidden/>
          </w:rPr>
          <w:instrText xml:space="preserve"> PAGEREF _Toc524424841 \h </w:instrText>
        </w:r>
        <w:r w:rsidR="00222BEE">
          <w:rPr>
            <w:noProof/>
            <w:webHidden/>
          </w:rPr>
        </w:r>
        <w:r w:rsidR="00222BEE">
          <w:rPr>
            <w:noProof/>
            <w:webHidden/>
          </w:rPr>
          <w:fldChar w:fldCharType="separate"/>
        </w:r>
        <w:r w:rsidR="00222BEE">
          <w:rPr>
            <w:noProof/>
            <w:webHidden/>
          </w:rPr>
          <w:t>200</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42" w:history="1">
        <w:r w:rsidR="00222BEE" w:rsidRPr="00974114">
          <w:rPr>
            <w:rStyle w:val="Hyperlink"/>
            <w:noProof/>
          </w:rPr>
          <w:t>Appendix M Residential aged care and home care financial data</w:t>
        </w:r>
        <w:r w:rsidR="00222BEE">
          <w:rPr>
            <w:noProof/>
            <w:webHidden/>
          </w:rPr>
          <w:tab/>
        </w:r>
        <w:r w:rsidR="00222BEE">
          <w:rPr>
            <w:noProof/>
            <w:webHidden/>
          </w:rPr>
          <w:fldChar w:fldCharType="begin"/>
        </w:r>
        <w:r w:rsidR="00222BEE">
          <w:rPr>
            <w:noProof/>
            <w:webHidden/>
          </w:rPr>
          <w:instrText xml:space="preserve"> PAGEREF _Toc524424842 \h </w:instrText>
        </w:r>
        <w:r w:rsidR="00222BEE">
          <w:rPr>
            <w:noProof/>
            <w:webHidden/>
          </w:rPr>
        </w:r>
        <w:r w:rsidR="00222BEE">
          <w:rPr>
            <w:noProof/>
            <w:webHidden/>
          </w:rPr>
          <w:fldChar w:fldCharType="separate"/>
        </w:r>
        <w:r w:rsidR="00222BEE">
          <w:rPr>
            <w:noProof/>
            <w:webHidden/>
          </w:rPr>
          <w:t>202</w:t>
        </w:r>
        <w:r w:rsidR="00222BEE">
          <w:rPr>
            <w:noProof/>
            <w:webHidden/>
          </w:rPr>
          <w:fldChar w:fldCharType="end"/>
        </w:r>
      </w:hyperlink>
    </w:p>
    <w:p w:rsidR="00222BEE" w:rsidRDefault="00CD5700">
      <w:pPr>
        <w:pStyle w:val="TOC2"/>
        <w:rPr>
          <w:rFonts w:asciiTheme="minorHAnsi" w:hAnsiTheme="minorHAnsi" w:cstheme="minorBidi"/>
          <w:b w:val="0"/>
          <w:noProof/>
          <w:color w:val="auto"/>
          <w:sz w:val="22"/>
          <w:szCs w:val="22"/>
          <w:lang w:eastAsia="zh-CN"/>
        </w:rPr>
      </w:pPr>
      <w:hyperlink w:anchor="_Toc524424843" w:history="1">
        <w:r w:rsidR="00222BEE" w:rsidRPr="00974114">
          <w:rPr>
            <w:rStyle w:val="Hyperlink"/>
            <w:noProof/>
          </w:rPr>
          <w:t>Appendix N References</w:t>
        </w:r>
        <w:r w:rsidR="00222BEE">
          <w:rPr>
            <w:noProof/>
            <w:webHidden/>
          </w:rPr>
          <w:tab/>
        </w:r>
        <w:r w:rsidR="00222BEE">
          <w:rPr>
            <w:noProof/>
            <w:webHidden/>
          </w:rPr>
          <w:fldChar w:fldCharType="begin"/>
        </w:r>
        <w:r w:rsidR="00222BEE">
          <w:rPr>
            <w:noProof/>
            <w:webHidden/>
          </w:rPr>
          <w:instrText xml:space="preserve"> PAGEREF _Toc524424843 \h </w:instrText>
        </w:r>
        <w:r w:rsidR="00222BEE">
          <w:rPr>
            <w:noProof/>
            <w:webHidden/>
          </w:rPr>
        </w:r>
        <w:r w:rsidR="00222BEE">
          <w:rPr>
            <w:noProof/>
            <w:webHidden/>
          </w:rPr>
          <w:fldChar w:fldCharType="separate"/>
        </w:r>
        <w:r w:rsidR="00222BEE">
          <w:rPr>
            <w:noProof/>
            <w:webHidden/>
          </w:rPr>
          <w:t>203</w:t>
        </w:r>
        <w:r w:rsidR="00222BEE">
          <w:rPr>
            <w:noProof/>
            <w:webHidden/>
          </w:rPr>
          <w:fldChar w:fldCharType="end"/>
        </w:r>
      </w:hyperlink>
    </w:p>
    <w:p w:rsidR="00966BAF" w:rsidRPr="005659F4" w:rsidRDefault="00222BEE" w:rsidP="005659F4">
      <w:r>
        <w:fldChar w:fldCharType="end"/>
      </w:r>
    </w:p>
    <w:p w:rsidR="00C32426" w:rsidRPr="00E96A72" w:rsidRDefault="00C32426" w:rsidP="00596D01">
      <w:pPr>
        <w:pStyle w:val="Heading1"/>
      </w:pPr>
      <w:bookmarkStart w:id="0" w:name="_Toc424289293"/>
      <w:bookmarkStart w:id="1" w:name="_Toc457549877"/>
      <w:bookmarkStart w:id="2" w:name="_Toc487702512"/>
      <w:bookmarkStart w:id="3" w:name="_Toc487702864"/>
      <w:bookmarkStart w:id="4" w:name="_Toc487703362"/>
      <w:bookmarkStart w:id="5" w:name="_Toc487703556"/>
      <w:bookmarkStart w:id="6" w:name="_Toc524424670"/>
      <w:r w:rsidRPr="00E96A72">
        <w:lastRenderedPageBreak/>
        <w:t>Glossary</w:t>
      </w:r>
      <w:bookmarkEnd w:id="0"/>
      <w:bookmarkEnd w:id="1"/>
      <w:bookmarkEnd w:id="2"/>
      <w:bookmarkEnd w:id="3"/>
      <w:bookmarkEnd w:id="4"/>
      <w:bookmarkEnd w:id="5"/>
      <w:bookmarkEnd w:id="6"/>
    </w:p>
    <w:tbl>
      <w:tblPr>
        <w:tblStyle w:val="DefaultTable2"/>
        <w:tblW w:w="5000" w:type="pct"/>
        <w:tblLook w:val="0620" w:firstRow="1" w:lastRow="0" w:firstColumn="0" w:lastColumn="0" w:noHBand="1" w:noVBand="1"/>
        <w:tblDescription w:val="This table is the glossary and provides definitions of key terms"/>
      </w:tblPr>
      <w:tblGrid>
        <w:gridCol w:w="2405"/>
        <w:gridCol w:w="7223"/>
      </w:tblGrid>
      <w:tr w:rsidR="00C32426" w:rsidRPr="00E96A72" w:rsidTr="00303CD5">
        <w:trPr>
          <w:cnfStyle w:val="100000000000" w:firstRow="1" w:lastRow="0" w:firstColumn="0" w:lastColumn="0" w:oddVBand="0" w:evenVBand="0" w:oddHBand="0" w:evenHBand="0" w:firstRowFirstColumn="0" w:firstRowLastColumn="0" w:lastRowFirstColumn="0" w:lastRowLastColumn="0"/>
          <w:trHeight w:val="482"/>
          <w:tblHeader/>
        </w:trPr>
        <w:tc>
          <w:tcPr>
            <w:tcW w:w="1249" w:type="pct"/>
          </w:tcPr>
          <w:p w:rsidR="00C32426" w:rsidRPr="00E96A72" w:rsidRDefault="00C32426" w:rsidP="00596D01">
            <w:r w:rsidRPr="00596D01">
              <w:t>Term</w:t>
            </w:r>
          </w:p>
        </w:tc>
        <w:tc>
          <w:tcPr>
            <w:tcW w:w="3751" w:type="pct"/>
          </w:tcPr>
          <w:p w:rsidR="00C32426" w:rsidRPr="00596D01" w:rsidRDefault="00C32426" w:rsidP="00596D01">
            <w:r w:rsidRPr="00596D01">
              <w:t>Definition</w:t>
            </w:r>
          </w:p>
        </w:tc>
      </w:tr>
      <w:tr w:rsidR="00471617" w:rsidRPr="00E96A72" w:rsidTr="00596D01">
        <w:tc>
          <w:tcPr>
            <w:tcW w:w="1249" w:type="pct"/>
          </w:tcPr>
          <w:p w:rsidR="00471617" w:rsidRPr="00596D01" w:rsidRDefault="00EB79B3" w:rsidP="00596D01">
            <w:pPr>
              <w:rPr>
                <w:rStyle w:val="Strong"/>
              </w:rPr>
            </w:pPr>
            <w:r w:rsidRPr="00596D01">
              <w:rPr>
                <w:rStyle w:val="Strong"/>
              </w:rPr>
              <w:t>Accommodation s</w:t>
            </w:r>
            <w:r w:rsidR="00471617" w:rsidRPr="00596D01">
              <w:rPr>
                <w:rStyle w:val="Strong"/>
              </w:rPr>
              <w:t xml:space="preserve">upplement </w:t>
            </w:r>
          </w:p>
        </w:tc>
        <w:tc>
          <w:tcPr>
            <w:tcW w:w="3751" w:type="pct"/>
          </w:tcPr>
          <w:p w:rsidR="00471617" w:rsidRPr="00E96A72" w:rsidRDefault="00471617" w:rsidP="00596D01">
            <w:r w:rsidRPr="00471617">
              <w:t>The accommodation supplement is payable on behalf of residents receiving permanent residential aged care who do not have the capacity to contribute to all or part of the cost of their accommodation.</w:t>
            </w:r>
          </w:p>
        </w:tc>
      </w:tr>
      <w:tr w:rsidR="00F906F9" w:rsidRPr="00E96A72" w:rsidTr="00596D01">
        <w:tc>
          <w:tcPr>
            <w:tcW w:w="1249" w:type="pct"/>
          </w:tcPr>
          <w:p w:rsidR="00F906F9" w:rsidRPr="00596D01" w:rsidRDefault="00F906F9" w:rsidP="00596D01">
            <w:pPr>
              <w:rPr>
                <w:rStyle w:val="Strong"/>
              </w:rPr>
            </w:pPr>
            <w:r w:rsidRPr="00596D01">
              <w:rPr>
                <w:rStyle w:val="Strong"/>
              </w:rPr>
              <w:t>Aged and Community Services Australia (ACSA)</w:t>
            </w:r>
          </w:p>
        </w:tc>
        <w:tc>
          <w:tcPr>
            <w:tcW w:w="3751" w:type="pct"/>
          </w:tcPr>
          <w:p w:rsidR="00F906F9" w:rsidRPr="00E96A72" w:rsidRDefault="00F906F9" w:rsidP="00596D01">
            <w:r w:rsidRPr="00E96A72">
              <w:t>A national peak body for not-for-profit providers of aged and community care in Australia.</w:t>
            </w:r>
          </w:p>
        </w:tc>
      </w:tr>
      <w:tr w:rsidR="00F906F9" w:rsidRPr="00E96A72" w:rsidTr="00596D01">
        <w:tc>
          <w:tcPr>
            <w:tcW w:w="1249" w:type="pct"/>
          </w:tcPr>
          <w:p w:rsidR="00F906F9" w:rsidRPr="00596D01" w:rsidRDefault="00F906F9" w:rsidP="00596D01">
            <w:pPr>
              <w:rPr>
                <w:rStyle w:val="Strong"/>
              </w:rPr>
            </w:pPr>
            <w:r w:rsidRPr="00596D01">
              <w:rPr>
                <w:rStyle w:val="IntenseEmphasis"/>
              </w:rPr>
              <w:t>Aged Care Act 1997</w:t>
            </w:r>
            <w:r w:rsidRPr="00596D01">
              <w:rPr>
                <w:rStyle w:val="Strong"/>
              </w:rPr>
              <w:t xml:space="preserve"> (the</w:t>
            </w:r>
            <w:r w:rsidR="00596D01">
              <w:rPr>
                <w:rStyle w:val="Strong"/>
              </w:rPr>
              <w:t> </w:t>
            </w:r>
            <w:r w:rsidRPr="00596D01">
              <w:rPr>
                <w:rStyle w:val="Strong"/>
              </w:rPr>
              <w:t>Act)</w:t>
            </w:r>
          </w:p>
        </w:tc>
        <w:tc>
          <w:tcPr>
            <w:tcW w:w="3751" w:type="pct"/>
          </w:tcPr>
          <w:p w:rsidR="00F906F9" w:rsidRPr="00E96A72" w:rsidRDefault="006036D1" w:rsidP="00596D01">
            <w:r>
              <w:t>T</w:t>
            </w:r>
            <w:r w:rsidRPr="005D6AF1">
              <w:t>he primary legislation g</w:t>
            </w:r>
            <w:r w:rsidR="00C65342">
              <w:t>overning the provision of aged c</w:t>
            </w:r>
            <w:r w:rsidRPr="005D6AF1">
              <w:t>are services.</w:t>
            </w:r>
          </w:p>
        </w:tc>
      </w:tr>
      <w:tr w:rsidR="00F906F9" w:rsidRPr="00E96A72" w:rsidTr="00596D01">
        <w:tc>
          <w:tcPr>
            <w:tcW w:w="1249" w:type="pct"/>
          </w:tcPr>
          <w:p w:rsidR="00F906F9" w:rsidRPr="00596D01" w:rsidRDefault="00F906F9" w:rsidP="00596D01">
            <w:pPr>
              <w:rPr>
                <w:rStyle w:val="Strong"/>
              </w:rPr>
            </w:pPr>
            <w:r w:rsidRPr="00596D01">
              <w:rPr>
                <w:rStyle w:val="Strong"/>
              </w:rPr>
              <w:t>Aged Care Approvals Round (ACAR)</w:t>
            </w:r>
          </w:p>
        </w:tc>
        <w:tc>
          <w:tcPr>
            <w:tcW w:w="3751" w:type="pct"/>
          </w:tcPr>
          <w:p w:rsidR="00F906F9" w:rsidRPr="00E96A72" w:rsidRDefault="006036D1" w:rsidP="00596D01">
            <w:r>
              <w:t>A</w:t>
            </w:r>
            <w:r w:rsidRPr="005D6AF1">
              <w:t xml:space="preserve"> competitive application process that enables prospective and existing approved providers of</w:t>
            </w:r>
            <w:r w:rsidR="0041106A" w:rsidRPr="007872AC">
              <w:t xml:space="preserve"> residential</w:t>
            </w:r>
            <w:r w:rsidRPr="007872AC">
              <w:t xml:space="preserve"> </w:t>
            </w:r>
            <w:r w:rsidRPr="005D6AF1">
              <w:t>aged care to apply for a range of new Australian Government funded aged care places and financial assistance in the form of a capital grant.</w:t>
            </w:r>
          </w:p>
        </w:tc>
      </w:tr>
      <w:tr w:rsidR="00F906F9" w:rsidRPr="00E96A72" w:rsidTr="00596D01">
        <w:tc>
          <w:tcPr>
            <w:tcW w:w="1249" w:type="pct"/>
          </w:tcPr>
          <w:p w:rsidR="00F906F9" w:rsidRPr="00596D01" w:rsidRDefault="00F906F9" w:rsidP="00596D01">
            <w:pPr>
              <w:rPr>
                <w:rStyle w:val="Strong"/>
              </w:rPr>
            </w:pPr>
            <w:r w:rsidRPr="00596D01">
              <w:rPr>
                <w:rStyle w:val="Strong"/>
              </w:rPr>
              <w:t>Aged Care Assessment Team (ACAT)</w:t>
            </w:r>
          </w:p>
        </w:tc>
        <w:tc>
          <w:tcPr>
            <w:tcW w:w="3751" w:type="pct"/>
          </w:tcPr>
          <w:p w:rsidR="00F906F9" w:rsidRPr="00E96A72" w:rsidRDefault="006036D1" w:rsidP="00596D01">
            <w:r w:rsidRPr="005D6AF1">
              <w:t>ACATs are teams of medical and allied health professionals who assess the physical, psychological, medical, restorative, cultural and social needs of frail older people and help them and their carers to access appropriate levels of support</w:t>
            </w:r>
            <w:r w:rsidR="008A6D3D">
              <w:t>.</w:t>
            </w:r>
          </w:p>
        </w:tc>
      </w:tr>
      <w:tr w:rsidR="00350E66" w:rsidRPr="00E96A72" w:rsidTr="00596D01">
        <w:tc>
          <w:tcPr>
            <w:tcW w:w="1249" w:type="pct"/>
          </w:tcPr>
          <w:p w:rsidR="00350E66" w:rsidRPr="00596D01" w:rsidRDefault="00350E66" w:rsidP="00596D01">
            <w:pPr>
              <w:rPr>
                <w:rStyle w:val="Strong"/>
              </w:rPr>
            </w:pPr>
            <w:r w:rsidRPr="00596D01">
              <w:rPr>
                <w:rStyle w:val="Strong"/>
              </w:rPr>
              <w:t>Aged Care Financial Report (ACFR)</w:t>
            </w:r>
          </w:p>
        </w:tc>
        <w:tc>
          <w:tcPr>
            <w:tcW w:w="3751" w:type="pct"/>
          </w:tcPr>
          <w:p w:rsidR="00350E66" w:rsidRPr="00E96A72" w:rsidRDefault="00350E66" w:rsidP="00596D01">
            <w:r w:rsidRPr="00AA5742">
              <w:t>A reporting template</w:t>
            </w:r>
            <w:r>
              <w:t xml:space="preserve"> introduced for the</w:t>
            </w:r>
            <w:r w:rsidR="00A261F3">
              <w:t> 201</w:t>
            </w:r>
            <w:r>
              <w:t>6</w:t>
            </w:r>
            <w:r w:rsidR="00D8721E">
              <w:t>–1</w:t>
            </w:r>
            <w:r>
              <w:t xml:space="preserve">7 reporting year that </w:t>
            </w:r>
            <w:r w:rsidRPr="00AA5742">
              <w:t xml:space="preserve">consolidates prudential and financial reporting information that was </w:t>
            </w:r>
            <w:r>
              <w:t xml:space="preserve">previously </w:t>
            </w:r>
            <w:r w:rsidRPr="00AA5742">
              <w:t>separately reported. The ACFR consolidates information previously reported through the Annual Prudential Compliance Statement, the Survey of Aged Care Homes, the Home Care Financial Report and the Short Term Restorative Care Financial Report.</w:t>
            </w:r>
          </w:p>
        </w:tc>
      </w:tr>
      <w:tr w:rsidR="00350E66" w:rsidRPr="00E96A72" w:rsidTr="00596D01">
        <w:tc>
          <w:tcPr>
            <w:tcW w:w="1249" w:type="pct"/>
          </w:tcPr>
          <w:p w:rsidR="00350E66" w:rsidRPr="00596D01" w:rsidRDefault="00350E66" w:rsidP="00596D01">
            <w:pPr>
              <w:rPr>
                <w:rStyle w:val="Strong"/>
              </w:rPr>
            </w:pPr>
            <w:r w:rsidRPr="00596D01">
              <w:rPr>
                <w:rStyle w:val="Strong"/>
              </w:rPr>
              <w:t>Aged Care Financing Authority (ACFA)</w:t>
            </w:r>
          </w:p>
        </w:tc>
        <w:tc>
          <w:tcPr>
            <w:tcW w:w="3751" w:type="pct"/>
          </w:tcPr>
          <w:p w:rsidR="00350E66" w:rsidRPr="00E96A72" w:rsidRDefault="00350E66" w:rsidP="00596D01">
            <w:r w:rsidRPr="00E96A72">
              <w:t xml:space="preserve">ACFA </w:t>
            </w:r>
            <w:r>
              <w:t>is</w:t>
            </w:r>
            <w:r w:rsidR="00DF549F">
              <w:t xml:space="preserve"> a</w:t>
            </w:r>
            <w:r>
              <w:t xml:space="preserve"> statutory committee </w:t>
            </w:r>
            <w:r w:rsidR="004B4024">
              <w:t>that</w:t>
            </w:r>
            <w:r>
              <w:t xml:space="preserve"> </w:t>
            </w:r>
            <w:r w:rsidRPr="00E96A72">
              <w:t>provides independent advice to the Australian Government on funding and financing issues, informed by consultation with consumers, and the aged care and finance sectors.</w:t>
            </w:r>
          </w:p>
        </w:tc>
      </w:tr>
      <w:tr w:rsidR="00350E66" w:rsidRPr="00E96A72" w:rsidTr="00596D01">
        <w:tc>
          <w:tcPr>
            <w:tcW w:w="1249" w:type="pct"/>
          </w:tcPr>
          <w:p w:rsidR="00350E66" w:rsidRPr="00596D01" w:rsidRDefault="00350E66" w:rsidP="00596D01">
            <w:pPr>
              <w:rPr>
                <w:rStyle w:val="Strong"/>
              </w:rPr>
            </w:pPr>
            <w:r w:rsidRPr="00596D01">
              <w:rPr>
                <w:rStyle w:val="Strong"/>
              </w:rPr>
              <w:t>Aged Care Funding Instrument</w:t>
            </w:r>
            <w:r w:rsidR="00596D01">
              <w:rPr>
                <w:rStyle w:val="Strong"/>
              </w:rPr>
              <w:t xml:space="preserve"> </w:t>
            </w:r>
            <w:r w:rsidRPr="00596D01">
              <w:rPr>
                <w:rStyle w:val="Strong"/>
              </w:rPr>
              <w:t>(ACFI)</w:t>
            </w:r>
          </w:p>
        </w:tc>
        <w:tc>
          <w:tcPr>
            <w:tcW w:w="3751" w:type="pct"/>
          </w:tcPr>
          <w:p w:rsidR="00350E66" w:rsidRPr="00E96A72" w:rsidRDefault="00350E66" w:rsidP="00596D01">
            <w:r w:rsidRPr="005D6AF1">
              <w:t xml:space="preserve">The classification instrument used to </w:t>
            </w:r>
            <w:r w:rsidR="004B4024">
              <w:t>calculate</w:t>
            </w:r>
            <w:r w:rsidRPr="005D6AF1">
              <w:t xml:space="preserve"> subsidies to residential aged care </w:t>
            </w:r>
            <w:r>
              <w:t>facilities.</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Aged Care Pricing Commissioner </w:t>
            </w:r>
          </w:p>
        </w:tc>
        <w:tc>
          <w:tcPr>
            <w:tcW w:w="3751" w:type="pct"/>
          </w:tcPr>
          <w:p w:rsidR="00350E66" w:rsidRPr="00E96A72" w:rsidRDefault="00350E66" w:rsidP="00596D01">
            <w:r w:rsidRPr="00BB2C5E">
              <w:t xml:space="preserve">The Aged Care Pricing Commissioner is an independent, statutory office holder appointed under the </w:t>
            </w:r>
            <w:r w:rsidRPr="00596D01">
              <w:rPr>
                <w:rStyle w:val="Emphasis"/>
              </w:rPr>
              <w:t>Aged Care Act 1997</w:t>
            </w:r>
            <w:r w:rsidRPr="00BB2C5E">
              <w:t xml:space="preserve"> and reports to the Minister for Aged Care.</w:t>
            </w:r>
          </w:p>
        </w:tc>
      </w:tr>
      <w:tr w:rsidR="00350E66" w:rsidRPr="00E96A72" w:rsidTr="00596D01">
        <w:tc>
          <w:tcPr>
            <w:tcW w:w="1249" w:type="pct"/>
          </w:tcPr>
          <w:p w:rsidR="00350E66" w:rsidRPr="00596D01" w:rsidRDefault="00350E66" w:rsidP="00596D01">
            <w:pPr>
              <w:rPr>
                <w:rStyle w:val="Strong"/>
              </w:rPr>
            </w:pPr>
            <w:r w:rsidRPr="00596D01">
              <w:rPr>
                <w:rStyle w:val="Strong"/>
              </w:rPr>
              <w:t>Aged Care Sector Committee</w:t>
            </w:r>
          </w:p>
          <w:p w:rsidR="00350E66" w:rsidRPr="00596D01" w:rsidRDefault="00350E66" w:rsidP="00596D01">
            <w:pPr>
              <w:rPr>
                <w:rStyle w:val="Strong"/>
              </w:rPr>
            </w:pPr>
            <w:r w:rsidRPr="00596D01">
              <w:rPr>
                <w:rStyle w:val="Strong"/>
              </w:rPr>
              <w:t>(ACSC)</w:t>
            </w:r>
          </w:p>
        </w:tc>
        <w:tc>
          <w:tcPr>
            <w:tcW w:w="3751" w:type="pct"/>
          </w:tcPr>
          <w:p w:rsidR="00350E66" w:rsidRPr="00E96A72" w:rsidRDefault="00350E66" w:rsidP="00596D01">
            <w:r>
              <w:t>The ACSC is a representative committee of the aged care sector appointed by the Minister for Aged Care that provides advice to</w:t>
            </w:r>
            <w:r w:rsidRPr="00E96A72">
              <w:t xml:space="preserve"> Government on aged care policy development and imple</w:t>
            </w:r>
            <w:r>
              <w:t>mentation and helps to guide</w:t>
            </w:r>
            <w:r w:rsidRPr="00E96A72">
              <w:t xml:space="preserve"> future reform of the aged care system.</w:t>
            </w:r>
          </w:p>
        </w:tc>
      </w:tr>
      <w:tr w:rsidR="00350E66" w:rsidRPr="00E96A72" w:rsidTr="00596D01">
        <w:tc>
          <w:tcPr>
            <w:tcW w:w="1249" w:type="pct"/>
          </w:tcPr>
          <w:p w:rsidR="00350E66" w:rsidRPr="00596D01" w:rsidRDefault="00350E66" w:rsidP="00596D01">
            <w:pPr>
              <w:rPr>
                <w:rStyle w:val="Strong"/>
              </w:rPr>
            </w:pPr>
            <w:r w:rsidRPr="00596D01">
              <w:rPr>
                <w:rStyle w:val="Strong"/>
              </w:rPr>
              <w:t>Agreed accommodation price</w:t>
            </w:r>
          </w:p>
        </w:tc>
        <w:tc>
          <w:tcPr>
            <w:tcW w:w="3751" w:type="pct"/>
          </w:tcPr>
          <w:p w:rsidR="00350E66" w:rsidRPr="00BD54CB" w:rsidRDefault="00350E66" w:rsidP="00596D01">
            <w:pPr>
              <w:rPr>
                <w:color w:val="313131"/>
                <w:lang w:val="en-GB"/>
              </w:rPr>
            </w:pPr>
            <w:r w:rsidRPr="00BD54CB">
              <w:rPr>
                <w:color w:val="313131"/>
                <w:lang w:val="en-GB"/>
              </w:rPr>
              <w:t>Accommodation prices agreed between providers and prospective residents prior to entry, as reported by providers through the Aged Care Entry Record.</w:t>
            </w:r>
          </w:p>
        </w:tc>
      </w:tr>
      <w:tr w:rsidR="00350E66" w:rsidRPr="00E96A72" w:rsidTr="00596D01">
        <w:tc>
          <w:tcPr>
            <w:tcW w:w="1249" w:type="pct"/>
          </w:tcPr>
          <w:p w:rsidR="00350E66" w:rsidRPr="00596D01" w:rsidRDefault="00350E66" w:rsidP="00596D01">
            <w:pPr>
              <w:rPr>
                <w:rStyle w:val="Strong"/>
              </w:rPr>
            </w:pPr>
            <w:r w:rsidRPr="00596D01">
              <w:rPr>
                <w:rStyle w:val="Strong"/>
              </w:rPr>
              <w:lastRenderedPageBreak/>
              <w:t xml:space="preserve">Approved provider </w:t>
            </w:r>
          </w:p>
        </w:tc>
        <w:tc>
          <w:tcPr>
            <w:tcW w:w="3751" w:type="pct"/>
          </w:tcPr>
          <w:p w:rsidR="00350E66" w:rsidRDefault="00350E66" w:rsidP="00596D01">
            <w:r w:rsidRPr="00681F12">
              <w:t xml:space="preserve">An approved provider of aged care is an organisation that has been approved </w:t>
            </w:r>
            <w:r>
              <w:t xml:space="preserve">by the Secretary of the Department of Health </w:t>
            </w:r>
            <w:r w:rsidRPr="00681F12">
              <w:t xml:space="preserve">to provide residential care, home care or flexible care under the </w:t>
            </w:r>
            <w:r w:rsidRPr="00596D01">
              <w:rPr>
                <w:rStyle w:val="Emphasis"/>
              </w:rPr>
              <w:t>Aged Care Act 1997.</w:t>
            </w:r>
          </w:p>
        </w:tc>
      </w:tr>
      <w:tr w:rsidR="00350E66" w:rsidRPr="00E96A72" w:rsidTr="00596D01">
        <w:tc>
          <w:tcPr>
            <w:tcW w:w="1249" w:type="pct"/>
          </w:tcPr>
          <w:p w:rsidR="00350E66" w:rsidRPr="00596D01" w:rsidRDefault="00350E66" w:rsidP="00596D01">
            <w:pPr>
              <w:rPr>
                <w:rStyle w:val="Strong"/>
              </w:rPr>
            </w:pPr>
            <w:r w:rsidRPr="00596D01">
              <w:rPr>
                <w:rStyle w:val="Strong"/>
              </w:rPr>
              <w:t>Assistance with Care and Housing for the Aged (ACHA)</w:t>
            </w:r>
          </w:p>
        </w:tc>
        <w:tc>
          <w:tcPr>
            <w:tcW w:w="3751" w:type="pct"/>
          </w:tcPr>
          <w:p w:rsidR="00350E66" w:rsidRPr="00E96A72" w:rsidRDefault="00350E66" w:rsidP="00596D01">
            <w:r>
              <w:t>ACHA is a program</w:t>
            </w:r>
            <w:r w:rsidRPr="00E96A72">
              <w:t xml:space="preserve"> which provides a range of </w:t>
            </w:r>
            <w:r>
              <w:t>supports</w:t>
            </w:r>
            <w:r w:rsidRPr="00E96A72">
              <w:t xml:space="preserve"> for</w:t>
            </w:r>
            <w:r>
              <w:t xml:space="preserve"> eligible clients, who are at risk of becoming homeless or are homeless, to remain in the community </w:t>
            </w:r>
            <w:r w:rsidRPr="002C623B">
              <w:t xml:space="preserve">through accessing appropriate, sustainable and affordable housing and linking </w:t>
            </w:r>
            <w:r>
              <w:t xml:space="preserve">them </w:t>
            </w:r>
            <w:r w:rsidRPr="002C623B">
              <w:t>to community care.</w:t>
            </w:r>
            <w:r>
              <w:t xml:space="preserve"> From 1 July</w:t>
            </w:r>
            <w:r w:rsidR="00A261F3">
              <w:t> 201</w:t>
            </w:r>
            <w:r>
              <w:t>5 the ACHA program was incorporated into the new Commonwealth Home Support Programme.</w:t>
            </w:r>
          </w:p>
        </w:tc>
      </w:tr>
      <w:tr w:rsidR="00350E66" w:rsidRPr="00E96A72" w:rsidTr="00596D01">
        <w:tc>
          <w:tcPr>
            <w:tcW w:w="1249" w:type="pct"/>
          </w:tcPr>
          <w:p w:rsidR="00350E66" w:rsidRPr="00596D01" w:rsidRDefault="00350E66" w:rsidP="00596D01">
            <w:pPr>
              <w:rPr>
                <w:rStyle w:val="Strong"/>
              </w:rPr>
            </w:pPr>
            <w:r w:rsidRPr="00596D01">
              <w:rPr>
                <w:rStyle w:val="Strong"/>
              </w:rPr>
              <w:t>Australian Bureau of Statistics (ABS)</w:t>
            </w:r>
          </w:p>
        </w:tc>
        <w:tc>
          <w:tcPr>
            <w:tcW w:w="3751" w:type="pct"/>
          </w:tcPr>
          <w:p w:rsidR="00350E66" w:rsidRPr="00E96A72" w:rsidRDefault="00350E66" w:rsidP="00596D01">
            <w:r w:rsidRPr="00E96A72">
              <w:t>The Government agency responsible for the production and dissemination of statistics in a range of key areas.</w:t>
            </w:r>
          </w:p>
        </w:tc>
      </w:tr>
      <w:tr w:rsidR="00350E66" w:rsidRPr="00E96A72" w:rsidTr="00596D01">
        <w:tc>
          <w:tcPr>
            <w:tcW w:w="1249" w:type="pct"/>
          </w:tcPr>
          <w:p w:rsidR="00350E66" w:rsidRPr="00596D01" w:rsidRDefault="00350E66" w:rsidP="00596D01">
            <w:pPr>
              <w:rPr>
                <w:rStyle w:val="Strong"/>
              </w:rPr>
            </w:pPr>
            <w:r w:rsidRPr="00596D01">
              <w:rPr>
                <w:rStyle w:val="Strong"/>
              </w:rPr>
              <w:t>Australian Nursing and Midwifery Federation (ANMF)</w:t>
            </w:r>
          </w:p>
        </w:tc>
        <w:tc>
          <w:tcPr>
            <w:tcW w:w="3751" w:type="pct"/>
          </w:tcPr>
          <w:p w:rsidR="00350E66" w:rsidRPr="00E96A72" w:rsidRDefault="00350E66" w:rsidP="00596D01">
            <w:r w:rsidRPr="00E96A72">
              <w:t>The ANMF is the union for registered nurses, enrolled nurses, midwives, and assistants in nursing doing nursing work in every state and territory throughout Australia.</w:t>
            </w:r>
          </w:p>
        </w:tc>
      </w:tr>
      <w:tr w:rsidR="00350E66" w:rsidRPr="00E96A72" w:rsidTr="00596D01">
        <w:tc>
          <w:tcPr>
            <w:tcW w:w="1249" w:type="pct"/>
          </w:tcPr>
          <w:p w:rsidR="00350E66" w:rsidRPr="00596D01" w:rsidRDefault="00350E66" w:rsidP="00596D01">
            <w:pPr>
              <w:rPr>
                <w:rStyle w:val="Strong"/>
              </w:rPr>
            </w:pPr>
            <w:r w:rsidRPr="00596D01">
              <w:rPr>
                <w:rStyle w:val="Strong"/>
              </w:rPr>
              <w:t>Bed days</w:t>
            </w:r>
          </w:p>
        </w:tc>
        <w:tc>
          <w:tcPr>
            <w:tcW w:w="3751" w:type="pct"/>
          </w:tcPr>
          <w:p w:rsidR="00350E66" w:rsidRPr="00E96A72" w:rsidRDefault="00350E66" w:rsidP="00596D01">
            <w:r w:rsidRPr="00E96A72">
              <w:t xml:space="preserve">The number of </w:t>
            </w:r>
            <w:r w:rsidRPr="007872AC">
              <w:t>days for which a residential care place was available to be occupied by care recipients</w:t>
            </w:r>
            <w:r>
              <w:t>.</w:t>
            </w:r>
          </w:p>
        </w:tc>
      </w:tr>
      <w:tr w:rsidR="00350E66" w:rsidRPr="00E96A72" w:rsidTr="00596D01">
        <w:tc>
          <w:tcPr>
            <w:tcW w:w="1249" w:type="pct"/>
          </w:tcPr>
          <w:p w:rsidR="00350E66" w:rsidRPr="00596D01" w:rsidRDefault="00350E66" w:rsidP="00596D01">
            <w:pPr>
              <w:rPr>
                <w:rStyle w:val="Strong"/>
              </w:rPr>
            </w:pPr>
            <w:r w:rsidRPr="00596D01">
              <w:rPr>
                <w:rStyle w:val="Strong"/>
              </w:rPr>
              <w:t>Bond Asset Cover</w:t>
            </w:r>
          </w:p>
        </w:tc>
        <w:tc>
          <w:tcPr>
            <w:tcW w:w="3751" w:type="pct"/>
          </w:tcPr>
          <w:p w:rsidR="00350E66" w:rsidRPr="00E96A72" w:rsidRDefault="00350E66" w:rsidP="00596D01">
            <w:r w:rsidRPr="00E96A72">
              <w:t>Provides an indication of the extent to which the accommodation bond liability is covered by assets. It is calculated as Total Assets/Total Accommodation Bonds.</w:t>
            </w:r>
          </w:p>
        </w:tc>
      </w:tr>
      <w:tr w:rsidR="00350E66" w:rsidRPr="00E96A72" w:rsidTr="00596D01">
        <w:tc>
          <w:tcPr>
            <w:tcW w:w="1249" w:type="pct"/>
          </w:tcPr>
          <w:p w:rsidR="00350E66" w:rsidRPr="00596D01" w:rsidRDefault="00350E66" w:rsidP="00596D01">
            <w:pPr>
              <w:rPr>
                <w:rStyle w:val="Strong"/>
              </w:rPr>
            </w:pPr>
            <w:r w:rsidRPr="00596D01">
              <w:rPr>
                <w:rStyle w:val="Strong"/>
              </w:rPr>
              <w:t>Brownfield site</w:t>
            </w:r>
          </w:p>
        </w:tc>
        <w:tc>
          <w:tcPr>
            <w:tcW w:w="3751" w:type="pct"/>
          </w:tcPr>
          <w:p w:rsidR="00350E66" w:rsidRPr="00E96A72" w:rsidRDefault="00350E66" w:rsidP="00596D01">
            <w:r w:rsidRPr="00E96A72">
              <w:t>Site where an extension to an existing aged care operation is possible.</w:t>
            </w:r>
          </w:p>
        </w:tc>
      </w:tr>
      <w:tr w:rsidR="00350E66" w:rsidRPr="00E96A72" w:rsidTr="00596D01">
        <w:tc>
          <w:tcPr>
            <w:tcW w:w="1249" w:type="pct"/>
          </w:tcPr>
          <w:p w:rsidR="00350E66" w:rsidRPr="00596D01" w:rsidRDefault="00350E66" w:rsidP="00596D01">
            <w:pPr>
              <w:rPr>
                <w:rStyle w:val="Strong"/>
              </w:rPr>
            </w:pPr>
            <w:r w:rsidRPr="00596D01">
              <w:rPr>
                <w:rStyle w:val="Strong"/>
              </w:rPr>
              <w:t>Care days</w:t>
            </w:r>
          </w:p>
        </w:tc>
        <w:tc>
          <w:tcPr>
            <w:tcW w:w="3751" w:type="pct"/>
          </w:tcPr>
          <w:p w:rsidR="00350E66" w:rsidRPr="00E96A72" w:rsidRDefault="00350E66" w:rsidP="00596D01">
            <w:r w:rsidRPr="00E96A72">
              <w:t>The number of days for which care was actually provided to a care recipient in an aged care place.</w:t>
            </w:r>
          </w:p>
        </w:tc>
      </w:tr>
      <w:tr w:rsidR="00350E66" w:rsidRPr="00E96A72" w:rsidTr="00596D01">
        <w:tc>
          <w:tcPr>
            <w:tcW w:w="1249" w:type="pct"/>
          </w:tcPr>
          <w:p w:rsidR="00350E66" w:rsidRPr="00596D01" w:rsidRDefault="00350E66" w:rsidP="00596D01">
            <w:pPr>
              <w:rPr>
                <w:rStyle w:val="Strong"/>
              </w:rPr>
            </w:pPr>
            <w:r w:rsidRPr="00596D01">
              <w:rPr>
                <w:rStyle w:val="Strong"/>
              </w:rPr>
              <w:t>Catholic Health Australia (CHA)</w:t>
            </w:r>
          </w:p>
        </w:tc>
        <w:tc>
          <w:tcPr>
            <w:tcW w:w="3751" w:type="pct"/>
          </w:tcPr>
          <w:p w:rsidR="00350E66" w:rsidRPr="00E96A72" w:rsidRDefault="00350E66" w:rsidP="00596D01">
            <w:r w:rsidRPr="00E96A72">
              <w:t xml:space="preserve">Catholic Health Australia is a large non-government provider grouping of health, community and aged care services in Australia, nationally representing Catholic health care sponsors, systems, facilities and related organisations and services. </w:t>
            </w:r>
          </w:p>
        </w:tc>
      </w:tr>
      <w:tr w:rsidR="00350E66" w:rsidRPr="00E96A72" w:rsidTr="00596D01">
        <w:tc>
          <w:tcPr>
            <w:tcW w:w="1249" w:type="pct"/>
          </w:tcPr>
          <w:p w:rsidR="00350E66" w:rsidRPr="00596D01" w:rsidRDefault="00350E66" w:rsidP="00596D01">
            <w:pPr>
              <w:rPr>
                <w:rStyle w:val="Strong"/>
              </w:rPr>
            </w:pPr>
            <w:r w:rsidRPr="00596D01">
              <w:rPr>
                <w:rStyle w:val="Strong"/>
              </w:rPr>
              <w:t>Commonwealth Home Support Programme (CHSP)</w:t>
            </w:r>
          </w:p>
        </w:tc>
        <w:tc>
          <w:tcPr>
            <w:tcW w:w="3751" w:type="pct"/>
          </w:tcPr>
          <w:p w:rsidR="00350E66" w:rsidRPr="00E96A72" w:rsidRDefault="00350E66" w:rsidP="00596D01">
            <w:r w:rsidRPr="007B3A80">
              <w:t>This program provides entry-level support services designed to help frail older people stay in their hom</w:t>
            </w:r>
            <w:r>
              <w:t>es. It was introduced on 1 July</w:t>
            </w:r>
            <w:r w:rsidR="00A261F3">
              <w:t> 201</w:t>
            </w:r>
            <w:r w:rsidRPr="007B3A80">
              <w:t>5</w:t>
            </w:r>
            <w:r>
              <w:t xml:space="preserve">, consolidating </w:t>
            </w:r>
            <w:r w:rsidRPr="007B3A80">
              <w:t>four former programs: Commonwealth Home and Community Care (HACC); the National Respite for Carers Program (NRCP); Day Therapy Centres (DTC); and Assistance</w:t>
            </w:r>
            <w:r>
              <w:t xml:space="preserve"> with </w:t>
            </w:r>
            <w:r w:rsidRPr="007B3A80">
              <w:t>Care and Housing for the Aged (ACHA</w:t>
            </w:r>
            <w:r>
              <w:t>).</w:t>
            </w:r>
          </w:p>
        </w:tc>
      </w:tr>
      <w:tr w:rsidR="00350E66" w:rsidRPr="00E96A72" w:rsidTr="00596D01">
        <w:tc>
          <w:tcPr>
            <w:tcW w:w="1249" w:type="pct"/>
          </w:tcPr>
          <w:p w:rsidR="00350E66" w:rsidRPr="00596D01" w:rsidRDefault="00350E66" w:rsidP="00596D01">
            <w:pPr>
              <w:rPr>
                <w:rStyle w:val="Strong"/>
              </w:rPr>
            </w:pPr>
            <w:r w:rsidRPr="00596D01">
              <w:rPr>
                <w:rStyle w:val="Strong"/>
              </w:rPr>
              <w:t>Community Aged Care Package (CACP)</w:t>
            </w:r>
          </w:p>
        </w:tc>
        <w:tc>
          <w:tcPr>
            <w:tcW w:w="3751" w:type="pct"/>
          </w:tcPr>
          <w:p w:rsidR="00350E66" w:rsidRPr="00E96A72" w:rsidRDefault="00350E66" w:rsidP="00596D01">
            <w:r>
              <w:t xml:space="preserve">A </w:t>
            </w:r>
            <w:r w:rsidRPr="00E96A72">
              <w:t>package of services provided to a person in their own home. This</w:t>
            </w:r>
            <w:r>
              <w:t xml:space="preserve"> type of care was replaced on 1 August</w:t>
            </w:r>
            <w:r w:rsidR="00A261F3">
              <w:t> 201</w:t>
            </w:r>
            <w:r w:rsidRPr="00E96A72">
              <w:t xml:space="preserve">3 when the new </w:t>
            </w:r>
            <w:r>
              <w:t>home care package l</w:t>
            </w:r>
            <w:r w:rsidRPr="00E96A72">
              <w:t>evels 1</w:t>
            </w:r>
            <w:r w:rsidR="00D8721E">
              <w:t>–4</w:t>
            </w:r>
            <w:r w:rsidRPr="00E96A72">
              <w:t xml:space="preserve"> were introduced. A CACP package is generally consistent with t</w:t>
            </w:r>
            <w:r>
              <w:t>he level of care provided in a l</w:t>
            </w:r>
            <w:r w:rsidRPr="00E96A72">
              <w:t xml:space="preserve">evel 2 </w:t>
            </w:r>
            <w:r>
              <w:t>home c</w:t>
            </w:r>
            <w:r w:rsidRPr="00E96A72">
              <w:t>are package.</w:t>
            </w:r>
          </w:p>
        </w:tc>
      </w:tr>
      <w:tr w:rsidR="00350E66" w:rsidRPr="00E96A72" w:rsidTr="00596D01">
        <w:tc>
          <w:tcPr>
            <w:tcW w:w="1249" w:type="pct"/>
          </w:tcPr>
          <w:p w:rsidR="00350E66" w:rsidRPr="00596D01" w:rsidRDefault="00350E66" w:rsidP="00596D01">
            <w:pPr>
              <w:rPr>
                <w:rStyle w:val="Strong"/>
              </w:rPr>
            </w:pPr>
            <w:r w:rsidRPr="00596D01">
              <w:rPr>
                <w:rStyle w:val="Strong"/>
              </w:rPr>
              <w:t>Consumer Directed Care (CDC)</w:t>
            </w:r>
          </w:p>
        </w:tc>
        <w:tc>
          <w:tcPr>
            <w:tcW w:w="3751" w:type="pct"/>
          </w:tcPr>
          <w:p w:rsidR="00350E66" w:rsidRPr="00E96A72" w:rsidRDefault="00350E66" w:rsidP="00596D01">
            <w:r w:rsidRPr="00E96A72">
              <w:t>Consumer Directed Care</w:t>
            </w:r>
            <w:r>
              <w:t xml:space="preserve"> in home care</w:t>
            </w:r>
            <w:r w:rsidRPr="00E96A72">
              <w:t xml:space="preserve"> gives </w:t>
            </w:r>
            <w:r w:rsidRPr="00C02E1C">
              <w:t>consumers greater choice over their own lives by allowing them to decide what types of care and services they access and how those services are delivered</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Consumer Price Index (CPI)</w:t>
            </w:r>
          </w:p>
        </w:tc>
        <w:tc>
          <w:tcPr>
            <w:tcW w:w="3751" w:type="pct"/>
          </w:tcPr>
          <w:p w:rsidR="00350E66" w:rsidRPr="00E96A72" w:rsidRDefault="00350E66" w:rsidP="00596D01">
            <w:r w:rsidRPr="00E96A72">
              <w:t xml:space="preserve">CPI measures the changes in the price of a fixed basket of goods and services, acquired by household consumers who </w:t>
            </w:r>
            <w:r>
              <w:t>are resident in the eight state and t</w:t>
            </w:r>
            <w:r w:rsidRPr="00E96A72">
              <w:t>erritory capital cities.</w:t>
            </w:r>
          </w:p>
        </w:tc>
      </w:tr>
      <w:tr w:rsidR="00350E66" w:rsidRPr="00E96A72" w:rsidTr="00596D01">
        <w:tc>
          <w:tcPr>
            <w:tcW w:w="1249" w:type="pct"/>
          </w:tcPr>
          <w:p w:rsidR="00350E66" w:rsidRPr="00596D01" w:rsidRDefault="00350E66" w:rsidP="00596D01">
            <w:pPr>
              <w:rPr>
                <w:rStyle w:val="Strong"/>
              </w:rPr>
            </w:pPr>
            <w:r w:rsidRPr="00596D01">
              <w:rPr>
                <w:rStyle w:val="Strong"/>
              </w:rPr>
              <w:lastRenderedPageBreak/>
              <w:t>Council on the Ageing (COTA)</w:t>
            </w:r>
          </w:p>
        </w:tc>
        <w:tc>
          <w:tcPr>
            <w:tcW w:w="3751" w:type="pct"/>
          </w:tcPr>
          <w:p w:rsidR="00350E66" w:rsidRPr="00E96A72" w:rsidRDefault="00350E66" w:rsidP="00596D01">
            <w:r w:rsidRPr="00E96A72">
              <w:t>COTA Australia is the peak national organisation representing the rights, needs and interests of older Australians.</w:t>
            </w:r>
          </w:p>
        </w:tc>
      </w:tr>
      <w:tr w:rsidR="00350E66" w:rsidRPr="00E96A72" w:rsidTr="00596D01">
        <w:tc>
          <w:tcPr>
            <w:tcW w:w="1249" w:type="pct"/>
          </w:tcPr>
          <w:p w:rsidR="00350E66" w:rsidRPr="00596D01" w:rsidRDefault="00350E66" w:rsidP="00596D01">
            <w:pPr>
              <w:rPr>
                <w:rStyle w:val="Strong"/>
              </w:rPr>
            </w:pPr>
            <w:r w:rsidRPr="00596D01">
              <w:rPr>
                <w:rStyle w:val="Strong"/>
              </w:rPr>
              <w:t>Culturally and Linguistically Diverse (CALD)</w:t>
            </w:r>
          </w:p>
        </w:tc>
        <w:tc>
          <w:tcPr>
            <w:tcW w:w="3751" w:type="pct"/>
          </w:tcPr>
          <w:p w:rsidR="00350E66" w:rsidRPr="00C02E1C" w:rsidRDefault="00350E66" w:rsidP="00596D01">
            <w:r w:rsidRPr="00C02E1C">
              <w:t>C</w:t>
            </w:r>
            <w:r>
              <w:t xml:space="preserve">onsumers who </w:t>
            </w:r>
            <w:r w:rsidRPr="00C02E1C">
              <w:t>have</w:t>
            </w:r>
            <w:r>
              <w:t xml:space="preserve"> </w:t>
            </w:r>
            <w:r w:rsidRPr="00C02E1C">
              <w:t>particular cultural or linguistic affiliations due</w:t>
            </w:r>
            <w:r>
              <w:t xml:space="preserve"> </w:t>
            </w:r>
            <w:r w:rsidRPr="00C02E1C">
              <w:t>to their:</w:t>
            </w:r>
          </w:p>
          <w:p w:rsidR="00350E66" w:rsidRDefault="00350E66" w:rsidP="00596D01">
            <w:pPr>
              <w:pStyle w:val="Bullet1"/>
            </w:pPr>
            <w:r w:rsidRPr="00C02E1C">
              <w:t>place of birth or ethnic origin</w:t>
            </w:r>
            <w:r>
              <w:t>;</w:t>
            </w:r>
          </w:p>
          <w:p w:rsidR="00350E66" w:rsidRDefault="00350E66" w:rsidP="00596D01">
            <w:pPr>
              <w:pStyle w:val="Bullet1"/>
            </w:pPr>
            <w:r w:rsidRPr="00C02E1C">
              <w:t>main language other than English spoken at home</w:t>
            </w:r>
            <w:r>
              <w:t>; or</w:t>
            </w:r>
          </w:p>
          <w:p w:rsidR="00350E66" w:rsidRPr="006036D1" w:rsidRDefault="00350E66" w:rsidP="00596D01">
            <w:pPr>
              <w:pStyle w:val="Bullet1"/>
            </w:pPr>
            <w:r w:rsidRPr="006036D1">
              <w:t>proficiency in spoken English.</w:t>
            </w:r>
          </w:p>
        </w:tc>
      </w:tr>
      <w:tr w:rsidR="00350E66" w:rsidRPr="00E96A72" w:rsidTr="00596D01">
        <w:tc>
          <w:tcPr>
            <w:tcW w:w="1249" w:type="pct"/>
          </w:tcPr>
          <w:p w:rsidR="00350E66" w:rsidRPr="00596D01" w:rsidRDefault="00350E66" w:rsidP="00596D01">
            <w:pPr>
              <w:rPr>
                <w:rStyle w:val="Strong"/>
              </w:rPr>
            </w:pPr>
            <w:r w:rsidRPr="00596D01">
              <w:rPr>
                <w:rStyle w:val="Strong"/>
              </w:rPr>
              <w:t>Current Ratio</w:t>
            </w:r>
          </w:p>
        </w:tc>
        <w:tc>
          <w:tcPr>
            <w:tcW w:w="3751" w:type="pct"/>
          </w:tcPr>
          <w:p w:rsidR="00350E66" w:rsidRPr="00E96A72" w:rsidRDefault="00350E66" w:rsidP="00596D01">
            <w:r w:rsidRPr="00E96A72">
              <w:t>Represents the ability to meet short term debt through current assets. A current ratio of more than one indicates that an organisation’s current assets exceed its current liabilities. It is calculated as Current Assets/Current Liabilities.</w:t>
            </w:r>
            <w:r>
              <w:t xml:space="preserve"> In the aged care context, current ratio needs to be interpreted with caution given all accommodation deposits (bonds pre 1 July</w:t>
            </w:r>
            <w:r w:rsidR="00A261F3">
              <w:t> 201</w:t>
            </w:r>
            <w:r>
              <w:t>4) held by providers are treated as current liabilities.</w:t>
            </w:r>
          </w:p>
        </w:tc>
      </w:tr>
      <w:tr w:rsidR="0059518D" w:rsidRPr="00E96A72" w:rsidTr="00596D01">
        <w:tc>
          <w:tcPr>
            <w:tcW w:w="1249" w:type="pct"/>
          </w:tcPr>
          <w:p w:rsidR="0059518D" w:rsidRPr="00596D01" w:rsidRDefault="0059518D" w:rsidP="00596D01">
            <w:pPr>
              <w:rPr>
                <w:rStyle w:val="Strong"/>
              </w:rPr>
            </w:pPr>
            <w:r w:rsidRPr="00596D01">
              <w:rPr>
                <w:rStyle w:val="Strong"/>
              </w:rPr>
              <w:t>Daily Accommodation Contribution (DAC)</w:t>
            </w:r>
          </w:p>
        </w:tc>
        <w:tc>
          <w:tcPr>
            <w:tcW w:w="3751" w:type="pct"/>
          </w:tcPr>
          <w:p w:rsidR="0059518D" w:rsidRPr="00EB039B" w:rsidRDefault="0059518D" w:rsidP="00596D01">
            <w:r>
              <w:t xml:space="preserve">An amount paid by a partially supported </w:t>
            </w:r>
            <w:r w:rsidRPr="004B4024">
              <w:t>resident</w:t>
            </w:r>
            <w:r>
              <w:t xml:space="preserve"> as a contribution toward their accommodation costs in a residential aged care facility, calculated on a daily basis and paid periodically.</w:t>
            </w:r>
          </w:p>
        </w:tc>
      </w:tr>
      <w:tr w:rsidR="0059518D" w:rsidRPr="00E96A72" w:rsidTr="00596D01">
        <w:tc>
          <w:tcPr>
            <w:tcW w:w="1249" w:type="pct"/>
          </w:tcPr>
          <w:p w:rsidR="0059518D" w:rsidRPr="00596D01" w:rsidRDefault="0059518D" w:rsidP="00596D01">
            <w:pPr>
              <w:rPr>
                <w:rStyle w:val="Strong"/>
              </w:rPr>
            </w:pPr>
            <w:r w:rsidRPr="00596D01">
              <w:rPr>
                <w:rStyle w:val="Strong"/>
              </w:rPr>
              <w:t>Daily Accommodation Payment (DAP)</w:t>
            </w:r>
          </w:p>
        </w:tc>
        <w:tc>
          <w:tcPr>
            <w:tcW w:w="3751" w:type="pct"/>
          </w:tcPr>
          <w:p w:rsidR="0059518D" w:rsidRPr="00E96A72" w:rsidRDefault="0059518D" w:rsidP="00596D01">
            <w:r>
              <w:rPr>
                <w:lang w:eastAsia="en-AU"/>
              </w:rPr>
              <w:t xml:space="preserve">An amount paid </w:t>
            </w:r>
            <w:r>
              <w:t xml:space="preserve">by a non-supported </w:t>
            </w:r>
            <w:r w:rsidRPr="004B4024">
              <w:t>resident</w:t>
            </w:r>
            <w:r>
              <w:t xml:space="preserve"> towards</w:t>
            </w:r>
            <w:r>
              <w:rPr>
                <w:lang w:eastAsia="en-AU"/>
              </w:rPr>
              <w:t xml:space="preserve"> their accommodation costs in a residential aged care facility calculated on a daily basis and paid periodically.</w:t>
            </w:r>
          </w:p>
        </w:tc>
      </w:tr>
      <w:tr w:rsidR="00350E66" w:rsidRPr="00E96A72" w:rsidTr="00596D01">
        <w:tc>
          <w:tcPr>
            <w:tcW w:w="1249" w:type="pct"/>
          </w:tcPr>
          <w:p w:rsidR="00350E66" w:rsidRPr="00596D01" w:rsidRDefault="00350E66" w:rsidP="00596D01">
            <w:pPr>
              <w:rPr>
                <w:rStyle w:val="Strong"/>
              </w:rPr>
            </w:pPr>
            <w:r w:rsidRPr="00596D01">
              <w:rPr>
                <w:rStyle w:val="Strong"/>
              </w:rPr>
              <w:t>Day Therapy Centres Program (DTC)</w:t>
            </w:r>
          </w:p>
        </w:tc>
        <w:tc>
          <w:tcPr>
            <w:tcW w:w="3751" w:type="pct"/>
          </w:tcPr>
          <w:p w:rsidR="00350E66" w:rsidRPr="00E96A72" w:rsidRDefault="00350E66" w:rsidP="00596D01">
            <w:r>
              <w:t>The DTC program</w:t>
            </w:r>
            <w:r w:rsidRPr="00E96A72">
              <w:t xml:space="preserve"> provides a wide range of therapy and services to </w:t>
            </w:r>
            <w:r>
              <w:t xml:space="preserve">eligible </w:t>
            </w:r>
            <w:r w:rsidRPr="00E96A72">
              <w:t>frail, aged people living in the community and to residents in Commonwealth funded residential aged care facilities</w:t>
            </w:r>
            <w:r>
              <w:t>.</w:t>
            </w:r>
            <w:r w:rsidRPr="00E96A72">
              <w:t xml:space="preserve"> It assists them to regain or maintain physical and cognitive abilities which support them to either maintain or </w:t>
            </w:r>
            <w:r>
              <w:t>recover a level of independence. As of 1 July</w:t>
            </w:r>
            <w:r w:rsidR="00A261F3">
              <w:t> 201</w:t>
            </w:r>
            <w:r>
              <w:t>5 the DTC program</w:t>
            </w:r>
            <w:r w:rsidRPr="00E96A72">
              <w:t xml:space="preserve"> became part of the new Commonwealth Home Support Programme. </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Department of Health </w:t>
            </w:r>
          </w:p>
        </w:tc>
        <w:tc>
          <w:tcPr>
            <w:tcW w:w="3751" w:type="pct"/>
          </w:tcPr>
          <w:p w:rsidR="00350E66" w:rsidRPr="00E96A72" w:rsidRDefault="00350E66" w:rsidP="00596D01">
            <w:r>
              <w:t>The d</w:t>
            </w:r>
            <w:r w:rsidRPr="00E96A72">
              <w:t>ep</w:t>
            </w:r>
            <w:r>
              <w:t xml:space="preserve">artment that administers the </w:t>
            </w:r>
            <w:r w:rsidRPr="00596D01">
              <w:rPr>
                <w:rStyle w:val="Emphasis"/>
              </w:rPr>
              <w:t>Aged Care Act 1997</w:t>
            </w:r>
            <w:r w:rsidRPr="00E96A72">
              <w:t xml:space="preserve"> and regulates the aged care industry on behalf of the </w:t>
            </w:r>
            <w:r>
              <w:t>Commonwealth</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Earnings Before Interest, Taxes, Depreciation and Amortisation (EBITDA)</w:t>
            </w:r>
          </w:p>
        </w:tc>
        <w:tc>
          <w:tcPr>
            <w:tcW w:w="3751" w:type="pct"/>
          </w:tcPr>
          <w:p w:rsidR="00350E66" w:rsidRPr="00E96A72" w:rsidRDefault="00350E66" w:rsidP="00596D01">
            <w:r w:rsidRPr="00E96A72">
              <w:t>Net profit after tax with interest, taxes, depreciation, and amortisation added back to it, and can be used to analyse and compare profitability between companies and industries because it eliminates the effects of financing and accounting decisions.</w:t>
            </w:r>
          </w:p>
        </w:tc>
      </w:tr>
      <w:tr w:rsidR="00350E66" w:rsidRPr="00E96A72" w:rsidTr="00596D01">
        <w:tc>
          <w:tcPr>
            <w:tcW w:w="1249" w:type="pct"/>
          </w:tcPr>
          <w:p w:rsidR="00350E66" w:rsidRPr="00596D01" w:rsidRDefault="00350E66" w:rsidP="00596D01">
            <w:pPr>
              <w:rPr>
                <w:rStyle w:val="Strong"/>
              </w:rPr>
            </w:pPr>
            <w:r w:rsidRPr="00596D01">
              <w:rPr>
                <w:rStyle w:val="Strong"/>
              </w:rPr>
              <w:t>EBITDA margin</w:t>
            </w:r>
          </w:p>
        </w:tc>
        <w:tc>
          <w:tcPr>
            <w:tcW w:w="3751" w:type="pct"/>
          </w:tcPr>
          <w:p w:rsidR="00350E66" w:rsidRPr="00E96A72" w:rsidRDefault="00350E66" w:rsidP="00596D01">
            <w:r>
              <w:t xml:space="preserve">EBITDA margin shows the average net </w:t>
            </w:r>
            <w:r w:rsidR="007263AC">
              <w:t>profit after tax (with interest</w:t>
            </w:r>
            <w:r>
              <w:t xml:space="preserve">, taxes, depreciation and amortisation added back into it) generated for each $1 of revenue earned. It’s calculated as EBITDA/total revenue. </w:t>
            </w:r>
          </w:p>
        </w:tc>
      </w:tr>
      <w:tr w:rsidR="00350E66" w:rsidRPr="00E96A72" w:rsidTr="00596D01">
        <w:tc>
          <w:tcPr>
            <w:tcW w:w="1249" w:type="pct"/>
          </w:tcPr>
          <w:p w:rsidR="00350E66" w:rsidRPr="00596D01" w:rsidRDefault="00350E66" w:rsidP="00596D01">
            <w:pPr>
              <w:rPr>
                <w:rStyle w:val="Strong"/>
              </w:rPr>
            </w:pPr>
            <w:r w:rsidRPr="00596D01">
              <w:rPr>
                <w:rStyle w:val="Strong"/>
              </w:rPr>
              <w:t>Extended Aged Care at Home</w:t>
            </w:r>
          </w:p>
          <w:p w:rsidR="00350E66" w:rsidRPr="00596D01" w:rsidRDefault="00350E66" w:rsidP="00596D01">
            <w:pPr>
              <w:rPr>
                <w:rStyle w:val="Strong"/>
              </w:rPr>
            </w:pPr>
            <w:r w:rsidRPr="00596D01">
              <w:rPr>
                <w:rStyle w:val="Strong"/>
              </w:rPr>
              <w:t>(EACH)</w:t>
            </w:r>
          </w:p>
        </w:tc>
        <w:tc>
          <w:tcPr>
            <w:tcW w:w="3751" w:type="pct"/>
          </w:tcPr>
          <w:p w:rsidR="00350E66" w:rsidRPr="00E96A72" w:rsidRDefault="00350E66" w:rsidP="00596D01">
            <w:r>
              <w:t xml:space="preserve">Services previously </w:t>
            </w:r>
            <w:r w:rsidRPr="00E96A72">
              <w:t>provided to a person in their own home</w:t>
            </w:r>
            <w:r>
              <w:t xml:space="preserve">, </w:t>
            </w:r>
            <w:r w:rsidRPr="00E96A72">
              <w:t>who require</w:t>
            </w:r>
            <w:r>
              <w:t>d</w:t>
            </w:r>
            <w:r w:rsidRPr="00E96A72">
              <w:t xml:space="preserve"> a high level of care. This type of care was replaced</w:t>
            </w:r>
            <w:r>
              <w:t xml:space="preserve"> on 1 August</w:t>
            </w:r>
            <w:r w:rsidR="00A261F3">
              <w:t> 201</w:t>
            </w:r>
            <w:r>
              <w:t>3 when the new home care package l</w:t>
            </w:r>
            <w:r w:rsidRPr="00E96A72">
              <w:t>evels 1</w:t>
            </w:r>
            <w:r w:rsidR="00D8721E">
              <w:t>–4</w:t>
            </w:r>
            <w:r w:rsidRPr="00E96A72">
              <w:t xml:space="preserve"> were introduced. An EACH package </w:t>
            </w:r>
            <w:r>
              <w:t>was</w:t>
            </w:r>
            <w:r w:rsidRPr="00E96A72">
              <w:t xml:space="preserve"> generally consistent with t</w:t>
            </w:r>
            <w:r>
              <w:t>he level of care provided in a level 4 home c</w:t>
            </w:r>
            <w:r w:rsidRPr="00E96A72">
              <w:t>are package.</w:t>
            </w:r>
          </w:p>
        </w:tc>
      </w:tr>
      <w:tr w:rsidR="00350E66" w:rsidRPr="00E96A72" w:rsidTr="00596D01">
        <w:tc>
          <w:tcPr>
            <w:tcW w:w="1249" w:type="pct"/>
          </w:tcPr>
          <w:p w:rsidR="00350E66" w:rsidRPr="00596D01" w:rsidRDefault="00350E66" w:rsidP="00596D01">
            <w:pPr>
              <w:rPr>
                <w:rStyle w:val="Strong"/>
              </w:rPr>
            </w:pPr>
            <w:r w:rsidRPr="00596D01">
              <w:rPr>
                <w:rStyle w:val="Strong"/>
              </w:rPr>
              <w:t>Extended Aged Care at</w:t>
            </w:r>
            <w:r w:rsidR="00596D01">
              <w:rPr>
                <w:rStyle w:val="Strong"/>
              </w:rPr>
              <w:t> </w:t>
            </w:r>
            <w:r w:rsidRPr="00596D01">
              <w:rPr>
                <w:rStyle w:val="Strong"/>
              </w:rPr>
              <w:t>Home Dementia (EACH-D)</w:t>
            </w:r>
          </w:p>
        </w:tc>
        <w:tc>
          <w:tcPr>
            <w:tcW w:w="3751" w:type="pct"/>
          </w:tcPr>
          <w:p w:rsidR="00350E66" w:rsidRPr="00E96A72" w:rsidRDefault="00350E66" w:rsidP="00596D01">
            <w:r>
              <w:t>S</w:t>
            </w:r>
            <w:r w:rsidRPr="00E96A72">
              <w:t>ervic</w:t>
            </w:r>
            <w:r>
              <w:t>es previously provided to a person in their own home, with dementia,</w:t>
            </w:r>
            <w:r w:rsidRPr="00E96A72">
              <w:t xml:space="preserve"> who require</w:t>
            </w:r>
            <w:r>
              <w:t>d</w:t>
            </w:r>
            <w:r w:rsidRPr="00E96A72">
              <w:t xml:space="preserve"> a high level of care. This type of care was replaced</w:t>
            </w:r>
            <w:r>
              <w:t xml:space="preserve"> on 1 August</w:t>
            </w:r>
            <w:r w:rsidR="00A261F3">
              <w:t> 201</w:t>
            </w:r>
            <w:r>
              <w:t>3 when the new h</w:t>
            </w:r>
            <w:r w:rsidRPr="00E96A72">
              <w:t>o</w:t>
            </w:r>
            <w:r>
              <w:t>me care package l</w:t>
            </w:r>
            <w:r w:rsidRPr="00E96A72">
              <w:t>evels 1</w:t>
            </w:r>
            <w:r w:rsidR="00D8721E">
              <w:t>–4</w:t>
            </w:r>
            <w:r w:rsidRPr="00E96A72">
              <w:t xml:space="preserve"> were introduced. An EACH-D package </w:t>
            </w:r>
            <w:r>
              <w:t>was</w:t>
            </w:r>
            <w:r w:rsidRPr="00E96A72">
              <w:t xml:space="preserve"> generally consistent with t</w:t>
            </w:r>
            <w:r>
              <w:t xml:space="preserve">he level of care provided in a level 4 </w:t>
            </w:r>
            <w:r>
              <w:lastRenderedPageBreak/>
              <w:t>home c</w:t>
            </w:r>
            <w:r w:rsidRPr="00E96A72">
              <w:t>are package, with the additional Dementia and Cognition supplement also being paid.</w:t>
            </w:r>
          </w:p>
        </w:tc>
      </w:tr>
      <w:tr w:rsidR="00350E66" w:rsidRPr="00E96A72" w:rsidTr="00596D01">
        <w:tc>
          <w:tcPr>
            <w:tcW w:w="1249" w:type="pct"/>
          </w:tcPr>
          <w:p w:rsidR="00350E66" w:rsidRPr="00596D01" w:rsidRDefault="00350E66" w:rsidP="00596D01">
            <w:pPr>
              <w:rPr>
                <w:rStyle w:val="Strong"/>
              </w:rPr>
            </w:pPr>
            <w:r w:rsidRPr="00596D01">
              <w:rPr>
                <w:rStyle w:val="Strong"/>
              </w:rPr>
              <w:lastRenderedPageBreak/>
              <w:t xml:space="preserve">Facility </w:t>
            </w:r>
          </w:p>
        </w:tc>
        <w:tc>
          <w:tcPr>
            <w:tcW w:w="3751" w:type="pct"/>
          </w:tcPr>
          <w:p w:rsidR="00350E66" w:rsidRPr="00E96A72" w:rsidRDefault="00350E66" w:rsidP="00596D01">
            <w:pPr>
              <w:rPr>
                <w:color w:val="313131"/>
                <w:lang w:val="en-GB"/>
              </w:rPr>
            </w:pPr>
            <w:r w:rsidRPr="0010125C">
              <w:rPr>
                <w:color w:val="313131"/>
                <w:lang w:val="en-GB"/>
              </w:rPr>
              <w:t>A residential aged care facility, a</w:t>
            </w:r>
            <w:r>
              <w:rPr>
                <w:color w:val="313131"/>
                <w:lang w:val="en-GB"/>
              </w:rPr>
              <w:t xml:space="preserve">pproved under the </w:t>
            </w:r>
            <w:r w:rsidRPr="00596D01">
              <w:rPr>
                <w:rStyle w:val="Emphasis"/>
              </w:rPr>
              <w:t xml:space="preserve">Aged Care Act 1997 </w:t>
            </w:r>
            <w:r w:rsidRPr="0010125C">
              <w:rPr>
                <w:color w:val="313131"/>
                <w:lang w:val="en-GB"/>
              </w:rPr>
              <w:t>to provide government subsidised accommodation and care</w:t>
            </w:r>
            <w:r>
              <w:rPr>
                <w:color w:val="313131"/>
                <w:lang w:val="en-GB"/>
              </w:rPr>
              <w:t>.</w:t>
            </w:r>
            <w:r w:rsidR="00D8721E">
              <w:rPr>
                <w:color w:val="313131"/>
                <w:lang w:val="en-GB"/>
              </w:rPr>
              <w:t xml:space="preserve"> </w:t>
            </w:r>
          </w:p>
        </w:tc>
      </w:tr>
      <w:tr w:rsidR="00350E66" w:rsidRPr="00E96A72" w:rsidTr="00596D01">
        <w:tc>
          <w:tcPr>
            <w:tcW w:w="1249" w:type="pct"/>
          </w:tcPr>
          <w:p w:rsidR="00350E66" w:rsidRPr="00596D01" w:rsidRDefault="00350E66" w:rsidP="00596D01">
            <w:pPr>
              <w:rPr>
                <w:rStyle w:val="Strong"/>
              </w:rPr>
            </w:pPr>
            <w:r w:rsidRPr="00596D01">
              <w:rPr>
                <w:rStyle w:val="Strong"/>
              </w:rPr>
              <w:t>Financial Accountability Reports (FARs)</w:t>
            </w:r>
          </w:p>
        </w:tc>
        <w:tc>
          <w:tcPr>
            <w:tcW w:w="3751" w:type="pct"/>
          </w:tcPr>
          <w:p w:rsidR="00350E66" w:rsidRPr="00E96A72" w:rsidRDefault="00350E66" w:rsidP="00596D01">
            <w:r>
              <w:rPr>
                <w:color w:val="313131"/>
                <w:lang w:val="en-GB"/>
              </w:rPr>
              <w:t xml:space="preserve">FARs were </w:t>
            </w:r>
            <w:r w:rsidRPr="00E96A72">
              <w:rPr>
                <w:color w:val="313131"/>
                <w:lang w:val="en-GB"/>
              </w:rPr>
              <w:t xml:space="preserve">non-audited financial statements submitted by </w:t>
            </w:r>
            <w:r>
              <w:rPr>
                <w:color w:val="313131"/>
                <w:lang w:val="en-GB"/>
              </w:rPr>
              <w:t>approved providers of home c</w:t>
            </w:r>
            <w:r w:rsidRPr="00E96A72">
              <w:rPr>
                <w:color w:val="313131"/>
                <w:lang w:val="en-GB"/>
              </w:rPr>
              <w:t xml:space="preserve">are services </w:t>
            </w:r>
            <w:r>
              <w:rPr>
                <w:color w:val="313131"/>
                <w:lang w:val="en-GB"/>
              </w:rPr>
              <w:t>up until</w:t>
            </w:r>
            <w:r w:rsidR="00A261F3">
              <w:rPr>
                <w:color w:val="313131"/>
                <w:lang w:val="en-GB"/>
              </w:rPr>
              <w:t> 201</w:t>
            </w:r>
            <w:r>
              <w:rPr>
                <w:color w:val="313131"/>
                <w:lang w:val="en-GB"/>
              </w:rPr>
              <w:t>4</w:t>
            </w:r>
            <w:r w:rsidR="00D8721E">
              <w:rPr>
                <w:color w:val="313131"/>
                <w:lang w:val="en-GB"/>
              </w:rPr>
              <w:t>–1</w:t>
            </w:r>
            <w:r>
              <w:rPr>
                <w:color w:val="313131"/>
                <w:lang w:val="en-GB"/>
              </w:rPr>
              <w:t>5 when they were replaced by the new Home Care Packages financial reports.</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Flexible care </w:t>
            </w:r>
          </w:p>
        </w:tc>
        <w:tc>
          <w:tcPr>
            <w:tcW w:w="3751" w:type="pct"/>
          </w:tcPr>
          <w:p w:rsidR="00350E66" w:rsidRPr="00E96A72" w:rsidRDefault="00350E66" w:rsidP="00596D01">
            <w:r w:rsidRPr="00982B14">
              <w:t>For those in either a residential or home care setting, that may require a different care approach than that provided through mainstream residential and home care.</w:t>
            </w:r>
          </w:p>
        </w:tc>
      </w:tr>
      <w:tr w:rsidR="00350E66" w:rsidRPr="00E96A72" w:rsidTr="00596D01">
        <w:tc>
          <w:tcPr>
            <w:tcW w:w="1249" w:type="pct"/>
          </w:tcPr>
          <w:p w:rsidR="00350E66" w:rsidRPr="00596D01" w:rsidRDefault="00350E66" w:rsidP="00596D01">
            <w:pPr>
              <w:rPr>
                <w:rStyle w:val="Strong"/>
              </w:rPr>
            </w:pPr>
            <w:r w:rsidRPr="00596D01">
              <w:rPr>
                <w:rStyle w:val="Strong"/>
              </w:rPr>
              <w:t>General Purpose Financial Report (GPFR)</w:t>
            </w:r>
          </w:p>
        </w:tc>
        <w:tc>
          <w:tcPr>
            <w:tcW w:w="3751" w:type="pct"/>
          </w:tcPr>
          <w:p w:rsidR="005A7982" w:rsidRPr="00E96A72" w:rsidRDefault="00350E66" w:rsidP="00596D01">
            <w:r w:rsidRPr="00207E9F">
              <w:t>A</w:t>
            </w:r>
            <w:r w:rsidR="0093563E" w:rsidRPr="00207E9F">
              <w:t>n audited</w:t>
            </w:r>
            <w:r w:rsidRPr="00207E9F">
              <w:t xml:space="preserve"> financial report</w:t>
            </w:r>
            <w:r w:rsidR="0093563E" w:rsidRPr="00207E9F">
              <w:t xml:space="preserve"> that is </w:t>
            </w:r>
            <w:r w:rsidR="005A7982">
              <w:t xml:space="preserve">submitted by providers with their unaudited </w:t>
            </w:r>
            <w:r w:rsidR="0093563E" w:rsidRPr="00207E9F">
              <w:t>Aged Care Financial Report (ACFR)</w:t>
            </w:r>
            <w:r w:rsidR="005A7982">
              <w:t xml:space="preserve">. </w:t>
            </w:r>
            <w:r w:rsidR="0093563E" w:rsidRPr="00207E9F">
              <w:t>While the ACFR provides a greater level of detail the GPFR is the only audited report and is used to verify information provided.</w:t>
            </w:r>
          </w:p>
        </w:tc>
      </w:tr>
      <w:tr w:rsidR="00350E66" w:rsidRPr="00E96A72" w:rsidTr="00596D01">
        <w:tc>
          <w:tcPr>
            <w:tcW w:w="1249" w:type="pct"/>
          </w:tcPr>
          <w:p w:rsidR="00350E66" w:rsidRPr="00596D01" w:rsidRDefault="00350E66" w:rsidP="00596D01">
            <w:pPr>
              <w:rPr>
                <w:rStyle w:val="Strong"/>
              </w:rPr>
            </w:pPr>
            <w:r w:rsidRPr="00596D01">
              <w:rPr>
                <w:rStyle w:val="Strong"/>
              </w:rPr>
              <w:t>Government provider</w:t>
            </w:r>
          </w:p>
        </w:tc>
        <w:tc>
          <w:tcPr>
            <w:tcW w:w="3751" w:type="pct"/>
          </w:tcPr>
          <w:p w:rsidR="00350E66" w:rsidRPr="00E96A72" w:rsidRDefault="00350E66" w:rsidP="00596D01">
            <w:r w:rsidRPr="00E96A72">
              <w:t xml:space="preserve">In the context of this </w:t>
            </w:r>
            <w:r w:rsidR="000327E2">
              <w:t>r</w:t>
            </w:r>
            <w:r w:rsidRPr="00E96A72">
              <w:t>eport, the term references a provi</w:t>
            </w:r>
            <w:r>
              <w:t xml:space="preserve">der that is owned by a local, </w:t>
            </w:r>
            <w:r w:rsidRPr="00E96A72">
              <w:t>state</w:t>
            </w:r>
            <w:r>
              <w:t xml:space="preserve"> or territory</w:t>
            </w:r>
            <w:r w:rsidRPr="00E96A72">
              <w:t xml:space="preserve"> government.</w:t>
            </w:r>
          </w:p>
        </w:tc>
      </w:tr>
      <w:tr w:rsidR="00350E66" w:rsidRPr="00E96A72" w:rsidTr="00596D01">
        <w:tc>
          <w:tcPr>
            <w:tcW w:w="1249" w:type="pct"/>
          </w:tcPr>
          <w:p w:rsidR="00350E66" w:rsidRPr="00596D01" w:rsidRDefault="00350E66" w:rsidP="00596D01">
            <w:pPr>
              <w:rPr>
                <w:rStyle w:val="Strong"/>
              </w:rPr>
            </w:pPr>
            <w:r w:rsidRPr="00596D01">
              <w:rPr>
                <w:rStyle w:val="Strong"/>
              </w:rPr>
              <w:t>Greenfield site</w:t>
            </w:r>
          </w:p>
        </w:tc>
        <w:tc>
          <w:tcPr>
            <w:tcW w:w="3751" w:type="pct"/>
          </w:tcPr>
          <w:p w:rsidR="00350E66" w:rsidRPr="00E96A72" w:rsidRDefault="00350E66" w:rsidP="00596D01">
            <w:r w:rsidRPr="00E96A72">
              <w:t>Site where an aged care operation is built for the first time.</w:t>
            </w:r>
          </w:p>
        </w:tc>
      </w:tr>
      <w:tr w:rsidR="00350E66" w:rsidRPr="00E96A72" w:rsidTr="00596D01">
        <w:tc>
          <w:tcPr>
            <w:tcW w:w="1249" w:type="pct"/>
          </w:tcPr>
          <w:p w:rsidR="00350E66" w:rsidRPr="00596D01" w:rsidRDefault="00350E66" w:rsidP="00596D01">
            <w:pPr>
              <w:rPr>
                <w:rStyle w:val="Strong"/>
              </w:rPr>
            </w:pPr>
            <w:r w:rsidRPr="00596D01">
              <w:rPr>
                <w:rStyle w:val="Strong"/>
              </w:rPr>
              <w:t>Gross Domestic Product (GDP)</w:t>
            </w:r>
          </w:p>
        </w:tc>
        <w:tc>
          <w:tcPr>
            <w:tcW w:w="3751" w:type="pct"/>
          </w:tcPr>
          <w:p w:rsidR="00350E66" w:rsidRPr="00E96A72" w:rsidRDefault="00350E66" w:rsidP="00596D01">
            <w:r w:rsidRPr="00E96A72">
              <w:t>GDP is the market value of all officially recognised final goods and services produced within a country in a year, or over a given period of time.</w:t>
            </w:r>
          </w:p>
        </w:tc>
      </w:tr>
      <w:tr w:rsidR="00350E66" w:rsidRPr="00E96A72" w:rsidTr="00596D01">
        <w:tc>
          <w:tcPr>
            <w:tcW w:w="1249" w:type="pct"/>
          </w:tcPr>
          <w:p w:rsidR="00350E66" w:rsidRPr="00596D01" w:rsidRDefault="00350E66" w:rsidP="00596D01">
            <w:pPr>
              <w:rPr>
                <w:rStyle w:val="Strong"/>
              </w:rPr>
            </w:pPr>
            <w:r w:rsidRPr="00596D01">
              <w:rPr>
                <w:rStyle w:val="Strong"/>
              </w:rPr>
              <w:t>High care facility</w:t>
            </w:r>
          </w:p>
        </w:tc>
        <w:tc>
          <w:tcPr>
            <w:tcW w:w="3751" w:type="pct"/>
          </w:tcPr>
          <w:p w:rsidR="00350E66" w:rsidRPr="00E96A72" w:rsidRDefault="00350E66" w:rsidP="00596D01">
            <w:r w:rsidRPr="00E96A72">
              <w:t>A facility where over 80</w:t>
            </w:r>
            <w:r w:rsidR="00A261F3">
              <w:t> per cent</w:t>
            </w:r>
            <w:r w:rsidRPr="00E96A72">
              <w:t xml:space="preserve"> of residents </w:t>
            </w:r>
            <w:r>
              <w:t>were</w:t>
            </w:r>
            <w:r w:rsidRPr="00E96A72">
              <w:t xml:space="preserve"> classified as ‘high care’. The distinction between high care </w:t>
            </w:r>
            <w:r>
              <w:t>and low care in permanent residential care was removed from 1 July</w:t>
            </w:r>
            <w:r w:rsidR="00A261F3">
              <w:t> 201</w:t>
            </w:r>
            <w:r>
              <w:t>4</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Higher accommodation supplement</w:t>
            </w:r>
          </w:p>
        </w:tc>
        <w:tc>
          <w:tcPr>
            <w:tcW w:w="3751" w:type="pct"/>
          </w:tcPr>
          <w:p w:rsidR="00350E66" w:rsidRPr="00E96A72" w:rsidRDefault="00350E66" w:rsidP="00596D01">
            <w:r w:rsidRPr="00E96A72">
              <w:t xml:space="preserve">A higher maximum accommodation supplement was introduced on </w:t>
            </w:r>
            <w:r>
              <w:t>1 July</w:t>
            </w:r>
            <w:r w:rsidR="00A261F3">
              <w:t> 201</w:t>
            </w:r>
            <w:r>
              <w:t>4</w:t>
            </w:r>
            <w:r w:rsidRPr="00E96A72">
              <w:t xml:space="preserve"> for </w:t>
            </w:r>
            <w:r>
              <w:t>aged care homes that have been built or significantly refurbished</w:t>
            </w:r>
            <w:r w:rsidRPr="00E96A72">
              <w:t xml:space="preserve"> s</w:t>
            </w:r>
            <w:r>
              <w:t>ince 20 April</w:t>
            </w:r>
            <w:r w:rsidR="00A261F3">
              <w:t> 201</w:t>
            </w:r>
            <w:r w:rsidRPr="00E96A72">
              <w:t>2.</w:t>
            </w:r>
          </w:p>
        </w:tc>
      </w:tr>
      <w:tr w:rsidR="00350E66" w:rsidRPr="00E96A72" w:rsidTr="00596D01">
        <w:tc>
          <w:tcPr>
            <w:tcW w:w="1249" w:type="pct"/>
          </w:tcPr>
          <w:p w:rsidR="00350E66" w:rsidRPr="00596D01" w:rsidRDefault="00350E66" w:rsidP="00596D01">
            <w:pPr>
              <w:rPr>
                <w:rStyle w:val="Strong"/>
              </w:rPr>
            </w:pPr>
            <w:r w:rsidRPr="00596D01">
              <w:rPr>
                <w:rStyle w:val="Strong"/>
              </w:rPr>
              <w:t>Home and Community Care</w:t>
            </w:r>
          </w:p>
          <w:p w:rsidR="00350E66" w:rsidRPr="00596D01" w:rsidRDefault="00350E66" w:rsidP="00596D01">
            <w:pPr>
              <w:rPr>
                <w:rStyle w:val="Strong"/>
              </w:rPr>
            </w:pPr>
            <w:r w:rsidRPr="00596D01">
              <w:rPr>
                <w:rStyle w:val="Strong"/>
              </w:rPr>
              <w:t>(HACC)</w:t>
            </w:r>
          </w:p>
        </w:tc>
        <w:tc>
          <w:tcPr>
            <w:tcW w:w="3751" w:type="pct"/>
          </w:tcPr>
          <w:p w:rsidR="00350E66" w:rsidRPr="00E96A72" w:rsidRDefault="00350E66" w:rsidP="00596D01">
            <w:r w:rsidRPr="006036D1">
              <w:t xml:space="preserve">A </w:t>
            </w:r>
            <w:r>
              <w:t xml:space="preserve">previous </w:t>
            </w:r>
            <w:r w:rsidRPr="006036D1">
              <w:t>program that provide</w:t>
            </w:r>
            <w:r>
              <w:t>d</w:t>
            </w:r>
            <w:r w:rsidRPr="006036D1">
              <w:t xml:space="preserve"> basic support and maintenance to people living at home to help avoid premature or inappropriate admission to long-term</w:t>
            </w:r>
            <w:r>
              <w:t xml:space="preserve"> residential care (</w:t>
            </w:r>
            <w:r w:rsidRPr="006036D1">
              <w:t>WA only</w:t>
            </w:r>
            <w:r>
              <w:t xml:space="preserve"> in</w:t>
            </w:r>
            <w:r w:rsidR="00A261F3">
              <w:t> 201</w:t>
            </w:r>
            <w:r>
              <w:t>6</w:t>
            </w:r>
            <w:r w:rsidR="00D8721E">
              <w:t>–1</w:t>
            </w:r>
            <w:r>
              <w:t>7</w:t>
            </w:r>
            <w:r w:rsidRPr="006036D1">
              <w:t>). Note: the former Commonwealth HACC program was consol</w:t>
            </w:r>
            <w:r>
              <w:t>idated into the new CHSP from 1 July</w:t>
            </w:r>
            <w:r w:rsidR="00A261F3">
              <w:t> 201</w:t>
            </w:r>
            <w:r w:rsidRPr="006036D1">
              <w:t>5</w:t>
            </w:r>
            <w:r>
              <w:t>.</w:t>
            </w:r>
          </w:p>
        </w:tc>
      </w:tr>
      <w:tr w:rsidR="00350E66" w:rsidRPr="00E96A72" w:rsidTr="00596D01">
        <w:tc>
          <w:tcPr>
            <w:tcW w:w="1249" w:type="pct"/>
          </w:tcPr>
          <w:p w:rsidR="00350E66" w:rsidRPr="00596D01" w:rsidRDefault="00350E66" w:rsidP="00596D01">
            <w:pPr>
              <w:rPr>
                <w:rStyle w:val="Strong"/>
              </w:rPr>
            </w:pPr>
            <w:r w:rsidRPr="00596D01">
              <w:rPr>
                <w:rStyle w:val="Strong"/>
              </w:rPr>
              <w:t>Home care</w:t>
            </w:r>
          </w:p>
        </w:tc>
        <w:tc>
          <w:tcPr>
            <w:tcW w:w="3751" w:type="pct"/>
          </w:tcPr>
          <w:p w:rsidR="00350E66" w:rsidRPr="00E96A72" w:rsidRDefault="00350E66" w:rsidP="00596D01">
            <w:r w:rsidRPr="00E96A72">
              <w:t>Home based care</w:t>
            </w:r>
            <w:r>
              <w:t xml:space="preserve"> provided through a home care package </w:t>
            </w:r>
            <w:r w:rsidRPr="00E96A72">
              <w:t xml:space="preserve">to help older Australians to remain in their own homes. Home care is provided </w:t>
            </w:r>
            <w:r>
              <w:t xml:space="preserve">through the </w:t>
            </w:r>
            <w:r w:rsidRPr="00E96A72">
              <w:t>Home Care</w:t>
            </w:r>
            <w:r>
              <w:t xml:space="preserve"> Packages Programme.</w:t>
            </w:r>
          </w:p>
        </w:tc>
      </w:tr>
      <w:tr w:rsidR="00350E66" w:rsidRPr="00E96A72" w:rsidTr="00596D01">
        <w:tc>
          <w:tcPr>
            <w:tcW w:w="1249" w:type="pct"/>
          </w:tcPr>
          <w:p w:rsidR="00350E66" w:rsidRPr="00596D01" w:rsidRDefault="00350E66" w:rsidP="00596D01">
            <w:pPr>
              <w:rPr>
                <w:rStyle w:val="Strong"/>
              </w:rPr>
            </w:pPr>
            <w:r w:rsidRPr="00596D01">
              <w:rPr>
                <w:rStyle w:val="Strong"/>
              </w:rPr>
              <w:t>Home care package</w:t>
            </w:r>
          </w:p>
        </w:tc>
        <w:tc>
          <w:tcPr>
            <w:tcW w:w="3751" w:type="pct"/>
          </w:tcPr>
          <w:p w:rsidR="00350E66" w:rsidRPr="00E96A72" w:rsidRDefault="00350E66" w:rsidP="00596D01">
            <w:r w:rsidRPr="00E96A72">
              <w:t>A package of services</w:t>
            </w:r>
            <w:r>
              <w:t>, delivered though the Home Care Packages Programme,</w:t>
            </w:r>
            <w:r w:rsidRPr="00E96A72">
              <w:t xml:space="preserve"> tailored to meet </w:t>
            </w:r>
            <w:r>
              <w:t xml:space="preserve">the care needs of a person living at home. </w:t>
            </w:r>
            <w:r w:rsidRPr="00E96A72">
              <w:t>The package is coordinated by an approved home care provider, with funding provid</w:t>
            </w:r>
            <w:r>
              <w:t>ed by the Australian Government (with some contributions from the consumer).</w:t>
            </w:r>
            <w:r w:rsidRPr="00E96A72">
              <w:t xml:space="preserve"> </w:t>
            </w:r>
            <w:r>
              <w:t>Home care packages range from level 1 to 4 depending on the care needs of the consumer.</w:t>
            </w:r>
            <w:r w:rsidRPr="00E96A72">
              <w:t xml:space="preserve"> </w:t>
            </w:r>
          </w:p>
        </w:tc>
      </w:tr>
      <w:tr w:rsidR="00350E66" w:rsidRPr="00E96A72" w:rsidTr="00596D01">
        <w:tc>
          <w:tcPr>
            <w:tcW w:w="1249" w:type="pct"/>
          </w:tcPr>
          <w:p w:rsidR="00350E66" w:rsidRPr="00596D01" w:rsidRDefault="00350E66" w:rsidP="00596D01">
            <w:pPr>
              <w:rPr>
                <w:rStyle w:val="Strong"/>
              </w:rPr>
            </w:pPr>
            <w:r w:rsidRPr="00596D01">
              <w:rPr>
                <w:rStyle w:val="Strong"/>
              </w:rPr>
              <w:t>Home Care Packages Programme</w:t>
            </w:r>
          </w:p>
        </w:tc>
        <w:tc>
          <w:tcPr>
            <w:tcW w:w="3751" w:type="pct"/>
          </w:tcPr>
          <w:p w:rsidR="00350E66" w:rsidRPr="00E96A72" w:rsidRDefault="00350E66" w:rsidP="00596D01">
            <w:r w:rsidRPr="00E96A72">
              <w:t xml:space="preserve">An Australian Government funded programme which has as its objectives to assist people to remain living at home and enable consumers to have choice </w:t>
            </w:r>
            <w:r w:rsidRPr="00E96A72">
              <w:lastRenderedPageBreak/>
              <w:t>and flexibility in the way that care and support</w:t>
            </w:r>
            <w:r>
              <w:t xml:space="preserve"> is provided at home. The Home Care Packages Programme </w:t>
            </w:r>
            <w:r w:rsidRPr="00E96A72">
              <w:t>comme</w:t>
            </w:r>
            <w:r>
              <w:t>nced on 1 August</w:t>
            </w:r>
            <w:r w:rsidR="00A261F3">
              <w:t> 201</w:t>
            </w:r>
            <w:r>
              <w:t>3.</w:t>
            </w:r>
          </w:p>
        </w:tc>
      </w:tr>
      <w:tr w:rsidR="00350E66" w:rsidRPr="00E96A72" w:rsidTr="00596D01">
        <w:tc>
          <w:tcPr>
            <w:tcW w:w="1249" w:type="pct"/>
          </w:tcPr>
          <w:p w:rsidR="00350E66" w:rsidRPr="00596D01" w:rsidRDefault="00350E66" w:rsidP="00596D01">
            <w:pPr>
              <w:rPr>
                <w:rStyle w:val="Strong"/>
              </w:rPr>
            </w:pPr>
            <w:r w:rsidRPr="00596D01">
              <w:rPr>
                <w:rStyle w:val="Strong"/>
              </w:rPr>
              <w:lastRenderedPageBreak/>
              <w:t>Homeless supplement</w:t>
            </w:r>
          </w:p>
        </w:tc>
        <w:tc>
          <w:tcPr>
            <w:tcW w:w="3751" w:type="pct"/>
          </w:tcPr>
          <w:p w:rsidR="00350E66" w:rsidRPr="00E96A72" w:rsidRDefault="00350E66" w:rsidP="00596D01">
            <w:r>
              <w:t xml:space="preserve">A supplement paid </w:t>
            </w:r>
            <w:r w:rsidRPr="00E96A72">
              <w:t>to better support aged care homes that specialise in caring for people with a history of, or at risk of, homelessness. This funding is in addition to the fundin</w:t>
            </w:r>
            <w:r>
              <w:t xml:space="preserve">g provided under the </w:t>
            </w:r>
            <w:r w:rsidR="005555CD">
              <w:t xml:space="preserve">viability </w:t>
            </w:r>
            <w:r>
              <w:t>s</w:t>
            </w:r>
            <w:r w:rsidRPr="00E96A72">
              <w:t xml:space="preserve">upplement. </w:t>
            </w:r>
          </w:p>
        </w:tc>
      </w:tr>
      <w:tr w:rsidR="00350E66" w:rsidRPr="00E96A72" w:rsidTr="00596D01">
        <w:tc>
          <w:tcPr>
            <w:tcW w:w="1249" w:type="pct"/>
          </w:tcPr>
          <w:p w:rsidR="00350E66" w:rsidRPr="00596D01" w:rsidRDefault="00350E66" w:rsidP="00596D01">
            <w:pPr>
              <w:rPr>
                <w:rStyle w:val="Strong"/>
              </w:rPr>
            </w:pPr>
            <w:r w:rsidRPr="00596D01">
              <w:rPr>
                <w:rStyle w:val="Strong"/>
              </w:rPr>
              <w:t>Increasing choice in home care</w:t>
            </w:r>
          </w:p>
        </w:tc>
        <w:tc>
          <w:tcPr>
            <w:tcW w:w="3751" w:type="pct"/>
          </w:tcPr>
          <w:p w:rsidR="00350E66" w:rsidRPr="00E96A72" w:rsidRDefault="00350E66" w:rsidP="00596D01">
            <w:r>
              <w:t>From 27 February</w:t>
            </w:r>
            <w:r w:rsidR="00A261F3">
              <w:t> 201</w:t>
            </w:r>
            <w:r>
              <w:t>7, f</w:t>
            </w:r>
            <w:r w:rsidRPr="00293D4D">
              <w:t>und</w:t>
            </w:r>
            <w:r>
              <w:t>ing for a home care package</w:t>
            </w:r>
            <w:r w:rsidRPr="00293D4D">
              <w:t xml:space="preserve"> follow</w:t>
            </w:r>
            <w:r>
              <w:t>ed</w:t>
            </w:r>
            <w:r w:rsidRPr="00293D4D">
              <w:t xml:space="preserve"> the consumer, replacing the former system where home care places were allocated to individual approved providers to deliver services in a particular location or region.</w:t>
            </w:r>
          </w:p>
        </w:tc>
      </w:tr>
      <w:tr w:rsidR="00350E66" w:rsidRPr="00E96A72" w:rsidTr="00596D01">
        <w:tc>
          <w:tcPr>
            <w:tcW w:w="1249" w:type="pct"/>
          </w:tcPr>
          <w:p w:rsidR="00350E66" w:rsidRPr="00596D01" w:rsidRDefault="00350E66" w:rsidP="00596D01">
            <w:pPr>
              <w:rPr>
                <w:rStyle w:val="Strong"/>
              </w:rPr>
            </w:pPr>
            <w:r w:rsidRPr="00596D01">
              <w:rPr>
                <w:rStyle w:val="Strong"/>
              </w:rPr>
              <w:t>Interest Coverage</w:t>
            </w:r>
          </w:p>
        </w:tc>
        <w:tc>
          <w:tcPr>
            <w:tcW w:w="3751" w:type="pct"/>
          </w:tcPr>
          <w:p w:rsidR="00350E66" w:rsidRPr="00E96A72" w:rsidRDefault="00350E66" w:rsidP="00596D01">
            <w:r w:rsidRPr="00E96A72">
              <w:t>Shows the number of times that EBITDA will cover interest expense. Indicates an organisation’s ability to service the interest on its debt. It is calculated as EBITDA/Interest Expense.</w:t>
            </w:r>
          </w:p>
        </w:tc>
      </w:tr>
      <w:tr w:rsidR="00350E66" w:rsidRPr="00E96A72" w:rsidTr="00596D01">
        <w:tc>
          <w:tcPr>
            <w:tcW w:w="1249" w:type="pct"/>
          </w:tcPr>
          <w:p w:rsidR="00350E66" w:rsidRPr="00596D01" w:rsidRDefault="00350E66" w:rsidP="00596D01">
            <w:pPr>
              <w:rPr>
                <w:rStyle w:val="Strong"/>
              </w:rPr>
            </w:pPr>
            <w:r w:rsidRPr="00596D01">
              <w:rPr>
                <w:rStyle w:val="Strong"/>
              </w:rPr>
              <w:t>Leading Age Services Australia (LASA)</w:t>
            </w:r>
          </w:p>
        </w:tc>
        <w:tc>
          <w:tcPr>
            <w:tcW w:w="3751" w:type="pct"/>
          </w:tcPr>
          <w:p w:rsidR="00350E66" w:rsidRPr="00E96A72" w:rsidRDefault="00350E66" w:rsidP="00596D01">
            <w:r w:rsidRPr="00E96A72">
              <w:t>LASA is a peak body for aged service providers.</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Location </w:t>
            </w:r>
          </w:p>
        </w:tc>
        <w:tc>
          <w:tcPr>
            <w:tcW w:w="3751" w:type="pct"/>
          </w:tcPr>
          <w:p w:rsidR="00350E66" w:rsidRPr="00E96A72" w:rsidRDefault="00350E66" w:rsidP="00596D01">
            <w:r>
              <w:t xml:space="preserve">Indicates where a provider, service or consumer is located based on whether they are metropolitan or regional areas. </w:t>
            </w:r>
            <w:r w:rsidR="000D6DC4" w:rsidRPr="00207E9F">
              <w:t xml:space="preserve">Metropolitan is all major cities and regional is any area outside of a major city. </w:t>
            </w:r>
            <w:r>
              <w:t>A provider is classified as metropolitan if more than 70</w:t>
            </w:r>
            <w:r w:rsidR="00A261F3">
              <w:t> per cent</w:t>
            </w:r>
            <w:r>
              <w:t xml:space="preserve"> of its services are located in metropolitan areas and similarly classified as regional if </w:t>
            </w:r>
            <w:r w:rsidR="005E37A5">
              <w:t xml:space="preserve">more than </w:t>
            </w:r>
            <w:r>
              <w:t>70</w:t>
            </w:r>
            <w:r w:rsidR="00A261F3">
              <w:t> per cent</w:t>
            </w:r>
            <w:r>
              <w:t xml:space="preserve"> of its services are located in regional areas. </w:t>
            </w:r>
          </w:p>
        </w:tc>
      </w:tr>
      <w:tr w:rsidR="00350E66" w:rsidRPr="00E96A72" w:rsidTr="00596D01">
        <w:tc>
          <w:tcPr>
            <w:tcW w:w="1249" w:type="pct"/>
          </w:tcPr>
          <w:p w:rsidR="00350E66" w:rsidRPr="00596D01" w:rsidRDefault="00350E66" w:rsidP="00596D01">
            <w:pPr>
              <w:rPr>
                <w:rStyle w:val="Strong"/>
              </w:rPr>
            </w:pPr>
            <w:r w:rsidRPr="00596D01">
              <w:rPr>
                <w:rStyle w:val="Strong"/>
              </w:rPr>
              <w:t>Low care facility</w:t>
            </w:r>
          </w:p>
        </w:tc>
        <w:tc>
          <w:tcPr>
            <w:tcW w:w="3751" w:type="pct"/>
          </w:tcPr>
          <w:p w:rsidR="00350E66" w:rsidRPr="00E96A72" w:rsidRDefault="00350E66" w:rsidP="00596D01">
            <w:r w:rsidRPr="00E96A72">
              <w:t>A facility where over 80</w:t>
            </w:r>
            <w:r w:rsidR="00A261F3">
              <w:t> per cent</w:t>
            </w:r>
            <w:r w:rsidRPr="00E96A72">
              <w:t xml:space="preserve"> of residents </w:t>
            </w:r>
            <w:r>
              <w:t>were</w:t>
            </w:r>
            <w:r w:rsidRPr="00E96A72">
              <w:t xml:space="preserve"> classified as ‘low care’. The distinction between high care </w:t>
            </w:r>
            <w:r>
              <w:t>and low care was removed from 1 July</w:t>
            </w:r>
            <w:r w:rsidR="00A261F3">
              <w:t> 201</w:t>
            </w:r>
            <w:r>
              <w:t>4</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Maximum accommodation price</w:t>
            </w:r>
          </w:p>
        </w:tc>
        <w:tc>
          <w:tcPr>
            <w:tcW w:w="3751" w:type="pct"/>
          </w:tcPr>
          <w:p w:rsidR="00350E66" w:rsidRPr="00D73DA8" w:rsidRDefault="00350E66" w:rsidP="00596D01">
            <w:pPr>
              <w:rPr>
                <w:color w:val="313131"/>
                <w:lang w:val="en-GB"/>
              </w:rPr>
            </w:pPr>
            <w:r w:rsidRPr="00D73DA8">
              <w:rPr>
                <w:color w:val="313131"/>
                <w:lang w:val="en-GB"/>
              </w:rPr>
              <w:t>Maximum accommodation prices set by</w:t>
            </w:r>
            <w:r>
              <w:rPr>
                <w:color w:val="313131"/>
                <w:lang w:val="en-GB"/>
              </w:rPr>
              <w:t xml:space="preserve"> residential</w:t>
            </w:r>
            <w:r w:rsidRPr="00D73DA8">
              <w:rPr>
                <w:color w:val="313131"/>
                <w:lang w:val="en-GB"/>
              </w:rPr>
              <w:t xml:space="preserve"> providers for a room (or bed in a shared room) and published on My Aged Care. These are maximum prices (providers and residents may agree lower amounts), that apply to residents who are not eligible for support with their accommodation costs.</w:t>
            </w:r>
          </w:p>
        </w:tc>
      </w:tr>
      <w:tr w:rsidR="00350E66" w:rsidRPr="00E96A72" w:rsidTr="00596D01">
        <w:tc>
          <w:tcPr>
            <w:tcW w:w="1249" w:type="pct"/>
          </w:tcPr>
          <w:p w:rsidR="00350E66" w:rsidRPr="00596D01" w:rsidRDefault="00350E66" w:rsidP="00596D01">
            <w:pPr>
              <w:rPr>
                <w:rStyle w:val="Strong"/>
              </w:rPr>
            </w:pPr>
            <w:r w:rsidRPr="00596D01">
              <w:rPr>
                <w:rStyle w:val="Strong"/>
              </w:rPr>
              <w:t>Maximum Permissible Interest Rate (MPIR)</w:t>
            </w:r>
          </w:p>
        </w:tc>
        <w:tc>
          <w:tcPr>
            <w:tcW w:w="3751" w:type="pct"/>
          </w:tcPr>
          <w:p w:rsidR="00350E66" w:rsidRPr="00E96A72" w:rsidRDefault="00350E66" w:rsidP="00596D01">
            <w:r w:rsidRPr="00E96A72">
              <w:t xml:space="preserve">The MPIR is the rate used to calculate the equivalent daily payment of a </w:t>
            </w:r>
            <w:r>
              <w:t>R</w:t>
            </w:r>
            <w:r w:rsidRPr="00E96A72">
              <w:t xml:space="preserve">efundable </w:t>
            </w:r>
            <w:r>
              <w:t>Accommodation D</w:t>
            </w:r>
            <w:r w:rsidRPr="00E96A72">
              <w:t>eposit</w:t>
            </w:r>
            <w:r>
              <w:t xml:space="preserve"> (RAD)</w:t>
            </w:r>
            <w:r w:rsidRPr="00E96A72">
              <w:t xml:space="preserve">. The </w:t>
            </w:r>
            <w:r>
              <w:t xml:space="preserve">RAD is multiplied </w:t>
            </w:r>
            <w:r w:rsidRPr="00E96A72">
              <w:t>by the MPIR and divided by 365 days.</w:t>
            </w:r>
            <w:r w:rsidR="0022262E">
              <w:t xml:space="preserve"> </w:t>
            </w:r>
            <w:r w:rsidRPr="00E96A72">
              <w:t xml:space="preserve">The MPIR is determined in accordance with Section 6 of the </w:t>
            </w:r>
            <w:r w:rsidR="0022262E" w:rsidRPr="00596D01">
              <w:rPr>
                <w:rStyle w:val="Emphasis"/>
              </w:rPr>
              <w:t>F</w:t>
            </w:r>
            <w:r w:rsidRPr="00596D01">
              <w:rPr>
                <w:rStyle w:val="Emphasis"/>
              </w:rPr>
              <w:t>ee</w:t>
            </w:r>
            <w:r w:rsidR="0059518D" w:rsidRPr="00596D01">
              <w:rPr>
                <w:rStyle w:val="Emphasis"/>
              </w:rPr>
              <w:t>s</w:t>
            </w:r>
            <w:r w:rsidR="0022262E" w:rsidRPr="00596D01">
              <w:rPr>
                <w:rStyle w:val="Emphasis"/>
              </w:rPr>
              <w:t xml:space="preserve"> </w:t>
            </w:r>
            <w:r w:rsidRPr="00596D01">
              <w:rPr>
                <w:rStyle w:val="Emphasis"/>
              </w:rPr>
              <w:t>and</w:t>
            </w:r>
            <w:r w:rsidR="0022262E" w:rsidRPr="00596D01">
              <w:rPr>
                <w:rStyle w:val="Emphasis"/>
              </w:rPr>
              <w:t xml:space="preserve"> </w:t>
            </w:r>
            <w:r w:rsidRPr="00596D01">
              <w:rPr>
                <w:rStyle w:val="Emphasis"/>
              </w:rPr>
              <w:t>Payments</w:t>
            </w:r>
            <w:r w:rsidR="0022262E" w:rsidRPr="00596D01">
              <w:rPr>
                <w:rStyle w:val="Emphasis"/>
              </w:rPr>
              <w:t xml:space="preserve"> </w:t>
            </w:r>
            <w:r w:rsidRPr="00596D01">
              <w:rPr>
                <w:rStyle w:val="Emphasis"/>
              </w:rPr>
              <w:t>Principles</w:t>
            </w:r>
            <w:r w:rsidR="00A261F3" w:rsidRPr="00596D01">
              <w:rPr>
                <w:rStyle w:val="Emphasis"/>
              </w:rPr>
              <w:t> 201</w:t>
            </w:r>
            <w:r w:rsidRPr="00596D01">
              <w:rPr>
                <w:rStyle w:val="Emphasis"/>
              </w:rPr>
              <w:t>4 (No. 2).</w:t>
            </w:r>
            <w:r w:rsidRPr="00E96A72">
              <w:t xml:space="preserve">The MPIR is available on the Department of </w:t>
            </w:r>
            <w:r>
              <w:t>Health</w:t>
            </w:r>
            <w:r w:rsidRPr="00E96A72">
              <w:t xml:space="preserve"> website and is updated every three month</w:t>
            </w:r>
            <w:r>
              <w:t>s.</w:t>
            </w:r>
          </w:p>
        </w:tc>
      </w:tr>
      <w:tr w:rsidR="00350E66" w:rsidRPr="00E96A72" w:rsidTr="00596D01">
        <w:tc>
          <w:tcPr>
            <w:tcW w:w="1249" w:type="pct"/>
          </w:tcPr>
          <w:p w:rsidR="00350E66" w:rsidRPr="00596D01" w:rsidRDefault="00350E66" w:rsidP="00596D01">
            <w:pPr>
              <w:rPr>
                <w:rStyle w:val="Strong"/>
              </w:rPr>
            </w:pPr>
            <w:r w:rsidRPr="00596D01">
              <w:rPr>
                <w:rStyle w:val="Strong"/>
              </w:rPr>
              <w:t>Mixed care facility</w:t>
            </w:r>
          </w:p>
        </w:tc>
        <w:tc>
          <w:tcPr>
            <w:tcW w:w="3751" w:type="pct"/>
          </w:tcPr>
          <w:p w:rsidR="00350E66" w:rsidRPr="00E96A72" w:rsidRDefault="00350E66" w:rsidP="00596D01">
            <w:r w:rsidRPr="00E96A72">
              <w:t>A facility where less than 80</w:t>
            </w:r>
            <w:r w:rsidR="00A261F3">
              <w:t> per cent</w:t>
            </w:r>
            <w:r w:rsidRPr="00E96A72">
              <w:t xml:space="preserve"> of residents </w:t>
            </w:r>
            <w:r>
              <w:t>were</w:t>
            </w:r>
            <w:r w:rsidRPr="00E96A72">
              <w:t xml:space="preserve"> high care residents and more than 20</w:t>
            </w:r>
            <w:r w:rsidR="00A261F3">
              <w:t> per cent</w:t>
            </w:r>
            <w:r w:rsidRPr="00E96A72">
              <w:t xml:space="preserve"> </w:t>
            </w:r>
            <w:r>
              <w:t>were</w:t>
            </w:r>
            <w:r w:rsidRPr="00E96A72">
              <w:t xml:space="preserve"> low care residents. The distinction between high care </w:t>
            </w:r>
            <w:r>
              <w:t>and low care was removed in permanent residential care from 1 July</w:t>
            </w:r>
            <w:r w:rsidR="00A261F3">
              <w:t> 201</w:t>
            </w:r>
            <w:r>
              <w:t>4</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My Aged Care</w:t>
            </w:r>
          </w:p>
        </w:tc>
        <w:tc>
          <w:tcPr>
            <w:tcW w:w="3751" w:type="pct"/>
          </w:tcPr>
          <w:p w:rsidR="00350E66" w:rsidRPr="00E96A72" w:rsidRDefault="00350E66" w:rsidP="00596D01">
            <w:r w:rsidRPr="00FB533B">
              <w:t>The main entry point to the aged care system in Australia. My Aged Care aims to make it easier for older people, their families, and carers to access information on ageing and aged care, have their needs assessed and be supported to find and access services</w:t>
            </w:r>
            <w:r>
              <w:t>.</w:t>
            </w:r>
          </w:p>
        </w:tc>
      </w:tr>
      <w:tr w:rsidR="00350E66" w:rsidRPr="00E96A72" w:rsidTr="00596D01">
        <w:tc>
          <w:tcPr>
            <w:tcW w:w="1249" w:type="pct"/>
          </w:tcPr>
          <w:p w:rsidR="00350E66" w:rsidRPr="00596D01" w:rsidRDefault="00350E66" w:rsidP="00596D01">
            <w:pPr>
              <w:rPr>
                <w:rStyle w:val="Strong"/>
              </w:rPr>
            </w:pPr>
            <w:r w:rsidRPr="00596D01">
              <w:rPr>
                <w:rStyle w:val="Strong"/>
              </w:rPr>
              <w:t>National Disability Insurance Scheme (NDIS)</w:t>
            </w:r>
          </w:p>
        </w:tc>
        <w:tc>
          <w:tcPr>
            <w:tcW w:w="3751" w:type="pct"/>
          </w:tcPr>
          <w:p w:rsidR="00350E66" w:rsidRPr="00E96A72" w:rsidRDefault="00350E66" w:rsidP="00596D01">
            <w:r w:rsidRPr="00E96A72">
              <w:t xml:space="preserve">The NDIS offers support for Australians </w:t>
            </w:r>
            <w:r>
              <w:t xml:space="preserve">who are under 65 years of age </w:t>
            </w:r>
            <w:r w:rsidRPr="00E96A72">
              <w:t>with a significant and permanent disability, their families and their carers.</w:t>
            </w:r>
          </w:p>
        </w:tc>
      </w:tr>
      <w:tr w:rsidR="00350E66" w:rsidRPr="00E96A72" w:rsidTr="00596D01">
        <w:tc>
          <w:tcPr>
            <w:tcW w:w="1249" w:type="pct"/>
          </w:tcPr>
          <w:p w:rsidR="00350E66" w:rsidRPr="00596D01" w:rsidRDefault="00350E66" w:rsidP="00596D01">
            <w:pPr>
              <w:rPr>
                <w:rStyle w:val="Strong"/>
              </w:rPr>
            </w:pPr>
            <w:r w:rsidRPr="00596D01">
              <w:rPr>
                <w:rStyle w:val="Strong"/>
              </w:rPr>
              <w:lastRenderedPageBreak/>
              <w:t>National Respite for Carers Program (NRCP)</w:t>
            </w:r>
          </w:p>
        </w:tc>
        <w:tc>
          <w:tcPr>
            <w:tcW w:w="3751" w:type="pct"/>
          </w:tcPr>
          <w:p w:rsidR="00350E66" w:rsidRPr="00E96A72" w:rsidRDefault="00350E66" w:rsidP="00596D01">
            <w:r w:rsidRPr="00E96A72">
              <w:t xml:space="preserve">The NRCP aims to support caring relationships between carers and their dependent family members or friends by facilitating access to information, respite care and other support appropriate to their individual needs and circumstances and those of the people for whom they care. </w:t>
            </w:r>
            <w:r>
              <w:t>The NRCP was integrated into the CHSP from 1 July</w:t>
            </w:r>
            <w:r w:rsidR="00A261F3">
              <w:t> 201</w:t>
            </w:r>
            <w:r>
              <w:t>5.</w:t>
            </w:r>
          </w:p>
        </w:tc>
      </w:tr>
      <w:tr w:rsidR="00715FD4" w:rsidRPr="00E96A72" w:rsidTr="00596D01">
        <w:tc>
          <w:tcPr>
            <w:tcW w:w="1249" w:type="pct"/>
          </w:tcPr>
          <w:p w:rsidR="00715FD4" w:rsidRPr="00596D01" w:rsidRDefault="00715FD4" w:rsidP="00596D01">
            <w:pPr>
              <w:rPr>
                <w:rStyle w:val="Strong"/>
              </w:rPr>
            </w:pPr>
            <w:r w:rsidRPr="00596D01">
              <w:rPr>
                <w:rStyle w:val="Strong"/>
              </w:rPr>
              <w:t>National Prioritisation Queue</w:t>
            </w:r>
          </w:p>
        </w:tc>
        <w:tc>
          <w:tcPr>
            <w:tcW w:w="3751" w:type="pct"/>
          </w:tcPr>
          <w:p w:rsidR="00715FD4" w:rsidRPr="00E96A72" w:rsidRDefault="00715FD4" w:rsidP="00596D01">
            <w:r w:rsidRPr="00715FD4">
              <w:t>The order in which people are placed for being assigned a home care package, with each person’s place on the queue based on the time and date of their approval for home care and their priority for service (medium or high).</w:t>
            </w:r>
            <w:r w:rsidR="00D8721E">
              <w:t xml:space="preserve"> </w:t>
            </w:r>
          </w:p>
        </w:tc>
      </w:tr>
      <w:tr w:rsidR="00350E66" w:rsidRPr="00E96A72" w:rsidTr="00596D01">
        <w:tc>
          <w:tcPr>
            <w:tcW w:w="1249" w:type="pct"/>
          </w:tcPr>
          <w:p w:rsidR="00350E66" w:rsidRPr="00596D01" w:rsidRDefault="00350E66" w:rsidP="00596D01">
            <w:pPr>
              <w:rPr>
                <w:rStyle w:val="Strong"/>
              </w:rPr>
            </w:pPr>
            <w:r w:rsidRPr="00596D01">
              <w:rPr>
                <w:rStyle w:val="Strong"/>
              </w:rPr>
              <w:t>Net Profit Before Tax (NPBT)</w:t>
            </w:r>
          </w:p>
        </w:tc>
        <w:tc>
          <w:tcPr>
            <w:tcW w:w="3751" w:type="pct"/>
          </w:tcPr>
          <w:p w:rsidR="00350E66" w:rsidRPr="00E96A72" w:rsidRDefault="00350E66" w:rsidP="00596D01">
            <w:r w:rsidRPr="00E96A72">
              <w:t>The NPBT is determined by revenue minus expenses</w:t>
            </w:r>
            <w:r>
              <w:t xml:space="preserve"> </w:t>
            </w:r>
            <w:r w:rsidRPr="00CD7AB5">
              <w:t xml:space="preserve">for the period </w:t>
            </w:r>
            <w:r w:rsidRPr="00E96A72">
              <w:t>except for taxes.</w:t>
            </w:r>
          </w:p>
        </w:tc>
      </w:tr>
      <w:tr w:rsidR="00350E66" w:rsidRPr="00E96A72" w:rsidTr="00596D01">
        <w:tc>
          <w:tcPr>
            <w:tcW w:w="1249" w:type="pct"/>
          </w:tcPr>
          <w:p w:rsidR="00350E66" w:rsidRPr="00596D01" w:rsidRDefault="00350E66" w:rsidP="00596D01">
            <w:pPr>
              <w:rPr>
                <w:rStyle w:val="Strong"/>
              </w:rPr>
            </w:pPr>
            <w:r w:rsidRPr="00596D01">
              <w:rPr>
                <w:rStyle w:val="Strong"/>
              </w:rPr>
              <w:t>Net Profit (Before Tax) Margin</w:t>
            </w:r>
          </w:p>
        </w:tc>
        <w:tc>
          <w:tcPr>
            <w:tcW w:w="3751" w:type="pct"/>
          </w:tcPr>
          <w:p w:rsidR="00350E66" w:rsidRPr="00E96A72" w:rsidRDefault="00350E66" w:rsidP="00596D01">
            <w:r w:rsidRPr="00E96A72">
              <w:t xml:space="preserve">Shows the average profitability generated on each $1 of total revenue. It is calculated as Net Profit Before Tax / </w:t>
            </w:r>
            <w:r>
              <w:t>total r</w:t>
            </w:r>
            <w:r w:rsidRPr="00E96A72">
              <w:t>evenue.</w:t>
            </w:r>
          </w:p>
        </w:tc>
      </w:tr>
      <w:tr w:rsidR="0051412A" w:rsidRPr="00E96A72" w:rsidTr="00596D01">
        <w:tc>
          <w:tcPr>
            <w:tcW w:w="1249" w:type="pct"/>
          </w:tcPr>
          <w:p w:rsidR="0051412A" w:rsidRPr="00596D01" w:rsidRDefault="0051412A" w:rsidP="00596D01">
            <w:pPr>
              <w:rPr>
                <w:rStyle w:val="Strong"/>
              </w:rPr>
            </w:pPr>
            <w:r w:rsidRPr="00596D01">
              <w:rPr>
                <w:rStyle w:val="Strong"/>
              </w:rPr>
              <w:t>Non-supported residents</w:t>
            </w:r>
          </w:p>
        </w:tc>
        <w:tc>
          <w:tcPr>
            <w:tcW w:w="3751" w:type="pct"/>
          </w:tcPr>
          <w:p w:rsidR="0051412A" w:rsidRDefault="0051412A" w:rsidP="00596D01">
            <w:r>
              <w:rPr>
                <w:color w:val="313131"/>
                <w:lang w:val="en-GB"/>
              </w:rPr>
              <w:t>R</w:t>
            </w:r>
            <w:r w:rsidRPr="0051412A">
              <w:rPr>
                <w:color w:val="313131"/>
                <w:lang w:val="en-GB"/>
              </w:rPr>
              <w:t xml:space="preserve">esidents who have been assessed (based on a means test) as able to pay the full cost of their accommodation and contribute toward their care costs. Non-supported residents pay a basic daily fee, accommodation payment and means-tested care fee (may still receive some assistance with care costs). </w:t>
            </w:r>
          </w:p>
        </w:tc>
      </w:tr>
      <w:tr w:rsidR="00B00DF7" w:rsidRPr="00E96A72" w:rsidTr="00596D01">
        <w:tc>
          <w:tcPr>
            <w:tcW w:w="1249" w:type="pct"/>
          </w:tcPr>
          <w:p w:rsidR="00B00DF7" w:rsidRPr="00596D01" w:rsidRDefault="00B00DF7" w:rsidP="00596D01">
            <w:pPr>
              <w:rPr>
                <w:rStyle w:val="Strong"/>
              </w:rPr>
            </w:pPr>
            <w:r w:rsidRPr="00596D01">
              <w:rPr>
                <w:rStyle w:val="Strong"/>
              </w:rPr>
              <w:t>Offline residential care places</w:t>
            </w:r>
          </w:p>
        </w:tc>
        <w:tc>
          <w:tcPr>
            <w:tcW w:w="3751" w:type="pct"/>
          </w:tcPr>
          <w:p w:rsidR="00B00DF7" w:rsidRPr="00E96A72" w:rsidRDefault="007872AC" w:rsidP="00596D01">
            <w:r>
              <w:t>Previously operational p</w:t>
            </w:r>
            <w:r w:rsidR="00B00DF7" w:rsidRPr="00207E9F">
              <w:t>laces</w:t>
            </w:r>
            <w:r>
              <w:t xml:space="preserve"> that are currently not being used </w:t>
            </w:r>
            <w:r w:rsidR="00B00DF7" w:rsidRPr="00207E9F">
              <w:t>due to renovations or rebuilding of facilities</w:t>
            </w:r>
            <w:r>
              <w:t xml:space="preserve"> or pending sale to other providers. P</w:t>
            </w:r>
            <w:r w:rsidR="00B00DF7" w:rsidRPr="00207E9F">
              <w:t>rovider</w:t>
            </w:r>
            <w:r w:rsidR="0059518D">
              <w:t>s</w:t>
            </w:r>
            <w:r w:rsidR="00B00DF7" w:rsidRPr="00207E9F">
              <w:t xml:space="preserve"> </w:t>
            </w:r>
            <w:r>
              <w:t xml:space="preserve">do not receive </w:t>
            </w:r>
            <w:r w:rsidR="00B00DF7" w:rsidRPr="00207E9F">
              <w:t>Australian Government subsid</w:t>
            </w:r>
            <w:r>
              <w:t>ies while places are offline</w:t>
            </w:r>
            <w:r w:rsidR="00526754" w:rsidRPr="00207E9F">
              <w:t>.</w:t>
            </w:r>
          </w:p>
        </w:tc>
      </w:tr>
      <w:tr w:rsidR="00350E66" w:rsidRPr="00E96A72" w:rsidTr="00596D01">
        <w:tc>
          <w:tcPr>
            <w:tcW w:w="1249" w:type="pct"/>
          </w:tcPr>
          <w:p w:rsidR="00350E66" w:rsidRPr="00596D01" w:rsidRDefault="00350E66" w:rsidP="00596D01">
            <w:pPr>
              <w:rPr>
                <w:rStyle w:val="Strong"/>
              </w:rPr>
            </w:pPr>
            <w:r w:rsidRPr="00596D01">
              <w:rPr>
                <w:rStyle w:val="Strong"/>
              </w:rPr>
              <w:t>Operational places</w:t>
            </w:r>
          </w:p>
        </w:tc>
        <w:tc>
          <w:tcPr>
            <w:tcW w:w="3751" w:type="pct"/>
          </w:tcPr>
          <w:p w:rsidR="00350E66" w:rsidRPr="00E96A72" w:rsidRDefault="00350E66" w:rsidP="00596D01">
            <w:r w:rsidRPr="00E96A72">
              <w:t xml:space="preserve">Operational </w:t>
            </w:r>
            <w:r>
              <w:t>p</w:t>
            </w:r>
            <w:r w:rsidRPr="00E96A72">
              <w:t xml:space="preserve">lace refers to a </w:t>
            </w:r>
            <w:r>
              <w:t xml:space="preserve">residential care </w:t>
            </w:r>
            <w:r w:rsidRPr="00E96A72">
              <w:t xml:space="preserve">place that was allocated </w:t>
            </w:r>
            <w:r>
              <w:t xml:space="preserve">to a provider </w:t>
            </w:r>
            <w:r w:rsidRPr="00E96A72">
              <w:t>and has since become available for a person to receive care.</w:t>
            </w:r>
          </w:p>
        </w:tc>
      </w:tr>
      <w:tr w:rsidR="005855FF" w:rsidRPr="00E96A72" w:rsidTr="00596D01">
        <w:tc>
          <w:tcPr>
            <w:tcW w:w="1249" w:type="pct"/>
          </w:tcPr>
          <w:p w:rsidR="005855FF" w:rsidRPr="00596D01" w:rsidRDefault="005855FF" w:rsidP="00596D01">
            <w:pPr>
              <w:rPr>
                <w:rStyle w:val="Strong"/>
              </w:rPr>
            </w:pPr>
            <w:r w:rsidRPr="00596D01">
              <w:rPr>
                <w:rStyle w:val="Strong"/>
              </w:rPr>
              <w:t>Partially supported residents</w:t>
            </w:r>
          </w:p>
        </w:tc>
        <w:tc>
          <w:tcPr>
            <w:tcW w:w="3751" w:type="pct"/>
          </w:tcPr>
          <w:p w:rsidR="005855FF" w:rsidRPr="00ED6454" w:rsidRDefault="005855FF" w:rsidP="00596D01">
            <w:r>
              <w:t>R</w:t>
            </w:r>
            <w:r w:rsidRPr="005855FF">
              <w:t>esidents who have been assessed (based on a means test) as eligible for full government assistance with their care costs, but able to make a part contribution to their accommodation costs. Partially-supported residents pay a basic daily fee and accommodation contribution.</w:t>
            </w:r>
          </w:p>
        </w:tc>
      </w:tr>
      <w:tr w:rsidR="00350E66" w:rsidRPr="00E96A72" w:rsidTr="00596D01">
        <w:tc>
          <w:tcPr>
            <w:tcW w:w="1249" w:type="pct"/>
          </w:tcPr>
          <w:p w:rsidR="00350E66" w:rsidRPr="00596D01" w:rsidRDefault="00350E66" w:rsidP="00596D01">
            <w:pPr>
              <w:rPr>
                <w:rStyle w:val="Strong"/>
              </w:rPr>
            </w:pPr>
            <w:r w:rsidRPr="00596D01">
              <w:rPr>
                <w:rStyle w:val="Strong"/>
              </w:rPr>
              <w:t>Pay as you go (PAYG)</w:t>
            </w:r>
          </w:p>
        </w:tc>
        <w:tc>
          <w:tcPr>
            <w:tcW w:w="3751" w:type="pct"/>
          </w:tcPr>
          <w:p w:rsidR="00350E66" w:rsidRPr="00E96A72" w:rsidRDefault="00350E66" w:rsidP="00596D01">
            <w:r w:rsidRPr="00ED6454">
              <w:t>Pay as you go (PAYG</w:t>
            </w:r>
            <w:r>
              <w:t>)</w:t>
            </w:r>
            <w:r w:rsidRPr="00ED6454">
              <w:t xml:space="preserve"> instalments is a system for making regular payments towards </w:t>
            </w:r>
            <w:r w:rsidR="005D22A7">
              <w:t>an employee’s</w:t>
            </w:r>
            <w:r w:rsidRPr="00ED6454">
              <w:t xml:space="preserve"> expected annual income tax liability.</w:t>
            </w:r>
          </w:p>
        </w:tc>
      </w:tr>
      <w:tr w:rsidR="00350E66" w:rsidRPr="00E96A72" w:rsidTr="00596D01">
        <w:tc>
          <w:tcPr>
            <w:tcW w:w="1249" w:type="pct"/>
          </w:tcPr>
          <w:p w:rsidR="00350E66" w:rsidRPr="00596D01" w:rsidRDefault="00350E66" w:rsidP="00596D01">
            <w:pPr>
              <w:rPr>
                <w:rStyle w:val="Strong"/>
              </w:rPr>
            </w:pPr>
            <w:r w:rsidRPr="00596D01">
              <w:rPr>
                <w:rStyle w:val="Strong"/>
              </w:rPr>
              <w:t>Per consumer per annum (</w:t>
            </w:r>
            <w:proofErr w:type="spellStart"/>
            <w:r w:rsidRPr="00596D01">
              <w:rPr>
                <w:rStyle w:val="Strong"/>
              </w:rPr>
              <w:t>pcpa</w:t>
            </w:r>
            <w:proofErr w:type="spellEnd"/>
            <w:r w:rsidRPr="00596D01">
              <w:rPr>
                <w:rStyle w:val="Strong"/>
              </w:rPr>
              <w:t>)</w:t>
            </w:r>
          </w:p>
        </w:tc>
        <w:tc>
          <w:tcPr>
            <w:tcW w:w="3751" w:type="pct"/>
          </w:tcPr>
          <w:p w:rsidR="00350E66" w:rsidRPr="00E96A72" w:rsidRDefault="00350E66" w:rsidP="00596D01">
            <w:r w:rsidRPr="00E96A72">
              <w:t>An annual average financial figure relating to home care consumers.</w:t>
            </w:r>
          </w:p>
        </w:tc>
      </w:tr>
      <w:tr w:rsidR="00350E66" w:rsidRPr="00E96A72" w:rsidTr="00596D01">
        <w:tc>
          <w:tcPr>
            <w:tcW w:w="1249" w:type="pct"/>
          </w:tcPr>
          <w:p w:rsidR="00350E66" w:rsidRPr="00596D01" w:rsidRDefault="00350E66" w:rsidP="00596D01">
            <w:pPr>
              <w:rPr>
                <w:rStyle w:val="Strong"/>
              </w:rPr>
            </w:pPr>
            <w:r w:rsidRPr="00596D01">
              <w:rPr>
                <w:rStyle w:val="Strong"/>
              </w:rPr>
              <w:t>Per consumer per day (</w:t>
            </w:r>
            <w:proofErr w:type="spellStart"/>
            <w:r w:rsidRPr="00596D01">
              <w:rPr>
                <w:rStyle w:val="Strong"/>
              </w:rPr>
              <w:t>pcpd</w:t>
            </w:r>
            <w:proofErr w:type="spellEnd"/>
            <w:r w:rsidRPr="00596D01">
              <w:rPr>
                <w:rStyle w:val="Strong"/>
              </w:rPr>
              <w:t>)</w:t>
            </w:r>
          </w:p>
        </w:tc>
        <w:tc>
          <w:tcPr>
            <w:tcW w:w="3751" w:type="pct"/>
          </w:tcPr>
          <w:p w:rsidR="00350E66" w:rsidRPr="00E96A72" w:rsidRDefault="00350E66" w:rsidP="00596D01">
            <w:r w:rsidRPr="00E96A72">
              <w:t>A daily average financial figure relating to home care consumers.</w:t>
            </w:r>
          </w:p>
        </w:tc>
      </w:tr>
      <w:tr w:rsidR="00350E66" w:rsidRPr="00E96A72" w:rsidTr="00596D01">
        <w:tc>
          <w:tcPr>
            <w:tcW w:w="1249" w:type="pct"/>
          </w:tcPr>
          <w:p w:rsidR="00350E66" w:rsidRPr="00596D01" w:rsidRDefault="00350E66" w:rsidP="00596D01">
            <w:pPr>
              <w:rPr>
                <w:rStyle w:val="Strong"/>
              </w:rPr>
            </w:pPr>
            <w:r w:rsidRPr="00596D01">
              <w:rPr>
                <w:rStyle w:val="Strong"/>
              </w:rPr>
              <w:t>Per resident per annum (</w:t>
            </w:r>
            <w:proofErr w:type="spellStart"/>
            <w:r w:rsidRPr="00596D01">
              <w:rPr>
                <w:rStyle w:val="Strong"/>
              </w:rPr>
              <w:t>prpa</w:t>
            </w:r>
            <w:proofErr w:type="spellEnd"/>
            <w:r w:rsidRPr="00596D01">
              <w:rPr>
                <w:rStyle w:val="Strong"/>
              </w:rPr>
              <w:t>)</w:t>
            </w:r>
          </w:p>
        </w:tc>
        <w:tc>
          <w:tcPr>
            <w:tcW w:w="3751" w:type="pct"/>
          </w:tcPr>
          <w:p w:rsidR="00350E66" w:rsidRPr="00E96A72" w:rsidRDefault="00350E66" w:rsidP="00596D01">
            <w:r>
              <w:t>An annual average financial figure relating to residential aged care residents that converts service financial data to daily amount per resident.</w:t>
            </w:r>
          </w:p>
        </w:tc>
      </w:tr>
      <w:tr w:rsidR="00350E66" w:rsidRPr="00E96A72" w:rsidTr="00596D01">
        <w:tc>
          <w:tcPr>
            <w:tcW w:w="1249" w:type="pct"/>
          </w:tcPr>
          <w:p w:rsidR="00350E66" w:rsidRPr="00596D01" w:rsidRDefault="00350E66" w:rsidP="00596D01">
            <w:pPr>
              <w:rPr>
                <w:rStyle w:val="Strong"/>
              </w:rPr>
            </w:pPr>
            <w:r w:rsidRPr="00596D01">
              <w:rPr>
                <w:rStyle w:val="Strong"/>
              </w:rPr>
              <w:t>Per resident per day (</w:t>
            </w:r>
            <w:proofErr w:type="spellStart"/>
            <w:r w:rsidRPr="00596D01">
              <w:rPr>
                <w:rStyle w:val="Strong"/>
              </w:rPr>
              <w:t>prpd</w:t>
            </w:r>
            <w:proofErr w:type="spellEnd"/>
            <w:r w:rsidRPr="00596D01">
              <w:rPr>
                <w:rStyle w:val="Strong"/>
              </w:rPr>
              <w:t>)</w:t>
            </w:r>
          </w:p>
        </w:tc>
        <w:tc>
          <w:tcPr>
            <w:tcW w:w="3751" w:type="pct"/>
          </w:tcPr>
          <w:p w:rsidR="00350E66" w:rsidRPr="00E96A72" w:rsidRDefault="00350E66" w:rsidP="00596D01">
            <w:r w:rsidRPr="00E96A72">
              <w:t>A daily average financial</w:t>
            </w:r>
            <w:r>
              <w:t xml:space="preserve"> figure relating to r</w:t>
            </w:r>
            <w:r w:rsidRPr="00E96A72">
              <w:t>esidential aged care residents.</w:t>
            </w:r>
          </w:p>
        </w:tc>
      </w:tr>
      <w:tr w:rsidR="00B00DF7" w:rsidRPr="00E96A72" w:rsidTr="00596D01">
        <w:tc>
          <w:tcPr>
            <w:tcW w:w="1249" w:type="pct"/>
          </w:tcPr>
          <w:p w:rsidR="00B00DF7" w:rsidRPr="00596D01" w:rsidRDefault="00B00DF7" w:rsidP="00596D01">
            <w:pPr>
              <w:rPr>
                <w:rStyle w:val="Strong"/>
              </w:rPr>
            </w:pPr>
            <w:r w:rsidRPr="00596D01">
              <w:rPr>
                <w:rStyle w:val="Strong"/>
              </w:rPr>
              <w:t>Provisionally allocated places (PA)</w:t>
            </w:r>
          </w:p>
        </w:tc>
        <w:tc>
          <w:tcPr>
            <w:tcW w:w="3751" w:type="pct"/>
          </w:tcPr>
          <w:p w:rsidR="00B00DF7" w:rsidRDefault="007872AC" w:rsidP="00596D01">
            <w:r>
              <w:rPr>
                <w:color w:val="313131"/>
                <w:lang w:val="en-GB"/>
              </w:rPr>
              <w:t>Residential care p</w:t>
            </w:r>
            <w:r w:rsidR="00B00DF7" w:rsidRPr="00207E9F">
              <w:rPr>
                <w:color w:val="313131"/>
                <w:lang w:val="en-GB"/>
              </w:rPr>
              <w:t>laces allocated</w:t>
            </w:r>
            <w:r>
              <w:rPr>
                <w:color w:val="313131"/>
                <w:lang w:val="en-GB"/>
              </w:rPr>
              <w:t xml:space="preserve"> through Aged Care Approval Rounds that </w:t>
            </w:r>
            <w:r w:rsidR="00B00DF7" w:rsidRPr="00207E9F">
              <w:rPr>
                <w:color w:val="313131"/>
                <w:lang w:val="en-GB"/>
              </w:rPr>
              <w:t>are not yet operational.</w:t>
            </w:r>
            <w:r w:rsidR="00B00DF7" w:rsidRPr="00526754">
              <w:rPr>
                <w:color w:val="FF0000"/>
                <w:lang w:val="en-GB"/>
              </w:rPr>
              <w:t xml:space="preserve"> </w:t>
            </w:r>
          </w:p>
        </w:tc>
      </w:tr>
      <w:tr w:rsidR="0059518D" w:rsidRPr="00E96A72" w:rsidTr="00596D01">
        <w:tc>
          <w:tcPr>
            <w:tcW w:w="1249" w:type="pct"/>
          </w:tcPr>
          <w:p w:rsidR="0059518D" w:rsidRPr="00596D01" w:rsidRDefault="0059518D" w:rsidP="00596D01">
            <w:pPr>
              <w:rPr>
                <w:rStyle w:val="Strong"/>
              </w:rPr>
            </w:pPr>
            <w:r w:rsidRPr="00596D01">
              <w:rPr>
                <w:rStyle w:val="Strong"/>
              </w:rPr>
              <w:lastRenderedPageBreak/>
              <w:t>Refundable Accommodation Contribution (RAC</w:t>
            </w:r>
            <w:r w:rsidRPr="004B4024">
              <w:rPr>
                <w:rFonts w:ascii="Segoe UI" w:hAnsi="Segoe UI"/>
              </w:rPr>
              <w:t> </w:t>
            </w:r>
            <w:r w:rsidRPr="00596D01">
              <w:rPr>
                <w:rStyle w:val="Strong"/>
              </w:rPr>
              <w:t>)</w:t>
            </w:r>
          </w:p>
        </w:tc>
        <w:tc>
          <w:tcPr>
            <w:tcW w:w="3751" w:type="pct"/>
          </w:tcPr>
          <w:p w:rsidR="0059518D" w:rsidRDefault="0059518D" w:rsidP="00596D01">
            <w:pPr>
              <w:rPr>
                <w:lang w:eastAsia="en-AU"/>
              </w:rPr>
            </w:pPr>
            <w:r>
              <w:rPr>
                <w:lang w:eastAsia="en-AU"/>
              </w:rPr>
              <w:t xml:space="preserve">An amount paid as a lump sum by a partially supported </w:t>
            </w:r>
            <w:r w:rsidRPr="004B4024">
              <w:rPr>
                <w:lang w:eastAsia="en-AU"/>
              </w:rPr>
              <w:t>resident</w:t>
            </w:r>
            <w:r>
              <w:rPr>
                <w:lang w:eastAsia="en-AU"/>
              </w:rPr>
              <w:t xml:space="preserve"> as a contribution toward their accommodation costs in a residential aged care facility.</w:t>
            </w:r>
          </w:p>
        </w:tc>
      </w:tr>
      <w:tr w:rsidR="0059518D" w:rsidRPr="00E96A72" w:rsidTr="00596D01">
        <w:tc>
          <w:tcPr>
            <w:tcW w:w="1249" w:type="pct"/>
          </w:tcPr>
          <w:p w:rsidR="0059518D" w:rsidRPr="00596D01" w:rsidRDefault="0059518D" w:rsidP="00596D01">
            <w:pPr>
              <w:rPr>
                <w:rStyle w:val="Strong"/>
              </w:rPr>
            </w:pPr>
            <w:r w:rsidRPr="00596D01">
              <w:rPr>
                <w:rStyle w:val="Strong"/>
              </w:rPr>
              <w:t>Refundable Accommodation Deposit (RAD)</w:t>
            </w:r>
          </w:p>
        </w:tc>
        <w:tc>
          <w:tcPr>
            <w:tcW w:w="3751" w:type="pct"/>
          </w:tcPr>
          <w:p w:rsidR="0059518D" w:rsidRPr="00E96A72" w:rsidRDefault="0059518D" w:rsidP="00596D01">
            <w:r>
              <w:rPr>
                <w:lang w:eastAsia="en-AU"/>
              </w:rPr>
              <w:t xml:space="preserve">An amount paid as a lump sum by a non-supported </w:t>
            </w:r>
            <w:r w:rsidRPr="004B4024">
              <w:rPr>
                <w:lang w:eastAsia="en-AU"/>
              </w:rPr>
              <w:t>resident</w:t>
            </w:r>
            <w:r>
              <w:rPr>
                <w:lang w:eastAsia="en-AU"/>
              </w:rPr>
              <w:t xml:space="preserve"> for their accommodation costs in a residential aged care facility.</w:t>
            </w:r>
          </w:p>
        </w:tc>
      </w:tr>
      <w:tr w:rsidR="00350E66" w:rsidRPr="00E96A72" w:rsidTr="00596D01">
        <w:trPr>
          <w:trHeight w:val="906"/>
        </w:trPr>
        <w:tc>
          <w:tcPr>
            <w:tcW w:w="1249" w:type="pct"/>
          </w:tcPr>
          <w:p w:rsidR="00350E66" w:rsidRPr="00596D01" w:rsidRDefault="00350E66" w:rsidP="00596D01">
            <w:pPr>
              <w:rPr>
                <w:rStyle w:val="Strong"/>
              </w:rPr>
            </w:pPr>
            <w:r w:rsidRPr="00596D01">
              <w:rPr>
                <w:rStyle w:val="Strong"/>
              </w:rPr>
              <w:t>Regional</w:t>
            </w:r>
          </w:p>
        </w:tc>
        <w:tc>
          <w:tcPr>
            <w:tcW w:w="3751" w:type="pct"/>
          </w:tcPr>
          <w:p w:rsidR="00350E66" w:rsidRPr="00E96A72" w:rsidRDefault="00350E66" w:rsidP="00596D01">
            <w:r w:rsidRPr="00207E9F">
              <w:rPr>
                <w:color w:val="313131"/>
                <w:lang w:val="en-GB"/>
              </w:rPr>
              <w:t xml:space="preserve">Geographic </w:t>
            </w:r>
            <w:r w:rsidR="00207E9F" w:rsidRPr="00207E9F">
              <w:rPr>
                <w:color w:val="313131"/>
                <w:lang w:val="en-GB"/>
              </w:rPr>
              <w:t xml:space="preserve">region outside of a major city and </w:t>
            </w:r>
            <w:r w:rsidRPr="00207E9F">
              <w:rPr>
                <w:color w:val="313131"/>
                <w:lang w:val="en-GB"/>
              </w:rPr>
              <w:t>classified by the Australian Bureau of Statistics as inner regional, outer regional, remote and very remote.</w:t>
            </w:r>
            <w:r w:rsidRPr="00E96A72">
              <w:t xml:space="preserve"> </w:t>
            </w:r>
          </w:p>
        </w:tc>
      </w:tr>
      <w:tr w:rsidR="00350E66" w:rsidRPr="00E96A72" w:rsidTr="00596D01">
        <w:tc>
          <w:tcPr>
            <w:tcW w:w="1249" w:type="pct"/>
          </w:tcPr>
          <w:p w:rsidR="00350E66" w:rsidRPr="00596D01" w:rsidRDefault="00350E66" w:rsidP="00596D01">
            <w:pPr>
              <w:rPr>
                <w:rStyle w:val="Strong"/>
              </w:rPr>
            </w:pPr>
            <w:r w:rsidRPr="00596D01">
              <w:rPr>
                <w:rStyle w:val="Strong"/>
              </w:rPr>
              <w:t>Regional Assessment Services (RAS)</w:t>
            </w:r>
          </w:p>
        </w:tc>
        <w:tc>
          <w:tcPr>
            <w:tcW w:w="3751" w:type="pct"/>
          </w:tcPr>
          <w:p w:rsidR="00350E66" w:rsidRPr="00E96A72" w:rsidRDefault="00350E66" w:rsidP="00596D01">
            <w:pPr>
              <w:rPr>
                <w:color w:val="313131"/>
                <w:lang w:val="en-GB"/>
              </w:rPr>
            </w:pPr>
            <w:r w:rsidRPr="00313434">
              <w:rPr>
                <w:color w:val="313131"/>
                <w:lang w:val="en-GB"/>
              </w:rPr>
              <w:t>RAS provides in home, face to face assessments of new and existing clients/carers to assess their eligibility to access CHSP services</w:t>
            </w:r>
            <w:r>
              <w:rPr>
                <w:color w:val="313131"/>
                <w:lang w:val="en-GB"/>
              </w:rPr>
              <w:t>.</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Report on the Operations of the </w:t>
            </w:r>
            <w:r w:rsidRPr="00596D01">
              <w:rPr>
                <w:rStyle w:val="IntenseEmphasis"/>
              </w:rPr>
              <w:t>Aged Care Act 1997</w:t>
            </w:r>
            <w:r w:rsidRPr="00596D01">
              <w:rPr>
                <w:rStyle w:val="Strong"/>
              </w:rPr>
              <w:t xml:space="preserve"> (ROACA)</w:t>
            </w:r>
          </w:p>
        </w:tc>
        <w:tc>
          <w:tcPr>
            <w:tcW w:w="3751" w:type="pct"/>
          </w:tcPr>
          <w:p w:rsidR="00350E66" w:rsidRPr="00E96A72" w:rsidRDefault="00350E66" w:rsidP="00596D01">
            <w:r w:rsidRPr="00E96A72">
              <w:t xml:space="preserve">A legal requirement under the Act, the ROACA is tabled in Parliament in November each year and presents an annual snapshot of facts and figures on Commonwealth funded aged care services in Australia. </w:t>
            </w:r>
          </w:p>
        </w:tc>
      </w:tr>
      <w:tr w:rsidR="00350E66" w:rsidRPr="00E96A72" w:rsidTr="00596D01">
        <w:tc>
          <w:tcPr>
            <w:tcW w:w="1249" w:type="pct"/>
          </w:tcPr>
          <w:p w:rsidR="00350E66" w:rsidRPr="00596D01" w:rsidRDefault="00350E66" w:rsidP="00596D01">
            <w:pPr>
              <w:rPr>
                <w:rStyle w:val="Strong"/>
              </w:rPr>
            </w:pPr>
            <w:r w:rsidRPr="00596D01">
              <w:rPr>
                <w:rStyle w:val="Strong"/>
              </w:rPr>
              <w:t>Resident Classification Scale (RCS)</w:t>
            </w:r>
          </w:p>
        </w:tc>
        <w:tc>
          <w:tcPr>
            <w:tcW w:w="3751" w:type="pct"/>
          </w:tcPr>
          <w:p w:rsidR="00350E66" w:rsidRPr="00E96A72" w:rsidRDefault="00350E66" w:rsidP="00596D01">
            <w:r w:rsidRPr="00E96A72">
              <w:t>The basic tool for residentia</w:t>
            </w:r>
            <w:r>
              <w:t>l aged care funding prior to 20 March</w:t>
            </w:r>
            <w:r w:rsidR="00A261F3">
              <w:t> 200</w:t>
            </w:r>
            <w:r w:rsidRPr="00E96A72">
              <w:t>8, when it was replaced by the A</w:t>
            </w:r>
            <w:r>
              <w:t xml:space="preserve">CFI. </w:t>
            </w:r>
            <w:r w:rsidRPr="00E96A72">
              <w:t>A very small number of reside</w:t>
            </w:r>
            <w:r>
              <w:t>nts who entered care before 20 March</w:t>
            </w:r>
            <w:r w:rsidR="00A261F3">
              <w:t> 200</w:t>
            </w:r>
            <w:r w:rsidRPr="00E96A72">
              <w:t xml:space="preserve">8 are still classified using the RCS through grand-parenting arrangements. </w:t>
            </w:r>
          </w:p>
        </w:tc>
      </w:tr>
      <w:tr w:rsidR="00350E66" w:rsidRPr="00E96A72" w:rsidTr="00596D01">
        <w:tc>
          <w:tcPr>
            <w:tcW w:w="1249" w:type="pct"/>
          </w:tcPr>
          <w:p w:rsidR="00350E66" w:rsidRPr="00596D01" w:rsidRDefault="00350E66" w:rsidP="00596D01">
            <w:pPr>
              <w:rPr>
                <w:rStyle w:val="Strong"/>
              </w:rPr>
            </w:pPr>
            <w:r w:rsidRPr="00596D01">
              <w:rPr>
                <w:rStyle w:val="Strong"/>
              </w:rPr>
              <w:t>Residential aged care</w:t>
            </w:r>
          </w:p>
        </w:tc>
        <w:tc>
          <w:tcPr>
            <w:tcW w:w="3751" w:type="pct"/>
          </w:tcPr>
          <w:p w:rsidR="00350E66" w:rsidRPr="00E96A72" w:rsidRDefault="00350E66" w:rsidP="00596D01">
            <w:r>
              <w:t>A program</w:t>
            </w:r>
            <w:r w:rsidRPr="00E96A72">
              <w:t xml:space="preserve"> that provides a </w:t>
            </w:r>
            <w:r w:rsidRPr="00313434">
              <w:t xml:space="preserve">range of care options and accommodation for </w:t>
            </w:r>
            <w:r w:rsidRPr="00E96A72">
              <w:t xml:space="preserve">older people who </w:t>
            </w:r>
            <w:r>
              <w:t>choose not</w:t>
            </w:r>
            <w:r w:rsidRPr="00E96A72">
              <w:t xml:space="preserve"> t</w:t>
            </w:r>
            <w:r>
              <w:t xml:space="preserve">o continue living </w:t>
            </w:r>
            <w:r w:rsidRPr="00E96A72">
              <w:t>in their own homes.</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Restorative care </w:t>
            </w:r>
          </w:p>
        </w:tc>
        <w:tc>
          <w:tcPr>
            <w:tcW w:w="3751" w:type="pct"/>
          </w:tcPr>
          <w:p w:rsidR="00350E66" w:rsidRPr="00E96A72" w:rsidRDefault="00350E66" w:rsidP="00596D01">
            <w:r>
              <w:t>C</w:t>
            </w:r>
            <w:r w:rsidRPr="00982B14">
              <w:t xml:space="preserve">are focusing on enhancing the physical and cognitive function of people who have lost or are at risk of losing condition and independence. </w:t>
            </w:r>
            <w:r>
              <w:t xml:space="preserve">The </w:t>
            </w:r>
            <w:r w:rsidRPr="00982B14">
              <w:t>Short-Term Restorative Care (STRC) Programme</w:t>
            </w:r>
            <w:r>
              <w:t>,</w:t>
            </w:r>
            <w:r w:rsidRPr="00982B14">
              <w:t xml:space="preserve"> </w:t>
            </w:r>
            <w:r>
              <w:t>which commenced in February</w:t>
            </w:r>
            <w:r w:rsidR="00A261F3">
              <w:t> 201</w:t>
            </w:r>
            <w:r>
              <w:t xml:space="preserve">7, is </w:t>
            </w:r>
            <w:r w:rsidRPr="00313434">
              <w:t>a flexible care program to provide restorative care to older people to improve their capacity to stay independent</w:t>
            </w:r>
            <w:r>
              <w:t xml:space="preserve"> and living in their own homes.</w:t>
            </w:r>
          </w:p>
        </w:tc>
      </w:tr>
      <w:tr w:rsidR="00350E66" w:rsidRPr="00E96A72" w:rsidTr="00596D01">
        <w:tc>
          <w:tcPr>
            <w:tcW w:w="1249" w:type="pct"/>
          </w:tcPr>
          <w:p w:rsidR="00350E66" w:rsidRPr="00596D01" w:rsidRDefault="00350E66" w:rsidP="00596D01">
            <w:pPr>
              <w:rPr>
                <w:rStyle w:val="Strong"/>
              </w:rPr>
            </w:pPr>
            <w:r w:rsidRPr="00596D01">
              <w:rPr>
                <w:rStyle w:val="Strong"/>
              </w:rPr>
              <w:t>Retained earnings</w:t>
            </w:r>
          </w:p>
        </w:tc>
        <w:tc>
          <w:tcPr>
            <w:tcW w:w="3751" w:type="pct"/>
          </w:tcPr>
          <w:p w:rsidR="00350E66" w:rsidRPr="004D257A" w:rsidRDefault="00350E66" w:rsidP="00596D01">
            <w:pPr>
              <w:rPr>
                <w:color w:val="313131"/>
                <w:lang w:val="en-GB"/>
              </w:rPr>
            </w:pPr>
            <w:r>
              <w:rPr>
                <w:color w:val="313131"/>
                <w:lang w:val="en-GB"/>
              </w:rPr>
              <w:t>R</w:t>
            </w:r>
            <w:r w:rsidRPr="004D257A">
              <w:rPr>
                <w:color w:val="313131"/>
                <w:lang w:val="en-GB"/>
              </w:rPr>
              <w:t>efers to the percentage of net earnings not paid out as dividends, but retained by the company to be reinvested in its core business, or to pay debt. This is recorded under shareholders' equity on the balance sheet.</w:t>
            </w:r>
          </w:p>
        </w:tc>
      </w:tr>
      <w:tr w:rsidR="00350E66" w:rsidRPr="00E96A72" w:rsidTr="00596D01">
        <w:tc>
          <w:tcPr>
            <w:tcW w:w="1249" w:type="pct"/>
          </w:tcPr>
          <w:p w:rsidR="00350E66" w:rsidRPr="00596D01" w:rsidRDefault="00350E66" w:rsidP="00596D01">
            <w:pPr>
              <w:rPr>
                <w:rStyle w:val="Strong"/>
              </w:rPr>
            </w:pPr>
            <w:r w:rsidRPr="00596D01">
              <w:rPr>
                <w:rStyle w:val="Strong"/>
              </w:rPr>
              <w:t>Retention amounts</w:t>
            </w:r>
          </w:p>
        </w:tc>
        <w:tc>
          <w:tcPr>
            <w:tcW w:w="3751" w:type="pct"/>
          </w:tcPr>
          <w:p w:rsidR="00350E66" w:rsidRPr="00E96A72" w:rsidRDefault="00350E66" w:rsidP="00596D01">
            <w:r w:rsidRPr="00E96A72">
              <w:t>An amount that an approved provider is allowed to deduct per month from an accommodation bond for up to five years. The maximum retention amount is set by the Australia</w:t>
            </w:r>
            <w:r>
              <w:t>n Government. Retentions are no longer</w:t>
            </w:r>
            <w:r w:rsidRPr="00E96A72">
              <w:t xml:space="preserve"> permitte</w:t>
            </w:r>
            <w:r>
              <w:t>d for</w:t>
            </w:r>
            <w:r w:rsidRPr="00E96A72">
              <w:t xml:space="preserve"> residents entering residential aged care </w:t>
            </w:r>
            <w:r>
              <w:t xml:space="preserve">on or </w:t>
            </w:r>
            <w:r w:rsidRPr="00E96A72">
              <w:t xml:space="preserve">after </w:t>
            </w:r>
            <w:r>
              <w:t>1 July</w:t>
            </w:r>
            <w:r w:rsidR="00A261F3">
              <w:t> 201</w:t>
            </w:r>
            <w:r>
              <w:t>4</w:t>
            </w:r>
            <w:r w:rsidRPr="00E96A72">
              <w:t>.</w:t>
            </w:r>
          </w:p>
        </w:tc>
      </w:tr>
      <w:tr w:rsidR="00350E66" w:rsidRPr="00E96A72" w:rsidTr="00596D01">
        <w:tc>
          <w:tcPr>
            <w:tcW w:w="1249" w:type="pct"/>
          </w:tcPr>
          <w:p w:rsidR="00350E66" w:rsidRPr="00596D01" w:rsidRDefault="00350E66" w:rsidP="00596D01">
            <w:pPr>
              <w:rPr>
                <w:rStyle w:val="Strong"/>
              </w:rPr>
            </w:pPr>
            <w:r w:rsidRPr="00596D01">
              <w:rPr>
                <w:rStyle w:val="Strong"/>
              </w:rPr>
              <w:t>Return on Assets</w:t>
            </w:r>
          </w:p>
        </w:tc>
        <w:tc>
          <w:tcPr>
            <w:tcW w:w="3751" w:type="pct"/>
          </w:tcPr>
          <w:p w:rsidR="00350E66" w:rsidRPr="00E96A72" w:rsidRDefault="00350E66" w:rsidP="00596D01">
            <w:r w:rsidRPr="00E96A72">
              <w:t xml:space="preserve">Indicates the productivity of assets employed in the organisation. </w:t>
            </w:r>
            <w:r>
              <w:t>It is calculated as EBITDA/total a</w:t>
            </w:r>
            <w:r w:rsidRPr="00E96A72">
              <w:t>ssets.</w:t>
            </w:r>
          </w:p>
        </w:tc>
      </w:tr>
      <w:tr w:rsidR="00350E66" w:rsidRPr="00E96A72" w:rsidTr="00596D01">
        <w:tc>
          <w:tcPr>
            <w:tcW w:w="1249" w:type="pct"/>
          </w:tcPr>
          <w:p w:rsidR="00350E66" w:rsidRPr="00596D01" w:rsidRDefault="00350E66" w:rsidP="00596D01">
            <w:pPr>
              <w:rPr>
                <w:rStyle w:val="Strong"/>
              </w:rPr>
            </w:pPr>
            <w:r w:rsidRPr="00596D01">
              <w:rPr>
                <w:rStyle w:val="Strong"/>
              </w:rPr>
              <w:t>Return on Equity/ Return on Net Worth</w:t>
            </w:r>
          </w:p>
        </w:tc>
        <w:tc>
          <w:tcPr>
            <w:tcW w:w="3751" w:type="pct"/>
          </w:tcPr>
          <w:p w:rsidR="00350E66" w:rsidRPr="00E96A72" w:rsidRDefault="00350E66" w:rsidP="00596D01">
            <w:r w:rsidRPr="00E96A72">
              <w:t>Indicates the productivity of equity/net worth employed in the organisation. It is calculated as EBITDA/</w:t>
            </w:r>
            <w:r>
              <w:t>net w</w:t>
            </w:r>
            <w:r w:rsidRPr="00E96A72">
              <w:t>orth.</w:t>
            </w:r>
          </w:p>
        </w:tc>
      </w:tr>
      <w:tr w:rsidR="00350E66" w:rsidRPr="00E96A72" w:rsidTr="00596D01">
        <w:tc>
          <w:tcPr>
            <w:tcW w:w="1249" w:type="pct"/>
          </w:tcPr>
          <w:p w:rsidR="00350E66" w:rsidRPr="00596D01" w:rsidRDefault="00350E66" w:rsidP="00596D01">
            <w:pPr>
              <w:rPr>
                <w:rStyle w:val="Strong"/>
              </w:rPr>
            </w:pPr>
            <w:r w:rsidRPr="00596D01">
              <w:rPr>
                <w:rStyle w:val="Strong"/>
              </w:rPr>
              <w:t>Scale (providers)</w:t>
            </w:r>
          </w:p>
        </w:tc>
        <w:tc>
          <w:tcPr>
            <w:tcW w:w="3751" w:type="pct"/>
          </w:tcPr>
          <w:p w:rsidR="00350E66" w:rsidRPr="00E96A72" w:rsidRDefault="00350E66" w:rsidP="00596D01">
            <w:r>
              <w:t>R</w:t>
            </w:r>
            <w:r w:rsidRPr="00C44861">
              <w:t>efers to the number of services operated by a provider</w:t>
            </w:r>
            <w:r>
              <w:t>.</w:t>
            </w:r>
          </w:p>
        </w:tc>
      </w:tr>
      <w:tr w:rsidR="00350E66" w:rsidRPr="00E96A72" w:rsidTr="00596D01">
        <w:tc>
          <w:tcPr>
            <w:tcW w:w="1249" w:type="pct"/>
          </w:tcPr>
          <w:p w:rsidR="00350E66" w:rsidRPr="00596D01" w:rsidRDefault="00350E66" w:rsidP="00596D01">
            <w:pPr>
              <w:rPr>
                <w:rStyle w:val="Strong"/>
              </w:rPr>
            </w:pPr>
            <w:r w:rsidRPr="00596D01">
              <w:rPr>
                <w:rStyle w:val="Strong"/>
              </w:rPr>
              <w:t>Size (providers)</w:t>
            </w:r>
          </w:p>
        </w:tc>
        <w:tc>
          <w:tcPr>
            <w:tcW w:w="3751" w:type="pct"/>
          </w:tcPr>
          <w:p w:rsidR="00350E66" w:rsidRPr="00E96A72" w:rsidRDefault="00350E66" w:rsidP="00596D01">
            <w:r>
              <w:t>R</w:t>
            </w:r>
            <w:r w:rsidRPr="00C44861">
              <w:t xml:space="preserve">efers to the number of beds operated by a specific </w:t>
            </w:r>
            <w:r>
              <w:t xml:space="preserve">residential aged care service. </w:t>
            </w:r>
          </w:p>
        </w:tc>
      </w:tr>
      <w:tr w:rsidR="005855FF" w:rsidRPr="00E96A72" w:rsidTr="00596D01">
        <w:tc>
          <w:tcPr>
            <w:tcW w:w="1249" w:type="pct"/>
          </w:tcPr>
          <w:p w:rsidR="005855FF" w:rsidRPr="00596D01" w:rsidRDefault="005855FF" w:rsidP="00596D01">
            <w:pPr>
              <w:rPr>
                <w:rStyle w:val="Strong"/>
              </w:rPr>
            </w:pPr>
            <w:r w:rsidRPr="00596D01">
              <w:rPr>
                <w:rStyle w:val="Strong"/>
              </w:rPr>
              <w:lastRenderedPageBreak/>
              <w:t>Supported residents</w:t>
            </w:r>
          </w:p>
        </w:tc>
        <w:tc>
          <w:tcPr>
            <w:tcW w:w="3751" w:type="pct"/>
          </w:tcPr>
          <w:p w:rsidR="005855FF" w:rsidRDefault="005855FF" w:rsidP="00596D01">
            <w:r w:rsidRPr="006B1553">
              <w:t>Residents who have been assessed (based on a means test) as eligible for full government assistance with their care and accommodation costs. Supported residents only pay a basic daily fee.</w:t>
            </w:r>
          </w:p>
        </w:tc>
      </w:tr>
      <w:tr w:rsidR="00350E66" w:rsidRPr="00E96A72" w:rsidTr="00596D01">
        <w:tc>
          <w:tcPr>
            <w:tcW w:w="1249" w:type="pct"/>
          </w:tcPr>
          <w:p w:rsidR="00350E66" w:rsidRPr="00596D01" w:rsidRDefault="00350E66" w:rsidP="00596D01">
            <w:pPr>
              <w:rPr>
                <w:rStyle w:val="Strong"/>
              </w:rPr>
            </w:pPr>
            <w:r w:rsidRPr="00596D01">
              <w:rPr>
                <w:rStyle w:val="Strong"/>
              </w:rPr>
              <w:t>Survey of Aged Care Homes (SACH)</w:t>
            </w:r>
          </w:p>
        </w:tc>
        <w:tc>
          <w:tcPr>
            <w:tcW w:w="3751" w:type="pct"/>
          </w:tcPr>
          <w:p w:rsidR="00350E66" w:rsidRPr="00E96A72" w:rsidRDefault="00350E66" w:rsidP="00596D01">
            <w:r w:rsidRPr="00E96A72">
              <w:t>Each year SACH seeks information on accommodation payments and planned and actual building activity during the previous financial year for each operating residential aged care service.</w:t>
            </w:r>
          </w:p>
        </w:tc>
      </w:tr>
      <w:tr w:rsidR="007F4959" w:rsidRPr="00E96A72" w:rsidTr="00596D01">
        <w:tc>
          <w:tcPr>
            <w:tcW w:w="1249" w:type="pct"/>
          </w:tcPr>
          <w:p w:rsidR="007F4959" w:rsidRPr="00596D01" w:rsidRDefault="007F4959" w:rsidP="00596D01">
            <w:pPr>
              <w:rPr>
                <w:rStyle w:val="Strong"/>
              </w:rPr>
            </w:pPr>
            <w:r w:rsidRPr="00596D01">
              <w:rPr>
                <w:rStyle w:val="Strong"/>
              </w:rPr>
              <w:t>Target provision ratio</w:t>
            </w:r>
          </w:p>
        </w:tc>
        <w:tc>
          <w:tcPr>
            <w:tcW w:w="3751" w:type="pct"/>
          </w:tcPr>
          <w:p w:rsidR="007F4959" w:rsidRPr="00982B14" w:rsidRDefault="007F4959" w:rsidP="00596D01">
            <w:r>
              <w:t xml:space="preserve">The Australian Government </w:t>
            </w:r>
            <w:r w:rsidRPr="00E96A72">
              <w:t>target of subsidised operational aged care places. These targets are based on the number of persons for every 1,0</w:t>
            </w:r>
            <w:r>
              <w:t>00 people aged 70 years or over.</w:t>
            </w:r>
            <w:r w:rsidRPr="00E96A72">
              <w:t xml:space="preserve"> The population-based provision formula ensures that the supply of services increases in line wi</w:t>
            </w:r>
            <w:r>
              <w:t>th the ageing of the population.</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Transition care </w:t>
            </w:r>
          </w:p>
        </w:tc>
        <w:tc>
          <w:tcPr>
            <w:tcW w:w="3751" w:type="pct"/>
          </w:tcPr>
          <w:p w:rsidR="00350E66" w:rsidRPr="00E96A72" w:rsidRDefault="00350E66" w:rsidP="00596D01">
            <w:r w:rsidRPr="00982B14">
              <w:t>For those requiring time-limited, goal-oriented and therapy-focused packages of services after a hospital stay.</w:t>
            </w:r>
            <w:r>
              <w:t xml:space="preserve"> </w:t>
            </w:r>
          </w:p>
        </w:tc>
      </w:tr>
      <w:tr w:rsidR="00350E66" w:rsidRPr="00E96A72" w:rsidTr="00596D01">
        <w:tc>
          <w:tcPr>
            <w:tcW w:w="1249" w:type="pct"/>
          </w:tcPr>
          <w:p w:rsidR="00350E66" w:rsidRPr="00596D01" w:rsidRDefault="00350E66" w:rsidP="00596D01">
            <w:pPr>
              <w:rPr>
                <w:rStyle w:val="Strong"/>
              </w:rPr>
            </w:pPr>
            <w:r w:rsidRPr="00596D01">
              <w:rPr>
                <w:rStyle w:val="Strong"/>
              </w:rPr>
              <w:t>Viability supplement</w:t>
            </w:r>
          </w:p>
        </w:tc>
        <w:tc>
          <w:tcPr>
            <w:tcW w:w="3751" w:type="pct"/>
          </w:tcPr>
          <w:p w:rsidR="00350E66" w:rsidRPr="00285AB4" w:rsidRDefault="00350E66" w:rsidP="00596D01">
            <w:pPr>
              <w:rPr>
                <w:color w:val="313131"/>
                <w:lang w:val="en-GB"/>
              </w:rPr>
            </w:pPr>
            <w:r w:rsidRPr="00285AB4">
              <w:rPr>
                <w:color w:val="313131"/>
                <w:lang w:val="en-GB"/>
              </w:rPr>
              <w:t>The viability supplement aims to improve the financial position of smaller, rural and remote aged care services that incur additional costs due to their location and are constrained in their ability to realise economies of scale due to smaller numbers of care recipients. The viability supplement also provides additional funding for residential care providers who specialise in services to Indigenous people, or people who are homeless or who are at risk of becoming homeless, in recognition of the often higher costs associated with providing care to these people.</w:t>
            </w:r>
          </w:p>
        </w:tc>
      </w:tr>
      <w:tr w:rsidR="00350E66" w:rsidRPr="00E96A72" w:rsidTr="00596D01">
        <w:tc>
          <w:tcPr>
            <w:tcW w:w="1249" w:type="pct"/>
          </w:tcPr>
          <w:p w:rsidR="00350E66" w:rsidRPr="00596D01" w:rsidRDefault="00350E66" w:rsidP="00596D01">
            <w:pPr>
              <w:rPr>
                <w:rStyle w:val="Strong"/>
              </w:rPr>
            </w:pPr>
            <w:r w:rsidRPr="00596D01">
              <w:rPr>
                <w:rStyle w:val="Strong"/>
              </w:rPr>
              <w:t xml:space="preserve">Working Capital </w:t>
            </w:r>
          </w:p>
        </w:tc>
        <w:tc>
          <w:tcPr>
            <w:tcW w:w="3751" w:type="pct"/>
          </w:tcPr>
          <w:p w:rsidR="00350E66" w:rsidRPr="00E96A72" w:rsidRDefault="00350E66" w:rsidP="00596D01">
            <w:r w:rsidRPr="00E96A72">
              <w:t>Defined as current assets less current liabilities.</w:t>
            </w:r>
          </w:p>
        </w:tc>
      </w:tr>
    </w:tbl>
    <w:p w:rsidR="00001040" w:rsidRDefault="00001040" w:rsidP="00596D01">
      <w:pPr>
        <w:pStyle w:val="Heading1"/>
      </w:pPr>
      <w:bookmarkStart w:id="7" w:name="_Toc457549878"/>
      <w:bookmarkStart w:id="8" w:name="_Toc487702513"/>
      <w:bookmarkStart w:id="9" w:name="_Toc487702865"/>
      <w:bookmarkStart w:id="10" w:name="_Toc487703363"/>
      <w:bookmarkStart w:id="11" w:name="_Toc487703557"/>
      <w:bookmarkStart w:id="12" w:name="_Toc524424671"/>
      <w:r w:rsidRPr="00E96A72">
        <w:lastRenderedPageBreak/>
        <w:t>For</w:t>
      </w:r>
      <w:r w:rsidR="003D6033" w:rsidRPr="00E96A72">
        <w:t>e</w:t>
      </w:r>
      <w:r w:rsidRPr="00E96A72">
        <w:t>w</w:t>
      </w:r>
      <w:r w:rsidR="00DD0EA1" w:rsidRPr="00E96A72">
        <w:t>o</w:t>
      </w:r>
      <w:r w:rsidRPr="00E96A72">
        <w:t>rd</w:t>
      </w:r>
      <w:bookmarkEnd w:id="7"/>
      <w:bookmarkEnd w:id="8"/>
      <w:bookmarkEnd w:id="9"/>
      <w:bookmarkEnd w:id="10"/>
      <w:bookmarkEnd w:id="11"/>
      <w:bookmarkEnd w:id="12"/>
    </w:p>
    <w:p w:rsidR="00D8721E" w:rsidRDefault="00B353D2" w:rsidP="005659F4">
      <w:pPr>
        <w:rPr>
          <w:lang w:val="en-GB"/>
        </w:rPr>
      </w:pPr>
      <w:r w:rsidRPr="00B353D2">
        <w:rPr>
          <w:lang w:val="en-GB"/>
        </w:rPr>
        <w:t>I am pleased to present the Aged Care Financing Authority’s (ACFA)</w:t>
      </w:r>
      <w:r w:rsidR="00A261F3">
        <w:rPr>
          <w:lang w:val="en-GB"/>
        </w:rPr>
        <w:t> 201</w:t>
      </w:r>
      <w:r w:rsidRPr="00B353D2">
        <w:rPr>
          <w:lang w:val="en-GB"/>
        </w:rPr>
        <w:t>8 Report on the funding and financing of the aged care sector. This is ACFA’s sixth annual report</w:t>
      </w:r>
      <w:r w:rsidR="00D8721E">
        <w:rPr>
          <w:lang w:val="en-GB"/>
        </w:rPr>
        <w:t>.</w:t>
      </w:r>
    </w:p>
    <w:p w:rsidR="00B353D2" w:rsidRPr="00B353D2" w:rsidRDefault="00B353D2" w:rsidP="00596D01">
      <w:pPr>
        <w:rPr>
          <w:lang w:val="en-GB"/>
        </w:rPr>
      </w:pPr>
      <w:r w:rsidRPr="00B353D2">
        <w:rPr>
          <w:lang w:val="en-GB"/>
        </w:rPr>
        <w:t>ACFA was established in</w:t>
      </w:r>
      <w:r w:rsidR="00A261F3">
        <w:rPr>
          <w:lang w:val="en-GB"/>
        </w:rPr>
        <w:t> 201</w:t>
      </w:r>
      <w:r w:rsidRPr="00B353D2">
        <w:rPr>
          <w:lang w:val="en-GB"/>
        </w:rPr>
        <w:t>2 following significant reforms to the aged care sector by the Australian Government and was given the task of providing independent advice to the Government on</w:t>
      </w:r>
      <w:r w:rsidR="00B42AF1">
        <w:rPr>
          <w:lang w:val="en-GB"/>
        </w:rPr>
        <w:t xml:space="preserve"> funding and financing</w:t>
      </w:r>
      <w:r w:rsidRPr="00B353D2">
        <w:rPr>
          <w:lang w:val="en-GB"/>
        </w:rPr>
        <w:t xml:space="preserve"> issues in the aged care industry. Consistent with past reports, the</w:t>
      </w:r>
      <w:r w:rsidR="00A261F3">
        <w:rPr>
          <w:lang w:val="en-GB"/>
        </w:rPr>
        <w:t> 201</w:t>
      </w:r>
      <w:r w:rsidRPr="00B353D2">
        <w:rPr>
          <w:lang w:val="en-GB"/>
        </w:rPr>
        <w:t>8 report examines developments, issues and challenges confronting the aged care industry in Australia. It includes analysis of financial data for</w:t>
      </w:r>
      <w:r w:rsidR="00A261F3">
        <w:rPr>
          <w:lang w:val="en-GB"/>
        </w:rPr>
        <w:t> 201</w:t>
      </w:r>
      <w:r w:rsidRPr="00B353D2">
        <w:rPr>
          <w:lang w:val="en-GB"/>
        </w:rPr>
        <w:t>6</w:t>
      </w:r>
      <w:r w:rsidR="00D8721E">
        <w:rPr>
          <w:lang w:val="en-GB"/>
        </w:rPr>
        <w:t>–1</w:t>
      </w:r>
      <w:r w:rsidRPr="00B353D2">
        <w:rPr>
          <w:lang w:val="en-GB"/>
        </w:rPr>
        <w:t>7, supplemented by more recent data sources when available. It also comments on developments in</w:t>
      </w:r>
      <w:r w:rsidR="00A261F3">
        <w:rPr>
          <w:lang w:val="en-GB"/>
        </w:rPr>
        <w:t> 201</w:t>
      </w:r>
      <w:r w:rsidRPr="00B353D2">
        <w:rPr>
          <w:lang w:val="en-GB"/>
        </w:rPr>
        <w:t>7</w:t>
      </w:r>
      <w:r w:rsidR="00D8721E">
        <w:rPr>
          <w:lang w:val="en-GB"/>
        </w:rPr>
        <w:t>–1</w:t>
      </w:r>
      <w:r w:rsidRPr="00B353D2">
        <w:rPr>
          <w:lang w:val="en-GB"/>
        </w:rPr>
        <w:t>8 and looks at some of the issues likely to be confronting aged care sector in the future.</w:t>
      </w:r>
    </w:p>
    <w:p w:rsidR="00B353D2" w:rsidRPr="00B353D2" w:rsidRDefault="00B353D2" w:rsidP="00596D01">
      <w:pPr>
        <w:rPr>
          <w:lang w:val="en-GB"/>
        </w:rPr>
      </w:pPr>
      <w:r w:rsidRPr="00B353D2">
        <w:rPr>
          <w:lang w:val="en-GB"/>
        </w:rPr>
        <w:t xml:space="preserve">This is my first report as chair of </w:t>
      </w:r>
      <w:r w:rsidR="003C5052">
        <w:rPr>
          <w:lang w:val="en-GB"/>
        </w:rPr>
        <w:t>ACFA</w:t>
      </w:r>
      <w:r w:rsidRPr="00B353D2">
        <w:rPr>
          <w:lang w:val="en-GB"/>
        </w:rPr>
        <w:t xml:space="preserve"> and I was very pleased to have been appointed to this position from 1 May</w:t>
      </w:r>
      <w:r w:rsidR="00A261F3">
        <w:rPr>
          <w:lang w:val="en-GB"/>
        </w:rPr>
        <w:t> 201</w:t>
      </w:r>
      <w:r w:rsidRPr="00B353D2">
        <w:rPr>
          <w:lang w:val="en-GB"/>
        </w:rPr>
        <w:t xml:space="preserve">8. I would like to acknowledge and thank on behalf of the members of </w:t>
      </w:r>
      <w:r w:rsidR="003C5052">
        <w:rPr>
          <w:lang w:val="en-GB"/>
        </w:rPr>
        <w:t>ACFA</w:t>
      </w:r>
      <w:r w:rsidRPr="00B353D2">
        <w:rPr>
          <w:lang w:val="en-GB"/>
        </w:rPr>
        <w:t xml:space="preserve"> the enormous contribution of my predecessor, Lynda O’Grady. Lynda was the inaugural chair of </w:t>
      </w:r>
      <w:r w:rsidR="003C5052">
        <w:rPr>
          <w:lang w:val="en-GB"/>
        </w:rPr>
        <w:t>ACFA</w:t>
      </w:r>
      <w:r w:rsidRPr="00B353D2">
        <w:rPr>
          <w:lang w:val="en-GB"/>
        </w:rPr>
        <w:t xml:space="preserve"> and served from 1 August</w:t>
      </w:r>
      <w:r w:rsidR="00A261F3">
        <w:rPr>
          <w:lang w:val="en-GB"/>
        </w:rPr>
        <w:t> 201</w:t>
      </w:r>
      <w:r w:rsidRPr="00B353D2">
        <w:rPr>
          <w:lang w:val="en-GB"/>
        </w:rPr>
        <w:t>2 until 30 April</w:t>
      </w:r>
      <w:r w:rsidR="00A261F3">
        <w:rPr>
          <w:lang w:val="en-GB"/>
        </w:rPr>
        <w:t> 201</w:t>
      </w:r>
      <w:r w:rsidRPr="00B353D2">
        <w:rPr>
          <w:lang w:val="en-GB"/>
        </w:rPr>
        <w:t xml:space="preserve">8. Through Lynda’s leadership she helped establish ACFA as an important contributor to developing aged care policy, helping all stakeholders gain a better understanding of the sector and its dynamics, and providing high quality advice on aged care funding and financing. An example of this is the significant input </w:t>
      </w:r>
      <w:r w:rsidR="003C5052">
        <w:rPr>
          <w:lang w:val="en-GB"/>
        </w:rPr>
        <w:t>ACFA</w:t>
      </w:r>
      <w:r w:rsidRPr="00B353D2">
        <w:rPr>
          <w:lang w:val="en-GB"/>
        </w:rPr>
        <w:t xml:space="preserve"> had to David Tune’s comprehensive report on the </w:t>
      </w:r>
      <w:r w:rsidRPr="00596D01">
        <w:rPr>
          <w:rStyle w:val="Emphasis"/>
        </w:rPr>
        <w:t>Legislated Review of Aged Care</w:t>
      </w:r>
      <w:r w:rsidR="00A261F3" w:rsidRPr="00596D01">
        <w:rPr>
          <w:rStyle w:val="Emphasis"/>
        </w:rPr>
        <w:t> 201</w:t>
      </w:r>
      <w:r w:rsidRPr="00596D01">
        <w:rPr>
          <w:rStyle w:val="Emphasis"/>
        </w:rPr>
        <w:t>7</w:t>
      </w:r>
      <w:r w:rsidRPr="00B353D2">
        <w:rPr>
          <w:lang w:val="en-GB"/>
        </w:rPr>
        <w:t>.</w:t>
      </w:r>
    </w:p>
    <w:p w:rsidR="00D8721E" w:rsidRDefault="00B353D2" w:rsidP="00596D01">
      <w:pPr>
        <w:rPr>
          <w:lang w:val="en-GB"/>
        </w:rPr>
      </w:pPr>
      <w:r w:rsidRPr="00B353D2">
        <w:rPr>
          <w:lang w:val="en-GB"/>
        </w:rPr>
        <w:t>The aged care sector is vital to the comfort and wellbeing of older Australians as well as being an important contributor to the Australian economy, representing 1</w:t>
      </w:r>
      <w:r w:rsidR="00A261F3">
        <w:rPr>
          <w:lang w:val="en-GB"/>
        </w:rPr>
        <w:t> per cent</w:t>
      </w:r>
      <w:r w:rsidRPr="00B353D2">
        <w:rPr>
          <w:lang w:val="en-GB"/>
        </w:rPr>
        <w:t xml:space="preserve"> of Gross Domestic Product and directly employing over 366,000 people. It is also one of the fastest growing industries in Australia. The ageing of the population and longer life expectations will result in a significant increase in the number and proportion of Australians needing aged care. The demographic trends are such that aged care is arguably one of the most important industries in Australia</w:t>
      </w:r>
      <w:r w:rsidR="00D8721E">
        <w:rPr>
          <w:lang w:val="en-GB"/>
        </w:rPr>
        <w:t>.</w:t>
      </w:r>
    </w:p>
    <w:p w:rsidR="00027AED" w:rsidRDefault="00027AED" w:rsidP="00596D01">
      <w:pPr>
        <w:rPr>
          <w:lang w:val="en-GB"/>
        </w:rPr>
      </w:pPr>
      <w:r>
        <w:rPr>
          <w:lang w:val="en-GB"/>
        </w:rPr>
        <w:t>The aged care sector remains in a process of significant transition</w:t>
      </w:r>
      <w:r>
        <w:rPr>
          <w:color w:val="1F497D"/>
          <w:lang w:val="en-GB"/>
        </w:rPr>
        <w:t>,</w:t>
      </w:r>
      <w:r>
        <w:rPr>
          <w:lang w:val="en-GB"/>
        </w:rPr>
        <w:t xml:space="preserve"> with the Australian Government progressively implementing a major program of reform aimed at improving the affordability</w:t>
      </w:r>
      <w:r w:rsidRPr="00027AED">
        <w:rPr>
          <w:lang w:val="en-GB"/>
        </w:rPr>
        <w:t>,</w:t>
      </w:r>
      <w:r>
        <w:rPr>
          <w:lang w:val="en-GB"/>
        </w:rPr>
        <w:t xml:space="preserve"> sustainability </w:t>
      </w:r>
      <w:r w:rsidRPr="00027AED">
        <w:rPr>
          <w:lang w:val="en-GB"/>
        </w:rPr>
        <w:t>and quality of aged care services, including by moving towards a more consumer-driven and market-based aged care industry where consumers and their families have greater choice and control over the services they receive</w:t>
      </w:r>
      <w:r>
        <w:rPr>
          <w:lang w:val="en-GB"/>
        </w:rPr>
        <w:t xml:space="preserve">. Many of the changes have only relatively recently been introduced, such as </w:t>
      </w:r>
      <w:r w:rsidRPr="00027AED">
        <w:rPr>
          <w:lang w:val="en-GB"/>
        </w:rPr>
        <w:t>giving home care consumers choice of service provider and choice of services. T</w:t>
      </w:r>
      <w:r>
        <w:rPr>
          <w:lang w:val="en-GB"/>
        </w:rPr>
        <w:t xml:space="preserve">he industry is still in the process of adjusting to </w:t>
      </w:r>
      <w:r w:rsidRPr="00027AED">
        <w:rPr>
          <w:lang w:val="en-GB"/>
        </w:rPr>
        <w:t>these</w:t>
      </w:r>
      <w:r>
        <w:rPr>
          <w:lang w:val="en-GB"/>
        </w:rPr>
        <w:t xml:space="preserve"> changes. The</w:t>
      </w:r>
      <w:r w:rsidR="00A261F3">
        <w:rPr>
          <w:lang w:val="en-GB"/>
        </w:rPr>
        <w:t> 201</w:t>
      </w:r>
      <w:r>
        <w:rPr>
          <w:lang w:val="en-GB"/>
        </w:rPr>
        <w:t>8</w:t>
      </w:r>
      <w:r w:rsidR="00D8721E">
        <w:rPr>
          <w:lang w:val="en-GB"/>
        </w:rPr>
        <w:t>–1</w:t>
      </w:r>
      <w:r>
        <w:rPr>
          <w:lang w:val="en-GB"/>
        </w:rPr>
        <w:t>9 Budget also contained a number major measures relating to aged care.</w:t>
      </w:r>
    </w:p>
    <w:p w:rsidR="00D8721E" w:rsidRDefault="00B353D2" w:rsidP="00596D01">
      <w:pPr>
        <w:rPr>
          <w:lang w:val="en-GB"/>
        </w:rPr>
      </w:pPr>
      <w:r w:rsidRPr="00B353D2">
        <w:rPr>
          <w:lang w:val="en-GB"/>
        </w:rPr>
        <w:t xml:space="preserve">In addition, there are a number of reviews underway </w:t>
      </w:r>
      <w:r w:rsidR="00BE319D">
        <w:rPr>
          <w:lang w:val="en-GB"/>
        </w:rPr>
        <w:t xml:space="preserve">or recently completed, </w:t>
      </w:r>
      <w:r w:rsidRPr="00B353D2">
        <w:rPr>
          <w:lang w:val="en-GB"/>
        </w:rPr>
        <w:t>that will likely have an important bearing on the future direction of the industry, such as the Review of the Aged Care Funding Instrument and the report from the Aged Care Workforce Strategy Taskforce. In this dynamic environment, ACFA will continue to focus on assessing and advising the Government and other stakeholders on the implications for funding and financing of the aged care sector</w:t>
      </w:r>
      <w:r w:rsidR="00C16255">
        <w:rPr>
          <w:lang w:val="en-GB"/>
        </w:rPr>
        <w:t xml:space="preserve"> and the implications for access to aged care services</w:t>
      </w:r>
      <w:r w:rsidR="00D8721E">
        <w:rPr>
          <w:lang w:val="en-GB"/>
        </w:rPr>
        <w:t>.</w:t>
      </w:r>
    </w:p>
    <w:p w:rsidR="00D8721E" w:rsidRDefault="003C5052" w:rsidP="00596D01">
      <w:pPr>
        <w:rPr>
          <w:lang w:val="en-GB"/>
        </w:rPr>
      </w:pPr>
      <w:r>
        <w:rPr>
          <w:lang w:val="en-GB"/>
        </w:rPr>
        <w:t>In this year’s report, ACFA has included a new chapter (Chapter 11) which provides some observation on the challenges and pressures facing the Government, providers and consumers in the residential aged care sector</w:t>
      </w:r>
      <w:r w:rsidR="00D8721E">
        <w:rPr>
          <w:lang w:val="en-GB"/>
        </w:rPr>
        <w:t>.</w:t>
      </w:r>
    </w:p>
    <w:p w:rsidR="003C5052" w:rsidRPr="00B353D2" w:rsidRDefault="003C5052" w:rsidP="00596D01">
      <w:pPr>
        <w:rPr>
          <w:lang w:val="en-GB"/>
        </w:rPr>
      </w:pPr>
      <w:r w:rsidRPr="00B353D2">
        <w:rPr>
          <w:lang w:val="en-GB"/>
        </w:rPr>
        <w:t>ACFA will continue to perform its role not only through its annual report but also through other projects it is commissioned to undertake by</w:t>
      </w:r>
      <w:r>
        <w:rPr>
          <w:lang w:val="en-GB"/>
        </w:rPr>
        <w:t xml:space="preserve"> the</w:t>
      </w:r>
      <w:r w:rsidRPr="00F665C0">
        <w:rPr>
          <w:lang w:val="en-GB"/>
        </w:rPr>
        <w:t xml:space="preserve"> </w:t>
      </w:r>
      <w:r>
        <w:rPr>
          <w:lang w:val="en-GB"/>
        </w:rPr>
        <w:t>Minister responsible for aged care</w:t>
      </w:r>
      <w:r w:rsidRPr="00B353D2">
        <w:rPr>
          <w:lang w:val="en-GB"/>
        </w:rPr>
        <w:t>.</w:t>
      </w:r>
    </w:p>
    <w:p w:rsidR="00B353D2" w:rsidRPr="00B353D2" w:rsidRDefault="00B353D2" w:rsidP="00596D01">
      <w:pPr>
        <w:rPr>
          <w:lang w:val="en-GB"/>
        </w:rPr>
      </w:pPr>
      <w:r w:rsidRPr="00B353D2">
        <w:rPr>
          <w:lang w:val="en-GB"/>
        </w:rPr>
        <w:t xml:space="preserve">ACFA continued to consult widely over the past year and I would like to acknowledge and thank the aged care providers, peak bodies, financial institutions, other firms and consumers for their contribution. This involved not only informal discussions but also submissions to the range of projects that ACFA undertook over the past year. ACFA also held forums with representatives from the investment and finance sectors, providers and consumers. ACFA will continue with a very active program of consultation with all stakeholders </w:t>
      </w:r>
      <w:r w:rsidRPr="00B353D2">
        <w:rPr>
          <w:lang w:val="en-GB"/>
        </w:rPr>
        <w:lastRenderedPageBreak/>
        <w:t>for this is critical to its understanding of the issues, developments and challenges that are not only confronting aged care providers but also consumers.</w:t>
      </w:r>
    </w:p>
    <w:p w:rsidR="00B353D2" w:rsidRPr="00B353D2" w:rsidRDefault="00B353D2" w:rsidP="00596D01">
      <w:pPr>
        <w:rPr>
          <w:lang w:val="en-GB"/>
        </w:rPr>
      </w:pPr>
      <w:r w:rsidRPr="00B353D2">
        <w:rPr>
          <w:lang w:val="en-GB"/>
        </w:rPr>
        <w:t>ACFA looks forward to continuing and enhancing its role in advising the Government and informing other stakeholders of the funding and financing issues confronting the aged care sector</w:t>
      </w:r>
      <w:r w:rsidR="00C16255">
        <w:rPr>
          <w:lang w:val="en-GB"/>
        </w:rPr>
        <w:t>,</w:t>
      </w:r>
      <w:r w:rsidRPr="00B353D2">
        <w:rPr>
          <w:lang w:val="en-GB"/>
        </w:rPr>
        <w:t xml:space="preserve"> and to work towards ensuring its sustainability and viability and </w:t>
      </w:r>
      <w:r w:rsidR="00C16255">
        <w:rPr>
          <w:lang w:val="en-GB"/>
        </w:rPr>
        <w:t xml:space="preserve">better access by consumers to </w:t>
      </w:r>
      <w:r w:rsidRPr="00B353D2">
        <w:rPr>
          <w:lang w:val="en-GB"/>
        </w:rPr>
        <w:t>quality aged care.</w:t>
      </w:r>
    </w:p>
    <w:p w:rsidR="00050319" w:rsidRPr="00050319" w:rsidRDefault="00050319" w:rsidP="00596D01">
      <w:r>
        <w:rPr>
          <w:noProof/>
        </w:rPr>
        <w:drawing>
          <wp:inline distT="0" distB="0" distL="0" distR="0" wp14:anchorId="4E49322A">
            <wp:extent cx="2447925" cy="747395"/>
            <wp:effectExtent l="0" t="0" r="9525" b="0"/>
            <wp:docPr id="5" name="Picture 5" descr="Signature of Mr Mike Callaghan AM PSM, Chairman, Aged Care Financing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mike signatur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47925" cy="747395"/>
                    </a:xfrm>
                    <a:prstGeom prst="rect">
                      <a:avLst/>
                    </a:prstGeom>
                    <a:noFill/>
                    <a:ln>
                      <a:noFill/>
                    </a:ln>
                  </pic:spPr>
                </pic:pic>
              </a:graphicData>
            </a:graphic>
          </wp:inline>
        </w:drawing>
      </w:r>
    </w:p>
    <w:p w:rsidR="00966BAF" w:rsidRDefault="00B86063" w:rsidP="00596D01">
      <w:r w:rsidRPr="00050319">
        <w:t xml:space="preserve">Mike Callaghan </w:t>
      </w:r>
      <w:r w:rsidR="00050319" w:rsidRPr="00050319">
        <w:t>AM PSM</w:t>
      </w:r>
      <w:r w:rsidR="00966BAF">
        <w:br/>
      </w:r>
      <w:r w:rsidR="00C32426" w:rsidRPr="00050319">
        <w:t>Chairman</w:t>
      </w:r>
      <w:r w:rsidR="00966BAF">
        <w:br/>
      </w:r>
      <w:r w:rsidR="00476E59" w:rsidRPr="00050319">
        <w:t>Aged Care Financing Authority</w:t>
      </w:r>
    </w:p>
    <w:p w:rsidR="00474F3E" w:rsidRPr="005659F4" w:rsidRDefault="00474F3E" w:rsidP="00474F3E">
      <w:pPr>
        <w:pStyle w:val="Heading1"/>
      </w:pPr>
      <w:bookmarkStart w:id="13" w:name="_Toc524424672"/>
      <w:bookmarkStart w:id="14" w:name="_Toc423697036"/>
      <w:bookmarkStart w:id="15" w:name="_Toc457549882"/>
      <w:bookmarkStart w:id="16" w:name="_Toc487702517"/>
      <w:bookmarkStart w:id="17" w:name="_Toc487702869"/>
      <w:bookmarkStart w:id="18" w:name="_Toc487703367"/>
      <w:bookmarkStart w:id="19" w:name="_Toc487703561"/>
      <w:r>
        <w:rPr>
          <w:rFonts w:ascii="Segoe UI" w:hAnsi="Segoe UI" w:cs="Segoe UI"/>
        </w:rPr>
        <w:lastRenderedPageBreak/>
        <w:t>Executive Summary</w:t>
      </w:r>
      <w:bookmarkEnd w:id="13"/>
    </w:p>
    <w:p w:rsidR="00474F3E" w:rsidRPr="00596D01" w:rsidRDefault="00474F3E" w:rsidP="00C67407">
      <w:pPr>
        <w:pStyle w:val="Heading2"/>
      </w:pPr>
      <w:bookmarkStart w:id="20" w:name="_Toc524424673"/>
      <w:r w:rsidRPr="00596D01">
        <w:t>Aged care in Australia</w:t>
      </w:r>
      <w:bookmarkEnd w:id="20"/>
    </w:p>
    <w:p w:rsidR="00474F3E" w:rsidRDefault="00474F3E" w:rsidP="00596D01">
      <w:r>
        <w:t>The aged care sector in Australia provides services to over 1.3</w:t>
      </w:r>
      <w:r w:rsidR="00A261F3">
        <w:t> million</w:t>
      </w:r>
      <w:r>
        <w:t xml:space="preserve"> Australians and generates annual revenues totalling around $22</w:t>
      </w:r>
      <w:r w:rsidR="00A261F3">
        <w:t> billion</w:t>
      </w:r>
      <w:r>
        <w:t>. The sector makes a significant contribution to the Australian economy, representing 1</w:t>
      </w:r>
      <w:r w:rsidR="00A261F3">
        <w:t> per cent</w:t>
      </w:r>
      <w:r>
        <w:t xml:space="preserve"> of Gross Domestic Product (GDP).</w:t>
      </w:r>
    </w:p>
    <w:p w:rsidR="00474F3E" w:rsidRDefault="00474F3E" w:rsidP="00596D01">
      <w:r>
        <w:t>Total Australian Government expenditure on aged care in</w:t>
      </w:r>
      <w:r w:rsidR="00A261F3">
        <w:t> 201</w:t>
      </w:r>
      <w:r>
        <w:t>6</w:t>
      </w:r>
      <w:r w:rsidR="00D8721E">
        <w:t>–1</w:t>
      </w:r>
      <w:r>
        <w:t>7 was $17.1</w:t>
      </w:r>
      <w:r w:rsidR="00A261F3">
        <w:t> billion</w:t>
      </w:r>
      <w:r>
        <w:t>, up from $16.2</w:t>
      </w:r>
      <w:r w:rsidR="00A261F3">
        <w:t> billion</w:t>
      </w:r>
      <w:r>
        <w:t xml:space="preserve"> in</w:t>
      </w:r>
      <w:r w:rsidR="00A261F3">
        <w:t> 201</w:t>
      </w:r>
      <w:r>
        <w:t>5</w:t>
      </w:r>
      <w:r w:rsidR="00D8721E">
        <w:t>–1</w:t>
      </w:r>
      <w:r>
        <w:t>6. Funding for aged care included:</w:t>
      </w:r>
    </w:p>
    <w:p w:rsidR="00474F3E" w:rsidRDefault="00474F3E" w:rsidP="00596D01">
      <w:pPr>
        <w:pStyle w:val="Bullet1"/>
      </w:pPr>
      <w:r>
        <w:t>$2.4</w:t>
      </w:r>
      <w:r w:rsidR="00A261F3">
        <w:t> billion</w:t>
      </w:r>
      <w:r>
        <w:t xml:space="preserve"> for home support</w:t>
      </w:r>
    </w:p>
    <w:p w:rsidR="00474F3E" w:rsidRDefault="00474F3E" w:rsidP="00596D01">
      <w:pPr>
        <w:pStyle w:val="Bullet1"/>
      </w:pPr>
      <w:r>
        <w:t>$1.6</w:t>
      </w:r>
      <w:r w:rsidR="00A261F3">
        <w:t> billion</w:t>
      </w:r>
      <w:r>
        <w:t xml:space="preserve"> for home care</w:t>
      </w:r>
    </w:p>
    <w:p w:rsidR="00474F3E" w:rsidRDefault="00474F3E" w:rsidP="00596D01">
      <w:pPr>
        <w:pStyle w:val="Bullet1"/>
      </w:pPr>
      <w:r>
        <w:t>$11.9</w:t>
      </w:r>
      <w:r w:rsidR="00A261F3">
        <w:t> billion</w:t>
      </w:r>
      <w:r>
        <w:t xml:space="preserve"> for residential care</w:t>
      </w:r>
    </w:p>
    <w:p w:rsidR="00474F3E" w:rsidRDefault="00474F3E" w:rsidP="00596D01">
      <w:pPr>
        <w:pStyle w:val="Bullet1"/>
      </w:pPr>
      <w:r>
        <w:t>$1.3</w:t>
      </w:r>
      <w:r w:rsidR="00A261F3">
        <w:t> billion</w:t>
      </w:r>
      <w:r>
        <w:t xml:space="preserve"> for flexible and other aged care</w:t>
      </w:r>
    </w:p>
    <w:p w:rsidR="00474F3E" w:rsidRDefault="00474F3E" w:rsidP="00596D01">
      <w:pPr>
        <w:rPr>
          <w:lang w:val="en-GB"/>
        </w:rPr>
      </w:pPr>
      <w:r>
        <w:rPr>
          <w:lang w:val="en-GB"/>
        </w:rPr>
        <w:t>Australian Government expenditure is expected to be $18.6</w:t>
      </w:r>
      <w:r w:rsidR="00A261F3">
        <w:rPr>
          <w:lang w:val="en-GB"/>
        </w:rPr>
        <w:t> billion</w:t>
      </w:r>
      <w:r>
        <w:rPr>
          <w:lang w:val="en-GB"/>
        </w:rPr>
        <w:t xml:space="preserve"> in</w:t>
      </w:r>
      <w:r w:rsidR="00A261F3">
        <w:rPr>
          <w:lang w:val="en-GB"/>
        </w:rPr>
        <w:t> 201</w:t>
      </w:r>
      <w:r>
        <w:rPr>
          <w:lang w:val="en-GB"/>
        </w:rPr>
        <w:t>7</w:t>
      </w:r>
      <w:r w:rsidR="00D8721E">
        <w:rPr>
          <w:lang w:val="en-GB"/>
        </w:rPr>
        <w:t>–1</w:t>
      </w:r>
      <w:r>
        <w:rPr>
          <w:lang w:val="en-GB"/>
        </w:rPr>
        <w:t>8, and increase to $22.2</w:t>
      </w:r>
      <w:r w:rsidR="00A261F3">
        <w:rPr>
          <w:lang w:val="en-GB"/>
        </w:rPr>
        <w:t> billion</w:t>
      </w:r>
      <w:r>
        <w:rPr>
          <w:lang w:val="en-GB"/>
        </w:rPr>
        <w:t xml:space="preserve"> by</w:t>
      </w:r>
      <w:r w:rsidR="00A261F3">
        <w:rPr>
          <w:lang w:val="en-GB"/>
        </w:rPr>
        <w:t> 202</w:t>
      </w:r>
      <w:r>
        <w:rPr>
          <w:lang w:val="en-GB"/>
        </w:rPr>
        <w:t>0</w:t>
      </w:r>
      <w:r w:rsidR="00D8721E">
        <w:rPr>
          <w:lang w:val="en-GB"/>
        </w:rPr>
        <w:t>–2</w:t>
      </w:r>
      <w:r>
        <w:rPr>
          <w:lang w:val="en-GB"/>
        </w:rPr>
        <w:t>1.</w:t>
      </w:r>
    </w:p>
    <w:p w:rsidR="00D8721E" w:rsidRDefault="00474F3E" w:rsidP="00596D01">
      <w:pPr>
        <w:rPr>
          <w:lang w:val="en-GB"/>
        </w:rPr>
      </w:pPr>
      <w:r>
        <w:rPr>
          <w:lang w:val="en-GB"/>
        </w:rPr>
        <w:t>Consumer expenditure on aged care was around $4.8</w:t>
      </w:r>
      <w:r w:rsidR="00A261F3">
        <w:rPr>
          <w:lang w:val="en-GB"/>
        </w:rPr>
        <w:t> billion</w:t>
      </w:r>
      <w:r>
        <w:rPr>
          <w:lang w:val="en-GB"/>
        </w:rPr>
        <w:t xml:space="preserve"> in</w:t>
      </w:r>
      <w:r w:rsidR="00A261F3">
        <w:rPr>
          <w:lang w:val="en-GB"/>
        </w:rPr>
        <w:t> 201</w:t>
      </w:r>
      <w:r>
        <w:rPr>
          <w:lang w:val="en-GB"/>
        </w:rPr>
        <w:t>6</w:t>
      </w:r>
      <w:r w:rsidR="00D8721E">
        <w:rPr>
          <w:lang w:val="en-GB"/>
        </w:rPr>
        <w:t>–1</w:t>
      </w:r>
      <w:r>
        <w:rPr>
          <w:lang w:val="en-GB"/>
        </w:rPr>
        <w:t>7 (excluding accommodation deposits).</w:t>
      </w:r>
    </w:p>
    <w:p w:rsidR="00474F3E" w:rsidRPr="00596D01" w:rsidRDefault="00474F3E" w:rsidP="00596D01">
      <w:pPr>
        <w:pStyle w:val="Heading2"/>
      </w:pPr>
      <w:bookmarkStart w:id="21" w:name="_Toc524424674"/>
      <w:r w:rsidRPr="00596D01">
        <w:t>Aged care workforce</w:t>
      </w:r>
      <w:bookmarkEnd w:id="21"/>
    </w:p>
    <w:p w:rsidR="00474F3E" w:rsidRDefault="00474F3E" w:rsidP="00596D01">
      <w:r>
        <w:t>As noted in ACFA’s annual report last year, the</w:t>
      </w:r>
      <w:r w:rsidR="00A261F3">
        <w:t> 201</w:t>
      </w:r>
      <w:r>
        <w:t>6 National Aged Care Workforce Census and Survey reported that:</w:t>
      </w:r>
    </w:p>
    <w:p w:rsidR="00474F3E" w:rsidRDefault="00474F3E" w:rsidP="00596D01">
      <w:pPr>
        <w:pStyle w:val="Bullet1"/>
      </w:pPr>
      <w:r>
        <w:t>there are over 366,000 paid workers in aged care with a further 68,000 volunteers;</w:t>
      </w:r>
    </w:p>
    <w:p w:rsidR="00474F3E" w:rsidRDefault="00474F3E" w:rsidP="00596D01">
      <w:pPr>
        <w:pStyle w:val="Bullet1"/>
      </w:pPr>
      <w:r>
        <w:t>more than half of all workers are in residential care;</w:t>
      </w:r>
    </w:p>
    <w:p w:rsidR="00474F3E" w:rsidRDefault="00474F3E" w:rsidP="00596D01">
      <w:pPr>
        <w:pStyle w:val="Bullet1"/>
      </w:pPr>
      <w:r>
        <w:t>the residential care workforce is relatively stable with 25</w:t>
      </w:r>
      <w:r w:rsidR="00A261F3">
        <w:t> per cent</w:t>
      </w:r>
      <w:r>
        <w:t xml:space="preserve"> of workers having been in the sector for over 14 years;</w:t>
      </w:r>
    </w:p>
    <w:p w:rsidR="00474F3E" w:rsidRDefault="00474F3E" w:rsidP="00596D01">
      <w:pPr>
        <w:pStyle w:val="Bullet1"/>
      </w:pPr>
      <w:r>
        <w:t xml:space="preserve">aged care workers have high levels of job satisfaction, but have concerns regarding remuneration, time available to provide care and a perception that aged care is not valued highly by the general community; and </w:t>
      </w:r>
    </w:p>
    <w:p w:rsidR="00474F3E" w:rsidRDefault="00474F3E" w:rsidP="00596D01">
      <w:pPr>
        <w:pStyle w:val="Bullet1"/>
      </w:pPr>
      <w:r>
        <w:t>reported times to fill vacancies are not indicative of a tight labour market, though some providers, particularly in remote areas, have difficulties in recruiting appropriately qualified staff.</w:t>
      </w:r>
    </w:p>
    <w:p w:rsidR="00D8721E" w:rsidRDefault="00474F3E" w:rsidP="00596D01">
      <w:r>
        <w:t>The Aged Care Workforce Taskforce was established in</w:t>
      </w:r>
      <w:r w:rsidR="00A261F3">
        <w:t> 201</w:t>
      </w:r>
      <w:r>
        <w:t>7 to develop an Aged Care Workforce Strategy. The Taskforce undertook consultation over the period November</w:t>
      </w:r>
      <w:r w:rsidR="00A261F3">
        <w:t> 201</w:t>
      </w:r>
      <w:r>
        <w:t>7 to May</w:t>
      </w:r>
      <w:r w:rsidR="00A261F3">
        <w:t> 201</w:t>
      </w:r>
      <w:r>
        <w:t>8. Taskforce delivered its Strategy to the Minister for Aged Care on 29 June</w:t>
      </w:r>
      <w:r w:rsidR="00A261F3">
        <w:t> 201</w:t>
      </w:r>
      <w:r>
        <w:t>8.</w:t>
      </w:r>
    </w:p>
    <w:p w:rsidR="00474F3E" w:rsidRPr="00596D01" w:rsidRDefault="00474F3E" w:rsidP="00596D01">
      <w:pPr>
        <w:pStyle w:val="Heading2"/>
      </w:pPr>
      <w:bookmarkStart w:id="22" w:name="_Toc524424675"/>
      <w:r w:rsidRPr="00596D01">
        <w:t>Aged care reforms</w:t>
      </w:r>
      <w:bookmarkEnd w:id="22"/>
    </w:p>
    <w:p w:rsidR="00474F3E" w:rsidRDefault="00474F3E" w:rsidP="00596D01">
      <w:r>
        <w:t>ACFA has previously concluded that the</w:t>
      </w:r>
      <w:r w:rsidR="00A261F3">
        <w:t> 201</w:t>
      </w:r>
      <w:r w:rsidRPr="00D26DBF">
        <w:t>4</w:t>
      </w:r>
      <w:r>
        <w:t xml:space="preserve"> funding and financial reforms strengthened the viability and sustainability of the sector, although </w:t>
      </w:r>
      <w:r w:rsidRPr="00D26DBF">
        <w:t xml:space="preserve">more recent developments suggest the sector is facing increased </w:t>
      </w:r>
      <w:r>
        <w:t>financial pressures. ACFA also notes that some of the consumer focussed reforms resulted in challenges for consumers and providers. Some of ACFA’s observations on the impact of the changes include:</w:t>
      </w:r>
    </w:p>
    <w:p w:rsidR="00474F3E" w:rsidRDefault="00474F3E" w:rsidP="00596D01">
      <w:pPr>
        <w:pStyle w:val="Bullet1"/>
      </w:pPr>
      <w:r>
        <w:t>the pool of lump sum accommodation deposits held by providers continues to grow ($24.8</w:t>
      </w:r>
      <w:r w:rsidR="00A261F3">
        <w:t> billion</w:t>
      </w:r>
      <w:r>
        <w:rPr>
          <w:rStyle w:val="FootnoteReference"/>
          <w:rFonts w:cs="Segoe UI"/>
        </w:rPr>
        <w:footnoteReference w:id="1"/>
      </w:r>
      <w:r>
        <w:t xml:space="preserve"> at </w:t>
      </w:r>
      <w:r w:rsidR="00A261F3">
        <w:t>30 J</w:t>
      </w:r>
      <w:r>
        <w:t>une</w:t>
      </w:r>
      <w:r w:rsidR="00A261F3">
        <w:t> 201</w:t>
      </w:r>
      <w:r>
        <w:t>7, up from $21.9</w:t>
      </w:r>
      <w:r w:rsidR="00A261F3">
        <w:t> billion</w:t>
      </w:r>
      <w:r>
        <w:t xml:space="preserve"> at </w:t>
      </w:r>
      <w:r w:rsidR="00A261F3">
        <w:t>30 J</w:t>
      </w:r>
      <w:r>
        <w:t>une</w:t>
      </w:r>
      <w:r w:rsidR="00A261F3">
        <w:t> 201</w:t>
      </w:r>
      <w:r>
        <w:t>6 and $15.6</w:t>
      </w:r>
      <w:r w:rsidR="00A261F3">
        <w:t> billion</w:t>
      </w:r>
      <w:r>
        <w:t xml:space="preserve"> when the reforms began on 1 July</w:t>
      </w:r>
      <w:r w:rsidR="00A261F3">
        <w:t> 201</w:t>
      </w:r>
      <w:r>
        <w:t xml:space="preserve">4); </w:t>
      </w:r>
    </w:p>
    <w:p w:rsidR="00474F3E" w:rsidRDefault="00474F3E" w:rsidP="00596D01">
      <w:pPr>
        <w:pStyle w:val="Bullet1"/>
      </w:pPr>
      <w:r>
        <w:lastRenderedPageBreak/>
        <w:t>for the first time since the reforms of July</w:t>
      </w:r>
      <w:r w:rsidR="00A261F3">
        <w:t> 201</w:t>
      </w:r>
      <w:r>
        <w:t>4, refundable accommodation deposits (RADs) were not the preferred method of accommodation payment, with daily payments being slightly more popular during</w:t>
      </w:r>
      <w:r w:rsidR="00A261F3">
        <w:t> 201</w:t>
      </w:r>
      <w:r>
        <w:t>6</w:t>
      </w:r>
      <w:r w:rsidR="00D8721E">
        <w:t>–1</w:t>
      </w:r>
      <w:r>
        <w:t>7;</w:t>
      </w:r>
    </w:p>
    <w:p w:rsidR="00D8721E" w:rsidRDefault="00474F3E" w:rsidP="00596D01">
      <w:pPr>
        <w:pStyle w:val="Bullet1"/>
      </w:pPr>
      <w:r>
        <w:t>means testing arrangements in residential care and income testing in home care have not affected overall access to care, although proportionally less self-funded retirees and part-pensioners are accessing home care package levels 1 and 2 compared with levels 3 and 4</w:t>
      </w:r>
      <w:r w:rsidR="00D8721E">
        <w:t>.</w:t>
      </w:r>
    </w:p>
    <w:p w:rsidR="00474F3E" w:rsidRDefault="00474F3E" w:rsidP="00596D01">
      <w:r>
        <w:t>The significant reforms in home care included the commencement on 27 February</w:t>
      </w:r>
      <w:r w:rsidR="00A261F3">
        <w:t> 201</w:t>
      </w:r>
      <w:r>
        <w:t>7 of packages following consumers. Packages are now assigned to consumers who are able to select the provider of their choice. The</w:t>
      </w:r>
      <w:r w:rsidR="00A261F3">
        <w:t> 201</w:t>
      </w:r>
      <w:r>
        <w:t>6</w:t>
      </w:r>
      <w:r w:rsidR="00D8721E">
        <w:t>–1</w:t>
      </w:r>
      <w:r>
        <w:t>7 financial data will only start to reflect the impact of these reforms. ACFA will continue to provide commentary on the effect of this change on consumers and providers in future annual reports.</w:t>
      </w:r>
    </w:p>
    <w:p w:rsidR="00533BE9" w:rsidRDefault="00533BE9" w:rsidP="00596D01">
      <w:r>
        <w:t>The 27 February</w:t>
      </w:r>
      <w:r w:rsidR="00A261F3">
        <w:t> 201</w:t>
      </w:r>
      <w:r>
        <w:t xml:space="preserve">7 reforms also introduced the National Prioritisation Queue which made the potential extent of demand for home care packages transparent for the first time. ACFA considers that further analysis is required to </w:t>
      </w:r>
      <w:r w:rsidR="00CD1651">
        <w:t xml:space="preserve">better </w:t>
      </w:r>
      <w:r>
        <w:t>understand the extent to which the queue represents unmet need for aged care.</w:t>
      </w:r>
    </w:p>
    <w:p w:rsidR="00D8721E" w:rsidRDefault="00474F3E" w:rsidP="00596D01">
      <w:r>
        <w:t>ACFA also notes that with the changes of February</w:t>
      </w:r>
      <w:r w:rsidR="00A261F3">
        <w:t> 201</w:t>
      </w:r>
      <w:r>
        <w:t>7, home care providers are holding a high level of unspent funds on behalf of consumers ($329</w:t>
      </w:r>
      <w:r w:rsidR="00A261F3">
        <w:t> million</w:t>
      </w:r>
      <w:r>
        <w:t xml:space="preserve"> at </w:t>
      </w:r>
      <w:r w:rsidR="00A261F3">
        <w:t>30 J</w:t>
      </w:r>
      <w:r>
        <w:t>une</w:t>
      </w:r>
      <w:r w:rsidR="00A261F3">
        <w:t> 201</w:t>
      </w:r>
      <w:r>
        <w:t>7) which is required to be returned to the Commonwealth and the consumer (proportional to their respective contributions) when a consumer leaves care. The level of unspent funds could increase substantially in the medium term. ACFA considers that a review of policies concerning unspent package funds and the implications for the home care package program is warranted.</w:t>
      </w:r>
    </w:p>
    <w:p w:rsidR="00474F3E" w:rsidRPr="00596D01" w:rsidRDefault="00474F3E" w:rsidP="00596D01">
      <w:pPr>
        <w:pStyle w:val="Heading2"/>
      </w:pPr>
      <w:bookmarkStart w:id="23" w:name="_Toc524424676"/>
      <w:r w:rsidRPr="00596D01">
        <w:t>Access to aged care</w:t>
      </w:r>
      <w:bookmarkEnd w:id="23"/>
    </w:p>
    <w:p w:rsidR="00474F3E" w:rsidRDefault="00474F3E" w:rsidP="00596D01">
      <w:r>
        <w:t>The overall aged care provision target ratio is being adjusted to progressively increase from 113 operational places (packages in home care) per 1,000 people aged 70 and over in</w:t>
      </w:r>
      <w:r w:rsidR="00A261F3">
        <w:t> 201</w:t>
      </w:r>
      <w:r>
        <w:t>2 to 125 by</w:t>
      </w:r>
      <w:r w:rsidR="00A261F3">
        <w:t> 202</w:t>
      </w:r>
      <w:r>
        <w:t>1</w:t>
      </w:r>
      <w:r w:rsidR="00D8721E">
        <w:t>–2</w:t>
      </w:r>
      <w:r>
        <w:t>2. Over the same period the target for home care packages will increase from 27 to 45, while the residential care target is to reduce from 86 to 78. The remaining two places are for the STRC Programme.</w:t>
      </w:r>
    </w:p>
    <w:p w:rsidR="00474F3E" w:rsidRDefault="00474F3E" w:rsidP="00596D01">
      <w:r>
        <w:t>In</w:t>
      </w:r>
      <w:r w:rsidR="00A261F3">
        <w:t> 201</w:t>
      </w:r>
      <w:r>
        <w:t>6</w:t>
      </w:r>
      <w:r w:rsidR="00D8721E">
        <w:t>–1</w:t>
      </w:r>
      <w:r>
        <w:t>7:</w:t>
      </w:r>
    </w:p>
    <w:p w:rsidR="00474F3E" w:rsidRDefault="00474F3E" w:rsidP="00596D01">
      <w:pPr>
        <w:pStyle w:val="Bullet1"/>
      </w:pPr>
      <w:r>
        <w:t xml:space="preserve">239,379 older Australians received services through permanent residential care and 59,228 received residential respite care, compared with </w:t>
      </w:r>
      <w:r w:rsidR="007C40F9">
        <w:t xml:space="preserve">234,931 </w:t>
      </w:r>
      <w:r>
        <w:t>and 56,852 in</w:t>
      </w:r>
      <w:r w:rsidR="00A261F3">
        <w:t> 201</w:t>
      </w:r>
      <w:r>
        <w:t>5</w:t>
      </w:r>
      <w:r w:rsidR="00D8721E">
        <w:t>–1</w:t>
      </w:r>
      <w:r>
        <w:t>6;</w:t>
      </w:r>
    </w:p>
    <w:p w:rsidR="00474F3E" w:rsidRDefault="00474F3E" w:rsidP="00596D01">
      <w:pPr>
        <w:pStyle w:val="Bullet1"/>
      </w:pPr>
      <w:r>
        <w:t xml:space="preserve">The provision ratio achieved for residential care at </w:t>
      </w:r>
      <w:r w:rsidR="00A261F3">
        <w:t>30 J</w:t>
      </w:r>
      <w:r>
        <w:t>une</w:t>
      </w:r>
      <w:r w:rsidR="00A261F3">
        <w:t> 201</w:t>
      </w:r>
      <w:r>
        <w:t>7 was 77.9;</w:t>
      </w:r>
    </w:p>
    <w:p w:rsidR="00474F3E" w:rsidRDefault="00474F3E" w:rsidP="00596D01">
      <w:pPr>
        <w:pStyle w:val="Bullet1"/>
      </w:pPr>
      <w:r>
        <w:t>97,516 consumers were in receipt of a home care package at some stage during</w:t>
      </w:r>
      <w:r w:rsidR="00A261F3">
        <w:t> 201</w:t>
      </w:r>
      <w:r>
        <w:t>6</w:t>
      </w:r>
      <w:r w:rsidR="00D8721E">
        <w:t>–1</w:t>
      </w:r>
      <w:r>
        <w:t>7. 151,500 home care packages will be required by</w:t>
      </w:r>
      <w:r w:rsidR="00A261F3">
        <w:t> 202</w:t>
      </w:r>
      <w:r>
        <w:t>1</w:t>
      </w:r>
      <w:r w:rsidR="00D8721E">
        <w:t>–2</w:t>
      </w:r>
      <w:r>
        <w:t>2 in order to meet the target ratio of 45; and</w:t>
      </w:r>
      <w:r w:rsidR="00D8721E">
        <w:t xml:space="preserve"> </w:t>
      </w:r>
    </w:p>
    <w:p w:rsidR="00474F3E" w:rsidRDefault="00474F3E" w:rsidP="00596D01">
      <w:pPr>
        <w:pStyle w:val="Bullet1"/>
      </w:pPr>
      <w:r>
        <w:t>722,838 consumers received services through the Commonwealth Home Support Programme (CHSP), and 62,089 older Australians received services through the Western Australian Home and Community Care (HACC), compared with 640,000 CHSP consumers and 285,432 HACC consumers in Victoria and Western Australia in</w:t>
      </w:r>
      <w:r w:rsidR="00A261F3">
        <w:t> 201</w:t>
      </w:r>
      <w:r>
        <w:t>5</w:t>
      </w:r>
      <w:r w:rsidR="00D8721E">
        <w:t>–1</w:t>
      </w:r>
      <w:r>
        <w:t>6.</w:t>
      </w:r>
    </w:p>
    <w:p w:rsidR="00474F3E" w:rsidRDefault="00474F3E" w:rsidP="00474F3E">
      <w:pPr>
        <w:pStyle w:val="BodyText"/>
        <w:rPr>
          <w:rFonts w:ascii="Segoe UI" w:hAnsi="Segoe UI" w:cs="Segoe UI"/>
          <w:szCs w:val="20"/>
        </w:rPr>
      </w:pPr>
      <w:r>
        <w:rPr>
          <w:rFonts w:ascii="Segoe UI" w:hAnsi="Segoe UI" w:cs="Segoe UI"/>
          <w:szCs w:val="20"/>
        </w:rPr>
        <w:t>Usage of aged care increases significantly with age. Thirty-three</w:t>
      </w:r>
      <w:r w:rsidR="00A261F3">
        <w:rPr>
          <w:rFonts w:ascii="Segoe UI" w:hAnsi="Segoe UI" w:cs="Segoe UI"/>
          <w:szCs w:val="20"/>
        </w:rPr>
        <w:t> per cent</w:t>
      </w:r>
      <w:r>
        <w:rPr>
          <w:rFonts w:ascii="Segoe UI" w:hAnsi="Segoe UI" w:cs="Segoe UI"/>
          <w:szCs w:val="20"/>
        </w:rPr>
        <w:t xml:space="preserve"> of people aged 70 and over access some form of subsidised aged care and this rises to 70</w:t>
      </w:r>
      <w:r w:rsidR="00A261F3">
        <w:rPr>
          <w:rFonts w:ascii="Segoe UI" w:hAnsi="Segoe UI" w:cs="Segoe UI"/>
          <w:szCs w:val="20"/>
        </w:rPr>
        <w:t> per cent</w:t>
      </w:r>
      <w:r>
        <w:rPr>
          <w:rFonts w:ascii="Segoe UI" w:hAnsi="Segoe UI" w:cs="Segoe UI"/>
          <w:szCs w:val="20"/>
        </w:rPr>
        <w:t xml:space="preserve"> for people aged 85 and over.</w:t>
      </w:r>
    </w:p>
    <w:p w:rsidR="00474F3E" w:rsidRDefault="00474F3E" w:rsidP="00596D01">
      <w:r>
        <w:t>Admissions to both home care and residential care have been broadly stable since the reforms of 1 July</w:t>
      </w:r>
      <w:r w:rsidR="00A261F3">
        <w:t> 201</w:t>
      </w:r>
      <w:r>
        <w:t>4. ACFA’s observations regarding admissions and occupancy for residential care in</w:t>
      </w:r>
      <w:r w:rsidR="00A261F3">
        <w:t> 201</w:t>
      </w:r>
      <w:r>
        <w:t>6</w:t>
      </w:r>
      <w:r w:rsidR="00D8721E">
        <w:t>–1</w:t>
      </w:r>
      <w:r>
        <w:t>7 are:</w:t>
      </w:r>
    </w:p>
    <w:p w:rsidR="00474F3E" w:rsidRDefault="00474F3E" w:rsidP="00596D01">
      <w:pPr>
        <w:pStyle w:val="Bullet1"/>
      </w:pPr>
      <w:r>
        <w:t>the proportion of admissions to residential respite care continued to increase compared with permanent care; and</w:t>
      </w:r>
    </w:p>
    <w:p w:rsidR="00474F3E" w:rsidRDefault="00474F3E" w:rsidP="00596D01">
      <w:pPr>
        <w:pStyle w:val="Bullet1"/>
      </w:pPr>
      <w:r>
        <w:t>average occupancy in residential care dropped to 91.8</w:t>
      </w:r>
      <w:r w:rsidR="00A261F3">
        <w:t> per cent</w:t>
      </w:r>
      <w:r>
        <w:t xml:space="preserve"> from 92.4</w:t>
      </w:r>
      <w:r w:rsidR="00A261F3">
        <w:t> per cent</w:t>
      </w:r>
      <w:r>
        <w:t xml:space="preserve"> after being stable in recent years; </w:t>
      </w:r>
    </w:p>
    <w:p w:rsidR="00474F3E" w:rsidRDefault="00474F3E" w:rsidP="00596D01">
      <w:r>
        <w:t>On-going demographic changes will see a continuing increase in demand for aged care, as the proportion of people aged 85 and over grows to nearly 5</w:t>
      </w:r>
      <w:r w:rsidR="00A261F3">
        <w:t> per cent</w:t>
      </w:r>
      <w:r>
        <w:t xml:space="preserve"> of the population by 2055, compared with just over 2</w:t>
      </w:r>
      <w:r w:rsidR="00A261F3">
        <w:t> per cent</w:t>
      </w:r>
      <w:r>
        <w:t xml:space="preserve"> today.</w:t>
      </w:r>
    </w:p>
    <w:p w:rsidR="00474F3E" w:rsidRDefault="00474F3E" w:rsidP="00596D01">
      <w:r>
        <w:lastRenderedPageBreak/>
        <w:t>During</w:t>
      </w:r>
      <w:r w:rsidR="00A261F3">
        <w:t> 201</w:t>
      </w:r>
      <w:r>
        <w:t>6</w:t>
      </w:r>
      <w:r w:rsidR="00D8721E">
        <w:t>–1</w:t>
      </w:r>
      <w:r>
        <w:t>7, across all residential care, the average proportion of supported residents (excluding residents receiving extra services) was 48.5</w:t>
      </w:r>
      <w:r w:rsidR="00A261F3">
        <w:t> per cent</w:t>
      </w:r>
      <w:r>
        <w:t xml:space="preserve"> compared with 46.8</w:t>
      </w:r>
      <w:r w:rsidR="00A261F3">
        <w:t> per cent</w:t>
      </w:r>
      <w:r>
        <w:t xml:space="preserve"> in</w:t>
      </w:r>
      <w:r w:rsidR="00A261F3">
        <w:t> 201</w:t>
      </w:r>
      <w:r>
        <w:t>5</w:t>
      </w:r>
      <w:r w:rsidR="00D8721E">
        <w:t>–1</w:t>
      </w:r>
      <w:r>
        <w:t>6 and 47.0</w:t>
      </w:r>
      <w:r w:rsidR="00A261F3">
        <w:t> per cent</w:t>
      </w:r>
      <w:r>
        <w:t xml:space="preserve"> in</w:t>
      </w:r>
      <w:r w:rsidR="00A261F3">
        <w:t> 201</w:t>
      </w:r>
      <w:r>
        <w:t>4</w:t>
      </w:r>
      <w:r w:rsidR="00D8721E">
        <w:t>–1</w:t>
      </w:r>
      <w:r>
        <w:t>5.</w:t>
      </w:r>
    </w:p>
    <w:p w:rsidR="00D8721E" w:rsidRDefault="00474F3E" w:rsidP="00596D01">
      <w:r>
        <w:t>ACFA notes that one measure that has been used for monitoring access to aged care services relative to the ageing of the population is progress towards achieving population-based operational provision ratios. Since the February</w:t>
      </w:r>
      <w:r w:rsidR="00A261F3">
        <w:t> 201</w:t>
      </w:r>
      <w:r>
        <w:t>7 reforms which introduced assigning packages to consumers instead of allocating packages to providers, it is no longer possible to calculate provision ratios for home care packages using the methodology used prior to the February</w:t>
      </w:r>
      <w:r w:rsidR="00A261F3">
        <w:t> 201</w:t>
      </w:r>
      <w:r>
        <w:t>7 reforms. ACFA considers that the provision ratios need to be recalibrated to allow trends in access to continue to be monitored.</w:t>
      </w:r>
    </w:p>
    <w:p w:rsidR="00474F3E" w:rsidRPr="00596D01" w:rsidRDefault="00474F3E" w:rsidP="00596D01">
      <w:pPr>
        <w:pStyle w:val="Heading2"/>
      </w:pPr>
      <w:bookmarkStart w:id="24" w:name="_Toc524424677"/>
      <w:r w:rsidRPr="00596D01">
        <w:t>Home support</w:t>
      </w:r>
      <w:bookmarkEnd w:id="24"/>
    </w:p>
    <w:p w:rsidR="00474F3E" w:rsidRDefault="00474F3E" w:rsidP="00596D01">
      <w:r>
        <w:t>In</w:t>
      </w:r>
      <w:r w:rsidR="00A261F3">
        <w:t> 201</w:t>
      </w:r>
      <w:r>
        <w:t>6</w:t>
      </w:r>
      <w:r w:rsidR="00D8721E">
        <w:t>–1</w:t>
      </w:r>
      <w:r>
        <w:t>7, the Australian Government provided total home support funding of $2.4</w:t>
      </w:r>
      <w:r w:rsidR="00A261F3">
        <w:t> billion</w:t>
      </w:r>
      <w:r>
        <w:t xml:space="preserve">. CHSP services were provided to 722,838 consumers and a further 62,089 in the Western Australian HACC. There </w:t>
      </w:r>
      <w:r>
        <w:rPr>
          <w:color w:val="404040"/>
        </w:rPr>
        <w:t>were 1,523 CHSP providers and 98 HACC providers in Western Australia.</w:t>
      </w:r>
    </w:p>
    <w:p w:rsidR="00D8721E" w:rsidRDefault="00474F3E" w:rsidP="00596D01">
      <w:pPr>
        <w:rPr>
          <w:lang w:val="en-GB"/>
        </w:rPr>
      </w:pPr>
      <w:r>
        <w:rPr>
          <w:lang w:val="en-GB"/>
        </w:rPr>
        <w:t>The Victorian HACC program transitioned into the CHSP on 1 July</w:t>
      </w:r>
      <w:r w:rsidR="00A261F3">
        <w:rPr>
          <w:lang w:val="en-GB"/>
        </w:rPr>
        <w:t> 201</w:t>
      </w:r>
      <w:r>
        <w:rPr>
          <w:lang w:val="en-GB"/>
        </w:rPr>
        <w:t>6, followed by the Western Australian HACC program on 1 July</w:t>
      </w:r>
      <w:r w:rsidR="00A261F3">
        <w:rPr>
          <w:lang w:val="en-GB"/>
        </w:rPr>
        <w:t> 201</w:t>
      </w:r>
      <w:r>
        <w:rPr>
          <w:lang w:val="en-GB"/>
        </w:rPr>
        <w:t>8.</w:t>
      </w:r>
    </w:p>
    <w:p w:rsidR="00474F3E" w:rsidRPr="00596D01" w:rsidRDefault="00474F3E" w:rsidP="00596D01">
      <w:pPr>
        <w:pStyle w:val="Heading2"/>
      </w:pPr>
      <w:bookmarkStart w:id="25" w:name="_Toc524424678"/>
      <w:r w:rsidRPr="00596D01">
        <w:t>Home care – operational performance</w:t>
      </w:r>
      <w:bookmarkEnd w:id="25"/>
    </w:p>
    <w:p w:rsidR="00D8721E" w:rsidRDefault="00474F3E" w:rsidP="00596D01">
      <w:r>
        <w:t>Home care providers received an estimated $1.85</w:t>
      </w:r>
      <w:r w:rsidR="00A261F3">
        <w:t> billion</w:t>
      </w:r>
      <w:r>
        <w:t xml:space="preserve"> in revenue in</w:t>
      </w:r>
      <w:r w:rsidR="00A261F3">
        <w:t> 201</w:t>
      </w:r>
      <w:r>
        <w:t>6</w:t>
      </w:r>
      <w:r w:rsidR="00D8721E">
        <w:t>–1</w:t>
      </w:r>
      <w:r>
        <w:t>7, incurred around $1.65</w:t>
      </w:r>
      <w:r w:rsidR="00A261F3">
        <w:t> billion</w:t>
      </w:r>
      <w:r>
        <w:t xml:space="preserve"> in expenses and generated $201</w:t>
      </w:r>
      <w:r w:rsidR="00A261F3">
        <w:t> million</w:t>
      </w:r>
      <w:r>
        <w:t xml:space="preserve"> in profit. Total Commonwealth funding was $1.68</w:t>
      </w:r>
      <w:r w:rsidR="00A261F3">
        <w:t> billion</w:t>
      </w:r>
      <w:r w:rsidR="00D8721E">
        <w:t>.</w:t>
      </w:r>
    </w:p>
    <w:p w:rsidR="00474F3E" w:rsidRDefault="00474F3E" w:rsidP="00596D01">
      <w:r>
        <w:t>Consumers of home care contributed around $150</w:t>
      </w:r>
      <w:r w:rsidR="00A261F3">
        <w:t> million</w:t>
      </w:r>
      <w:r>
        <w:t xml:space="preserve"> toward the cost of their care through basic daily fees and income tested fees.</w:t>
      </w:r>
    </w:p>
    <w:p w:rsidR="00474F3E" w:rsidRDefault="00474F3E" w:rsidP="00596D01">
      <w:r>
        <w:t>The financial performance of home care providers continued to be relatively strong in</w:t>
      </w:r>
      <w:r w:rsidR="00A261F3">
        <w:t> 201</w:t>
      </w:r>
      <w:r>
        <w:t>6</w:t>
      </w:r>
      <w:r w:rsidR="00D8721E">
        <w:t>–1</w:t>
      </w:r>
      <w:r>
        <w:t>7 but reported a slight decrease in profits compared with</w:t>
      </w:r>
      <w:r w:rsidR="00A261F3">
        <w:t> 201</w:t>
      </w:r>
      <w:r>
        <w:t>5</w:t>
      </w:r>
      <w:r w:rsidR="00D8721E">
        <w:t>–1</w:t>
      </w:r>
      <w:r>
        <w:t>6.</w:t>
      </w:r>
    </w:p>
    <w:p w:rsidR="00474F3E" w:rsidRDefault="00474F3E" w:rsidP="00596D01">
      <w:pPr>
        <w:pStyle w:val="Bullet1"/>
        <w:rPr>
          <w:lang w:val="en-GB"/>
        </w:rPr>
      </w:pPr>
      <w:r>
        <w:rPr>
          <w:lang w:val="en-GB"/>
        </w:rPr>
        <w:t>75</w:t>
      </w:r>
      <w:r w:rsidR="00A261F3">
        <w:rPr>
          <w:lang w:val="en-GB"/>
        </w:rPr>
        <w:t> per cent</w:t>
      </w:r>
      <w:r>
        <w:rPr>
          <w:lang w:val="en-GB"/>
        </w:rPr>
        <w:t xml:space="preserve"> of home care providers generated a net profit, the same as</w:t>
      </w:r>
      <w:r w:rsidR="00A261F3">
        <w:rPr>
          <w:lang w:val="en-GB"/>
        </w:rPr>
        <w:t> 201</w:t>
      </w:r>
      <w:r>
        <w:rPr>
          <w:lang w:val="en-GB"/>
        </w:rPr>
        <w:t>5</w:t>
      </w:r>
      <w:r w:rsidR="00D8721E">
        <w:rPr>
          <w:lang w:val="en-GB"/>
        </w:rPr>
        <w:t>–1</w:t>
      </w:r>
      <w:r>
        <w:rPr>
          <w:lang w:val="en-GB"/>
        </w:rPr>
        <w:t>6.</w:t>
      </w:r>
    </w:p>
    <w:p w:rsidR="00D8721E" w:rsidRDefault="00474F3E" w:rsidP="00596D01">
      <w:pPr>
        <w:pStyle w:val="Bullet1"/>
        <w:rPr>
          <w:lang w:val="en-GB"/>
        </w:rPr>
      </w:pPr>
      <w:r>
        <w:rPr>
          <w:lang w:val="en-GB"/>
        </w:rPr>
        <w:t>The average EBITDA per consumer per annum was $2,989, down slightly from $3,055 in</w:t>
      </w:r>
      <w:r w:rsidR="00A261F3">
        <w:rPr>
          <w:lang w:val="en-GB"/>
        </w:rPr>
        <w:t> 201</w:t>
      </w:r>
      <w:r>
        <w:rPr>
          <w:lang w:val="en-GB"/>
        </w:rPr>
        <w:t>5</w:t>
      </w:r>
      <w:r w:rsidR="00D8721E">
        <w:rPr>
          <w:lang w:val="en-GB"/>
        </w:rPr>
        <w:t>–1</w:t>
      </w:r>
      <w:r>
        <w:rPr>
          <w:lang w:val="en-GB"/>
        </w:rPr>
        <w:t>6.</w:t>
      </w:r>
    </w:p>
    <w:p w:rsidR="00474F3E" w:rsidRPr="00596D01" w:rsidRDefault="00474F3E" w:rsidP="00596D01">
      <w:pPr>
        <w:pStyle w:val="Heading2"/>
      </w:pPr>
      <w:bookmarkStart w:id="26" w:name="_Toc524424679"/>
      <w:r w:rsidRPr="00596D01">
        <w:t>Residential aged care – characteristics of the sector</w:t>
      </w:r>
      <w:bookmarkEnd w:id="26"/>
    </w:p>
    <w:p w:rsidR="00D8721E" w:rsidRDefault="00474F3E" w:rsidP="00596D01">
      <w:r>
        <w:t>In</w:t>
      </w:r>
      <w:r w:rsidR="00A261F3">
        <w:t> 201</w:t>
      </w:r>
      <w:r>
        <w:t>6</w:t>
      </w:r>
      <w:r w:rsidR="00D8721E">
        <w:t>–1</w:t>
      </w:r>
      <w:r>
        <w:t>7, there were 902 residential care providers who operated</w:t>
      </w:r>
      <w:r w:rsidR="00A261F3">
        <w:t> 200</w:t>
      </w:r>
      <w:r>
        <w:t xml:space="preserve">,689 places. The residential aged care sector is continuing to consolidate, with the number of residential care places increasing while the number of providers continues to decrease </w:t>
      </w:r>
      <w:r w:rsidRPr="00D26DBF">
        <w:t>gradually</w:t>
      </w:r>
      <w:r>
        <w:t>.</w:t>
      </w:r>
    </w:p>
    <w:p w:rsidR="00474F3E" w:rsidRPr="00596D01" w:rsidRDefault="00474F3E" w:rsidP="00596D01">
      <w:pPr>
        <w:pStyle w:val="Heading2"/>
      </w:pPr>
      <w:bookmarkStart w:id="27" w:name="_Toc524424680"/>
      <w:r w:rsidRPr="00596D01">
        <w:t>Residential aged care – operational performance</w:t>
      </w:r>
      <w:bookmarkEnd w:id="27"/>
    </w:p>
    <w:p w:rsidR="00D8721E" w:rsidRDefault="00474F3E" w:rsidP="00596D01">
      <w:pPr>
        <w:rPr>
          <w:lang w:val="en-GB"/>
        </w:rPr>
      </w:pPr>
      <w:r>
        <w:rPr>
          <w:lang w:val="en-GB"/>
        </w:rPr>
        <w:t>Residential care providers generated revenue of $17.8</w:t>
      </w:r>
      <w:r w:rsidR="00A261F3">
        <w:rPr>
          <w:lang w:val="en-GB"/>
        </w:rPr>
        <w:t> billion</w:t>
      </w:r>
      <w:r>
        <w:rPr>
          <w:lang w:val="en-GB"/>
        </w:rPr>
        <w:t xml:space="preserve"> in</w:t>
      </w:r>
      <w:r w:rsidR="00A261F3">
        <w:rPr>
          <w:lang w:val="en-GB"/>
        </w:rPr>
        <w:t> 201</w:t>
      </w:r>
      <w:r>
        <w:rPr>
          <w:lang w:val="en-GB"/>
        </w:rPr>
        <w:t>6</w:t>
      </w:r>
      <w:r w:rsidR="00D8721E">
        <w:rPr>
          <w:lang w:val="en-GB"/>
        </w:rPr>
        <w:t>–1</w:t>
      </w:r>
      <w:r>
        <w:rPr>
          <w:lang w:val="en-GB"/>
        </w:rPr>
        <w:t>7, equating to $269.55 per resident per day, an increase of 2.1</w:t>
      </w:r>
      <w:r w:rsidR="00A261F3">
        <w:rPr>
          <w:lang w:val="en-GB"/>
        </w:rPr>
        <w:t> per cent</w:t>
      </w:r>
      <w:r>
        <w:rPr>
          <w:lang w:val="en-GB"/>
        </w:rPr>
        <w:t xml:space="preserve"> from</w:t>
      </w:r>
      <w:r w:rsidR="00A261F3">
        <w:rPr>
          <w:lang w:val="en-GB"/>
        </w:rPr>
        <w:t> 201</w:t>
      </w:r>
      <w:r>
        <w:rPr>
          <w:lang w:val="en-GB"/>
        </w:rPr>
        <w:t>5</w:t>
      </w:r>
      <w:r w:rsidR="00D8721E">
        <w:rPr>
          <w:lang w:val="en-GB"/>
        </w:rPr>
        <w:t>–1</w:t>
      </w:r>
      <w:r>
        <w:rPr>
          <w:lang w:val="en-GB"/>
        </w:rPr>
        <w:t>6. Total expenses were $16.8</w:t>
      </w:r>
      <w:r w:rsidR="00A261F3">
        <w:rPr>
          <w:lang w:val="en-GB"/>
        </w:rPr>
        <w:t> billion</w:t>
      </w:r>
      <w:r>
        <w:rPr>
          <w:lang w:val="en-GB"/>
        </w:rPr>
        <w:t>, equating to $254.29 per resident per day, an increase of 2.7</w:t>
      </w:r>
      <w:r w:rsidR="00A261F3">
        <w:rPr>
          <w:lang w:val="en-GB"/>
        </w:rPr>
        <w:t> per cent</w:t>
      </w:r>
      <w:r>
        <w:rPr>
          <w:lang w:val="en-GB"/>
        </w:rPr>
        <w:t xml:space="preserve"> from</w:t>
      </w:r>
      <w:r w:rsidR="00A261F3">
        <w:rPr>
          <w:lang w:val="en-GB"/>
        </w:rPr>
        <w:t> 201</w:t>
      </w:r>
      <w:r>
        <w:rPr>
          <w:lang w:val="en-GB"/>
        </w:rPr>
        <w:t>5</w:t>
      </w:r>
      <w:r w:rsidR="00D8721E">
        <w:rPr>
          <w:lang w:val="en-GB"/>
        </w:rPr>
        <w:t>–1</w:t>
      </w:r>
      <w:r>
        <w:rPr>
          <w:lang w:val="en-GB"/>
        </w:rPr>
        <w:t>6</w:t>
      </w:r>
      <w:r w:rsidR="00D8721E">
        <w:rPr>
          <w:lang w:val="en-GB"/>
        </w:rPr>
        <w:t>.</w:t>
      </w:r>
    </w:p>
    <w:p w:rsidR="00D8721E" w:rsidRDefault="00474F3E" w:rsidP="00596D01">
      <w:pPr>
        <w:rPr>
          <w:lang w:val="en-GB"/>
        </w:rPr>
      </w:pPr>
      <w:r>
        <w:rPr>
          <w:lang w:val="en-GB"/>
        </w:rPr>
        <w:t>Residents contributed around $4.5</w:t>
      </w:r>
      <w:r w:rsidR="00A261F3">
        <w:rPr>
          <w:lang w:val="en-GB"/>
        </w:rPr>
        <w:t> billion</w:t>
      </w:r>
      <w:r>
        <w:rPr>
          <w:lang w:val="en-GB"/>
        </w:rPr>
        <w:t xml:space="preserve"> toward their living expenses, care and accommodation (excluding lump sum accommodation deposits)</w:t>
      </w:r>
      <w:r w:rsidR="00D8721E">
        <w:rPr>
          <w:lang w:val="en-GB"/>
        </w:rPr>
        <w:t>.</w:t>
      </w:r>
    </w:p>
    <w:p w:rsidR="00D8721E" w:rsidRDefault="00474F3E" w:rsidP="00596D01">
      <w:r>
        <w:t>ACFA notes that the financial performance of residential care providers in</w:t>
      </w:r>
      <w:r w:rsidR="00A261F3">
        <w:t> 201</w:t>
      </w:r>
      <w:r>
        <w:t>6</w:t>
      </w:r>
      <w:r w:rsidR="00D8721E">
        <w:t>–1</w:t>
      </w:r>
      <w:r>
        <w:t xml:space="preserve">7 was </w:t>
      </w:r>
      <w:r w:rsidRPr="00D26DBF">
        <w:t>broadly stable</w:t>
      </w:r>
      <w:r>
        <w:t>, although notes concerns from the sector regarding declining results in</w:t>
      </w:r>
      <w:r w:rsidR="00A261F3">
        <w:t> 201</w:t>
      </w:r>
      <w:r>
        <w:t>7</w:t>
      </w:r>
      <w:r w:rsidR="00D8721E">
        <w:t>–1</w:t>
      </w:r>
      <w:r>
        <w:t>8</w:t>
      </w:r>
      <w:r w:rsidR="00D8721E">
        <w:t>.</w:t>
      </w:r>
    </w:p>
    <w:p w:rsidR="00474F3E" w:rsidRDefault="00474F3E" w:rsidP="00596D01">
      <w:r>
        <w:t>In</w:t>
      </w:r>
      <w:r w:rsidR="00A261F3">
        <w:t> 201</w:t>
      </w:r>
      <w:r>
        <w:t>6</w:t>
      </w:r>
      <w:r w:rsidR="00D8721E">
        <w:t>–1</w:t>
      </w:r>
      <w:r>
        <w:t>7:</w:t>
      </w:r>
    </w:p>
    <w:p w:rsidR="00474F3E" w:rsidRDefault="00474F3E" w:rsidP="00596D01">
      <w:pPr>
        <w:pStyle w:val="Bullet1"/>
        <w:rPr>
          <w:lang w:val="en-GB"/>
        </w:rPr>
      </w:pPr>
      <w:r>
        <w:rPr>
          <w:lang w:val="en-GB"/>
        </w:rPr>
        <w:t>68</w:t>
      </w:r>
      <w:r w:rsidR="00A261F3">
        <w:rPr>
          <w:lang w:val="en-GB"/>
        </w:rPr>
        <w:t> per cent</w:t>
      </w:r>
      <w:r>
        <w:rPr>
          <w:lang w:val="en-GB"/>
        </w:rPr>
        <w:t xml:space="preserve"> of residential providers achieved a net profit compared with 69</w:t>
      </w:r>
      <w:r w:rsidR="00A261F3">
        <w:rPr>
          <w:lang w:val="en-GB"/>
        </w:rPr>
        <w:t> per cent</w:t>
      </w:r>
      <w:r>
        <w:rPr>
          <w:lang w:val="en-GB"/>
        </w:rPr>
        <w:t xml:space="preserve"> in</w:t>
      </w:r>
      <w:r w:rsidR="00A261F3">
        <w:rPr>
          <w:lang w:val="en-GB"/>
        </w:rPr>
        <w:t> 201</w:t>
      </w:r>
      <w:r>
        <w:rPr>
          <w:lang w:val="en-GB"/>
        </w:rPr>
        <w:t>5</w:t>
      </w:r>
      <w:r w:rsidR="00D8721E">
        <w:rPr>
          <w:lang w:val="en-GB"/>
        </w:rPr>
        <w:t>–1</w:t>
      </w:r>
      <w:r>
        <w:rPr>
          <w:lang w:val="en-GB"/>
        </w:rPr>
        <w:t>6 and 68</w:t>
      </w:r>
      <w:r w:rsidR="00A261F3">
        <w:rPr>
          <w:lang w:val="en-GB"/>
        </w:rPr>
        <w:t> per cent</w:t>
      </w:r>
      <w:r>
        <w:rPr>
          <w:lang w:val="en-GB"/>
        </w:rPr>
        <w:t xml:space="preserve"> in</w:t>
      </w:r>
      <w:r w:rsidR="00A261F3">
        <w:rPr>
          <w:lang w:val="en-GB"/>
        </w:rPr>
        <w:t> 201</w:t>
      </w:r>
      <w:r>
        <w:rPr>
          <w:lang w:val="en-GB"/>
        </w:rPr>
        <w:t>4</w:t>
      </w:r>
      <w:r w:rsidR="00D8721E">
        <w:rPr>
          <w:lang w:val="en-GB"/>
        </w:rPr>
        <w:t>–1</w:t>
      </w:r>
      <w:r>
        <w:rPr>
          <w:lang w:val="en-GB"/>
        </w:rPr>
        <w:t>5;</w:t>
      </w:r>
    </w:p>
    <w:p w:rsidR="00474F3E" w:rsidRDefault="00474F3E" w:rsidP="00596D01">
      <w:pPr>
        <w:pStyle w:val="Bullet1"/>
      </w:pPr>
      <w:r>
        <w:t>Average EBITDA per resident per annum increased from $11,134 to $11,481, an increase of 3.1</w:t>
      </w:r>
      <w:r w:rsidR="00A261F3">
        <w:t> per cent</w:t>
      </w:r>
      <w:r>
        <w:t>; and</w:t>
      </w:r>
      <w:r w:rsidR="00D8721E">
        <w:t xml:space="preserve"> </w:t>
      </w:r>
    </w:p>
    <w:p w:rsidR="00474F3E" w:rsidRDefault="00474F3E" w:rsidP="00596D01">
      <w:pPr>
        <w:pStyle w:val="Bullet1"/>
      </w:pPr>
      <w:r>
        <w:t>Total profit for the sector was $1,006</w:t>
      </w:r>
      <w:r w:rsidR="00A261F3">
        <w:t> million</w:t>
      </w:r>
      <w:r>
        <w:t>, a 5.4</w:t>
      </w:r>
      <w:r w:rsidR="00A261F3">
        <w:t> per cent</w:t>
      </w:r>
      <w:r>
        <w:t xml:space="preserve"> decrease compared with</w:t>
      </w:r>
      <w:r w:rsidR="00A261F3">
        <w:t> 201</w:t>
      </w:r>
      <w:r>
        <w:t>5</w:t>
      </w:r>
      <w:r w:rsidR="00D8721E">
        <w:t>–1</w:t>
      </w:r>
      <w:r>
        <w:t>6.</w:t>
      </w:r>
    </w:p>
    <w:p w:rsidR="00D8721E" w:rsidRDefault="00474F3E" w:rsidP="00596D01">
      <w:pPr>
        <w:rPr>
          <w:lang w:val="en-GB"/>
        </w:rPr>
      </w:pPr>
      <w:r>
        <w:rPr>
          <w:lang w:val="en-GB"/>
        </w:rPr>
        <w:t>ACFA notes that the changes to the Aged Care Funding Instrument (ACFI) and an indexation pause appear to be reflected in reduced financial results in</w:t>
      </w:r>
      <w:r w:rsidR="00A261F3">
        <w:rPr>
          <w:lang w:val="en-GB"/>
        </w:rPr>
        <w:t> 201</w:t>
      </w:r>
      <w:r>
        <w:rPr>
          <w:lang w:val="en-GB"/>
        </w:rPr>
        <w:t>7</w:t>
      </w:r>
      <w:r w:rsidR="00D8721E">
        <w:rPr>
          <w:lang w:val="en-GB"/>
        </w:rPr>
        <w:t>–1</w:t>
      </w:r>
      <w:r>
        <w:rPr>
          <w:lang w:val="en-GB"/>
        </w:rPr>
        <w:t xml:space="preserve">8, as reported by the sector and through financial surveys </w:t>
      </w:r>
      <w:r>
        <w:rPr>
          <w:lang w:val="en-GB"/>
        </w:rPr>
        <w:lastRenderedPageBreak/>
        <w:t xml:space="preserve">conducted by </w:t>
      </w:r>
      <w:proofErr w:type="spellStart"/>
      <w:r>
        <w:rPr>
          <w:lang w:val="en-GB"/>
        </w:rPr>
        <w:t>StewartBrown</w:t>
      </w:r>
      <w:proofErr w:type="spellEnd"/>
      <w:r>
        <w:rPr>
          <w:lang w:val="en-GB"/>
        </w:rPr>
        <w:t>. The</w:t>
      </w:r>
      <w:r w:rsidR="00A261F3">
        <w:rPr>
          <w:lang w:val="en-GB"/>
        </w:rPr>
        <w:t> 201</w:t>
      </w:r>
      <w:r>
        <w:rPr>
          <w:lang w:val="en-GB"/>
        </w:rPr>
        <w:t>7</w:t>
      </w:r>
      <w:r w:rsidR="00D8721E">
        <w:rPr>
          <w:lang w:val="en-GB"/>
        </w:rPr>
        <w:t>–1</w:t>
      </w:r>
      <w:r>
        <w:rPr>
          <w:lang w:val="en-GB"/>
        </w:rPr>
        <w:t>8 financial results for residential care providers are likely to show a decline compared with</w:t>
      </w:r>
      <w:r w:rsidR="00A261F3">
        <w:rPr>
          <w:lang w:val="en-GB"/>
        </w:rPr>
        <w:t> 201</w:t>
      </w:r>
      <w:r>
        <w:rPr>
          <w:lang w:val="en-GB"/>
        </w:rPr>
        <w:t>6</w:t>
      </w:r>
      <w:r w:rsidR="00D8721E">
        <w:rPr>
          <w:lang w:val="en-GB"/>
        </w:rPr>
        <w:t>–1</w:t>
      </w:r>
      <w:r>
        <w:rPr>
          <w:lang w:val="en-GB"/>
        </w:rPr>
        <w:t>7</w:t>
      </w:r>
      <w:r w:rsidR="00D8721E">
        <w:rPr>
          <w:lang w:val="en-GB"/>
        </w:rPr>
        <w:t>.</w:t>
      </w:r>
    </w:p>
    <w:p w:rsidR="00474F3E" w:rsidRPr="00596D01" w:rsidRDefault="00474F3E" w:rsidP="00596D01">
      <w:pPr>
        <w:pStyle w:val="Heading2"/>
      </w:pPr>
      <w:bookmarkStart w:id="28" w:name="_Toc524424681"/>
      <w:r w:rsidRPr="00596D01">
        <w:t>Residential aged care – capital investment</w:t>
      </w:r>
      <w:bookmarkEnd w:id="28"/>
    </w:p>
    <w:p w:rsidR="00474F3E" w:rsidRDefault="00474F3E" w:rsidP="00596D01">
      <w:pPr>
        <w:rPr>
          <w:lang w:val="en-GB"/>
        </w:rPr>
      </w:pPr>
      <w:r>
        <w:rPr>
          <w:lang w:val="en-GB"/>
        </w:rPr>
        <w:t xml:space="preserve">At </w:t>
      </w:r>
      <w:r w:rsidR="00A261F3">
        <w:rPr>
          <w:lang w:val="en-GB"/>
        </w:rPr>
        <w:t>30 J</w:t>
      </w:r>
      <w:r>
        <w:rPr>
          <w:lang w:val="en-GB"/>
        </w:rPr>
        <w:t>une</w:t>
      </w:r>
      <w:r w:rsidR="00A261F3">
        <w:rPr>
          <w:lang w:val="en-GB"/>
        </w:rPr>
        <w:t> 201</w:t>
      </w:r>
      <w:r>
        <w:rPr>
          <w:lang w:val="en-GB"/>
        </w:rPr>
        <w:t xml:space="preserve">7, compared with </w:t>
      </w:r>
      <w:r w:rsidR="00A261F3">
        <w:rPr>
          <w:lang w:val="en-GB"/>
        </w:rPr>
        <w:t>30 J</w:t>
      </w:r>
      <w:r>
        <w:rPr>
          <w:lang w:val="en-GB"/>
        </w:rPr>
        <w:t>une</w:t>
      </w:r>
      <w:r w:rsidR="00A261F3">
        <w:rPr>
          <w:lang w:val="en-GB"/>
        </w:rPr>
        <w:t> 201</w:t>
      </w:r>
      <w:r>
        <w:rPr>
          <w:lang w:val="en-GB"/>
        </w:rPr>
        <w:t>6, the industry as a whole had:</w:t>
      </w:r>
    </w:p>
    <w:p w:rsidR="00474F3E" w:rsidRDefault="00474F3E" w:rsidP="00596D01">
      <w:pPr>
        <w:pStyle w:val="Bullet1"/>
      </w:pPr>
      <w:r>
        <w:t>total assets of $45.0</w:t>
      </w:r>
      <w:r w:rsidR="00A261F3">
        <w:t> billion</w:t>
      </w:r>
      <w:r>
        <w:t>, up from $40.7</w:t>
      </w:r>
      <w:r w:rsidR="00A261F3">
        <w:t> billion</w:t>
      </w:r>
      <w:r>
        <w:t>. This includes:</w:t>
      </w:r>
    </w:p>
    <w:p w:rsidR="00474F3E" w:rsidRDefault="00474F3E" w:rsidP="00596D01">
      <w:pPr>
        <w:pStyle w:val="Bullet2"/>
      </w:pPr>
      <w:r>
        <w:t>$8.</w:t>
      </w:r>
      <w:r w:rsidR="003C5052">
        <w:t>2</w:t>
      </w:r>
      <w:r w:rsidR="00A261F3">
        <w:t> billion</w:t>
      </w:r>
      <w:r>
        <w:t xml:space="preserve"> of cash and other current financial assets</w:t>
      </w:r>
    </w:p>
    <w:p w:rsidR="00474F3E" w:rsidRDefault="00474F3E" w:rsidP="00596D01">
      <w:pPr>
        <w:pStyle w:val="Bullet2"/>
      </w:pPr>
      <w:r>
        <w:t>$23.0</w:t>
      </w:r>
      <w:r w:rsidR="00A261F3">
        <w:t> billion</w:t>
      </w:r>
      <w:r>
        <w:t xml:space="preserve"> of fixed assets;</w:t>
      </w:r>
    </w:p>
    <w:p w:rsidR="00474F3E" w:rsidRDefault="00474F3E" w:rsidP="00596D01">
      <w:pPr>
        <w:pStyle w:val="Bullet2"/>
      </w:pPr>
      <w:r>
        <w:t>$5.5</w:t>
      </w:r>
      <w:r w:rsidR="00A261F3">
        <w:t> billion</w:t>
      </w:r>
      <w:r>
        <w:t xml:space="preserve"> of intangible assets;</w:t>
      </w:r>
    </w:p>
    <w:p w:rsidR="00474F3E" w:rsidRDefault="00474F3E" w:rsidP="00596D01">
      <w:pPr>
        <w:pStyle w:val="Bullet2"/>
      </w:pPr>
      <w:r>
        <w:t>$4.3</w:t>
      </w:r>
      <w:r w:rsidR="00A261F3">
        <w:t> billion</w:t>
      </w:r>
      <w:r>
        <w:t xml:space="preserve"> of related party loans;</w:t>
      </w:r>
    </w:p>
    <w:p w:rsidR="00474F3E" w:rsidRDefault="00474F3E" w:rsidP="00596D01">
      <w:pPr>
        <w:pStyle w:val="Bullet2"/>
      </w:pPr>
      <w:r>
        <w:t>$1.4</w:t>
      </w:r>
      <w:r w:rsidR="00A261F3">
        <w:t> billion</w:t>
      </w:r>
      <w:r>
        <w:t xml:space="preserve"> of receivables; </w:t>
      </w:r>
    </w:p>
    <w:p w:rsidR="00474F3E" w:rsidRDefault="00474F3E" w:rsidP="00596D01">
      <w:pPr>
        <w:pStyle w:val="Bullet2"/>
      </w:pPr>
      <w:r>
        <w:t>$1.4</w:t>
      </w:r>
      <w:r w:rsidR="00A261F3">
        <w:t> billion</w:t>
      </w:r>
      <w:r>
        <w:t xml:space="preserve"> of non-current financial assets; and </w:t>
      </w:r>
    </w:p>
    <w:p w:rsidR="00D8721E" w:rsidRDefault="00474F3E" w:rsidP="00596D01">
      <w:pPr>
        <w:pStyle w:val="Bullet2"/>
      </w:pPr>
      <w:r>
        <w:t>$1.3</w:t>
      </w:r>
      <w:r w:rsidR="00A261F3">
        <w:t> billion</w:t>
      </w:r>
      <w:r>
        <w:t xml:space="preserve"> of other assets.</w:t>
      </w:r>
    </w:p>
    <w:p w:rsidR="00474F3E" w:rsidRDefault="00474F3E" w:rsidP="00596D01">
      <w:pPr>
        <w:pStyle w:val="Bullet1"/>
      </w:pPr>
      <w:r>
        <w:t>total liabilities of $33.7</w:t>
      </w:r>
      <w:r w:rsidR="00A261F3">
        <w:t> billion</w:t>
      </w:r>
      <w:r>
        <w:t>, up from $29.8</w:t>
      </w:r>
      <w:r w:rsidR="00A261F3">
        <w:t> billion</w:t>
      </w:r>
      <w:r>
        <w:t>, including $24.7</w:t>
      </w:r>
      <w:r w:rsidR="00A261F3">
        <w:t> billion</w:t>
      </w:r>
      <w:r>
        <w:t xml:space="preserve"> in accommodation deposits (including bonds) up from $21.9</w:t>
      </w:r>
      <w:r w:rsidR="00A261F3">
        <w:t> billion</w:t>
      </w:r>
      <w:r>
        <w:t>. It also includes:</w:t>
      </w:r>
    </w:p>
    <w:p w:rsidR="00474F3E" w:rsidRDefault="00474F3E" w:rsidP="00596D01">
      <w:pPr>
        <w:pStyle w:val="Bullet2"/>
      </w:pPr>
      <w:r>
        <w:t>$1.9</w:t>
      </w:r>
      <w:r w:rsidR="00A261F3">
        <w:t> billion</w:t>
      </w:r>
      <w:r>
        <w:t xml:space="preserve"> in bank borrowings;</w:t>
      </w:r>
    </w:p>
    <w:p w:rsidR="00474F3E" w:rsidRDefault="00474F3E" w:rsidP="00596D01">
      <w:pPr>
        <w:pStyle w:val="Bullet2"/>
      </w:pPr>
      <w:r>
        <w:t>$2.6</w:t>
      </w:r>
      <w:r w:rsidR="00A261F3">
        <w:t> billion</w:t>
      </w:r>
      <w:r>
        <w:t xml:space="preserve"> in related party loans;</w:t>
      </w:r>
    </w:p>
    <w:p w:rsidR="00474F3E" w:rsidRDefault="00474F3E" w:rsidP="00596D01">
      <w:pPr>
        <w:pStyle w:val="Bullet2"/>
      </w:pPr>
      <w:r>
        <w:t>$1.3</w:t>
      </w:r>
      <w:r w:rsidR="00A261F3">
        <w:t> billion</w:t>
      </w:r>
      <w:r>
        <w:t xml:space="preserve"> in employee provisions; and </w:t>
      </w:r>
    </w:p>
    <w:p w:rsidR="00474F3E" w:rsidRPr="00966BAF" w:rsidRDefault="00474F3E" w:rsidP="00596D01">
      <w:pPr>
        <w:pStyle w:val="Bullet2"/>
        <w:rPr>
          <w:rFonts w:cs="Calibri"/>
          <w:color w:val="1F497D"/>
        </w:rPr>
      </w:pPr>
      <w:r w:rsidRPr="00966BAF">
        <w:t>$3.2</w:t>
      </w:r>
      <w:r w:rsidR="00A261F3">
        <w:t> billion</w:t>
      </w:r>
      <w:r w:rsidRPr="00966BAF">
        <w:t xml:space="preserve"> in other liabilities.</w:t>
      </w:r>
    </w:p>
    <w:p w:rsidR="00D8721E" w:rsidRDefault="00474F3E" w:rsidP="00596D01">
      <w:pPr>
        <w:pStyle w:val="Bullet1"/>
      </w:pPr>
      <w:r>
        <w:t>net assets of $11.3</w:t>
      </w:r>
      <w:r w:rsidR="00A261F3">
        <w:t> billion</w:t>
      </w:r>
      <w:r>
        <w:t>, up from $10.9</w:t>
      </w:r>
      <w:r w:rsidR="00A261F3">
        <w:t> billion</w:t>
      </w:r>
      <w:r w:rsidR="00D8721E">
        <w:t>.</w:t>
      </w:r>
    </w:p>
    <w:p w:rsidR="00474F3E" w:rsidRDefault="00474F3E" w:rsidP="00596D01">
      <w:r>
        <w:t>In</w:t>
      </w:r>
      <w:r w:rsidR="00A261F3">
        <w:t> 201</w:t>
      </w:r>
      <w:r>
        <w:t>6</w:t>
      </w:r>
      <w:r w:rsidR="00D8721E">
        <w:t>–1</w:t>
      </w:r>
      <w:r>
        <w:t>7:</w:t>
      </w:r>
    </w:p>
    <w:p w:rsidR="00474F3E" w:rsidRDefault="00474F3E" w:rsidP="00596D01">
      <w:pPr>
        <w:pStyle w:val="Bullet1"/>
      </w:pPr>
      <w:r>
        <w:t>average return on equity was 18.3</w:t>
      </w:r>
      <w:r w:rsidR="00A261F3">
        <w:t> per cent</w:t>
      </w:r>
      <w:r>
        <w:t>, up from 17.7</w:t>
      </w:r>
      <w:r w:rsidR="00A261F3">
        <w:t> per cent</w:t>
      </w:r>
      <w:r>
        <w:t xml:space="preserve"> in</w:t>
      </w:r>
      <w:r w:rsidR="00A261F3">
        <w:t> 201</w:t>
      </w:r>
      <w:r>
        <w:t>5</w:t>
      </w:r>
      <w:r w:rsidR="00D8721E">
        <w:t>–1</w:t>
      </w:r>
      <w:r>
        <w:t xml:space="preserve">6; and </w:t>
      </w:r>
    </w:p>
    <w:p w:rsidR="00474F3E" w:rsidRDefault="00474F3E" w:rsidP="00596D01">
      <w:pPr>
        <w:pStyle w:val="Bullet1"/>
      </w:pPr>
      <w:r>
        <w:t>average return on assets was 4.6</w:t>
      </w:r>
      <w:r w:rsidR="00A261F3">
        <w:t> per cent</w:t>
      </w:r>
      <w:r>
        <w:t>, down from 4.9</w:t>
      </w:r>
      <w:r w:rsidR="00A261F3">
        <w:t> per cent</w:t>
      </w:r>
      <w:r>
        <w:t xml:space="preserve"> in</w:t>
      </w:r>
      <w:r w:rsidR="00A261F3">
        <w:t> 201</w:t>
      </w:r>
      <w:r>
        <w:t>5</w:t>
      </w:r>
      <w:r w:rsidR="00D8721E">
        <w:t>–1</w:t>
      </w:r>
      <w:r>
        <w:t>6.</w:t>
      </w:r>
    </w:p>
    <w:p w:rsidR="00474F3E" w:rsidRDefault="00474F3E" w:rsidP="00596D01">
      <w:r>
        <w:t>As noted in recent annual reports, investment in residential care has been strong since the 1 July</w:t>
      </w:r>
      <w:r w:rsidR="00A261F3">
        <w:t> 201</w:t>
      </w:r>
      <w:r>
        <w:t>4 reforms. In</w:t>
      </w:r>
      <w:r w:rsidR="00A261F3">
        <w:t> 201</w:t>
      </w:r>
      <w:r>
        <w:t>6</w:t>
      </w:r>
      <w:r w:rsidR="00D8721E">
        <w:t>–1</w:t>
      </w:r>
      <w:r>
        <w:t>7, $2.1</w:t>
      </w:r>
      <w:r w:rsidR="00A261F3">
        <w:t> billion</w:t>
      </w:r>
      <w:r>
        <w:t xml:space="preserve"> of new construction work was completed, compared with $1.6</w:t>
      </w:r>
      <w:r w:rsidR="00A261F3">
        <w:t> billion</w:t>
      </w:r>
      <w:r>
        <w:t xml:space="preserve"> in</w:t>
      </w:r>
      <w:r w:rsidR="00A261F3">
        <w:t> 201</w:t>
      </w:r>
      <w:r>
        <w:t>5</w:t>
      </w:r>
      <w:r w:rsidR="00D8721E">
        <w:t>–1</w:t>
      </w:r>
      <w:r>
        <w:t>6. However the proportion of providers who reported they are planning to rebuild or upgrade facilities over the next 12 months dropped significantly compared with recent years.</w:t>
      </w:r>
    </w:p>
    <w:p w:rsidR="00D8721E" w:rsidRDefault="00474F3E" w:rsidP="00596D01">
      <w:r>
        <w:t>It is estimated that the residential care sector will need to build an additional 88,110 places over the next decade in order to meet the provision target of 78 operational places per 1,000 people aged 70 and over. The estimated investment requirement of the sector over the next decade is in the order of $54</w:t>
      </w:r>
      <w:r w:rsidR="00A261F3">
        <w:t> billion</w:t>
      </w:r>
      <w:r w:rsidR="00D8721E">
        <w:t>.</w:t>
      </w:r>
    </w:p>
    <w:p w:rsidR="00474F3E" w:rsidRPr="00596D01" w:rsidRDefault="00474F3E" w:rsidP="00596D01">
      <w:pPr>
        <w:pStyle w:val="Heading2"/>
      </w:pPr>
      <w:bookmarkStart w:id="29" w:name="_Toc524424682"/>
      <w:r w:rsidRPr="00596D01">
        <w:t>Residential aged care – funding and financing challenges</w:t>
      </w:r>
      <w:bookmarkEnd w:id="29"/>
    </w:p>
    <w:p w:rsidR="000A69C0" w:rsidRDefault="000A69C0" w:rsidP="00596D01">
      <w:pPr>
        <w:rPr>
          <w:lang w:val="en-GB"/>
        </w:rPr>
      </w:pPr>
      <w:r>
        <w:rPr>
          <w:lang w:val="en-GB"/>
        </w:rPr>
        <w:t>Against the background of the financial developments canvassed in this report, and in particular the apparent decline in the financial performance of the residential aged care sector in</w:t>
      </w:r>
      <w:r w:rsidR="00A261F3">
        <w:rPr>
          <w:lang w:val="en-GB"/>
        </w:rPr>
        <w:t> 201</w:t>
      </w:r>
      <w:r>
        <w:rPr>
          <w:lang w:val="en-GB"/>
        </w:rPr>
        <w:t>7</w:t>
      </w:r>
      <w:r w:rsidR="00D8721E">
        <w:rPr>
          <w:lang w:val="en-GB"/>
        </w:rPr>
        <w:t>–1</w:t>
      </w:r>
      <w:r>
        <w:rPr>
          <w:lang w:val="en-GB"/>
        </w:rPr>
        <w:t>8, this year’s report includes a new chapter (Chapter 11) that highlights that all stakeholders – Government, providers and consumers – have a role to play in delivering a residential aged care sector that is financially viable, stable, efficient, effective, responsive and sustainable.</w:t>
      </w:r>
    </w:p>
    <w:p w:rsidR="000A69C0" w:rsidRDefault="000A69C0" w:rsidP="00596D01">
      <w:pPr>
        <w:rPr>
          <w:lang w:val="en-GB"/>
        </w:rPr>
      </w:pPr>
      <w:r>
        <w:rPr>
          <w:lang w:val="en-GB"/>
        </w:rPr>
        <w:t>Specifically, ACFA highlights that some of the specific challenges confronting stakeholders include:</w:t>
      </w:r>
    </w:p>
    <w:p w:rsidR="000A69C0" w:rsidRDefault="000A69C0" w:rsidP="00596D01">
      <w:pPr>
        <w:rPr>
          <w:lang w:val="en-GB"/>
        </w:rPr>
      </w:pPr>
      <w:r w:rsidRPr="00596D01">
        <w:rPr>
          <w:rStyle w:val="Strong"/>
        </w:rPr>
        <w:t>For Government</w:t>
      </w:r>
      <w:r>
        <w:rPr>
          <w:lang w:val="en-GB"/>
        </w:rPr>
        <w:t xml:space="preserve"> – there is a need for a more stable, more contemporary, more efficient and more effective funding tool and system which provides greater financial stability to both the residential aged care sector and the Government. The Government also has the continuing challenge of ensuring ongoing equity of access for all consumers and that its funding arrangements do not incentivise outmoded or inefficient care practices and use of resources. The current review of the Aged Care Funding Instrument (ACFI) is timely and it would be desirable to consider indexation settings alongside the review of funding options.</w:t>
      </w:r>
    </w:p>
    <w:p w:rsidR="000A69C0" w:rsidRDefault="000A69C0" w:rsidP="00596D01">
      <w:pPr>
        <w:rPr>
          <w:lang w:val="en-GB"/>
        </w:rPr>
      </w:pPr>
      <w:r w:rsidRPr="00596D01">
        <w:rPr>
          <w:rStyle w:val="Strong"/>
        </w:rPr>
        <w:t>For providers</w:t>
      </w:r>
      <w:r>
        <w:rPr>
          <w:lang w:val="en-GB"/>
        </w:rPr>
        <w:t xml:space="preserve"> – there is an increasing need to look at their internal operations to ensure they are delivering quality care in the most efficient and effective way. The changes taking place in the sector as it moves towards a more consumer driven and market based system will continue to challenge traditional business </w:t>
      </w:r>
      <w:r>
        <w:rPr>
          <w:lang w:val="en-GB"/>
        </w:rPr>
        <w:lastRenderedPageBreak/>
        <w:t>and workforce models. Providers will need to be increasingly responsive and flexible. Under the current funding system, there are very diverse financial outcomes. The top quartile of providers, in terms of profit continue to achieve significantly better results than the lowest quartile. This very wide variation in financial performance across the sector suggests there is scope for many providers to pursue greater efficiencies and improve their results.</w:t>
      </w:r>
    </w:p>
    <w:p w:rsidR="00596D01" w:rsidRDefault="000A69C0" w:rsidP="00596D01">
      <w:pPr>
        <w:rPr>
          <w:lang w:val="en-GB"/>
        </w:rPr>
      </w:pPr>
      <w:r w:rsidRPr="00596D01">
        <w:rPr>
          <w:rStyle w:val="Strong"/>
        </w:rPr>
        <w:t>For consumers</w:t>
      </w:r>
      <w:r>
        <w:rPr>
          <w:lang w:val="en-GB"/>
        </w:rPr>
        <w:t xml:space="preserve"> – there is a need for wider recognition that sustainable aged care funding arrangements will require those consumers who can afford to do so making a greater financial contribution towards their everyday living expenses and care costs, complemented by greater choice of higher quality services.</w:t>
      </w:r>
    </w:p>
    <w:p w:rsidR="00596D01" w:rsidRPr="005659F4" w:rsidRDefault="00596D01" w:rsidP="005659F4">
      <w:pPr>
        <w:pStyle w:val="Heading1"/>
      </w:pPr>
      <w:bookmarkStart w:id="30" w:name="_Toc524424683"/>
      <w:r w:rsidRPr="00596D01">
        <w:lastRenderedPageBreak/>
        <w:t>The Aged Care Financing Authority and the 2018 Annual Sector Report</w:t>
      </w:r>
      <w:bookmarkEnd w:id="30"/>
    </w:p>
    <w:p w:rsidR="00596D01" w:rsidRPr="00FA09D2" w:rsidRDefault="00596D01" w:rsidP="00596D01">
      <w:pPr>
        <w:pStyle w:val="Heading1Numbered"/>
      </w:pPr>
      <w:bookmarkStart w:id="31" w:name="_Ref457549293"/>
      <w:bookmarkStart w:id="32" w:name="_Toc457549880"/>
      <w:bookmarkStart w:id="33" w:name="_Toc487702515"/>
      <w:bookmarkStart w:id="34" w:name="_Toc487702867"/>
      <w:bookmarkStart w:id="35" w:name="_Toc487703365"/>
      <w:bookmarkStart w:id="36" w:name="_Toc487703559"/>
      <w:bookmarkStart w:id="37" w:name="_Toc524424684"/>
      <w:r w:rsidRPr="00FA09D2">
        <w:lastRenderedPageBreak/>
        <w:t>This report</w:t>
      </w:r>
      <w:bookmarkEnd w:id="31"/>
      <w:bookmarkEnd w:id="32"/>
      <w:bookmarkEnd w:id="33"/>
      <w:bookmarkEnd w:id="34"/>
      <w:bookmarkEnd w:id="35"/>
      <w:bookmarkEnd w:id="36"/>
      <w:bookmarkEnd w:id="37"/>
    </w:p>
    <w:p w:rsidR="00596D01" w:rsidRPr="00596D01" w:rsidRDefault="00596D01" w:rsidP="00596D01">
      <w:pPr>
        <w:pStyle w:val="Heading2Numbered"/>
      </w:pPr>
      <w:bookmarkStart w:id="38" w:name="_Toc423697037"/>
      <w:bookmarkStart w:id="39" w:name="_Toc457549881"/>
      <w:bookmarkStart w:id="40" w:name="_Toc487702516"/>
      <w:bookmarkStart w:id="41" w:name="_Toc487702868"/>
      <w:bookmarkStart w:id="42" w:name="_Toc487703366"/>
      <w:bookmarkStart w:id="43" w:name="_Toc487703560"/>
      <w:bookmarkStart w:id="44" w:name="_Toc524424685"/>
      <w:r w:rsidRPr="00596D01">
        <w:t xml:space="preserve">Aged care </w:t>
      </w:r>
      <w:bookmarkEnd w:id="38"/>
      <w:r w:rsidRPr="00596D01">
        <w:t>in Australia</w:t>
      </w:r>
      <w:bookmarkEnd w:id="39"/>
      <w:bookmarkEnd w:id="40"/>
      <w:bookmarkEnd w:id="41"/>
      <w:bookmarkEnd w:id="42"/>
      <w:bookmarkEnd w:id="43"/>
      <w:bookmarkEnd w:id="44"/>
    </w:p>
    <w:p w:rsidR="00596D01" w:rsidRPr="00886875" w:rsidRDefault="00596D01" w:rsidP="00596D01">
      <w:r w:rsidRPr="00886875">
        <w:t xml:space="preserve">The aged care sector in Australia provides </w:t>
      </w:r>
      <w:r w:rsidRPr="00E565EC">
        <w:t>services to over 1.3</w:t>
      </w:r>
      <w:r>
        <w:t> million</w:t>
      </w:r>
      <w:r w:rsidRPr="00E565EC">
        <w:t xml:space="preserve"> Australians </w:t>
      </w:r>
      <w:r w:rsidRPr="00886875">
        <w:t>and generates annual revenu</w:t>
      </w:r>
      <w:r w:rsidRPr="002D1295">
        <w:t xml:space="preserve">es totalling </w:t>
      </w:r>
      <w:r w:rsidRPr="00E565EC">
        <w:t>around $22</w:t>
      </w:r>
      <w:r>
        <w:t> billion</w:t>
      </w:r>
      <w:r w:rsidRPr="002D1295">
        <w:t>. The s</w:t>
      </w:r>
      <w:r w:rsidRPr="00886875">
        <w:t xml:space="preserve">ector makes a significant contribution to the Australian economy, representing </w:t>
      </w:r>
      <w:r>
        <w:t>1 per cent</w:t>
      </w:r>
      <w:r w:rsidRPr="00886875">
        <w:t xml:space="preserve"> of Gross Domestic Product (GDP).</w:t>
      </w:r>
    </w:p>
    <w:p w:rsidR="00596D01" w:rsidRPr="00812C18" w:rsidRDefault="00596D01" w:rsidP="00596D01">
      <w:r w:rsidRPr="00812C18">
        <w:t>The sector remains heavily reliant on taxpayer funding, receiving $17.</w:t>
      </w:r>
      <w:r>
        <w:t>1 billion</w:t>
      </w:r>
      <w:r w:rsidRPr="00812C18">
        <w:t xml:space="preserve"> in Commonwealth funding in</w:t>
      </w:r>
      <w:r>
        <w:t> 201</w:t>
      </w:r>
      <w:r w:rsidRPr="00812C18">
        <w:t>6</w:t>
      </w:r>
      <w:r>
        <w:t>–1</w:t>
      </w:r>
      <w:r w:rsidRPr="00812C18">
        <w:t>7, an increase of 8.</w:t>
      </w:r>
      <w:r>
        <w:t>1 per cent</w:t>
      </w:r>
      <w:r w:rsidRPr="00812C18">
        <w:t xml:space="preserve"> from</w:t>
      </w:r>
      <w:r>
        <w:t> 201</w:t>
      </w:r>
      <w:r w:rsidRPr="00812C18">
        <w:t>5</w:t>
      </w:r>
      <w:r>
        <w:t>–1</w:t>
      </w:r>
      <w:r w:rsidRPr="00812C18">
        <w:t>6. Almost 70</w:t>
      </w:r>
      <w:r>
        <w:t> per cent</w:t>
      </w:r>
      <w:r w:rsidRPr="00812C18">
        <w:t xml:space="preserve"> of total funding </w:t>
      </w:r>
      <w:r>
        <w:t>(</w:t>
      </w:r>
      <w:r w:rsidRPr="00812C18">
        <w:t>$11.9</w:t>
      </w:r>
      <w:r>
        <w:t> billion</w:t>
      </w:r>
      <w:r w:rsidRPr="00812C18">
        <w:t>) was for residential care. Given the amount of taxpayer funding, objective and thorough analysis of the funding and financing of the sector is of central importance to</w:t>
      </w:r>
      <w:r>
        <w:t xml:space="preserve"> the</w:t>
      </w:r>
      <w:r w:rsidRPr="00812C18">
        <w:t xml:space="preserve"> Government, aged care consumers and providers.</w:t>
      </w:r>
    </w:p>
    <w:p w:rsidR="006B4AF3" w:rsidRPr="00596D01" w:rsidRDefault="006B4AF3" w:rsidP="00596D01">
      <w:pPr>
        <w:pStyle w:val="Heading2Numbered"/>
      </w:pPr>
      <w:bookmarkStart w:id="45" w:name="_Toc524424686"/>
      <w:bookmarkEnd w:id="14"/>
      <w:r w:rsidRPr="00596D01">
        <w:t>About the Aged Care Financing Authority</w:t>
      </w:r>
      <w:bookmarkEnd w:id="15"/>
      <w:bookmarkEnd w:id="16"/>
      <w:bookmarkEnd w:id="17"/>
      <w:bookmarkEnd w:id="18"/>
      <w:bookmarkEnd w:id="19"/>
      <w:bookmarkEnd w:id="45"/>
      <w:r w:rsidRPr="00596D01">
        <w:t xml:space="preserve"> </w:t>
      </w:r>
    </w:p>
    <w:p w:rsidR="00D8721E" w:rsidRDefault="00564C26" w:rsidP="00596D01">
      <w:r w:rsidRPr="00C94111">
        <w:t>The Aged Care Financing Authority (ACFA) is a statutory committee whose role is to provide independent, transparent advice to the Australian Government on</w:t>
      </w:r>
      <w:r w:rsidR="003F010B">
        <w:t xml:space="preserve"> funding and</w:t>
      </w:r>
      <w:r w:rsidRPr="00C94111">
        <w:t xml:space="preserve"> financing issues in the aged care sector. ACFA considers issues in the co</w:t>
      </w:r>
      <w:r w:rsidR="00882E2E">
        <w:t xml:space="preserve">ntext of maintaining a viable </w:t>
      </w:r>
      <w:r w:rsidRPr="00C94111">
        <w:t>and sustainable aged care industry</w:t>
      </w:r>
      <w:r w:rsidR="00882E2E">
        <w:t xml:space="preserve"> and accessible services that balance</w:t>
      </w:r>
      <w:r w:rsidRPr="00C94111">
        <w:t xml:space="preserve"> the needs of consumers, providers, the workforce, taxpayers, investors and financiers</w:t>
      </w:r>
      <w:r w:rsidR="00D8721E">
        <w:t>.</w:t>
      </w:r>
    </w:p>
    <w:p w:rsidR="00D8721E" w:rsidRDefault="00564C26" w:rsidP="00596D01">
      <w:r w:rsidRPr="00C94111">
        <w:t xml:space="preserve">ACFA is </w:t>
      </w:r>
      <w:r w:rsidR="00D81AC3">
        <w:t xml:space="preserve">led by an independent Chairman </w:t>
      </w:r>
      <w:r w:rsidR="003F7DD1">
        <w:t>(</w:t>
      </w:r>
      <w:r w:rsidR="00D81AC3">
        <w:t>Mike Callaghan</w:t>
      </w:r>
      <w:r w:rsidR="00EE368C">
        <w:rPr>
          <w:rStyle w:val="FootnoteReference"/>
          <w:rFonts w:cs="Segoe UI"/>
        </w:rPr>
        <w:footnoteReference w:id="2"/>
      </w:r>
      <w:r w:rsidR="003F7DD1">
        <w:t>)</w:t>
      </w:r>
      <w:r w:rsidR="00E565EC">
        <w:t xml:space="preserve"> and Deputy Chair </w:t>
      </w:r>
      <w:r>
        <w:t>(Nicolas</w:t>
      </w:r>
      <w:r w:rsidR="00E565EC">
        <w:t xml:space="preserve"> </w:t>
      </w:r>
      <w:proofErr w:type="spellStart"/>
      <w:r w:rsidRPr="00C94111">
        <w:t>Mersiades</w:t>
      </w:r>
      <w:proofErr w:type="spellEnd"/>
      <w:r>
        <w:t>)</w:t>
      </w:r>
      <w:r w:rsidRPr="00C94111">
        <w:t xml:space="preserve"> </w:t>
      </w:r>
      <w:r w:rsidRPr="005A35FB">
        <w:t>complemented by</w:t>
      </w:r>
      <w:r w:rsidR="00C20BFE" w:rsidRPr="005A35FB">
        <w:t xml:space="preserve"> six</w:t>
      </w:r>
      <w:r w:rsidRPr="005A35FB">
        <w:t xml:space="preserve"> members with aged care or finance sector expertise. </w:t>
      </w:r>
      <w:r w:rsidR="00492BF8">
        <w:fldChar w:fldCharType="begin"/>
      </w:r>
      <w:r w:rsidR="00492BF8">
        <w:instrText xml:space="preserve"> REF _Ref524428911 \r \h </w:instrText>
      </w:r>
      <w:r w:rsidR="00492BF8">
        <w:fldChar w:fldCharType="separate"/>
      </w:r>
      <w:r w:rsidR="00492BF8">
        <w:t>Figure 1.1</w:t>
      </w:r>
      <w:r w:rsidR="00492BF8">
        <w:fldChar w:fldCharType="end"/>
      </w:r>
      <w:r w:rsidR="00492BF8">
        <w:t xml:space="preserve"> </w:t>
      </w:r>
      <w:r w:rsidR="00D3080D" w:rsidRPr="005A35FB">
        <w:t xml:space="preserve">shows the ACFA membership and structure. </w:t>
      </w:r>
      <w:r w:rsidRPr="005A35FB">
        <w:t>Further details about each member are provided in</w:t>
      </w:r>
      <w:r w:rsidR="0069205E">
        <w:t xml:space="preserve"> </w:t>
      </w:r>
      <w:r w:rsidR="0069205E">
        <w:fldChar w:fldCharType="begin"/>
      </w:r>
      <w:r w:rsidR="0069205E">
        <w:instrText xml:space="preserve"> REF _Ref421221009 \r \h </w:instrText>
      </w:r>
      <w:r w:rsidR="0069205E">
        <w:fldChar w:fldCharType="separate"/>
      </w:r>
      <w:r w:rsidR="0069205E">
        <w:t>Appendix A</w:t>
      </w:r>
      <w:r w:rsidR="0069205E">
        <w:fldChar w:fldCharType="end"/>
      </w:r>
      <w:r w:rsidR="00A97B59">
        <w:t xml:space="preserve">. There are </w:t>
      </w:r>
      <w:r w:rsidRPr="00127C25">
        <w:t>three non-voting Australian Government representatives on ACFA, who are also detailed in</w:t>
      </w:r>
      <w:r w:rsidR="0069205E">
        <w:t xml:space="preserve"> </w:t>
      </w:r>
      <w:r w:rsidR="0069205E">
        <w:fldChar w:fldCharType="begin"/>
      </w:r>
      <w:r w:rsidR="0069205E">
        <w:instrText xml:space="preserve"> REF _Ref421221009 \r \h </w:instrText>
      </w:r>
      <w:r w:rsidR="0069205E">
        <w:fldChar w:fldCharType="separate"/>
      </w:r>
      <w:r w:rsidR="0069205E">
        <w:t>Appendix A</w:t>
      </w:r>
      <w:r w:rsidR="0069205E">
        <w:fldChar w:fldCharType="end"/>
      </w:r>
      <w:r w:rsidRPr="00127C25">
        <w:t>.</w:t>
      </w:r>
    </w:p>
    <w:p w:rsidR="000310A9" w:rsidRPr="00596D01" w:rsidRDefault="000310A9" w:rsidP="00596D01">
      <w:pPr>
        <w:pStyle w:val="FigureTitle"/>
      </w:pPr>
      <w:bookmarkStart w:id="46" w:name="_Ref524428911"/>
      <w:r w:rsidRPr="00596D01">
        <w:t xml:space="preserve">ACFA </w:t>
      </w:r>
      <w:r w:rsidR="00147963" w:rsidRPr="00596D01">
        <w:t>m</w:t>
      </w:r>
      <w:r w:rsidRPr="00596D01">
        <w:t>embership</w:t>
      </w:r>
      <w:bookmarkEnd w:id="46"/>
      <w:r w:rsidR="00F619EA" w:rsidRPr="00596D01">
        <w:t xml:space="preserve"> </w:t>
      </w:r>
    </w:p>
    <w:p w:rsidR="00D8721E" w:rsidRDefault="004A6E82" w:rsidP="00596D01">
      <w:r>
        <w:rPr>
          <w:noProof/>
        </w:rPr>
        <w:drawing>
          <wp:inline distT="0" distB="0" distL="0" distR="0" wp14:anchorId="199A3019" wp14:editId="4B33FBE2">
            <wp:extent cx="5939790" cy="2023605"/>
            <wp:effectExtent l="0" t="0" r="3810" b="0"/>
            <wp:docPr id="286" name="Picture 286" descr="Figure 1.1 ACFA memb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zc0004\AppData\Local\Microsoft\Windows\Temporary Internet Files\Content.Outlook\6DIYYC82\Figure_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2023605"/>
                    </a:xfrm>
                    <a:prstGeom prst="rect">
                      <a:avLst/>
                    </a:prstGeom>
                    <a:noFill/>
                    <a:ln>
                      <a:noFill/>
                    </a:ln>
                  </pic:spPr>
                </pic:pic>
              </a:graphicData>
            </a:graphic>
          </wp:inline>
        </w:drawing>
      </w:r>
    </w:p>
    <w:p w:rsidR="00001040" w:rsidRPr="00596D01" w:rsidRDefault="00001040" w:rsidP="00596D01">
      <w:pPr>
        <w:pStyle w:val="Heading2Numbered"/>
      </w:pPr>
      <w:bookmarkStart w:id="47" w:name="_Toc423697038"/>
      <w:bookmarkStart w:id="48" w:name="_Toc457549883"/>
      <w:bookmarkStart w:id="49" w:name="_Toc487702518"/>
      <w:bookmarkStart w:id="50" w:name="_Toc487702870"/>
      <w:bookmarkStart w:id="51" w:name="_Toc487703368"/>
      <w:bookmarkStart w:id="52" w:name="_Toc487703562"/>
      <w:bookmarkStart w:id="53" w:name="_Toc524424687"/>
      <w:r w:rsidRPr="00596D01">
        <w:t>The Annual Report on the Funding and Financing of the Aged</w:t>
      </w:r>
      <w:r w:rsidR="00596D01">
        <w:t> </w:t>
      </w:r>
      <w:r w:rsidRPr="00596D01">
        <w:t>Care</w:t>
      </w:r>
      <w:r w:rsidR="00596D01">
        <w:t> </w:t>
      </w:r>
      <w:r w:rsidRPr="00596D01">
        <w:t>Sector</w:t>
      </w:r>
      <w:bookmarkEnd w:id="47"/>
      <w:bookmarkEnd w:id="48"/>
      <w:bookmarkEnd w:id="49"/>
      <w:bookmarkEnd w:id="50"/>
      <w:bookmarkEnd w:id="51"/>
      <w:bookmarkEnd w:id="52"/>
      <w:bookmarkEnd w:id="53"/>
    </w:p>
    <w:p w:rsidR="003D6788" w:rsidRPr="00C94111" w:rsidRDefault="00046CBE" w:rsidP="00596D01">
      <w:r>
        <w:t>Each year ACFA is</w:t>
      </w:r>
      <w:r w:rsidR="003D6788">
        <w:t xml:space="preserve"> require</w:t>
      </w:r>
      <w:r>
        <w:t xml:space="preserve">d to </w:t>
      </w:r>
      <w:r w:rsidR="003D6788">
        <w:t>provide</w:t>
      </w:r>
      <w:r w:rsidR="003D6788" w:rsidRPr="00C94111">
        <w:t xml:space="preserve"> the Minister </w:t>
      </w:r>
      <w:r w:rsidR="003D6788">
        <w:t xml:space="preserve">responsible for aged care </w:t>
      </w:r>
      <w:r>
        <w:t xml:space="preserve">with a </w:t>
      </w:r>
      <w:r w:rsidR="003D6788" w:rsidRPr="00C94111">
        <w:t>report on the funding and financing of th</w:t>
      </w:r>
      <w:r w:rsidR="008A1540">
        <w:t>e aged care sector</w:t>
      </w:r>
      <w:r w:rsidR="0001464A">
        <w:t>. The objective of the</w:t>
      </w:r>
      <w:r w:rsidR="00AB7748">
        <w:t xml:space="preserve"> annual r</w:t>
      </w:r>
      <w:r w:rsidR="003D6788" w:rsidRPr="00C94111">
        <w:t xml:space="preserve">eport is to provide advice to the Minister </w:t>
      </w:r>
      <w:r w:rsidR="003D6788">
        <w:t>regarding</w:t>
      </w:r>
      <w:r w:rsidR="003D6788" w:rsidRPr="00C94111">
        <w:t xml:space="preserve"> the impact of funding and financing arrangements on:</w:t>
      </w:r>
    </w:p>
    <w:p w:rsidR="003D6788" w:rsidRPr="00C94111" w:rsidRDefault="003D6788" w:rsidP="00596D01">
      <w:pPr>
        <w:pStyle w:val="Bullet1"/>
      </w:pPr>
      <w:r w:rsidRPr="00C94111">
        <w:t xml:space="preserve">The viability and sustainability of the aged care sector; </w:t>
      </w:r>
    </w:p>
    <w:p w:rsidR="00946ABB" w:rsidRPr="00C94111" w:rsidRDefault="00946ABB" w:rsidP="00596D01">
      <w:pPr>
        <w:pStyle w:val="Bullet1"/>
      </w:pPr>
      <w:r>
        <w:t>Consumer</w:t>
      </w:r>
      <w:r w:rsidR="00A3710D">
        <w:t xml:space="preserve"> </w:t>
      </w:r>
      <w:r>
        <w:t xml:space="preserve">access to </w:t>
      </w:r>
      <w:r w:rsidRPr="00C94111">
        <w:t>aged care</w:t>
      </w:r>
      <w:r>
        <w:t xml:space="preserve"> services</w:t>
      </w:r>
      <w:r w:rsidRPr="00C94111">
        <w:t>; and</w:t>
      </w:r>
    </w:p>
    <w:p w:rsidR="003D6788" w:rsidRPr="00C94111" w:rsidRDefault="003D6788" w:rsidP="00596D01">
      <w:pPr>
        <w:pStyle w:val="Bullet1"/>
      </w:pPr>
      <w:r w:rsidRPr="00C94111">
        <w:t>The aged care workforce.</w:t>
      </w:r>
    </w:p>
    <w:p w:rsidR="00D8721E" w:rsidRDefault="00AB7748" w:rsidP="00596D01">
      <w:r>
        <w:lastRenderedPageBreak/>
        <w:t>Over time, each a</w:t>
      </w:r>
      <w:r w:rsidR="003D6788">
        <w:t xml:space="preserve">nnual </w:t>
      </w:r>
      <w:r>
        <w:t>r</w:t>
      </w:r>
      <w:r w:rsidR="003D6788" w:rsidRPr="00C94111">
        <w:t xml:space="preserve">eport </w:t>
      </w:r>
      <w:r w:rsidR="003D6788">
        <w:t>builds</w:t>
      </w:r>
      <w:r w:rsidR="003D6788" w:rsidRPr="00C94111">
        <w:t xml:space="preserve"> upon the last, producing a substantial body of in-time as well as trend data on the funding and fin</w:t>
      </w:r>
      <w:r w:rsidR="003D6788">
        <w:t>ancing of the aged care sector</w:t>
      </w:r>
      <w:r w:rsidR="00A97B59">
        <w:t xml:space="preserve">. </w:t>
      </w:r>
      <w:r w:rsidR="00046CBE">
        <w:t xml:space="preserve">This is the </w:t>
      </w:r>
      <w:r w:rsidR="002E5158">
        <w:t>sixth annu</w:t>
      </w:r>
      <w:r w:rsidR="00046CBE">
        <w:t>al report published</w:t>
      </w:r>
      <w:r w:rsidR="003D6788" w:rsidRPr="005616D5">
        <w:t>.</w:t>
      </w:r>
      <w:r w:rsidR="003D6788" w:rsidRPr="005616D5">
        <w:rPr>
          <w:rStyle w:val="FootnoteReference"/>
          <w:rFonts w:ascii="Segoe UI" w:hAnsi="Segoe UI" w:cs="Segoe UI"/>
        </w:rPr>
        <w:footnoteReference w:id="3"/>
      </w:r>
    </w:p>
    <w:p w:rsidR="00001040" w:rsidRPr="00596D01" w:rsidRDefault="00001040" w:rsidP="00596D01">
      <w:pPr>
        <w:pStyle w:val="Heading3Numbered"/>
      </w:pPr>
      <w:bookmarkStart w:id="54" w:name="_Toc487702519"/>
      <w:bookmarkStart w:id="55" w:name="_Toc487702871"/>
      <w:bookmarkStart w:id="56" w:name="_Toc487703369"/>
      <w:bookmarkStart w:id="57" w:name="_Toc487703563"/>
      <w:bookmarkStart w:id="58" w:name="_Toc524424688"/>
      <w:r w:rsidRPr="00596D01">
        <w:t>Method</w:t>
      </w:r>
      <w:r w:rsidR="00E668FC" w:rsidRPr="00596D01">
        <w:t>ology</w:t>
      </w:r>
      <w:bookmarkEnd w:id="54"/>
      <w:bookmarkEnd w:id="55"/>
      <w:bookmarkEnd w:id="56"/>
      <w:bookmarkEnd w:id="57"/>
      <w:bookmarkEnd w:id="58"/>
    </w:p>
    <w:p w:rsidR="00507443" w:rsidRDefault="00507443" w:rsidP="00596D01">
      <w:r w:rsidRPr="00B16237">
        <w:t>The</w:t>
      </w:r>
      <w:r w:rsidR="00A261F3">
        <w:t> 201</w:t>
      </w:r>
      <w:r w:rsidR="002E5158">
        <w:t>8</w:t>
      </w:r>
      <w:r w:rsidR="00E668FC">
        <w:t xml:space="preserve"> annual r</w:t>
      </w:r>
      <w:r w:rsidRPr="00B16237">
        <w:t>e</w:t>
      </w:r>
      <w:r>
        <w:t>port</w:t>
      </w:r>
      <w:r w:rsidR="008A1540">
        <w:t xml:space="preserve"> mainly presents and analyses</w:t>
      </w:r>
      <w:r w:rsidR="00A261F3">
        <w:t> 201</w:t>
      </w:r>
      <w:r w:rsidR="002E5158">
        <w:t>6</w:t>
      </w:r>
      <w:r w:rsidR="00D8721E">
        <w:t>–1</w:t>
      </w:r>
      <w:r w:rsidR="002E5158">
        <w:t>7</w:t>
      </w:r>
      <w:r w:rsidRPr="00B16237">
        <w:t xml:space="preserve"> </w:t>
      </w:r>
      <w:r w:rsidR="008A1540">
        <w:t>data</w:t>
      </w:r>
      <w:r>
        <w:t xml:space="preserve">, although </w:t>
      </w:r>
      <w:r w:rsidRPr="00C94111">
        <w:t>this is supplemen</w:t>
      </w:r>
      <w:r w:rsidR="00F65CBB">
        <w:t>ted by more recent data sources in some cases</w:t>
      </w:r>
      <w:r w:rsidR="004F7744">
        <w:t xml:space="preserve"> when available</w:t>
      </w:r>
      <w:r w:rsidR="00F65CBB">
        <w:t>.</w:t>
      </w:r>
    </w:p>
    <w:p w:rsidR="00507443" w:rsidRPr="00C94111" w:rsidRDefault="00507443" w:rsidP="00596D01">
      <w:r w:rsidRPr="00C94111">
        <w:t>The principal data source</w:t>
      </w:r>
      <w:r w:rsidR="00F65CBB">
        <w:t>s are</w:t>
      </w:r>
      <w:r w:rsidRPr="00C94111">
        <w:t xml:space="preserve"> financial and administrative data collected by the </w:t>
      </w:r>
      <w:r w:rsidR="0098640A">
        <w:t>Department</w:t>
      </w:r>
      <w:r w:rsidR="00882E2E">
        <w:t xml:space="preserve"> of Health</w:t>
      </w:r>
      <w:r w:rsidRPr="00C94111">
        <w:t>:</w:t>
      </w:r>
      <w:r w:rsidR="00D8721E">
        <w:t xml:space="preserve"> </w:t>
      </w:r>
    </w:p>
    <w:p w:rsidR="00147963" w:rsidRPr="00C94111" w:rsidRDefault="00147963" w:rsidP="00596D01">
      <w:pPr>
        <w:pStyle w:val="Bullet1"/>
      </w:pPr>
      <w:r>
        <w:t xml:space="preserve">From Commonwealth Home Support Programme </w:t>
      </w:r>
      <w:r w:rsidR="002E5158">
        <w:t xml:space="preserve">providers </w:t>
      </w:r>
      <w:r w:rsidR="00FF6737">
        <w:t xml:space="preserve">(CHSP) </w:t>
      </w:r>
      <w:r w:rsidR="002E5158">
        <w:t>(</w:t>
      </w:r>
      <w:r>
        <w:t>Home and Community Care providers</w:t>
      </w:r>
      <w:r w:rsidR="002E5158">
        <w:t xml:space="preserve"> in WA)</w:t>
      </w:r>
      <w:r w:rsidRPr="00C94111">
        <w:t>:</w:t>
      </w:r>
    </w:p>
    <w:p w:rsidR="00147963" w:rsidRDefault="00147963" w:rsidP="00596D01">
      <w:pPr>
        <w:pStyle w:val="Bullet2"/>
      </w:pPr>
      <w:r>
        <w:t>CHSP Data Exchange; and</w:t>
      </w:r>
    </w:p>
    <w:p w:rsidR="00147963" w:rsidRPr="00F65CBB" w:rsidRDefault="002E5158" w:rsidP="00596D01">
      <w:pPr>
        <w:pStyle w:val="Bullet2"/>
      </w:pPr>
      <w:r>
        <w:t>HACC</w:t>
      </w:r>
      <w:r w:rsidR="00147963" w:rsidRPr="00C94111">
        <w:t xml:space="preserve"> Minimum Data Set</w:t>
      </w:r>
      <w:r w:rsidR="00147963">
        <w:t xml:space="preserve"> (WA).</w:t>
      </w:r>
    </w:p>
    <w:p w:rsidR="00507443" w:rsidRPr="00C94111" w:rsidRDefault="00507443" w:rsidP="00596D01">
      <w:pPr>
        <w:pStyle w:val="Bullet1"/>
      </w:pPr>
      <w:r>
        <w:t>From h</w:t>
      </w:r>
      <w:r w:rsidRPr="00C94111">
        <w:t>ome care providers:</w:t>
      </w:r>
    </w:p>
    <w:p w:rsidR="00507443" w:rsidRPr="00C94111" w:rsidRDefault="00E565EC" w:rsidP="00596D01">
      <w:pPr>
        <w:pStyle w:val="Bullet2"/>
      </w:pPr>
      <w:r>
        <w:t>Aged Care Financial Reports (ACFR)</w:t>
      </w:r>
      <w:r w:rsidR="00507443">
        <w:t>.</w:t>
      </w:r>
    </w:p>
    <w:p w:rsidR="00147963" w:rsidRPr="00C94111" w:rsidRDefault="00147963" w:rsidP="00596D01">
      <w:pPr>
        <w:pStyle w:val="Bullet1"/>
      </w:pPr>
      <w:r>
        <w:t>From r</w:t>
      </w:r>
      <w:r w:rsidR="003F7DD1">
        <w:t>esidential</w:t>
      </w:r>
      <w:r>
        <w:t xml:space="preserve"> </w:t>
      </w:r>
      <w:r w:rsidRPr="00C94111">
        <w:t>care providers:</w:t>
      </w:r>
    </w:p>
    <w:p w:rsidR="00477AB7" w:rsidRPr="00C94111" w:rsidRDefault="00477AB7" w:rsidP="00596D01">
      <w:pPr>
        <w:pStyle w:val="Bullet2"/>
      </w:pPr>
      <w:r>
        <w:t>Aged Care Financial Reports (ACFR);</w:t>
      </w:r>
    </w:p>
    <w:p w:rsidR="00147963" w:rsidRDefault="00147963" w:rsidP="00596D01">
      <w:pPr>
        <w:pStyle w:val="Bullet2"/>
      </w:pPr>
      <w:r w:rsidRPr="00C94111">
        <w:t>General Purpose Financial Reports (GPFR);</w:t>
      </w:r>
    </w:p>
    <w:p w:rsidR="00147963" w:rsidRPr="00C94111" w:rsidRDefault="00147963" w:rsidP="00596D01">
      <w:pPr>
        <w:pStyle w:val="Bullet2"/>
      </w:pPr>
      <w:r w:rsidRPr="00C94111">
        <w:t>Annual Survey of Aged Care Homes</w:t>
      </w:r>
      <w:r>
        <w:t xml:space="preserve"> (SACH)</w:t>
      </w:r>
      <w:r w:rsidRPr="00C94111">
        <w:t>; and</w:t>
      </w:r>
    </w:p>
    <w:p w:rsidR="00147963" w:rsidRPr="00C94111" w:rsidRDefault="00147963" w:rsidP="00596D01">
      <w:pPr>
        <w:pStyle w:val="Bullet2"/>
      </w:pPr>
      <w:r w:rsidRPr="00C94111">
        <w:t xml:space="preserve">Published aged care accommodation prices (My Aged Care </w:t>
      </w:r>
      <w:r w:rsidR="00AA3C6B">
        <w:t>w</w:t>
      </w:r>
      <w:r w:rsidRPr="00C94111">
        <w:t>ebsite).</w:t>
      </w:r>
    </w:p>
    <w:p w:rsidR="00507443" w:rsidRPr="00C94111" w:rsidRDefault="00507443" w:rsidP="00596D01">
      <w:pPr>
        <w:pStyle w:val="Bullet1"/>
      </w:pPr>
      <w:r w:rsidRPr="00C94111">
        <w:t>Other general data:</w:t>
      </w:r>
    </w:p>
    <w:p w:rsidR="00507443" w:rsidRDefault="00507443" w:rsidP="00596D01">
      <w:pPr>
        <w:pStyle w:val="Bullet2"/>
      </w:pPr>
      <w:r w:rsidRPr="00C94111">
        <w:t>The</w:t>
      </w:r>
      <w:r w:rsidR="00A261F3">
        <w:t> 201</w:t>
      </w:r>
      <w:r w:rsidR="002E5158">
        <w:t>6</w:t>
      </w:r>
      <w:r w:rsidR="00D8721E">
        <w:t>–1</w:t>
      </w:r>
      <w:r w:rsidR="002E5158">
        <w:t>7</w:t>
      </w:r>
      <w:r w:rsidRPr="00C94111">
        <w:t xml:space="preserve"> Report on the Operation o</w:t>
      </w:r>
      <w:r>
        <w:t xml:space="preserve">f the </w:t>
      </w:r>
      <w:r w:rsidRPr="00596D01">
        <w:rPr>
          <w:rStyle w:val="Emphasis"/>
        </w:rPr>
        <w:t>Aged Care Act 1997</w:t>
      </w:r>
      <w:r>
        <w:t xml:space="preserve"> (ROACA); </w:t>
      </w:r>
    </w:p>
    <w:p w:rsidR="00F65CBB" w:rsidRPr="00F65CBB" w:rsidRDefault="00F65CBB" w:rsidP="00596D01">
      <w:pPr>
        <w:pStyle w:val="Bullet2"/>
      </w:pPr>
      <w:r w:rsidRPr="00C94111">
        <w:t>The</w:t>
      </w:r>
      <w:r w:rsidR="00A261F3">
        <w:t> 201</w:t>
      </w:r>
      <w:r>
        <w:t>6</w:t>
      </w:r>
      <w:r w:rsidRPr="00C94111">
        <w:t xml:space="preserve"> National Aged Care Workforce Census and Survey;</w:t>
      </w:r>
      <w:r>
        <w:t xml:space="preserve"> and </w:t>
      </w:r>
    </w:p>
    <w:p w:rsidR="00026477" w:rsidRPr="00026477" w:rsidRDefault="00026477" w:rsidP="00596D01">
      <w:pPr>
        <w:pStyle w:val="Bullet2"/>
      </w:pPr>
      <w:r w:rsidRPr="00026477">
        <w:t>Relevant supplementary information from industry a</w:t>
      </w:r>
      <w:r>
        <w:t xml:space="preserve">nalysts, including </w:t>
      </w:r>
      <w:proofErr w:type="spellStart"/>
      <w:r>
        <w:t>StewartBrown</w:t>
      </w:r>
      <w:proofErr w:type="spellEnd"/>
      <w:r>
        <w:t>.</w:t>
      </w:r>
    </w:p>
    <w:p w:rsidR="00507443" w:rsidRPr="00596D01" w:rsidRDefault="00507443" w:rsidP="00596D01">
      <w:pPr>
        <w:rPr>
          <w:rStyle w:val="Strong"/>
        </w:rPr>
      </w:pPr>
      <w:r w:rsidRPr="00C94111">
        <w:t>In addition to the</w:t>
      </w:r>
      <w:r w:rsidR="00BB4304">
        <w:t>se</w:t>
      </w:r>
      <w:r w:rsidRPr="00C94111">
        <w:t xml:space="preserve"> listed data sources, ACFA </w:t>
      </w:r>
      <w:r w:rsidR="00BB4304">
        <w:t>consults</w:t>
      </w:r>
      <w:r w:rsidRPr="00C94111">
        <w:t xml:space="preserve"> widely with the sector, </w:t>
      </w:r>
      <w:r w:rsidR="006C05C0">
        <w:t xml:space="preserve">with </w:t>
      </w:r>
      <w:r w:rsidRPr="00C94111">
        <w:t>relevant financiers and other</w:t>
      </w:r>
      <w:r w:rsidR="006C05C0">
        <w:t xml:space="preserve"> key stakeholders</w:t>
      </w:r>
      <w:r w:rsidRPr="00C94111">
        <w:t xml:space="preserve">. A list of organisations </w:t>
      </w:r>
      <w:r w:rsidR="006C05C0">
        <w:t xml:space="preserve">that ACFA has </w:t>
      </w:r>
      <w:r w:rsidRPr="00C94111">
        <w:t>consulte</w:t>
      </w:r>
      <w:r>
        <w:t xml:space="preserve">d </w:t>
      </w:r>
      <w:r w:rsidRPr="00C94111">
        <w:t>i</w:t>
      </w:r>
      <w:r>
        <w:t xml:space="preserve">s provided at </w:t>
      </w:r>
      <w:r w:rsidR="0069205E">
        <w:fldChar w:fldCharType="begin"/>
      </w:r>
      <w:r w:rsidR="0069205E">
        <w:instrText xml:space="preserve"> REF _Ref421221314 \r \h </w:instrText>
      </w:r>
      <w:r w:rsidR="0069205E">
        <w:fldChar w:fldCharType="separate"/>
      </w:r>
      <w:r w:rsidR="0069205E">
        <w:t>Appendix C</w:t>
      </w:r>
      <w:r w:rsidR="0069205E">
        <w:fldChar w:fldCharType="end"/>
      </w:r>
      <w:r>
        <w:t>.</w:t>
      </w:r>
    </w:p>
    <w:p w:rsidR="00D8721E" w:rsidRDefault="00507443" w:rsidP="00596D01">
      <w:pPr>
        <w:rPr>
          <w:lang w:val="en-GB"/>
        </w:rPr>
      </w:pPr>
      <w:r w:rsidRPr="0049134D">
        <w:rPr>
          <w:lang w:val="en-GB"/>
        </w:rPr>
        <w:t xml:space="preserve">When discussing the financial performance of providers in this report, Earnings Before Interest, </w:t>
      </w:r>
      <w:r w:rsidR="006A50B2">
        <w:rPr>
          <w:lang w:val="en-GB"/>
        </w:rPr>
        <w:t xml:space="preserve">Taxes, </w:t>
      </w:r>
      <w:r w:rsidRPr="0049134D">
        <w:rPr>
          <w:lang w:val="en-GB"/>
        </w:rPr>
        <w:t xml:space="preserve">Depreciation and Amortisation (EBITDA) is the main measure </w:t>
      </w:r>
      <w:r>
        <w:rPr>
          <w:lang w:val="en-GB"/>
        </w:rPr>
        <w:t>used to analyse profitability. T</w:t>
      </w:r>
      <w:r w:rsidRPr="0049134D">
        <w:rPr>
          <w:lang w:val="en-GB"/>
        </w:rPr>
        <w:t>his is because EBITDA excludes items such as interest (both income and expense) and tax expenditures</w:t>
      </w:r>
      <w:r>
        <w:rPr>
          <w:lang w:val="en-GB"/>
        </w:rPr>
        <w:t>,</w:t>
      </w:r>
      <w:r w:rsidRPr="0049134D">
        <w:rPr>
          <w:lang w:val="en-GB"/>
        </w:rPr>
        <w:t xml:space="preserve"> which can vary depending on the financing decisions of an organisation</w:t>
      </w:r>
      <w:r>
        <w:rPr>
          <w:lang w:val="en-GB"/>
        </w:rPr>
        <w:t>;</w:t>
      </w:r>
      <w:r w:rsidR="006A50B2">
        <w:rPr>
          <w:lang w:val="en-GB"/>
        </w:rPr>
        <w:t xml:space="preserve"> and non</w:t>
      </w:r>
      <w:r w:rsidR="006A50B2">
        <w:rPr>
          <w:lang w:val="en-GB"/>
        </w:rPr>
        <w:noBreakHyphen/>
      </w:r>
      <w:r w:rsidRPr="0049134D">
        <w:rPr>
          <w:lang w:val="en-GB"/>
        </w:rPr>
        <w:t>cash expenses, such as depreciation and amortisation which can vary greatly based on the size and age of facilities and ot</w:t>
      </w:r>
      <w:r>
        <w:rPr>
          <w:lang w:val="en-GB"/>
        </w:rPr>
        <w:t>her assets, and on ownership</w:t>
      </w:r>
      <w:r w:rsidR="00477AB7">
        <w:rPr>
          <w:lang w:val="en-GB"/>
        </w:rPr>
        <w:t xml:space="preserve"> type</w:t>
      </w:r>
      <w:r w:rsidR="00DB4420">
        <w:rPr>
          <w:lang w:val="en-GB"/>
        </w:rPr>
        <w:t xml:space="preserve"> and depreciation methods</w:t>
      </w:r>
      <w:r w:rsidR="00D8721E">
        <w:rPr>
          <w:lang w:val="en-GB"/>
        </w:rPr>
        <w:t>.</w:t>
      </w:r>
    </w:p>
    <w:p w:rsidR="00507443" w:rsidRDefault="00507443" w:rsidP="00596D01">
      <w:pPr>
        <w:rPr>
          <w:lang w:val="en-GB"/>
        </w:rPr>
      </w:pPr>
      <w:r>
        <w:rPr>
          <w:lang w:val="en-GB"/>
        </w:rPr>
        <w:t>EBITDA</w:t>
      </w:r>
      <w:r w:rsidRPr="0049134D">
        <w:rPr>
          <w:lang w:val="en-GB"/>
        </w:rPr>
        <w:t xml:space="preserve"> </w:t>
      </w:r>
      <w:r w:rsidR="00F43764">
        <w:rPr>
          <w:lang w:val="en-GB"/>
        </w:rPr>
        <w:t xml:space="preserve">therefore </w:t>
      </w:r>
      <w:r w:rsidRPr="0049134D">
        <w:rPr>
          <w:lang w:val="en-GB"/>
        </w:rPr>
        <w:t>can be used to compare organisations with each other and against industry averages and is a good measure of core profit trends because it eliminates some of the extraneous factors mentioned above. This is particularly important when analysing aged care given the diversity of ownership and capital structures. EBITDA he</w:t>
      </w:r>
      <w:r w:rsidR="003F7DD1">
        <w:rPr>
          <w:lang w:val="en-GB"/>
        </w:rPr>
        <w:t>lps to smooth out these factors.</w:t>
      </w:r>
    </w:p>
    <w:p w:rsidR="00D8721E" w:rsidRDefault="00507443" w:rsidP="00596D01">
      <w:r>
        <w:t xml:space="preserve">This report also refers to Net Profit Before Tax (NPBT). Both </w:t>
      </w:r>
      <w:r w:rsidR="0086270F">
        <w:t>NPBT and EBITDA</w:t>
      </w:r>
      <w:r>
        <w:t xml:space="preserve"> exclude tax, which can assist in making comparison between organisations subject to different tax treatments</w:t>
      </w:r>
      <w:r w:rsidR="00D8721E">
        <w:t>.</w:t>
      </w:r>
    </w:p>
    <w:p w:rsidR="00D8721E" w:rsidRDefault="00D27338" w:rsidP="00596D01">
      <w:r>
        <w:t>T</w:t>
      </w:r>
      <w:r w:rsidR="003C63E1" w:rsidRPr="003C63E1">
        <w:t xml:space="preserve">he financial analysis and commentary in this report does not include </w:t>
      </w:r>
      <w:r w:rsidR="00FF6737">
        <w:t xml:space="preserve">National Aboriginal and Torres Strait Islander Flexible Care Program </w:t>
      </w:r>
      <w:r w:rsidR="003C63E1" w:rsidRPr="003C63E1">
        <w:t>providers</w:t>
      </w:r>
      <w:r w:rsidR="008A5DEC">
        <w:t xml:space="preserve">, </w:t>
      </w:r>
      <w:r w:rsidR="00FF6737">
        <w:t xml:space="preserve">providers </w:t>
      </w:r>
      <w:r w:rsidR="003C63E1" w:rsidRPr="003C63E1">
        <w:t>operating Multi-</w:t>
      </w:r>
      <w:r w:rsidR="000F4202">
        <w:t>Purpose S</w:t>
      </w:r>
      <w:r w:rsidR="008A5DEC">
        <w:t>ervices or providers under the Short Term Restorative Care Program</w:t>
      </w:r>
      <w:r w:rsidR="00E565EC">
        <w:t>me</w:t>
      </w:r>
      <w:r w:rsidR="00D8721E">
        <w:t>.</w:t>
      </w:r>
    </w:p>
    <w:p w:rsidR="00D8721E" w:rsidRDefault="002E5158" w:rsidP="00596D01">
      <w:r>
        <w:t>As discussed in previous annual reports, it</w:t>
      </w:r>
      <w:r w:rsidR="00507443">
        <w:t xml:space="preserve"> is important to be</w:t>
      </w:r>
      <w:r w:rsidR="00507443" w:rsidRPr="00962C85">
        <w:t xml:space="preserve"> mindful of the sector composition and the varying objectives of providers when interpreting the data. </w:t>
      </w:r>
      <w:r>
        <w:t>T</w:t>
      </w:r>
      <w:r w:rsidR="00DB4420">
        <w:t>he sector continues to be</w:t>
      </w:r>
      <w:r w:rsidR="00507443">
        <w:t xml:space="preserve"> dominated by not</w:t>
      </w:r>
      <w:r w:rsidR="00507443">
        <w:noBreakHyphen/>
        <w:t>for</w:t>
      </w:r>
      <w:r w:rsidR="00507443">
        <w:noBreakHyphen/>
      </w:r>
      <w:r w:rsidR="00507443" w:rsidRPr="00962C85">
        <w:t>profit providers. Traditional profit</w:t>
      </w:r>
      <w:r w:rsidR="00507443">
        <w:t>-</w:t>
      </w:r>
      <w:r w:rsidR="00507443" w:rsidRPr="00962C85">
        <w:t xml:space="preserve">based </w:t>
      </w:r>
      <w:r w:rsidR="00507443">
        <w:t>measures</w:t>
      </w:r>
      <w:r w:rsidR="00507443" w:rsidRPr="00962C85">
        <w:t xml:space="preserve"> are not always consistent with the mission and objectives of not-for-profit providers</w:t>
      </w:r>
      <w:r w:rsidR="00946ABB">
        <w:t>.</w:t>
      </w:r>
    </w:p>
    <w:p w:rsidR="00197C82" w:rsidRPr="00596D01" w:rsidRDefault="00197C82" w:rsidP="00944018">
      <w:pPr>
        <w:pStyle w:val="Heading4Numbered"/>
        <w:numPr>
          <w:ilvl w:val="0"/>
          <w:numId w:val="0"/>
        </w:numPr>
        <w:ind w:left="1134" w:hanging="1134"/>
      </w:pPr>
      <w:r w:rsidRPr="00596D01">
        <w:lastRenderedPageBreak/>
        <w:t>Considerations and limitations</w:t>
      </w:r>
    </w:p>
    <w:p w:rsidR="00AC7FA5" w:rsidRDefault="00546A59" w:rsidP="00596D01">
      <w:r>
        <w:t>As reforms in aged care continue, some forms of service delivery, and therefore data collection, are changing. For thi</w:t>
      </w:r>
      <w:r w:rsidR="0086270F">
        <w:t>s reason, analysis in the</w:t>
      </w:r>
      <w:r w:rsidR="00A261F3">
        <w:t> 201</w:t>
      </w:r>
      <w:r w:rsidR="002E5158">
        <w:t>8</w:t>
      </w:r>
      <w:r w:rsidR="0086270F">
        <w:t xml:space="preserve"> annual r</w:t>
      </w:r>
      <w:r>
        <w:t>eport is not always directly comparable with ana</w:t>
      </w:r>
      <w:r w:rsidR="00AC7FA5">
        <w:t>lysis contained in previous</w:t>
      </w:r>
      <w:r>
        <w:t xml:space="preserve"> reports. </w:t>
      </w:r>
      <w:r w:rsidR="00141AEF">
        <w:t>Where this is the case it is noted</w:t>
      </w:r>
      <w:r w:rsidR="00205B00">
        <w:t>.</w:t>
      </w:r>
    </w:p>
    <w:p w:rsidR="00D8721E" w:rsidRDefault="00546A59" w:rsidP="00596D01">
      <w:r>
        <w:t>The majority of financial data available to ACFA</w:t>
      </w:r>
      <w:r w:rsidR="006C05C0">
        <w:t xml:space="preserve"> regarding residential and home care</w:t>
      </w:r>
      <w:r>
        <w:t xml:space="preserve"> is at the approved provider level. Because many providers have services in multiple locations, ACFA is constrained in its ability to analyse performance at</w:t>
      </w:r>
      <w:r w:rsidR="006C05C0">
        <w:t xml:space="preserve"> facility or</w:t>
      </w:r>
      <w:r>
        <w:t xml:space="preserve"> service level or the impact of locational factors on funding, financing and financial performance of services</w:t>
      </w:r>
      <w:r w:rsidR="00D8721E">
        <w:t>.</w:t>
      </w:r>
    </w:p>
    <w:p w:rsidR="00D8721E" w:rsidRDefault="00350E66" w:rsidP="00596D01">
      <w:r>
        <w:t>In</w:t>
      </w:r>
      <w:r w:rsidR="00A261F3">
        <w:t> 201</w:t>
      </w:r>
      <w:r>
        <w:t>6</w:t>
      </w:r>
      <w:r w:rsidR="00D8721E">
        <w:t>–1</w:t>
      </w:r>
      <w:r>
        <w:t>7, the Aged Care Financial Reports (ACFR) were used by residential care providers to report financial data to the Department for the first time. While the ACFR provides ACFA with greater detail for analysis, it does not allow comparisons with previous years in some instances.</w:t>
      </w:r>
    </w:p>
    <w:p w:rsidR="00001040" w:rsidRPr="00596D01" w:rsidRDefault="00001040" w:rsidP="00944018">
      <w:pPr>
        <w:pStyle w:val="Heading4Numbered"/>
        <w:numPr>
          <w:ilvl w:val="0"/>
          <w:numId w:val="0"/>
        </w:numPr>
        <w:ind w:left="1134" w:hanging="1134"/>
      </w:pPr>
      <w:bookmarkStart w:id="59" w:name="_Toc487702520"/>
      <w:bookmarkStart w:id="60" w:name="_Toc487702872"/>
      <w:bookmarkStart w:id="61" w:name="_Toc487703370"/>
      <w:bookmarkStart w:id="62" w:name="_Toc487703564"/>
      <w:r w:rsidRPr="00596D01">
        <w:t>Navigating the</w:t>
      </w:r>
      <w:r w:rsidR="00A261F3" w:rsidRPr="00596D01">
        <w:t> 201</w:t>
      </w:r>
      <w:r w:rsidR="002E5158" w:rsidRPr="00596D01">
        <w:t>8</w:t>
      </w:r>
      <w:r w:rsidRPr="00596D01">
        <w:t xml:space="preserve"> </w:t>
      </w:r>
      <w:r w:rsidR="006C05C0" w:rsidRPr="00596D01">
        <w:t>annual r</w:t>
      </w:r>
      <w:r w:rsidRPr="00596D01">
        <w:t>eport</w:t>
      </w:r>
      <w:bookmarkEnd w:id="59"/>
      <w:bookmarkEnd w:id="60"/>
      <w:bookmarkEnd w:id="61"/>
      <w:bookmarkEnd w:id="62"/>
    </w:p>
    <w:p w:rsidR="00A17102" w:rsidRPr="00C94111" w:rsidRDefault="00A17102" w:rsidP="00596D01">
      <w:bookmarkStart w:id="63" w:name="_Aged_care_in"/>
      <w:bookmarkStart w:id="64" w:name="_Toc423697039"/>
      <w:bookmarkEnd w:id="63"/>
      <w:r w:rsidRPr="00C94111">
        <w:t>The</w:t>
      </w:r>
      <w:r w:rsidR="00A261F3">
        <w:t> 201</w:t>
      </w:r>
      <w:r w:rsidR="008A5DEC">
        <w:t>8</w:t>
      </w:r>
      <w:r w:rsidR="006C05C0">
        <w:t xml:space="preserve"> a</w:t>
      </w:r>
      <w:r w:rsidRPr="00C94111">
        <w:t>nnu</w:t>
      </w:r>
      <w:r w:rsidR="006C05C0">
        <w:t>al r</w:t>
      </w:r>
      <w:r w:rsidRPr="00C94111">
        <w:t>eport is structured as follows:</w:t>
      </w:r>
    </w:p>
    <w:p w:rsidR="00D8721E" w:rsidRDefault="00CD5700" w:rsidP="00596D01">
      <w:pPr>
        <w:pStyle w:val="Bullet1"/>
        <w:rPr>
          <w:rFonts w:ascii="Segoe UI" w:hAnsi="Segoe UI" w:cs="Segoe UI"/>
        </w:rPr>
      </w:pPr>
      <w:hyperlink w:anchor="_Aged_care_in_1" w:history="1">
        <w:r w:rsidR="00A17102" w:rsidRPr="00596D01">
          <w:rPr>
            <w:rStyle w:val="Strong"/>
          </w:rPr>
          <w:t>Chapter 2 Aged care in Australia</w:t>
        </w:r>
      </w:hyperlink>
      <w:r w:rsidR="00A17102" w:rsidRPr="00596D01">
        <w:rPr>
          <w:rStyle w:val="Strong"/>
        </w:rPr>
        <w:t>.</w:t>
      </w:r>
      <w:r w:rsidR="00D8721E" w:rsidRPr="00596D01">
        <w:rPr>
          <w:rStyle w:val="Strong"/>
        </w:rPr>
        <w:t xml:space="preserve"> </w:t>
      </w:r>
      <w:r w:rsidR="003A42A4">
        <w:rPr>
          <w:rFonts w:ascii="Segoe UI" w:hAnsi="Segoe UI" w:cs="Segoe UI"/>
        </w:rPr>
        <w:t>P</w:t>
      </w:r>
      <w:r w:rsidR="00A17102" w:rsidRPr="00C94111">
        <w:rPr>
          <w:rFonts w:ascii="Segoe UI" w:hAnsi="Segoe UI" w:cs="Segoe UI"/>
        </w:rPr>
        <w:t>rovides an overview of the</w:t>
      </w:r>
      <w:r w:rsidR="00775A90" w:rsidRPr="00C94111">
        <w:rPr>
          <w:rFonts w:ascii="Segoe UI" w:hAnsi="Segoe UI" w:cs="Segoe UI"/>
        </w:rPr>
        <w:t xml:space="preserve"> </w:t>
      </w:r>
      <w:r w:rsidR="00A17102" w:rsidRPr="00C94111">
        <w:rPr>
          <w:rFonts w:ascii="Segoe UI" w:hAnsi="Segoe UI" w:cs="Segoe UI"/>
        </w:rPr>
        <w:t>aged care sector in Australia</w:t>
      </w:r>
      <w:r w:rsidR="00D8721E">
        <w:rPr>
          <w:rFonts w:ascii="Segoe UI" w:hAnsi="Segoe UI" w:cs="Segoe UI"/>
        </w:rPr>
        <w:t>.</w:t>
      </w:r>
    </w:p>
    <w:p w:rsidR="00310E3C" w:rsidRPr="00693D60" w:rsidRDefault="00CD5700" w:rsidP="00596D01">
      <w:pPr>
        <w:pStyle w:val="Bullet1"/>
        <w:rPr>
          <w:rStyle w:val="Hyperlink"/>
          <w:rFonts w:ascii="Segoe UI" w:hAnsi="Segoe UI"/>
        </w:rPr>
      </w:pPr>
      <w:hyperlink w:anchor="_Aged_care_workforce" w:history="1">
        <w:r w:rsidR="00310E3C" w:rsidRPr="00596D01">
          <w:rPr>
            <w:rStyle w:val="Strong"/>
          </w:rPr>
          <w:t>Chapter 3</w:t>
        </w:r>
        <w:r w:rsidR="007C0AA9" w:rsidRPr="00596D01">
          <w:rPr>
            <w:rStyle w:val="Strong"/>
          </w:rPr>
          <w:t xml:space="preserve"> Aged care w</w:t>
        </w:r>
        <w:r w:rsidR="00310E3C" w:rsidRPr="00596D01">
          <w:rPr>
            <w:rStyle w:val="Strong"/>
          </w:rPr>
          <w:t xml:space="preserve">orkforce. </w:t>
        </w:r>
      </w:hyperlink>
      <w:r w:rsidR="003A42A4">
        <w:rPr>
          <w:rFonts w:ascii="Segoe UI" w:hAnsi="Segoe UI" w:cs="Segoe UI"/>
        </w:rPr>
        <w:t>P</w:t>
      </w:r>
      <w:r w:rsidR="00693D60">
        <w:rPr>
          <w:rFonts w:ascii="Segoe UI" w:hAnsi="Segoe UI" w:cs="Segoe UI"/>
        </w:rPr>
        <w:t xml:space="preserve">rovides an overview of the </w:t>
      </w:r>
      <w:r w:rsidR="002E5158">
        <w:rPr>
          <w:rFonts w:ascii="Segoe UI" w:hAnsi="Segoe UI" w:cs="Segoe UI"/>
        </w:rPr>
        <w:t>aged care workforce, based mainly on the</w:t>
      </w:r>
      <w:r w:rsidR="00A261F3">
        <w:rPr>
          <w:rFonts w:ascii="Segoe UI" w:hAnsi="Segoe UI" w:cs="Segoe UI"/>
        </w:rPr>
        <w:t> 201</w:t>
      </w:r>
      <w:r w:rsidR="00693D60" w:rsidRPr="00693D60">
        <w:rPr>
          <w:rFonts w:ascii="Segoe UI" w:hAnsi="Segoe UI" w:cs="Segoe UI"/>
        </w:rPr>
        <w:t>6 National Aged Care Workforce Census and Survey</w:t>
      </w:r>
      <w:r w:rsidR="00693D60">
        <w:rPr>
          <w:rFonts w:ascii="Segoe UI" w:hAnsi="Segoe UI" w:cs="Segoe UI"/>
        </w:rPr>
        <w:t>.</w:t>
      </w:r>
    </w:p>
    <w:p w:rsidR="00A17102" w:rsidRDefault="00CD5700" w:rsidP="00596D01">
      <w:pPr>
        <w:pStyle w:val="Bullet1"/>
        <w:rPr>
          <w:rFonts w:ascii="Segoe UI" w:hAnsi="Segoe UI" w:cs="Segoe UI"/>
        </w:rPr>
      </w:pPr>
      <w:hyperlink w:anchor="_Aged_care_reforms" w:history="1">
        <w:r w:rsidR="00310E3C" w:rsidRPr="00596D01">
          <w:rPr>
            <w:rStyle w:val="Strong"/>
          </w:rPr>
          <w:t>Chapter 4</w:t>
        </w:r>
        <w:r w:rsidR="00AC4A06" w:rsidRPr="00596D01">
          <w:rPr>
            <w:rStyle w:val="Strong"/>
          </w:rPr>
          <w:t xml:space="preserve"> </w:t>
        </w:r>
        <w:r w:rsidR="0086270F" w:rsidRPr="00596D01">
          <w:rPr>
            <w:rStyle w:val="Strong"/>
          </w:rPr>
          <w:t>A</w:t>
        </w:r>
        <w:r w:rsidR="00917C0B" w:rsidRPr="00596D01">
          <w:rPr>
            <w:rStyle w:val="Strong"/>
          </w:rPr>
          <w:t>ged care reforms</w:t>
        </w:r>
        <w:r w:rsidR="00A17102" w:rsidRPr="00596D01">
          <w:rPr>
            <w:rStyle w:val="Strong"/>
          </w:rPr>
          <w:t xml:space="preserve">. </w:t>
        </w:r>
      </w:hyperlink>
      <w:r w:rsidR="00A17102" w:rsidRPr="00596D01">
        <w:rPr>
          <w:rStyle w:val="Strong"/>
        </w:rPr>
        <w:t xml:space="preserve"> </w:t>
      </w:r>
      <w:r w:rsidR="003A42A4">
        <w:rPr>
          <w:rFonts w:ascii="Segoe UI" w:hAnsi="Segoe UI" w:cs="Segoe UI"/>
        </w:rPr>
        <w:t>D</w:t>
      </w:r>
      <w:r w:rsidR="00A17102" w:rsidRPr="00C94111">
        <w:rPr>
          <w:rFonts w:ascii="Segoe UI" w:hAnsi="Segoe UI" w:cs="Segoe UI"/>
        </w:rPr>
        <w:t xml:space="preserve">iscusses </w:t>
      </w:r>
      <w:r w:rsidR="0001464A">
        <w:rPr>
          <w:rFonts w:ascii="Segoe UI" w:hAnsi="Segoe UI" w:cs="Segoe UI"/>
        </w:rPr>
        <w:t>on-going</w:t>
      </w:r>
      <w:r w:rsidR="00A17102" w:rsidRPr="00C94111">
        <w:rPr>
          <w:rFonts w:ascii="Segoe UI" w:hAnsi="Segoe UI" w:cs="Segoe UI"/>
        </w:rPr>
        <w:t xml:space="preserve"> reforms in aged care.</w:t>
      </w:r>
    </w:p>
    <w:p w:rsidR="00D8721E" w:rsidRDefault="00CD5700" w:rsidP="00596D01">
      <w:pPr>
        <w:pStyle w:val="Bullet1"/>
        <w:rPr>
          <w:rFonts w:ascii="Segoe UI" w:hAnsi="Segoe UI" w:cs="Segoe UI"/>
        </w:rPr>
      </w:pPr>
      <w:hyperlink w:anchor="_Access_to_aged" w:history="1">
        <w:r w:rsidR="00310E3C" w:rsidRPr="00596D01">
          <w:rPr>
            <w:rStyle w:val="Strong"/>
          </w:rPr>
          <w:t>Chapter 5</w:t>
        </w:r>
        <w:r w:rsidR="00693D60" w:rsidRPr="00596D01">
          <w:rPr>
            <w:rStyle w:val="Strong"/>
          </w:rPr>
          <w:t xml:space="preserve"> Access to</w:t>
        </w:r>
        <w:r w:rsidR="00310E3C" w:rsidRPr="00596D01">
          <w:rPr>
            <w:rStyle w:val="Strong"/>
          </w:rPr>
          <w:t xml:space="preserve"> aged care.</w:t>
        </w:r>
      </w:hyperlink>
      <w:r w:rsidR="00D8721E" w:rsidRPr="00596D01">
        <w:rPr>
          <w:rStyle w:val="Strong"/>
        </w:rPr>
        <w:t xml:space="preserve"> </w:t>
      </w:r>
      <w:r w:rsidR="003A42A4">
        <w:rPr>
          <w:rFonts w:ascii="Segoe UI" w:hAnsi="Segoe UI" w:cs="Segoe UI"/>
        </w:rPr>
        <w:t>D</w:t>
      </w:r>
      <w:r w:rsidR="004479B4">
        <w:rPr>
          <w:rFonts w:ascii="Segoe UI" w:hAnsi="Segoe UI" w:cs="Segoe UI"/>
        </w:rPr>
        <w:t>iscusses</w:t>
      </w:r>
      <w:r w:rsidR="00693D60">
        <w:rPr>
          <w:rFonts w:ascii="Segoe UI" w:hAnsi="Segoe UI" w:cs="Segoe UI"/>
        </w:rPr>
        <w:t xml:space="preserve"> </w:t>
      </w:r>
      <w:r w:rsidR="004F7744">
        <w:rPr>
          <w:rFonts w:ascii="Segoe UI" w:hAnsi="Segoe UI" w:cs="Segoe UI"/>
        </w:rPr>
        <w:t>the supply of</w:t>
      </w:r>
      <w:r w:rsidR="00DE4D81">
        <w:rPr>
          <w:rFonts w:ascii="Segoe UI" w:hAnsi="Segoe UI" w:cs="Segoe UI"/>
        </w:rPr>
        <w:t>,</w:t>
      </w:r>
      <w:r w:rsidR="004F7744">
        <w:rPr>
          <w:rFonts w:ascii="Segoe UI" w:hAnsi="Segoe UI" w:cs="Segoe UI"/>
        </w:rPr>
        <w:t xml:space="preserve"> and </w:t>
      </w:r>
      <w:r w:rsidR="00693D60">
        <w:rPr>
          <w:rFonts w:ascii="Segoe UI" w:hAnsi="Segoe UI" w:cs="Segoe UI"/>
        </w:rPr>
        <w:t>access to</w:t>
      </w:r>
      <w:r w:rsidR="00DE4D81">
        <w:rPr>
          <w:rFonts w:ascii="Segoe UI" w:hAnsi="Segoe UI" w:cs="Segoe UI"/>
        </w:rPr>
        <w:t>,</w:t>
      </w:r>
      <w:r w:rsidR="00693D60">
        <w:rPr>
          <w:rFonts w:ascii="Segoe UI" w:hAnsi="Segoe UI" w:cs="Segoe UI"/>
        </w:rPr>
        <w:t xml:space="preserve"> </w:t>
      </w:r>
      <w:r w:rsidR="008B0797">
        <w:rPr>
          <w:rFonts w:ascii="Segoe UI" w:hAnsi="Segoe UI" w:cs="Segoe UI"/>
        </w:rPr>
        <w:t xml:space="preserve">subsidised </w:t>
      </w:r>
      <w:r w:rsidR="00693D60">
        <w:rPr>
          <w:rFonts w:ascii="Segoe UI" w:hAnsi="Segoe UI" w:cs="Segoe UI"/>
        </w:rPr>
        <w:t>aged care in Australia</w:t>
      </w:r>
      <w:r w:rsidR="00D8721E">
        <w:rPr>
          <w:rFonts w:ascii="Segoe UI" w:hAnsi="Segoe UI" w:cs="Segoe UI"/>
        </w:rPr>
        <w:t>.</w:t>
      </w:r>
    </w:p>
    <w:p w:rsidR="00917C0B" w:rsidRPr="00917C0B" w:rsidRDefault="00CD5700" w:rsidP="00596D01">
      <w:pPr>
        <w:pStyle w:val="Bullet1"/>
        <w:rPr>
          <w:rFonts w:ascii="Segoe UI" w:hAnsi="Segoe UI" w:cs="Segoe UI"/>
        </w:rPr>
      </w:pPr>
      <w:hyperlink w:anchor="_Home_Support" w:history="1">
        <w:r w:rsidR="00310E3C" w:rsidRPr="00596D01">
          <w:rPr>
            <w:rStyle w:val="Strong"/>
          </w:rPr>
          <w:t>Chapter 6</w:t>
        </w:r>
        <w:r w:rsidR="00BF2C2D" w:rsidRPr="00596D01">
          <w:rPr>
            <w:rStyle w:val="Strong"/>
          </w:rPr>
          <w:t xml:space="preserve"> Home support</w:t>
        </w:r>
        <w:r w:rsidR="00A17102" w:rsidRPr="00596D01">
          <w:rPr>
            <w:rStyle w:val="Strong"/>
          </w:rPr>
          <w:t>.</w:t>
        </w:r>
      </w:hyperlink>
      <w:r w:rsidR="00D8721E">
        <w:rPr>
          <w:rFonts w:ascii="Segoe UI" w:hAnsi="Segoe UI" w:cs="Segoe UI"/>
        </w:rPr>
        <w:t xml:space="preserve"> </w:t>
      </w:r>
      <w:r w:rsidR="003A42A4">
        <w:rPr>
          <w:rFonts w:ascii="Segoe UI" w:hAnsi="Segoe UI" w:cs="Segoe UI"/>
        </w:rPr>
        <w:t>P</w:t>
      </w:r>
      <w:r w:rsidR="00147963">
        <w:rPr>
          <w:rFonts w:ascii="Segoe UI" w:hAnsi="Segoe UI" w:cs="Segoe UI"/>
        </w:rPr>
        <w:t>rovides an overview of</w:t>
      </w:r>
      <w:r w:rsidR="00917C0B">
        <w:rPr>
          <w:rFonts w:ascii="Segoe UI" w:hAnsi="Segoe UI" w:cs="Segoe UI"/>
        </w:rPr>
        <w:t xml:space="preserve"> home support through the Comm</w:t>
      </w:r>
      <w:r w:rsidR="0098640A">
        <w:rPr>
          <w:rFonts w:ascii="Segoe UI" w:hAnsi="Segoe UI" w:cs="Segoe UI"/>
        </w:rPr>
        <w:t>onwealth Home Support Programme</w:t>
      </w:r>
      <w:r w:rsidR="00917C0B">
        <w:rPr>
          <w:rFonts w:ascii="Segoe UI" w:hAnsi="Segoe UI" w:cs="Segoe UI"/>
        </w:rPr>
        <w:t xml:space="preserve"> and </w:t>
      </w:r>
      <w:r w:rsidR="0098640A">
        <w:rPr>
          <w:rFonts w:ascii="Segoe UI" w:hAnsi="Segoe UI" w:cs="Segoe UI"/>
        </w:rPr>
        <w:t xml:space="preserve">the </w:t>
      </w:r>
      <w:r w:rsidR="006C05C0">
        <w:rPr>
          <w:rFonts w:ascii="Segoe UI" w:hAnsi="Segoe UI" w:cs="Segoe UI"/>
        </w:rPr>
        <w:t>Home and Community Care</w:t>
      </w:r>
      <w:r w:rsidR="002A123D">
        <w:rPr>
          <w:rFonts w:ascii="Segoe UI" w:hAnsi="Segoe UI" w:cs="Segoe UI"/>
        </w:rPr>
        <w:t xml:space="preserve"> program in </w:t>
      </w:r>
      <w:r w:rsidR="0098640A">
        <w:rPr>
          <w:rFonts w:ascii="Segoe UI" w:hAnsi="Segoe UI" w:cs="Segoe UI"/>
        </w:rPr>
        <w:t>Western Australia.</w:t>
      </w:r>
    </w:p>
    <w:p w:rsidR="00A17102" w:rsidRPr="00917C0B" w:rsidRDefault="00CD5700" w:rsidP="00596D01">
      <w:pPr>
        <w:pStyle w:val="Bullet1"/>
        <w:rPr>
          <w:rFonts w:ascii="Segoe UI" w:hAnsi="Segoe UI" w:cs="Segoe UI"/>
        </w:rPr>
      </w:pPr>
      <w:hyperlink w:anchor="_Home_Care_Packages" w:history="1">
        <w:r w:rsidR="00310E3C" w:rsidRPr="00596D01">
          <w:rPr>
            <w:rStyle w:val="Strong"/>
          </w:rPr>
          <w:t>Chapter 7</w:t>
        </w:r>
        <w:r w:rsidR="00A21421" w:rsidRPr="00596D01">
          <w:rPr>
            <w:rStyle w:val="Strong"/>
          </w:rPr>
          <w:t xml:space="preserve"> Home care</w:t>
        </w:r>
        <w:r w:rsidR="0080373A" w:rsidRPr="00596D01">
          <w:rPr>
            <w:rStyle w:val="Strong"/>
          </w:rPr>
          <w:t xml:space="preserve">: </w:t>
        </w:r>
        <w:r w:rsidR="004479B4" w:rsidRPr="00596D01">
          <w:rPr>
            <w:rStyle w:val="Strong"/>
          </w:rPr>
          <w:t>operational p</w:t>
        </w:r>
        <w:r w:rsidR="00310E3C" w:rsidRPr="00596D01">
          <w:rPr>
            <w:rStyle w:val="Strong"/>
          </w:rPr>
          <w:t>erformance</w:t>
        </w:r>
        <w:r w:rsidR="00A17102" w:rsidRPr="00596D01">
          <w:rPr>
            <w:rStyle w:val="Strong"/>
          </w:rPr>
          <w:t>.</w:t>
        </w:r>
      </w:hyperlink>
      <w:r w:rsidR="00D8721E" w:rsidRPr="00596D01">
        <w:rPr>
          <w:rStyle w:val="Strong"/>
        </w:rPr>
        <w:t xml:space="preserve"> </w:t>
      </w:r>
      <w:r w:rsidR="003A42A4">
        <w:rPr>
          <w:rFonts w:ascii="Segoe UI" w:hAnsi="Segoe UI" w:cs="Segoe UI"/>
        </w:rPr>
        <w:t>D</w:t>
      </w:r>
      <w:r w:rsidR="00147963">
        <w:rPr>
          <w:rFonts w:ascii="Segoe UI" w:hAnsi="Segoe UI" w:cs="Segoe UI"/>
        </w:rPr>
        <w:t>iscusses</w:t>
      </w:r>
      <w:r w:rsidR="00A17102" w:rsidRPr="00917C0B">
        <w:rPr>
          <w:rFonts w:ascii="Segoe UI" w:hAnsi="Segoe UI" w:cs="Segoe UI"/>
        </w:rPr>
        <w:t xml:space="preserve"> the provision of home care through the Home Care Packages Programme and a summary of </w:t>
      </w:r>
      <w:r w:rsidR="00306A43">
        <w:rPr>
          <w:rFonts w:ascii="Segoe UI" w:hAnsi="Segoe UI" w:cs="Segoe UI"/>
        </w:rPr>
        <w:t>financial performance of</w:t>
      </w:r>
      <w:r w:rsidR="00A17102" w:rsidRPr="00917C0B">
        <w:rPr>
          <w:rFonts w:ascii="Segoe UI" w:hAnsi="Segoe UI" w:cs="Segoe UI"/>
        </w:rPr>
        <w:t xml:space="preserve"> provi</w:t>
      </w:r>
      <w:r w:rsidR="00917C0B">
        <w:rPr>
          <w:rFonts w:ascii="Segoe UI" w:hAnsi="Segoe UI" w:cs="Segoe UI"/>
        </w:rPr>
        <w:t>ders in</w:t>
      </w:r>
      <w:r w:rsidR="00A261F3">
        <w:rPr>
          <w:rFonts w:ascii="Segoe UI" w:hAnsi="Segoe UI" w:cs="Segoe UI"/>
        </w:rPr>
        <w:t> 201</w:t>
      </w:r>
      <w:r w:rsidR="002A123D">
        <w:rPr>
          <w:rFonts w:ascii="Segoe UI" w:hAnsi="Segoe UI" w:cs="Segoe UI"/>
        </w:rPr>
        <w:t>6</w:t>
      </w:r>
      <w:r w:rsidR="00D8721E">
        <w:rPr>
          <w:rFonts w:ascii="Segoe UI" w:hAnsi="Segoe UI" w:cs="Segoe UI"/>
        </w:rPr>
        <w:t>–1</w:t>
      </w:r>
      <w:r w:rsidR="002A123D">
        <w:rPr>
          <w:rFonts w:ascii="Segoe UI" w:hAnsi="Segoe UI" w:cs="Segoe UI"/>
        </w:rPr>
        <w:t>7</w:t>
      </w:r>
      <w:r w:rsidR="00917C0B">
        <w:rPr>
          <w:rFonts w:ascii="Segoe UI" w:hAnsi="Segoe UI" w:cs="Segoe UI"/>
        </w:rPr>
        <w:t>.</w:t>
      </w:r>
    </w:p>
    <w:p w:rsidR="00D8721E" w:rsidRDefault="00CD5700" w:rsidP="00596D01">
      <w:pPr>
        <w:pStyle w:val="Bullet1"/>
        <w:rPr>
          <w:rFonts w:ascii="Segoe UI" w:hAnsi="Segoe UI" w:cs="Segoe UI"/>
        </w:rPr>
      </w:pPr>
      <w:hyperlink w:anchor="_Residential_aged_care:" w:history="1">
        <w:r w:rsidR="00310E3C" w:rsidRPr="00596D01">
          <w:rPr>
            <w:rStyle w:val="Strong"/>
          </w:rPr>
          <w:t>Chapter 8</w:t>
        </w:r>
        <w:r w:rsidR="00A17102" w:rsidRPr="00596D01">
          <w:rPr>
            <w:rStyle w:val="Strong"/>
          </w:rPr>
          <w:t xml:space="preserve"> Resid</w:t>
        </w:r>
        <w:r w:rsidR="00310E3C" w:rsidRPr="00596D01">
          <w:rPr>
            <w:rStyle w:val="Strong"/>
          </w:rPr>
          <w:t>ential aged care: characteristics of the sector</w:t>
        </w:r>
        <w:r w:rsidR="00A17102" w:rsidRPr="00596D01">
          <w:rPr>
            <w:rStyle w:val="Strong"/>
          </w:rPr>
          <w:t>.</w:t>
        </w:r>
      </w:hyperlink>
      <w:r w:rsidR="00D8721E" w:rsidRPr="00596D01">
        <w:rPr>
          <w:rStyle w:val="Strong"/>
        </w:rPr>
        <w:t xml:space="preserve"> </w:t>
      </w:r>
      <w:r w:rsidR="003A42A4">
        <w:rPr>
          <w:rFonts w:ascii="Segoe UI" w:hAnsi="Segoe UI" w:cs="Segoe UI"/>
        </w:rPr>
        <w:t>D</w:t>
      </w:r>
      <w:r w:rsidR="00147963">
        <w:rPr>
          <w:rFonts w:ascii="Segoe UI" w:hAnsi="Segoe UI" w:cs="Segoe UI"/>
        </w:rPr>
        <w:t>iscusses</w:t>
      </w:r>
      <w:r w:rsidR="00A17102" w:rsidRPr="00C94111">
        <w:rPr>
          <w:rFonts w:ascii="Segoe UI" w:hAnsi="Segoe UI" w:cs="Segoe UI"/>
        </w:rPr>
        <w:t xml:space="preserve"> residential aged care, focusing on </w:t>
      </w:r>
      <w:r w:rsidR="004F7744">
        <w:rPr>
          <w:rFonts w:ascii="Segoe UI" w:hAnsi="Segoe UI" w:cs="Segoe UI"/>
        </w:rPr>
        <w:t xml:space="preserve">the scale, ownership and locational characteristics of residential aged care providers and their </w:t>
      </w:r>
      <w:r w:rsidR="00D871E6">
        <w:rPr>
          <w:rFonts w:ascii="Segoe UI" w:hAnsi="Segoe UI" w:cs="Segoe UI"/>
        </w:rPr>
        <w:t>facilities</w:t>
      </w:r>
      <w:r w:rsidR="00D8721E">
        <w:rPr>
          <w:rFonts w:ascii="Segoe UI" w:hAnsi="Segoe UI" w:cs="Segoe UI"/>
        </w:rPr>
        <w:t>.</w:t>
      </w:r>
    </w:p>
    <w:p w:rsidR="00A17102" w:rsidRPr="00C94111" w:rsidRDefault="00CD5700" w:rsidP="00596D01">
      <w:pPr>
        <w:pStyle w:val="Bullet1"/>
        <w:rPr>
          <w:rFonts w:ascii="Segoe UI" w:hAnsi="Segoe UI" w:cs="Segoe UI"/>
        </w:rPr>
      </w:pPr>
      <w:hyperlink w:anchor="_Residential_aged_care:_1" w:history="1">
        <w:r w:rsidR="00310E3C" w:rsidRPr="00596D01">
          <w:rPr>
            <w:rStyle w:val="Strong"/>
          </w:rPr>
          <w:t>Chapter 9</w:t>
        </w:r>
        <w:r w:rsidR="00A17102" w:rsidRPr="00596D01">
          <w:rPr>
            <w:rStyle w:val="Strong"/>
          </w:rPr>
          <w:t xml:space="preserve"> Residential aged care: operational performance.</w:t>
        </w:r>
        <w:r w:rsidR="00A17102" w:rsidRPr="00C94111">
          <w:rPr>
            <w:rFonts w:ascii="Segoe UI" w:hAnsi="Segoe UI" w:cs="Segoe UI"/>
          </w:rPr>
          <w:t xml:space="preserve"> </w:t>
        </w:r>
      </w:hyperlink>
      <w:r w:rsidR="003A42A4">
        <w:rPr>
          <w:rFonts w:ascii="Segoe UI" w:hAnsi="Segoe UI" w:cs="Segoe UI"/>
        </w:rPr>
        <w:t xml:space="preserve"> P</w:t>
      </w:r>
      <w:r w:rsidR="00A17102" w:rsidRPr="00C94111">
        <w:rPr>
          <w:rFonts w:ascii="Segoe UI" w:hAnsi="Segoe UI" w:cs="Segoe UI"/>
        </w:rPr>
        <w:t xml:space="preserve">rovides information on the </w:t>
      </w:r>
      <w:r w:rsidR="00306A43">
        <w:rPr>
          <w:rFonts w:ascii="Segoe UI" w:hAnsi="Segoe UI" w:cs="Segoe UI"/>
        </w:rPr>
        <w:t>financial performance</w:t>
      </w:r>
      <w:r w:rsidR="00A17102" w:rsidRPr="00C94111">
        <w:rPr>
          <w:rFonts w:ascii="Segoe UI" w:hAnsi="Segoe UI" w:cs="Segoe UI"/>
        </w:rPr>
        <w:t xml:space="preserve"> of res</w:t>
      </w:r>
      <w:r w:rsidR="00B40C93">
        <w:rPr>
          <w:rFonts w:ascii="Segoe UI" w:hAnsi="Segoe UI" w:cs="Segoe UI"/>
        </w:rPr>
        <w:t xml:space="preserve">idential </w:t>
      </w:r>
      <w:r w:rsidR="00076A8F">
        <w:rPr>
          <w:rFonts w:ascii="Segoe UI" w:hAnsi="Segoe UI" w:cs="Segoe UI"/>
        </w:rPr>
        <w:t xml:space="preserve">aged </w:t>
      </w:r>
      <w:r w:rsidR="00B40C93">
        <w:rPr>
          <w:rFonts w:ascii="Segoe UI" w:hAnsi="Segoe UI" w:cs="Segoe UI"/>
        </w:rPr>
        <w:t>care providers in</w:t>
      </w:r>
      <w:r w:rsidR="00A261F3">
        <w:rPr>
          <w:rFonts w:ascii="Segoe UI" w:hAnsi="Segoe UI" w:cs="Segoe UI"/>
        </w:rPr>
        <w:t> 201</w:t>
      </w:r>
      <w:r w:rsidR="002A123D">
        <w:rPr>
          <w:rFonts w:ascii="Segoe UI" w:hAnsi="Segoe UI" w:cs="Segoe UI"/>
        </w:rPr>
        <w:t>6</w:t>
      </w:r>
      <w:r w:rsidR="00D8721E">
        <w:rPr>
          <w:rFonts w:ascii="Segoe UI" w:hAnsi="Segoe UI" w:cs="Segoe UI"/>
        </w:rPr>
        <w:t>–1</w:t>
      </w:r>
      <w:r w:rsidR="002A123D">
        <w:rPr>
          <w:rFonts w:ascii="Segoe UI" w:hAnsi="Segoe UI" w:cs="Segoe UI"/>
        </w:rPr>
        <w:t>7</w:t>
      </w:r>
      <w:r w:rsidR="00A17102" w:rsidRPr="00C94111">
        <w:rPr>
          <w:rFonts w:ascii="Segoe UI" w:hAnsi="Segoe UI" w:cs="Segoe UI"/>
        </w:rPr>
        <w:t>.</w:t>
      </w:r>
    </w:p>
    <w:p w:rsidR="00D8721E" w:rsidRDefault="00CD5700" w:rsidP="00596D01">
      <w:pPr>
        <w:pStyle w:val="Bullet1"/>
        <w:rPr>
          <w:rFonts w:ascii="Segoe UI" w:hAnsi="Segoe UI" w:cs="Segoe UI"/>
        </w:rPr>
      </w:pPr>
      <w:hyperlink w:anchor="_Residential_aged_care:_2" w:history="1">
        <w:r w:rsidR="005E0A83" w:rsidRPr="00596D01">
          <w:rPr>
            <w:rStyle w:val="Strong"/>
          </w:rPr>
          <w:t>Chapter 10</w:t>
        </w:r>
        <w:r w:rsidR="00A17102" w:rsidRPr="00596D01">
          <w:rPr>
            <w:rStyle w:val="Strong"/>
          </w:rPr>
          <w:t xml:space="preserve"> Residential aged care: capital investment.</w:t>
        </w:r>
      </w:hyperlink>
      <w:r w:rsidR="00D8721E" w:rsidRPr="00596D01">
        <w:rPr>
          <w:rStyle w:val="Strong"/>
        </w:rPr>
        <w:t xml:space="preserve"> </w:t>
      </w:r>
      <w:r w:rsidR="003A42A4">
        <w:rPr>
          <w:rFonts w:ascii="Segoe UI" w:hAnsi="Segoe UI" w:cs="Segoe UI"/>
        </w:rPr>
        <w:t>P</w:t>
      </w:r>
      <w:r w:rsidR="00A17102" w:rsidRPr="00C94111">
        <w:rPr>
          <w:rFonts w:ascii="Segoe UI" w:hAnsi="Segoe UI" w:cs="Segoe UI"/>
        </w:rPr>
        <w:t>rovides discussion pertaining to provider balance sheets and capital investments</w:t>
      </w:r>
      <w:r w:rsidR="00D8721E">
        <w:rPr>
          <w:rFonts w:ascii="Segoe UI" w:hAnsi="Segoe UI" w:cs="Segoe UI"/>
        </w:rPr>
        <w:t>.</w:t>
      </w:r>
    </w:p>
    <w:p w:rsidR="00D8721E" w:rsidRDefault="00AD3C75" w:rsidP="00596D01">
      <w:pPr>
        <w:pStyle w:val="Bullet1"/>
        <w:rPr>
          <w:rFonts w:ascii="Segoe UI" w:hAnsi="Segoe UI" w:cs="Segoe UI"/>
        </w:rPr>
      </w:pPr>
      <w:r w:rsidRPr="00596D01">
        <w:rPr>
          <w:rStyle w:val="Strong"/>
        </w:rPr>
        <w:t>Chapter 11</w:t>
      </w:r>
      <w:r>
        <w:rPr>
          <w:rFonts w:ascii="Segoe UI" w:hAnsi="Segoe UI" w:cs="Segoe UI"/>
        </w:rPr>
        <w:t xml:space="preserve"> </w:t>
      </w:r>
      <w:r w:rsidR="00FF676E" w:rsidRPr="00596D01">
        <w:rPr>
          <w:rStyle w:val="Strong"/>
        </w:rPr>
        <w:t>Residential aged care: funding and financing challenges</w:t>
      </w:r>
      <w:r w:rsidRPr="00596D01">
        <w:rPr>
          <w:rStyle w:val="Strong"/>
        </w:rPr>
        <w:t>.</w:t>
      </w:r>
      <w:r w:rsidR="00D8721E">
        <w:rPr>
          <w:rFonts w:ascii="Segoe UI" w:hAnsi="Segoe UI" w:cs="Segoe UI"/>
        </w:rPr>
        <w:t xml:space="preserve"> </w:t>
      </w:r>
      <w:r w:rsidR="003A42A4">
        <w:rPr>
          <w:rFonts w:ascii="Segoe UI" w:hAnsi="Segoe UI" w:cs="Segoe UI"/>
        </w:rPr>
        <w:t>P</w:t>
      </w:r>
      <w:r>
        <w:rPr>
          <w:rFonts w:ascii="Segoe UI" w:hAnsi="Segoe UI" w:cs="Segoe UI"/>
        </w:rPr>
        <w:t>rovides an outline of issues facing the residential aged care sector as financial performance declines in</w:t>
      </w:r>
      <w:r w:rsidR="00A261F3">
        <w:rPr>
          <w:rFonts w:ascii="Segoe UI" w:hAnsi="Segoe UI" w:cs="Segoe UI"/>
        </w:rPr>
        <w:t> 201</w:t>
      </w:r>
      <w:r>
        <w:rPr>
          <w:rFonts w:ascii="Segoe UI" w:hAnsi="Segoe UI" w:cs="Segoe UI"/>
        </w:rPr>
        <w:t>7</w:t>
      </w:r>
      <w:r w:rsidR="00D8721E">
        <w:rPr>
          <w:rFonts w:ascii="Segoe UI" w:hAnsi="Segoe UI" w:cs="Segoe UI"/>
        </w:rPr>
        <w:t>–1</w:t>
      </w:r>
      <w:r>
        <w:rPr>
          <w:rFonts w:ascii="Segoe UI" w:hAnsi="Segoe UI" w:cs="Segoe UI"/>
        </w:rPr>
        <w:t>8 compared with previous years.</w:t>
      </w:r>
    </w:p>
    <w:p w:rsidR="007A750D" w:rsidRPr="00827ABF" w:rsidRDefault="007A750D" w:rsidP="00596D01">
      <w:r w:rsidRPr="00827ABF">
        <w:t>Analysis of providers in this report is generally presented in four ways:</w:t>
      </w:r>
    </w:p>
    <w:p w:rsidR="007A750D" w:rsidRPr="00D110A7" w:rsidRDefault="007A750D" w:rsidP="00596D01">
      <w:pPr>
        <w:pStyle w:val="Bullet1"/>
      </w:pPr>
      <w:r w:rsidRPr="00D110A7">
        <w:t>Whole of sector (refers to all providers operating a particular type of care);</w:t>
      </w:r>
    </w:p>
    <w:p w:rsidR="007A750D" w:rsidRPr="00D110A7" w:rsidRDefault="007A750D" w:rsidP="00596D01">
      <w:pPr>
        <w:pStyle w:val="Bullet1"/>
      </w:pPr>
      <w:r w:rsidRPr="00D110A7">
        <w:t>Ownership type (not-for-p</w:t>
      </w:r>
      <w:r w:rsidR="00882E2E">
        <w:t>rofit, for-profit or government-</w:t>
      </w:r>
      <w:r w:rsidRPr="00D110A7">
        <w:t>owned);</w:t>
      </w:r>
    </w:p>
    <w:p w:rsidR="007A750D" w:rsidRPr="00D110A7" w:rsidRDefault="004638A9" w:rsidP="00596D01">
      <w:pPr>
        <w:pStyle w:val="Bullet1"/>
      </w:pPr>
      <w:r>
        <w:t>L</w:t>
      </w:r>
      <w:r w:rsidR="007A750D" w:rsidRPr="00D110A7">
        <w:t>ocation (</w:t>
      </w:r>
      <w:r w:rsidR="007A750D">
        <w:t>m</w:t>
      </w:r>
      <w:r w:rsidR="007A750D" w:rsidRPr="00D110A7">
        <w:t>etropolita</w:t>
      </w:r>
      <w:r w:rsidR="007A750D">
        <w:t>n, regional</w:t>
      </w:r>
      <w:r w:rsidR="0022262E">
        <w:t xml:space="preserve"> (all areas outside of major cities)</w:t>
      </w:r>
      <w:r w:rsidR="007A750D">
        <w:t>, mix of m</w:t>
      </w:r>
      <w:r w:rsidR="007A750D" w:rsidRPr="00D110A7">
        <w:t>etropolitan and regional); and</w:t>
      </w:r>
    </w:p>
    <w:p w:rsidR="00D8721E" w:rsidRDefault="007A750D" w:rsidP="00596D01">
      <w:pPr>
        <w:pStyle w:val="Bullet1"/>
      </w:pPr>
      <w:r>
        <w:t>Scale (n</w:t>
      </w:r>
      <w:r w:rsidRPr="00D110A7">
        <w:t xml:space="preserve">umber of </w:t>
      </w:r>
      <w:r w:rsidR="00A3710D">
        <w:t>services</w:t>
      </w:r>
      <w:r w:rsidR="00787494">
        <w:rPr>
          <w:rStyle w:val="FootnoteReference"/>
          <w:rFonts w:cs="Segoe UI"/>
          <w:color w:val="313131"/>
        </w:rPr>
        <w:footnoteReference w:id="4"/>
      </w:r>
      <w:r w:rsidR="00A3710D">
        <w:t xml:space="preserve"> operated by a home care </w:t>
      </w:r>
      <w:r w:rsidR="00A3710D" w:rsidRPr="00D110A7">
        <w:t>provider</w:t>
      </w:r>
      <w:r w:rsidR="00A3710D">
        <w:t xml:space="preserve"> or number of </w:t>
      </w:r>
      <w:r w:rsidR="006C05C0">
        <w:t>facilities</w:t>
      </w:r>
      <w:r w:rsidRPr="00D110A7">
        <w:t xml:space="preserve"> operated by a </w:t>
      </w:r>
      <w:r w:rsidR="00946ABB">
        <w:t>residential</w:t>
      </w:r>
      <w:r w:rsidR="00A3710D">
        <w:t xml:space="preserve"> care provider</w:t>
      </w:r>
      <w:r w:rsidRPr="00D110A7">
        <w:t>)</w:t>
      </w:r>
      <w:r w:rsidR="00D8721E">
        <w:t>.</w:t>
      </w:r>
    </w:p>
    <w:p w:rsidR="007A750D" w:rsidRDefault="007A750D" w:rsidP="00596D01">
      <w:r w:rsidRPr="00827ABF">
        <w:t xml:space="preserve">When referring to a facility ‘size’ the report is referring to the number </w:t>
      </w:r>
      <w:r>
        <w:t>of beds operated by a single</w:t>
      </w:r>
      <w:r w:rsidRPr="00827ABF">
        <w:t xml:space="preserve"> residential aged care facility</w:t>
      </w:r>
      <w:r w:rsidR="00882E2E">
        <w:t>.</w:t>
      </w:r>
    </w:p>
    <w:p w:rsidR="00D8721E" w:rsidRDefault="007A750D" w:rsidP="00596D01">
      <w:r>
        <w:t>When referring to ‘government owned’, the report is referring to services owned and operated by state, territory and loc</w:t>
      </w:r>
      <w:r w:rsidR="0001464A">
        <w:t>al governments. The Australian</w:t>
      </w:r>
      <w:r>
        <w:t xml:space="preserve"> Government does not own</w:t>
      </w:r>
      <w:r w:rsidR="0064780E">
        <w:t xml:space="preserve"> or operate aged care </w:t>
      </w:r>
      <w:r w:rsidR="006673B9">
        <w:t xml:space="preserve">facilities or </w:t>
      </w:r>
      <w:r w:rsidR="0064780E">
        <w:t>services</w:t>
      </w:r>
      <w:r w:rsidR="00D8721E">
        <w:t>.</w:t>
      </w:r>
    </w:p>
    <w:p w:rsidR="00001040" w:rsidRDefault="00001040" w:rsidP="00596D01">
      <w:pPr>
        <w:pStyle w:val="Heading1Numbered"/>
      </w:pPr>
      <w:bookmarkStart w:id="65" w:name="_Aged_care_in_1"/>
      <w:bookmarkStart w:id="66" w:name="_Toc457549884"/>
      <w:bookmarkStart w:id="67" w:name="_Toc487702521"/>
      <w:bookmarkStart w:id="68" w:name="_Toc487702873"/>
      <w:bookmarkStart w:id="69" w:name="_Toc487703371"/>
      <w:bookmarkStart w:id="70" w:name="_Toc487703565"/>
      <w:bookmarkStart w:id="71" w:name="_Toc524424689"/>
      <w:bookmarkEnd w:id="65"/>
      <w:r w:rsidRPr="005616D5">
        <w:lastRenderedPageBreak/>
        <w:t>Aged care in Australia</w:t>
      </w:r>
      <w:bookmarkEnd w:id="64"/>
      <w:bookmarkEnd w:id="66"/>
      <w:bookmarkEnd w:id="67"/>
      <w:bookmarkEnd w:id="68"/>
      <w:bookmarkEnd w:id="69"/>
      <w:bookmarkEnd w:id="70"/>
      <w:bookmarkEnd w:id="71"/>
    </w:p>
    <w:p w:rsidR="00596D01" w:rsidRPr="00596D01" w:rsidRDefault="00596D01" w:rsidP="00596D01">
      <w:pPr>
        <w:pStyle w:val="Boxed1Heading"/>
      </w:pPr>
      <w:r w:rsidRPr="00596D01">
        <w:t>This chapter provides an overview of the Australian aged care sector.</w:t>
      </w:r>
    </w:p>
    <w:p w:rsidR="00596D01" w:rsidRPr="00596D01" w:rsidRDefault="00596D01" w:rsidP="00596D01">
      <w:pPr>
        <w:pStyle w:val="Boxed1Text"/>
        <w:rPr>
          <w:rStyle w:val="Strong"/>
        </w:rPr>
      </w:pPr>
      <w:r w:rsidRPr="00596D01">
        <w:rPr>
          <w:rStyle w:val="Strong"/>
        </w:rPr>
        <w:t>This chapter discusses:</w:t>
      </w:r>
    </w:p>
    <w:p w:rsidR="00596D01" w:rsidRDefault="00596D01" w:rsidP="00596D01">
      <w:pPr>
        <w:pStyle w:val="Boxed1Bullet"/>
      </w:pPr>
      <w:r>
        <w:t>t</w:t>
      </w:r>
      <w:r w:rsidRPr="000F7927">
        <w:t>ypes of</w:t>
      </w:r>
      <w:r>
        <w:t xml:space="preserve"> subsidised</w:t>
      </w:r>
      <w:r w:rsidRPr="000F7927">
        <w:t xml:space="preserve"> aged care </w:t>
      </w:r>
      <w:r>
        <w:t>in Australia</w:t>
      </w:r>
      <w:r w:rsidRPr="000F7927">
        <w:t xml:space="preserve"> </w:t>
      </w:r>
    </w:p>
    <w:p w:rsidR="00596D01" w:rsidRDefault="00596D01" w:rsidP="00596D01">
      <w:pPr>
        <w:pStyle w:val="Boxed1Bullet"/>
      </w:pPr>
      <w:r>
        <w:t>the regulation of the supply of aged care services</w:t>
      </w:r>
    </w:p>
    <w:p w:rsidR="00596D01" w:rsidRDefault="00596D01" w:rsidP="00596D01">
      <w:pPr>
        <w:pStyle w:val="Boxed1Bullet"/>
      </w:pPr>
      <w:r>
        <w:t>Commonwealth and consumer expenditure on aged care</w:t>
      </w:r>
    </w:p>
    <w:p w:rsidR="00596D01" w:rsidRPr="00596D01" w:rsidRDefault="00596D01" w:rsidP="00596D01">
      <w:pPr>
        <w:pStyle w:val="Boxed1Text"/>
        <w:rPr>
          <w:rStyle w:val="Strong"/>
        </w:rPr>
      </w:pPr>
      <w:r w:rsidRPr="00596D01">
        <w:rPr>
          <w:rStyle w:val="Strong"/>
        </w:rPr>
        <w:t>This chapter reports that:</w:t>
      </w:r>
    </w:p>
    <w:p w:rsidR="00596D01" w:rsidRPr="00EF5300" w:rsidRDefault="00596D01" w:rsidP="00596D01">
      <w:pPr>
        <w:pStyle w:val="Boxed1Bullet"/>
        <w:rPr>
          <w:lang w:val="en-GB"/>
        </w:rPr>
      </w:pPr>
      <w:r w:rsidRPr="00EF5300">
        <w:rPr>
          <w:lang w:val="en-GB"/>
        </w:rPr>
        <w:t>Australian Government total expenditure on aged care was $17.</w:t>
      </w:r>
      <w:r>
        <w:rPr>
          <w:lang w:val="en-GB"/>
        </w:rPr>
        <w:t>1 billion</w:t>
      </w:r>
      <w:r w:rsidRPr="00EF5300">
        <w:rPr>
          <w:lang w:val="en-GB"/>
        </w:rPr>
        <w:t xml:space="preserve"> in</w:t>
      </w:r>
      <w:r>
        <w:rPr>
          <w:lang w:val="en-GB"/>
        </w:rPr>
        <w:t> 201</w:t>
      </w:r>
      <w:r w:rsidRPr="00EF5300">
        <w:rPr>
          <w:lang w:val="en-GB"/>
        </w:rPr>
        <w:t>6</w:t>
      </w:r>
      <w:r>
        <w:rPr>
          <w:lang w:val="en-GB"/>
        </w:rPr>
        <w:t>–1</w:t>
      </w:r>
      <w:r w:rsidRPr="00EF5300">
        <w:rPr>
          <w:lang w:val="en-GB"/>
        </w:rPr>
        <w:t>7, up from $16.</w:t>
      </w:r>
      <w:r>
        <w:rPr>
          <w:lang w:val="en-GB"/>
        </w:rPr>
        <w:t>2 billion</w:t>
      </w:r>
      <w:r w:rsidRPr="00EF5300">
        <w:rPr>
          <w:lang w:val="en-GB"/>
        </w:rPr>
        <w:t xml:space="preserve"> in</w:t>
      </w:r>
      <w:r>
        <w:rPr>
          <w:lang w:val="en-GB"/>
        </w:rPr>
        <w:t> 201</w:t>
      </w:r>
      <w:r w:rsidRPr="00EF5300">
        <w:rPr>
          <w:lang w:val="en-GB"/>
        </w:rPr>
        <w:t>5</w:t>
      </w:r>
      <w:r>
        <w:rPr>
          <w:lang w:val="en-GB"/>
        </w:rPr>
        <w:t>–1</w:t>
      </w:r>
      <w:r w:rsidRPr="00EF5300">
        <w:rPr>
          <w:lang w:val="en-GB"/>
        </w:rPr>
        <w:t>6;</w:t>
      </w:r>
      <w:r>
        <w:rPr>
          <w:lang w:val="en-GB"/>
        </w:rPr>
        <w:t xml:space="preserve"> </w:t>
      </w:r>
    </w:p>
    <w:p w:rsidR="00596D01" w:rsidRPr="00EF5300" w:rsidRDefault="00596D01" w:rsidP="00596D01">
      <w:pPr>
        <w:pStyle w:val="Boxed1Bullet"/>
        <w:rPr>
          <w:lang w:val="en-GB"/>
        </w:rPr>
      </w:pPr>
      <w:r>
        <w:rPr>
          <w:lang w:val="en-GB"/>
        </w:rPr>
        <w:t xml:space="preserve">total </w:t>
      </w:r>
      <w:r w:rsidRPr="00EF5300">
        <w:rPr>
          <w:lang w:val="en-GB"/>
        </w:rPr>
        <w:t>expenditure is expected to be $1</w:t>
      </w:r>
      <w:r>
        <w:rPr>
          <w:lang w:val="en-GB"/>
        </w:rPr>
        <w:t>8.6 billion</w:t>
      </w:r>
      <w:r w:rsidRPr="00EF5300">
        <w:rPr>
          <w:lang w:val="en-GB"/>
        </w:rPr>
        <w:t xml:space="preserve"> in</w:t>
      </w:r>
      <w:r>
        <w:rPr>
          <w:lang w:val="en-GB"/>
        </w:rPr>
        <w:t> 201</w:t>
      </w:r>
      <w:r w:rsidRPr="00EF5300">
        <w:rPr>
          <w:lang w:val="en-GB"/>
        </w:rPr>
        <w:t>7</w:t>
      </w:r>
      <w:r>
        <w:rPr>
          <w:lang w:val="en-GB"/>
        </w:rPr>
        <w:t>–1</w:t>
      </w:r>
      <w:r w:rsidRPr="00EF5300">
        <w:rPr>
          <w:lang w:val="en-GB"/>
        </w:rPr>
        <w:t>8, and increase to $2</w:t>
      </w:r>
      <w:r>
        <w:rPr>
          <w:lang w:val="en-GB"/>
        </w:rPr>
        <w:t>2.2 billion</w:t>
      </w:r>
      <w:r w:rsidRPr="00EF5300">
        <w:rPr>
          <w:lang w:val="en-GB"/>
        </w:rPr>
        <w:t xml:space="preserve"> by</w:t>
      </w:r>
      <w:r>
        <w:rPr>
          <w:lang w:val="en-GB"/>
        </w:rPr>
        <w:t> 202</w:t>
      </w:r>
      <w:r w:rsidRPr="00EF5300">
        <w:rPr>
          <w:lang w:val="en-GB"/>
        </w:rPr>
        <w:t>0</w:t>
      </w:r>
      <w:r>
        <w:rPr>
          <w:lang w:val="en-GB"/>
        </w:rPr>
        <w:t>–2</w:t>
      </w:r>
      <w:r w:rsidRPr="00EF5300">
        <w:rPr>
          <w:lang w:val="en-GB"/>
        </w:rPr>
        <w:t>1;</w:t>
      </w:r>
    </w:p>
    <w:p w:rsidR="00596D01" w:rsidRPr="00EF5300" w:rsidRDefault="00596D01" w:rsidP="00596D01">
      <w:pPr>
        <w:pStyle w:val="Boxed1Bullet"/>
        <w:rPr>
          <w:lang w:val="en-GB"/>
        </w:rPr>
      </w:pPr>
      <w:r w:rsidRPr="00EF5300">
        <w:rPr>
          <w:lang w:val="en-GB"/>
        </w:rPr>
        <w:t>services were provided to over 1.3</w:t>
      </w:r>
      <w:r>
        <w:rPr>
          <w:lang w:val="en-GB"/>
        </w:rPr>
        <w:t> million</w:t>
      </w:r>
      <w:r>
        <w:rPr>
          <w:rStyle w:val="FootnoteReference"/>
          <w:rFonts w:cs="Segoe UI"/>
          <w:color w:val="313131"/>
          <w:lang w:val="en-GB"/>
        </w:rPr>
        <w:footnoteReference w:id="5"/>
      </w:r>
      <w:r w:rsidRPr="00EF5300">
        <w:rPr>
          <w:lang w:val="en-GB"/>
        </w:rPr>
        <w:t xml:space="preserve"> people in</w:t>
      </w:r>
      <w:r>
        <w:rPr>
          <w:lang w:val="en-GB"/>
        </w:rPr>
        <w:t> 201</w:t>
      </w:r>
      <w:r w:rsidRPr="00EF5300">
        <w:rPr>
          <w:lang w:val="en-GB"/>
        </w:rPr>
        <w:t>6</w:t>
      </w:r>
      <w:r>
        <w:rPr>
          <w:lang w:val="en-GB"/>
        </w:rPr>
        <w:t>–1</w:t>
      </w:r>
      <w:r w:rsidRPr="00EF5300">
        <w:rPr>
          <w:lang w:val="en-GB"/>
        </w:rPr>
        <w:t>7;</w:t>
      </w:r>
      <w:r>
        <w:rPr>
          <w:lang w:val="en-GB"/>
        </w:rPr>
        <w:t xml:space="preserve"> and is estimated to </w:t>
      </w:r>
      <w:r w:rsidRPr="00DE4D81">
        <w:rPr>
          <w:szCs w:val="22"/>
          <w:lang w:val="en-GB"/>
        </w:rPr>
        <w:t>increase to 1.</w:t>
      </w:r>
      <w:r>
        <w:rPr>
          <w:szCs w:val="22"/>
          <w:lang w:val="en-GB"/>
        </w:rPr>
        <w:t>5 million</w:t>
      </w:r>
      <w:r w:rsidRPr="00DE4D81">
        <w:rPr>
          <w:szCs w:val="22"/>
          <w:lang w:val="en-GB"/>
        </w:rPr>
        <w:t xml:space="preserve"> by</w:t>
      </w:r>
      <w:r>
        <w:rPr>
          <w:szCs w:val="22"/>
          <w:lang w:val="en-GB"/>
        </w:rPr>
        <w:t> 202</w:t>
      </w:r>
      <w:r w:rsidRPr="00DE4D81">
        <w:rPr>
          <w:szCs w:val="22"/>
          <w:lang w:val="en-GB"/>
        </w:rPr>
        <w:t>0</w:t>
      </w:r>
      <w:r>
        <w:rPr>
          <w:szCs w:val="22"/>
          <w:lang w:val="en-GB"/>
        </w:rPr>
        <w:t>–2</w:t>
      </w:r>
      <w:r w:rsidRPr="00DE4D81">
        <w:rPr>
          <w:szCs w:val="22"/>
          <w:lang w:val="en-GB"/>
        </w:rPr>
        <w:t>1;</w:t>
      </w:r>
    </w:p>
    <w:p w:rsidR="00596D01" w:rsidRPr="00EF5300" w:rsidRDefault="00596D01" w:rsidP="00596D01">
      <w:pPr>
        <w:pStyle w:val="Boxed1Bullet"/>
        <w:rPr>
          <w:lang w:val="en-GB"/>
        </w:rPr>
      </w:pPr>
      <w:r w:rsidRPr="00EF5300">
        <w:rPr>
          <w:lang w:val="en-GB"/>
        </w:rPr>
        <w:t>services were provided by:</w:t>
      </w:r>
    </w:p>
    <w:p w:rsidR="00596D01" w:rsidRDefault="00596D01" w:rsidP="00596D01">
      <w:pPr>
        <w:pStyle w:val="Boxed1Bullet2"/>
        <w:ind w:left="851" w:hanging="567"/>
      </w:pPr>
      <w:r w:rsidRPr="00596D01">
        <w:rPr>
          <w:lang w:val="en-AU"/>
        </w:rPr>
        <w:t>–</w:t>
      </w:r>
      <w:r w:rsidRPr="00596D01">
        <w:rPr>
          <w:lang w:val="en-AU"/>
        </w:rPr>
        <w:tab/>
      </w:r>
      <w:r w:rsidRPr="00EF5300">
        <w:t>1,523 Commonwealth Home Support Programme providers</w:t>
      </w:r>
      <w:r>
        <w:t xml:space="preserve"> (</w:t>
      </w:r>
      <w:r w:rsidRPr="00EF5300">
        <w:t xml:space="preserve">which includes the Victorian HACC providers which transitioned as of </w:t>
      </w:r>
      <w:r>
        <w:t>1 July 201</w:t>
      </w:r>
      <w:r w:rsidRPr="00EF5300">
        <w:t>6</w:t>
      </w:r>
      <w:r>
        <w:t>), compared with 1,160 CHSP providers plus 421 HACC providers in Victoria in 2015–16;</w:t>
      </w:r>
    </w:p>
    <w:p w:rsidR="00596D01" w:rsidRPr="00EF5300" w:rsidRDefault="00596D01" w:rsidP="00596D01">
      <w:pPr>
        <w:pStyle w:val="Boxed1Bullet2"/>
        <w:ind w:left="851" w:hanging="567"/>
      </w:pPr>
      <w:r w:rsidRPr="00596D01">
        <w:rPr>
          <w:lang w:val="en-AU"/>
        </w:rPr>
        <w:t>–</w:t>
      </w:r>
      <w:r w:rsidRPr="00596D01">
        <w:rPr>
          <w:lang w:val="en-AU"/>
        </w:rPr>
        <w:tab/>
      </w:r>
      <w:r w:rsidRPr="00EF5300">
        <w:t>98 providers</w:t>
      </w:r>
      <w:r>
        <w:t xml:space="preserve"> of HACC</w:t>
      </w:r>
      <w:r w:rsidRPr="00EF5300">
        <w:t xml:space="preserve"> in W</w:t>
      </w:r>
      <w:r>
        <w:t xml:space="preserve">estern </w:t>
      </w:r>
      <w:r w:rsidRPr="00EF5300">
        <w:t>A</w:t>
      </w:r>
      <w:r>
        <w:t>ustralia (105 in 2015–16);</w:t>
      </w:r>
    </w:p>
    <w:p w:rsidR="00596D01" w:rsidRPr="00EF5300" w:rsidRDefault="00596D01" w:rsidP="00596D01">
      <w:pPr>
        <w:pStyle w:val="Boxed1Bullet2"/>
        <w:ind w:left="851" w:hanging="567"/>
      </w:pPr>
      <w:r w:rsidRPr="00596D01">
        <w:rPr>
          <w:lang w:val="en-AU"/>
        </w:rPr>
        <w:t>–</w:t>
      </w:r>
      <w:r w:rsidRPr="00596D01">
        <w:rPr>
          <w:lang w:val="en-AU"/>
        </w:rPr>
        <w:tab/>
      </w:r>
      <w:r w:rsidRPr="00EF5300">
        <w:t>702 home care providers</w:t>
      </w:r>
      <w:r>
        <w:t xml:space="preserve"> (496 in 2015–16); and</w:t>
      </w:r>
    </w:p>
    <w:p w:rsidR="00596D01" w:rsidRDefault="00596D01" w:rsidP="00596D01">
      <w:pPr>
        <w:pStyle w:val="Boxed1Bullet2"/>
        <w:ind w:left="851" w:hanging="567"/>
        <w:rPr>
          <w:color w:val="auto"/>
        </w:rPr>
      </w:pPr>
      <w:r w:rsidRPr="00596D01">
        <w:rPr>
          <w:lang w:val="en-AU"/>
        </w:rPr>
        <w:t>–</w:t>
      </w:r>
      <w:r w:rsidRPr="00596D01">
        <w:rPr>
          <w:lang w:val="en-AU"/>
        </w:rPr>
        <w:tab/>
      </w:r>
      <w:r>
        <w:t>902 residential care providers (949 in 2015–16).</w:t>
      </w:r>
    </w:p>
    <w:p w:rsidR="00596D01" w:rsidRDefault="00596D01" w:rsidP="00596D01">
      <w:pPr>
        <w:pStyle w:val="Boxed1Text"/>
      </w:pPr>
      <w:r w:rsidRPr="00EF5300">
        <w:t>During</w:t>
      </w:r>
      <w:r>
        <w:t> 201</w:t>
      </w:r>
      <w:r w:rsidRPr="00EF5300">
        <w:t>6</w:t>
      </w:r>
      <w:r>
        <w:t>–1</w:t>
      </w:r>
      <w:r w:rsidRPr="00EF5300">
        <w:t>7, 7</w:t>
      </w:r>
      <w:r>
        <w:t>1 per cent</w:t>
      </w:r>
      <w:r w:rsidRPr="00EF5300">
        <w:t xml:space="preserve"> of Australians aged 65 years and over lived at home without accessing Government subsidised aged care services, 2</w:t>
      </w:r>
      <w:r>
        <w:t>2 per cent</w:t>
      </w:r>
      <w:r w:rsidRPr="00EF5300">
        <w:t xml:space="preserve"> accessed some form of support or care at home, while </w:t>
      </w:r>
      <w:r>
        <w:t>7 per cent</w:t>
      </w:r>
      <w:r w:rsidRPr="00EF5300">
        <w:t xml:space="preserve"> accessed residential aged care</w:t>
      </w:r>
      <w:r>
        <w:rPr>
          <w:rStyle w:val="FootnoteReference"/>
          <w:rFonts w:cs="Segoe UI"/>
        </w:rPr>
        <w:footnoteReference w:id="6"/>
      </w:r>
      <w:r w:rsidRPr="00EF5300">
        <w:t>.</w:t>
      </w:r>
    </w:p>
    <w:p w:rsidR="00CA5AED" w:rsidRPr="00596D01" w:rsidRDefault="00CA5AED" w:rsidP="00596D01">
      <w:pPr>
        <w:pStyle w:val="Heading2Numbered"/>
      </w:pPr>
      <w:bookmarkStart w:id="72" w:name="_Toc457549885"/>
      <w:bookmarkStart w:id="73" w:name="_Toc487702522"/>
      <w:bookmarkStart w:id="74" w:name="_Toc487702874"/>
      <w:bookmarkStart w:id="75" w:name="_Toc487703372"/>
      <w:bookmarkStart w:id="76" w:name="_Toc487703566"/>
      <w:bookmarkStart w:id="77" w:name="_Toc524424690"/>
      <w:r w:rsidRPr="00596D01">
        <w:t>Overview</w:t>
      </w:r>
      <w:bookmarkEnd w:id="72"/>
      <w:bookmarkEnd w:id="73"/>
      <w:bookmarkEnd w:id="74"/>
      <w:bookmarkEnd w:id="75"/>
      <w:bookmarkEnd w:id="76"/>
      <w:bookmarkEnd w:id="77"/>
    </w:p>
    <w:p w:rsidR="00D8721E" w:rsidRDefault="00183D38" w:rsidP="00C67407">
      <w:pPr>
        <w:pStyle w:val="NoCharacterStyle"/>
      </w:pPr>
      <w:r>
        <w:t>The aged care</w:t>
      </w:r>
      <w:r w:rsidRPr="0018786C">
        <w:t xml:space="preserve"> system </w:t>
      </w:r>
      <w:r w:rsidR="008C6151">
        <w:t>is</w:t>
      </w:r>
      <w:r w:rsidR="00670CBB">
        <w:t xml:space="preserve"> continuing to undergo </w:t>
      </w:r>
      <w:r w:rsidR="008C6151">
        <w:t xml:space="preserve">reform so that it more </w:t>
      </w:r>
      <w:r w:rsidR="00E565EC">
        <w:t xml:space="preserve">effectively and </w:t>
      </w:r>
      <w:r w:rsidR="008C6151">
        <w:t xml:space="preserve">efficiently </w:t>
      </w:r>
      <w:r w:rsidRPr="0018786C">
        <w:t>support</w:t>
      </w:r>
      <w:r w:rsidR="008C6151">
        <w:t>s</w:t>
      </w:r>
      <w:r w:rsidRPr="0018786C">
        <w:t xml:space="preserve"> older people to live in their homes and commu</w:t>
      </w:r>
      <w:r>
        <w:t>nities for as long as possible, and enable</w:t>
      </w:r>
      <w:r w:rsidR="001229BA">
        <w:t>s</w:t>
      </w:r>
      <w:r>
        <w:t xml:space="preserve"> people to make</w:t>
      </w:r>
      <w:r w:rsidR="007D3C6A">
        <w:t xml:space="preserve"> informed</w:t>
      </w:r>
      <w:r w:rsidR="001229BA">
        <w:t xml:space="preserve"> decisions about their care, while remaining sustainable for taxpayers and service providers.</w:t>
      </w:r>
      <w:r w:rsidRPr="0018786C">
        <w:t xml:space="preserve"> Older Australians can access a spectrum of aged care, ranging from home</w:t>
      </w:r>
      <w:r w:rsidR="008C6151">
        <w:t xml:space="preserve"> based</w:t>
      </w:r>
      <w:r w:rsidRPr="0018786C">
        <w:t xml:space="preserve"> support through to care provided in residential settings</w:t>
      </w:r>
      <w:r w:rsidR="00D8721E">
        <w:t>.</w:t>
      </w:r>
    </w:p>
    <w:p w:rsidR="00D8721E" w:rsidRDefault="00183D38" w:rsidP="00596D01">
      <w:pPr>
        <w:rPr>
          <w:lang w:val="en-GB"/>
        </w:rPr>
      </w:pPr>
      <w:r w:rsidRPr="0018786C">
        <w:rPr>
          <w:lang w:val="en-GB"/>
        </w:rPr>
        <w:t>Many aged care services are subsidised and regulated by the Australian Governm</w:t>
      </w:r>
      <w:r>
        <w:rPr>
          <w:lang w:val="en-GB"/>
        </w:rPr>
        <w:t>en</w:t>
      </w:r>
      <w:r w:rsidR="001B2C9F">
        <w:rPr>
          <w:lang w:val="en-GB"/>
        </w:rPr>
        <w:t xml:space="preserve">t. </w:t>
      </w:r>
      <w:r w:rsidR="00492BF8">
        <w:rPr>
          <w:lang w:val="en-GB"/>
        </w:rPr>
        <w:fldChar w:fldCharType="begin"/>
      </w:r>
      <w:r w:rsidR="00492BF8">
        <w:rPr>
          <w:lang w:val="en-GB"/>
        </w:rPr>
        <w:instrText xml:space="preserve"> REF _Ref524428931 \r \h </w:instrText>
      </w:r>
      <w:r w:rsidR="00492BF8">
        <w:rPr>
          <w:lang w:val="en-GB"/>
        </w:rPr>
      </w:r>
      <w:r w:rsidR="00492BF8">
        <w:rPr>
          <w:lang w:val="en-GB"/>
        </w:rPr>
        <w:fldChar w:fldCharType="separate"/>
      </w:r>
      <w:r w:rsidR="00492BF8">
        <w:rPr>
          <w:lang w:val="en-GB"/>
        </w:rPr>
        <w:t>Figure 2.1</w:t>
      </w:r>
      <w:r w:rsidR="00492BF8">
        <w:rPr>
          <w:lang w:val="en-GB"/>
        </w:rPr>
        <w:fldChar w:fldCharType="end"/>
      </w:r>
      <w:r w:rsidR="00492BF8">
        <w:rPr>
          <w:lang w:val="en-GB"/>
        </w:rPr>
        <w:t xml:space="preserve"> </w:t>
      </w:r>
      <w:r>
        <w:rPr>
          <w:lang w:val="en-GB"/>
        </w:rPr>
        <w:t xml:space="preserve">illustrates the </w:t>
      </w:r>
      <w:r w:rsidRPr="0018786C">
        <w:rPr>
          <w:lang w:val="en-GB"/>
        </w:rPr>
        <w:t>Commonwealth subsidi</w:t>
      </w:r>
      <w:r>
        <w:rPr>
          <w:lang w:val="en-GB"/>
        </w:rPr>
        <w:t>sed Australian aged care</w:t>
      </w:r>
      <w:r w:rsidRPr="0018786C">
        <w:rPr>
          <w:lang w:val="en-GB"/>
        </w:rPr>
        <w:t xml:space="preserve"> system</w:t>
      </w:r>
      <w:r w:rsidR="00D8721E">
        <w:rPr>
          <w:lang w:val="en-GB"/>
        </w:rPr>
        <w:t>.</w:t>
      </w:r>
    </w:p>
    <w:p w:rsidR="00D8721E" w:rsidRDefault="00E565EC" w:rsidP="00596D01">
      <w:pPr>
        <w:rPr>
          <w:lang w:val="en-GB"/>
        </w:rPr>
      </w:pPr>
      <w:r>
        <w:rPr>
          <w:lang w:val="en-GB"/>
        </w:rPr>
        <w:lastRenderedPageBreak/>
        <w:t>M</w:t>
      </w:r>
      <w:r w:rsidR="00183D38" w:rsidRPr="005E1C1E">
        <w:rPr>
          <w:lang w:val="en-GB"/>
        </w:rPr>
        <w:t>y Aged Care</w:t>
      </w:r>
      <w:r w:rsidR="00693D60">
        <w:rPr>
          <w:lang w:val="en-GB"/>
        </w:rPr>
        <w:t>, administered by the Department</w:t>
      </w:r>
      <w:r w:rsidR="00002528">
        <w:rPr>
          <w:lang w:val="en-GB"/>
        </w:rPr>
        <w:t xml:space="preserve"> of Health</w:t>
      </w:r>
      <w:r w:rsidR="00693D60">
        <w:rPr>
          <w:lang w:val="en-GB"/>
        </w:rPr>
        <w:t>, is</w:t>
      </w:r>
      <w:r w:rsidR="00183D38" w:rsidRPr="005E1C1E">
        <w:rPr>
          <w:lang w:val="en-GB"/>
        </w:rPr>
        <w:t xml:space="preserve"> responsible for arranging an assessment of </w:t>
      </w:r>
      <w:r w:rsidR="00183D38">
        <w:rPr>
          <w:lang w:val="en-GB"/>
        </w:rPr>
        <w:t>a</w:t>
      </w:r>
      <w:r w:rsidR="00183D38" w:rsidRPr="005E1C1E">
        <w:rPr>
          <w:lang w:val="en-GB"/>
        </w:rPr>
        <w:t xml:space="preserve"> person</w:t>
      </w:r>
      <w:r w:rsidR="00183D38">
        <w:rPr>
          <w:lang w:val="en-GB"/>
        </w:rPr>
        <w:t>’s eligibility for Commonwealth</w:t>
      </w:r>
      <w:r w:rsidR="00D903B0">
        <w:rPr>
          <w:lang w:val="en-GB"/>
        </w:rPr>
        <w:t xml:space="preserve"> </w:t>
      </w:r>
      <w:r w:rsidR="00183D38">
        <w:rPr>
          <w:lang w:val="en-GB"/>
        </w:rPr>
        <w:t>funded aged care services</w:t>
      </w:r>
      <w:r w:rsidR="00183D38" w:rsidRPr="005E1C1E">
        <w:rPr>
          <w:lang w:val="en-GB"/>
        </w:rPr>
        <w:t>.</w:t>
      </w:r>
      <w:r w:rsidR="008C6151">
        <w:rPr>
          <w:lang w:val="en-GB"/>
        </w:rPr>
        <w:t xml:space="preserve"> The assessment determines the level of care and support for which the individual may be eligible</w:t>
      </w:r>
      <w:r w:rsidR="00D8721E">
        <w:rPr>
          <w:lang w:val="en-GB"/>
        </w:rPr>
        <w:t>.</w:t>
      </w:r>
    </w:p>
    <w:p w:rsidR="00D8721E" w:rsidRDefault="00946ABB" w:rsidP="00596D01">
      <w:pPr>
        <w:rPr>
          <w:lang w:val="en-GB"/>
        </w:rPr>
      </w:pPr>
      <w:r w:rsidRPr="001229BA">
        <w:rPr>
          <w:lang w:val="en-GB"/>
        </w:rPr>
        <w:t xml:space="preserve">Means testing conducted by the Department of Human Services determines whether an individual is required to make a contribution towards the cost of their care </w:t>
      </w:r>
      <w:r w:rsidR="00350E66">
        <w:rPr>
          <w:lang w:val="en-GB"/>
        </w:rPr>
        <w:t>and accommodation</w:t>
      </w:r>
      <w:r>
        <w:rPr>
          <w:lang w:val="en-GB"/>
        </w:rPr>
        <w:t xml:space="preserve">, </w:t>
      </w:r>
      <w:r w:rsidRPr="001229BA">
        <w:rPr>
          <w:lang w:val="en-GB"/>
        </w:rPr>
        <w:t>and the amount of the contribution.</w:t>
      </w:r>
    </w:p>
    <w:p w:rsidR="00596D01" w:rsidRDefault="00596D01" w:rsidP="00596D01">
      <w:pPr>
        <w:rPr>
          <w:lang w:val="en-GB"/>
        </w:rPr>
      </w:pPr>
    </w:p>
    <w:p w:rsidR="00596D01" w:rsidRDefault="00596D01" w:rsidP="00596D01">
      <w:pPr>
        <w:rPr>
          <w:lang w:val="en-GB"/>
        </w:rPr>
        <w:sectPr w:rsidR="00596D01" w:rsidSect="00A261F3">
          <w:headerReference w:type="even" r:id="rId10"/>
          <w:headerReference w:type="default" r:id="rId11"/>
          <w:footerReference w:type="even" r:id="rId12"/>
          <w:footerReference w:type="default" r:id="rId13"/>
          <w:pgSz w:w="11906" w:h="16838" w:code="9"/>
          <w:pgMar w:top="1134" w:right="1134" w:bottom="1134" w:left="1134" w:header="567" w:footer="567" w:gutter="0"/>
          <w:cols w:space="720"/>
          <w:titlePg/>
          <w:docGrid w:linePitch="360"/>
        </w:sectPr>
      </w:pPr>
    </w:p>
    <w:p w:rsidR="00596D01" w:rsidRPr="00596D01" w:rsidRDefault="000733AB" w:rsidP="00596D01">
      <w:pPr>
        <w:pStyle w:val="FigureTitle"/>
      </w:pPr>
      <w:bookmarkStart w:id="78" w:name="_Ref524428931"/>
      <w:bookmarkStart w:id="79" w:name="_Ref424302427"/>
      <w:r w:rsidRPr="000733AB">
        <w:lastRenderedPageBreak/>
        <w:t>Australian aged care system – guide to Australian Government subsidised aged care services</w:t>
      </w:r>
      <w:r w:rsidR="00A2397D">
        <w:t>, as at February</w:t>
      </w:r>
      <w:r w:rsidR="00A261F3">
        <w:t> 201</w:t>
      </w:r>
      <w:r w:rsidR="00A2397D">
        <w:t>8</w:t>
      </w:r>
      <w:bookmarkEnd w:id="78"/>
      <w:r w:rsidR="008208DF">
        <w:rPr>
          <w:color w:val="FF0000"/>
        </w:rPr>
        <w:t xml:space="preserve"> </w:t>
      </w:r>
    </w:p>
    <w:p w:rsidR="00D8721E" w:rsidRDefault="005F3E0F" w:rsidP="00596D01">
      <w:bookmarkStart w:id="80" w:name="_GoBack"/>
      <w:r>
        <w:rPr>
          <w:noProof/>
        </w:rPr>
        <w:drawing>
          <wp:inline distT="0" distB="0" distL="0" distR="0" wp14:anchorId="2452EDE9" wp14:editId="1C7DD133">
            <wp:extent cx="9252000" cy="5392026"/>
            <wp:effectExtent l="0" t="0" r="6350" b="0"/>
            <wp:docPr id="4" name="Picture 4" descr="Figure 2.1 Australian aged care system – guide to Australian Government subsidised aged care services, as at February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1830.66CD89B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9252000" cy="5392026"/>
                    </a:xfrm>
                    <a:prstGeom prst="rect">
                      <a:avLst/>
                    </a:prstGeom>
                    <a:noFill/>
                    <a:ln>
                      <a:noFill/>
                    </a:ln>
                  </pic:spPr>
                </pic:pic>
              </a:graphicData>
            </a:graphic>
          </wp:inline>
        </w:drawing>
      </w:r>
      <w:bookmarkEnd w:id="79"/>
      <w:bookmarkEnd w:id="80"/>
    </w:p>
    <w:p w:rsidR="00596D01" w:rsidRDefault="00596D01" w:rsidP="00596D01"/>
    <w:p w:rsidR="00596D01" w:rsidRDefault="00596D01" w:rsidP="00596D01">
      <w:pPr>
        <w:sectPr w:rsidR="00596D01" w:rsidSect="00596D01">
          <w:pgSz w:w="16838" w:h="11906" w:orient="landscape" w:code="9"/>
          <w:pgMar w:top="1134" w:right="1134" w:bottom="1134" w:left="1134" w:header="567" w:footer="567" w:gutter="0"/>
          <w:cols w:space="720"/>
          <w:titlePg/>
          <w:docGrid w:linePitch="360"/>
        </w:sectPr>
      </w:pPr>
    </w:p>
    <w:p w:rsidR="00001040" w:rsidRPr="00596D01" w:rsidRDefault="00001040" w:rsidP="00596D01">
      <w:pPr>
        <w:pStyle w:val="Heading2Numbered"/>
      </w:pPr>
      <w:bookmarkStart w:id="81" w:name="_Toc423697041"/>
      <w:bookmarkStart w:id="82" w:name="_Toc457549887"/>
      <w:bookmarkStart w:id="83" w:name="_Toc487702524"/>
      <w:bookmarkStart w:id="84" w:name="_Toc487702876"/>
      <w:bookmarkStart w:id="85" w:name="_Toc487703374"/>
      <w:bookmarkStart w:id="86" w:name="_Toc487703568"/>
      <w:bookmarkStart w:id="87" w:name="_Toc524424691"/>
      <w:r w:rsidRPr="00596D01">
        <w:lastRenderedPageBreak/>
        <w:t>Current aged care</w:t>
      </w:r>
      <w:bookmarkEnd w:id="81"/>
      <w:bookmarkEnd w:id="82"/>
      <w:bookmarkEnd w:id="83"/>
      <w:bookmarkEnd w:id="84"/>
      <w:bookmarkEnd w:id="85"/>
      <w:bookmarkEnd w:id="86"/>
      <w:bookmarkEnd w:id="87"/>
    </w:p>
    <w:p w:rsidR="00D27338" w:rsidRPr="00C94111" w:rsidRDefault="00D27338" w:rsidP="00596D01">
      <w:r>
        <w:t xml:space="preserve">In this </w:t>
      </w:r>
      <w:r w:rsidRPr="00C94111">
        <w:t xml:space="preserve">report, the aged care sector is </w:t>
      </w:r>
      <w:r>
        <w:t xml:space="preserve">mainly </w:t>
      </w:r>
      <w:r w:rsidRPr="00C94111">
        <w:t>discu</w:t>
      </w:r>
      <w:r>
        <w:t>ssed in terms of three program</w:t>
      </w:r>
      <w:r w:rsidRPr="00C94111">
        <w:t>s:</w:t>
      </w:r>
    </w:p>
    <w:p w:rsidR="00D27338" w:rsidRPr="00933C44" w:rsidRDefault="00D27338" w:rsidP="00596D01">
      <w:pPr>
        <w:pStyle w:val="Bullet1"/>
        <w:rPr>
          <w:color w:val="FF0000"/>
        </w:rPr>
      </w:pPr>
      <w:r w:rsidRPr="00596D01">
        <w:rPr>
          <w:rStyle w:val="Strong"/>
        </w:rPr>
        <w:t xml:space="preserve">Commonwealth Home Support Programme (CHSP) (Home and Community Care (HACC) in Western Australia): </w:t>
      </w:r>
      <w:r w:rsidRPr="00002528">
        <w:t xml:space="preserve">Provides services </w:t>
      </w:r>
      <w:r>
        <w:t>f</w:t>
      </w:r>
      <w:r w:rsidRPr="00CF3880">
        <w:t>or those who require basic s</w:t>
      </w:r>
      <w:r>
        <w:t xml:space="preserve">ervices to assist </w:t>
      </w:r>
      <w:r w:rsidR="00FA776E">
        <w:t>with</w:t>
      </w:r>
      <w:r>
        <w:t xml:space="preserve"> remaining in their own homes. On </w:t>
      </w:r>
      <w:r w:rsidR="00EB039B">
        <w:t>1 July</w:t>
      </w:r>
      <w:r w:rsidR="00A261F3">
        <w:t> 201</w:t>
      </w:r>
      <w:r w:rsidRPr="0067003B">
        <w:t>5</w:t>
      </w:r>
      <w:r>
        <w:t>,</w:t>
      </w:r>
      <w:r w:rsidRPr="0067003B">
        <w:t xml:space="preserve"> </w:t>
      </w:r>
      <w:r>
        <w:t>the</w:t>
      </w:r>
      <w:r w:rsidRPr="0067003B">
        <w:t xml:space="preserve"> </w:t>
      </w:r>
      <w:r>
        <w:t>CHSP was implemented, combining the previous Commonwealth HACC program</w:t>
      </w:r>
      <w:r>
        <w:rPr>
          <w:rStyle w:val="FootnoteReference"/>
          <w:rFonts w:cs="Segoe UI"/>
        </w:rPr>
        <w:footnoteReference w:id="7"/>
      </w:r>
      <w:r>
        <w:t xml:space="preserve">, the National Respite for Carers Program, Day Therapy Centres and Assistance with Care and Housing for the Aged. On </w:t>
      </w:r>
      <w:r w:rsidR="00EB039B">
        <w:t>1 July</w:t>
      </w:r>
      <w:r w:rsidR="00A261F3">
        <w:t> 201</w:t>
      </w:r>
      <w:r>
        <w:t>6, t</w:t>
      </w:r>
      <w:r w:rsidRPr="0067003B">
        <w:t>he HACC Program in Victoria</w:t>
      </w:r>
      <w:r>
        <w:t xml:space="preserve"> transitioned to the CHSP and</w:t>
      </w:r>
      <w:r w:rsidRPr="008208DF">
        <w:t xml:space="preserve"> on </w:t>
      </w:r>
      <w:r w:rsidR="00EB039B">
        <w:t>1 July</w:t>
      </w:r>
      <w:r w:rsidR="00A261F3">
        <w:t> 201</w:t>
      </w:r>
      <w:r w:rsidRPr="008208DF">
        <w:t>8 HACC services in Western Australia were also incorporated into the CHSP</w:t>
      </w:r>
      <w:r w:rsidR="005D22A7">
        <w:t xml:space="preserve"> so that all states and territories now operate under the CHSP</w:t>
      </w:r>
      <w:r w:rsidRPr="008208DF">
        <w:t>.</w:t>
      </w:r>
    </w:p>
    <w:p w:rsidR="00D27338" w:rsidRPr="00C94111" w:rsidRDefault="00D27338" w:rsidP="00596D01">
      <w:pPr>
        <w:pStyle w:val="Bullet1"/>
      </w:pPr>
      <w:r w:rsidRPr="00596D01">
        <w:rPr>
          <w:rStyle w:val="Strong"/>
        </w:rPr>
        <w:t>Home Care Packages Programme:</w:t>
      </w:r>
      <w:r w:rsidRPr="00C94111">
        <w:t xml:space="preserve"> </w:t>
      </w:r>
      <w:r>
        <w:t>Provides services f</w:t>
      </w:r>
      <w:r w:rsidRPr="00C94111">
        <w:t>or thos</w:t>
      </w:r>
      <w:r>
        <w:t xml:space="preserve">e who have greater care needs and wish to remain </w:t>
      </w:r>
      <w:r w:rsidRPr="00C94111">
        <w:t>livi</w:t>
      </w:r>
      <w:r>
        <w:t>ng at home.</w:t>
      </w:r>
      <w:r w:rsidRPr="00C94111">
        <w:t xml:space="preserve"> </w:t>
      </w:r>
      <w:r>
        <w:t>C</w:t>
      </w:r>
      <w:r w:rsidRPr="00C94111">
        <w:t>are and</w:t>
      </w:r>
      <w:r>
        <w:t xml:space="preserve"> support is provided through a </w:t>
      </w:r>
      <w:r w:rsidRPr="00C94111">
        <w:t>package of home care services.</w:t>
      </w:r>
    </w:p>
    <w:p w:rsidR="00D27338" w:rsidRDefault="00D27338" w:rsidP="00596D01">
      <w:pPr>
        <w:pStyle w:val="Bullet1"/>
      </w:pPr>
      <w:r w:rsidRPr="00596D01">
        <w:rPr>
          <w:rStyle w:val="Strong"/>
        </w:rPr>
        <w:t xml:space="preserve">Residential care: </w:t>
      </w:r>
      <w:r w:rsidRPr="00D110A7">
        <w:t>Provides</w:t>
      </w:r>
      <w:r w:rsidRPr="00596D01">
        <w:rPr>
          <w:rStyle w:val="Strong"/>
        </w:rPr>
        <w:t xml:space="preserve"> </w:t>
      </w:r>
      <w:r>
        <w:t xml:space="preserve">accommodation and 24 hour </w:t>
      </w:r>
      <w:r w:rsidRPr="00C94111">
        <w:t xml:space="preserve">care </w:t>
      </w:r>
      <w:r>
        <w:t xml:space="preserve">for those who have greater care needs and choose or need to be cared for in an aged care </w:t>
      </w:r>
      <w:r w:rsidR="00FA776E">
        <w:t>facility</w:t>
      </w:r>
      <w:r>
        <w:t>. Care can be provided on either a temporary (respite) or permanent basis.</w:t>
      </w:r>
    </w:p>
    <w:p w:rsidR="00D27338" w:rsidRPr="00F35849" w:rsidRDefault="00492BF8" w:rsidP="00596D01">
      <w:r>
        <w:fldChar w:fldCharType="begin"/>
      </w:r>
      <w:r>
        <w:instrText xml:space="preserve"> REF _Ref524429074 \r \h </w:instrText>
      </w:r>
      <w:r>
        <w:fldChar w:fldCharType="separate"/>
      </w:r>
      <w:r>
        <w:t>Table 2.1</w:t>
      </w:r>
      <w:r>
        <w:fldChar w:fldCharType="end"/>
      </w:r>
      <w:r>
        <w:t xml:space="preserve"> </w:t>
      </w:r>
      <w:r w:rsidR="00D27338">
        <w:t xml:space="preserve">shows the number of providers, services, places, consumers </w:t>
      </w:r>
      <w:r w:rsidR="00D27338" w:rsidRPr="00291709">
        <w:t xml:space="preserve">and Commonwealth and consumer funding for each of the three care types for the five years </w:t>
      </w:r>
      <w:r w:rsidR="00D27338">
        <w:t>to</w:t>
      </w:r>
      <w:r w:rsidR="00A261F3">
        <w:t> 201</w:t>
      </w:r>
      <w:r w:rsidR="00D27338">
        <w:t>6</w:t>
      </w:r>
      <w:r w:rsidR="00D8721E">
        <w:t>–1</w:t>
      </w:r>
      <w:r w:rsidR="00D27338">
        <w:t>7.</w:t>
      </w:r>
    </w:p>
    <w:p w:rsidR="00D27338" w:rsidRPr="00893525" w:rsidRDefault="00D27338" w:rsidP="00596D01">
      <w:r>
        <w:t xml:space="preserve">In </w:t>
      </w:r>
      <w:proofErr w:type="gramStart"/>
      <w:r>
        <w:t>addition</w:t>
      </w:r>
      <w:proofErr w:type="gramEnd"/>
      <w:r>
        <w:t xml:space="preserve"> there are care types about which, due to a</w:t>
      </w:r>
      <w:r w:rsidRPr="00893525">
        <w:t xml:space="preserve"> lack of financial data, ACFA does not provide analysis or commentary</w:t>
      </w:r>
      <w:r>
        <w:t>. These are</w:t>
      </w:r>
      <w:r w:rsidRPr="00893525">
        <w:t>:</w:t>
      </w:r>
    </w:p>
    <w:p w:rsidR="00D27338" w:rsidRDefault="00D27338" w:rsidP="00596D01">
      <w:pPr>
        <w:pStyle w:val="Bullet1"/>
      </w:pPr>
      <w:r w:rsidRPr="00596D01">
        <w:rPr>
          <w:rStyle w:val="Strong"/>
        </w:rPr>
        <w:t>Flexible care:</w:t>
      </w:r>
      <w:r w:rsidRPr="00B82E6A">
        <w:t xml:space="preserve"> Services in either a residential or home care setting, that</w:t>
      </w:r>
      <w:r>
        <w:t>,</w:t>
      </w:r>
      <w:r w:rsidRPr="00B82E6A">
        <w:t xml:space="preserve"> due to difficulties in delivering services in some communities, are delivered using different care approaches than that provided through mainstream residential and home care. Examples of flexible care</w:t>
      </w:r>
      <w:r>
        <w:t xml:space="preserve"> </w:t>
      </w:r>
      <w:r w:rsidRPr="00B82E6A">
        <w:t>include Multi-Purpose Services</w:t>
      </w:r>
      <w:r>
        <w:t xml:space="preserve"> in rural and remote locations</w:t>
      </w:r>
      <w:r w:rsidRPr="00B82E6A">
        <w:t xml:space="preserve"> and Aboriginal and Torres Strait Islander flexible care</w:t>
      </w:r>
      <w:r>
        <w:t>.</w:t>
      </w:r>
    </w:p>
    <w:p w:rsidR="00D8721E" w:rsidRDefault="00D27338" w:rsidP="00596D01">
      <w:pPr>
        <w:pStyle w:val="Bullet1"/>
      </w:pPr>
      <w:r w:rsidRPr="00596D01">
        <w:rPr>
          <w:rStyle w:val="Strong"/>
        </w:rPr>
        <w:t xml:space="preserve">Restorative care: </w:t>
      </w:r>
      <w:r w:rsidR="00735E82" w:rsidRPr="00735E82">
        <w:t xml:space="preserve">Services that focus </w:t>
      </w:r>
      <w:r w:rsidRPr="00485522">
        <w:t xml:space="preserve">on enhancing the physical and cognitive function of people who have lost or are at risk of losing condition and independence. </w:t>
      </w:r>
      <w:r w:rsidR="00265E02">
        <w:t xml:space="preserve">The </w:t>
      </w:r>
      <w:r w:rsidRPr="00485522">
        <w:t>Short-Term R</w:t>
      </w:r>
      <w:r>
        <w:t>estorative Care (STRC) Programme, which commenced in February</w:t>
      </w:r>
      <w:r w:rsidR="00A261F3">
        <w:t> 201</w:t>
      </w:r>
      <w:r>
        <w:t>7</w:t>
      </w:r>
      <w:r w:rsidR="00265E02">
        <w:t xml:space="preserve">, </w:t>
      </w:r>
      <w:r>
        <w:t xml:space="preserve">aims </w:t>
      </w:r>
      <w:r w:rsidRPr="00485522">
        <w:t>to reverse and/or slow ‘functional decline’ in older people and improve their w</w:t>
      </w:r>
      <w:r>
        <w:t xml:space="preserve">ellbeing through the delivery of a time-limited, goal-oriented, multi-disciplinary and co-ordinated range of services. </w:t>
      </w:r>
      <w:r w:rsidR="00265E02">
        <w:t>The Transition Care Programme seeks to optimise the functioning and independence of older people after a hospital stay, enabling them to return home rather than enter residential care.</w:t>
      </w:r>
    </w:p>
    <w:p w:rsidR="00596D01" w:rsidRDefault="00596D01" w:rsidP="00596D01"/>
    <w:p w:rsidR="00596D01" w:rsidRDefault="00596D01" w:rsidP="00596D01">
      <w:pPr>
        <w:sectPr w:rsidR="00596D01" w:rsidSect="00A261F3">
          <w:pgSz w:w="11906" w:h="16838" w:code="9"/>
          <w:pgMar w:top="1134" w:right="1134" w:bottom="1134" w:left="1134" w:header="567" w:footer="567" w:gutter="0"/>
          <w:cols w:space="720"/>
          <w:titlePg/>
          <w:docGrid w:linePitch="360"/>
        </w:sectPr>
      </w:pPr>
    </w:p>
    <w:p w:rsidR="009A6923" w:rsidRDefault="00F35849" w:rsidP="00596D01">
      <w:pPr>
        <w:pStyle w:val="TableTitle"/>
        <w:rPr>
          <w:rStyle w:val="Strong"/>
        </w:rPr>
      </w:pPr>
      <w:bookmarkStart w:id="88" w:name="_Ref423695021"/>
      <w:bookmarkStart w:id="89" w:name="_Ref524429074"/>
      <w:r w:rsidRPr="00596D01">
        <w:lastRenderedPageBreak/>
        <w:t>Aged care in Australia</w:t>
      </w:r>
      <w:bookmarkEnd w:id="88"/>
      <w:r w:rsidR="00A261F3" w:rsidRPr="00596D01">
        <w:t> 201</w:t>
      </w:r>
      <w:r w:rsidR="00933C44" w:rsidRPr="00596D01">
        <w:t>2</w:t>
      </w:r>
      <w:r w:rsidR="00D8721E" w:rsidRPr="00596D01">
        <w:t>–1</w:t>
      </w:r>
      <w:r w:rsidR="00933C44" w:rsidRPr="00596D01">
        <w:t>3</w:t>
      </w:r>
      <w:r w:rsidR="0042053B" w:rsidRPr="00596D01">
        <w:t xml:space="preserve"> to</w:t>
      </w:r>
      <w:r w:rsidR="00A261F3" w:rsidRPr="00596D01">
        <w:t> 201</w:t>
      </w:r>
      <w:r w:rsidR="00933C44" w:rsidRPr="00596D01">
        <w:t>6</w:t>
      </w:r>
      <w:r w:rsidR="00D8721E" w:rsidRPr="00596D01">
        <w:t>–1</w:t>
      </w:r>
      <w:r w:rsidR="00933C44" w:rsidRPr="00596D01">
        <w:t>7</w:t>
      </w:r>
      <w:bookmarkEnd w:id="89"/>
    </w:p>
    <w:tbl>
      <w:tblPr>
        <w:tblStyle w:val="DefaultTable1"/>
        <w:tblW w:w="5000" w:type="pct"/>
        <w:tblLook w:val="06A0" w:firstRow="1" w:lastRow="0" w:firstColumn="1" w:lastColumn="0" w:noHBand="1" w:noVBand="1"/>
        <w:tblCaption w:val="Table 2.1 Aged care in Australia, 2012–13 to 2016–17"/>
        <w:tblDescription w:val="Due to the complexity of this document no table summary has been provided. If you need assistance with the structure of this table, please contact the Aged Care Financing Authority at https://agedcare.health.gov.au."/>
      </w:tblPr>
      <w:tblGrid>
        <w:gridCol w:w="3077"/>
        <w:gridCol w:w="769"/>
        <w:gridCol w:w="759"/>
        <w:gridCol w:w="769"/>
        <w:gridCol w:w="769"/>
        <w:gridCol w:w="755"/>
        <w:gridCol w:w="769"/>
        <w:gridCol w:w="769"/>
        <w:gridCol w:w="759"/>
        <w:gridCol w:w="769"/>
        <w:gridCol w:w="769"/>
        <w:gridCol w:w="760"/>
        <w:gridCol w:w="769"/>
        <w:gridCol w:w="769"/>
        <w:gridCol w:w="760"/>
        <w:gridCol w:w="769"/>
      </w:tblGrid>
      <w:tr w:rsidR="00596D01" w:rsidTr="00596D01">
        <w:trPr>
          <w:cnfStyle w:val="100000000000" w:firstRow="1" w:lastRow="0" w:firstColumn="0" w:lastColumn="0" w:oddVBand="0" w:evenVBand="0" w:oddHBand="0" w:evenHBand="0" w:firstRowFirstColumn="0" w:firstRowLastColumn="0" w:lastRowFirstColumn="0" w:lastRowLastColumn="0"/>
          <w:trHeight w:val="113"/>
          <w:tblHeader/>
        </w:trPr>
        <w:tc>
          <w:tcPr>
            <w:cnfStyle w:val="001000000000" w:firstRow="0" w:lastRow="0" w:firstColumn="1" w:lastColumn="0" w:oddVBand="0" w:evenVBand="0" w:oddHBand="0" w:evenHBand="0" w:firstRowFirstColumn="0" w:firstRowLastColumn="0" w:lastRowFirstColumn="0" w:lastRowLastColumn="0"/>
            <w:tcW w:w="1059" w:type="pct"/>
            <w:tcBorders>
              <w:right w:val="single" w:sz="4" w:space="0" w:color="FFFFFF" w:themeColor="background1"/>
            </w:tcBorders>
          </w:tcPr>
          <w:p w:rsidR="00596D01" w:rsidRPr="00596D01" w:rsidRDefault="00596D01" w:rsidP="00A4014C">
            <w:pPr>
              <w:rPr>
                <w:lang w:eastAsia="en-AU"/>
              </w:rPr>
            </w:pPr>
          </w:p>
        </w:tc>
        <w:tc>
          <w:tcPr>
            <w:tcW w:w="791" w:type="pct"/>
            <w:gridSpan w:val="3"/>
            <w:tcBorders>
              <w:left w:val="single" w:sz="4" w:space="0" w:color="FFFFFF" w:themeColor="background1"/>
              <w:right w:val="single" w:sz="4" w:space="0" w:color="FFFFFF" w:themeColor="background1"/>
            </w:tcBorders>
          </w:tcPr>
          <w:p w:rsidR="00596D01" w:rsidRPr="00596D01" w:rsidRDefault="00596D01" w:rsidP="00A4014C">
            <w:pPr>
              <w:jc w:val="center"/>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2012–13</w:t>
            </w:r>
          </w:p>
        </w:tc>
        <w:tc>
          <w:tcPr>
            <w:tcW w:w="789" w:type="pct"/>
            <w:gridSpan w:val="3"/>
            <w:tcBorders>
              <w:left w:val="single" w:sz="4" w:space="0" w:color="FFFFFF" w:themeColor="background1"/>
              <w:right w:val="single" w:sz="4" w:space="0" w:color="FFFFFF" w:themeColor="background1"/>
            </w:tcBorders>
          </w:tcPr>
          <w:p w:rsidR="00596D01" w:rsidRPr="00596D01" w:rsidRDefault="00596D01" w:rsidP="00A4014C">
            <w:pPr>
              <w:jc w:val="center"/>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2013–14</w:t>
            </w:r>
          </w:p>
        </w:tc>
        <w:tc>
          <w:tcPr>
            <w:tcW w:w="789" w:type="pct"/>
            <w:gridSpan w:val="3"/>
            <w:tcBorders>
              <w:left w:val="single" w:sz="4" w:space="0" w:color="FFFFFF" w:themeColor="background1"/>
              <w:right w:val="single" w:sz="4" w:space="0" w:color="FFFFFF" w:themeColor="background1"/>
            </w:tcBorders>
          </w:tcPr>
          <w:p w:rsidR="00596D01" w:rsidRPr="00596D01" w:rsidRDefault="00596D01" w:rsidP="00A4014C">
            <w:pPr>
              <w:jc w:val="center"/>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2014–15</w:t>
            </w:r>
          </w:p>
        </w:tc>
        <w:tc>
          <w:tcPr>
            <w:tcW w:w="789" w:type="pct"/>
            <w:gridSpan w:val="3"/>
            <w:tcBorders>
              <w:left w:val="single" w:sz="4" w:space="0" w:color="FFFFFF" w:themeColor="background1"/>
              <w:right w:val="single" w:sz="4" w:space="0" w:color="FFFFFF" w:themeColor="background1"/>
            </w:tcBorders>
          </w:tcPr>
          <w:p w:rsidR="00596D01" w:rsidRPr="00596D01" w:rsidRDefault="00596D01" w:rsidP="00A4014C">
            <w:pPr>
              <w:jc w:val="center"/>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2015–16</w:t>
            </w:r>
          </w:p>
        </w:tc>
        <w:tc>
          <w:tcPr>
            <w:tcW w:w="782" w:type="pct"/>
            <w:gridSpan w:val="3"/>
            <w:tcBorders>
              <w:left w:val="single" w:sz="4" w:space="0" w:color="FFFFFF" w:themeColor="background1"/>
            </w:tcBorders>
          </w:tcPr>
          <w:p w:rsidR="00596D01" w:rsidRPr="00596D01" w:rsidRDefault="00596D01" w:rsidP="00A4014C">
            <w:pPr>
              <w:jc w:val="center"/>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2016–17</w:t>
            </w:r>
          </w:p>
        </w:tc>
      </w:tr>
      <w:tr w:rsidR="00596D01" w:rsidTr="00596D01">
        <w:trPr>
          <w:cnfStyle w:val="100000000000" w:firstRow="1" w:lastRow="0" w:firstColumn="0" w:lastColumn="0" w:oddVBand="0" w:evenVBand="0" w:oddHBand="0" w:evenHBand="0" w:firstRowFirstColumn="0" w:firstRowLastColumn="0" w:lastRowFirstColumn="0" w:lastRowLastColumn="0"/>
          <w:trHeight w:val="1775"/>
          <w:tblHeader/>
        </w:trPr>
        <w:tc>
          <w:tcPr>
            <w:cnfStyle w:val="001000000000" w:firstRow="0" w:lastRow="0" w:firstColumn="1" w:lastColumn="0" w:oddVBand="0" w:evenVBand="0" w:oddHBand="0" w:evenHBand="0" w:firstRowFirstColumn="0" w:firstRowLastColumn="0" w:lastRowFirstColumn="0" w:lastRowLastColumn="0"/>
            <w:tcW w:w="1059" w:type="pct"/>
            <w:tcBorders>
              <w:right w:val="single" w:sz="4" w:space="0" w:color="FFFFFF" w:themeColor="background1"/>
            </w:tcBorders>
          </w:tcPr>
          <w:p w:rsidR="00596D01" w:rsidRPr="00596D01" w:rsidRDefault="00596D01" w:rsidP="00A4014C">
            <w:pPr>
              <w:rPr>
                <w:lang w:eastAsia="en-AU"/>
              </w:rPr>
            </w:pP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support</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care</w:t>
            </w:r>
          </w:p>
        </w:tc>
        <w:tc>
          <w:tcPr>
            <w:tcW w:w="265"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Residential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support</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Residential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support</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Residential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support</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Residential care</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support</w:t>
            </w:r>
          </w:p>
        </w:tc>
        <w:tc>
          <w:tcPr>
            <w:tcW w:w="263" w:type="pct"/>
            <w:tcBorders>
              <w:left w:val="single" w:sz="4" w:space="0" w:color="FFFFFF" w:themeColor="background1"/>
              <w:righ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Home care</w:t>
            </w:r>
          </w:p>
        </w:tc>
        <w:tc>
          <w:tcPr>
            <w:tcW w:w="256" w:type="pct"/>
            <w:tcBorders>
              <w:left w:val="single" w:sz="4" w:space="0" w:color="FFFFFF" w:themeColor="background1"/>
            </w:tcBorders>
            <w:textDirection w:val="tbRl"/>
          </w:tcPr>
          <w:p w:rsidR="00596D01" w:rsidRPr="00596D01" w:rsidRDefault="00596D01" w:rsidP="00A4014C">
            <w:pPr>
              <w:ind w:left="113" w:right="113"/>
              <w:jc w:val="right"/>
              <w:cnfStyle w:val="100000000000" w:firstRow="1" w:lastRow="0" w:firstColumn="0" w:lastColumn="0" w:oddVBand="0" w:evenVBand="0" w:oddHBand="0" w:evenHBand="0" w:firstRowFirstColumn="0" w:firstRowLastColumn="0" w:lastRowFirstColumn="0" w:lastRowLastColumn="0"/>
              <w:rPr>
                <w:lang w:eastAsia="en-AU"/>
              </w:rPr>
            </w:pPr>
            <w:r w:rsidRPr="00596D01">
              <w:rPr>
                <w:lang w:eastAsia="en-AU"/>
              </w:rPr>
              <w:t>Residential care</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000000"/>
                <w:lang w:eastAsia="en-AU"/>
              </w:rPr>
            </w:pPr>
            <w:r>
              <w:rPr>
                <w:color w:val="000000"/>
                <w:lang w:eastAsia="en-AU"/>
              </w:rPr>
              <w:t>Number of providers</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highlight w:val="yellow"/>
                <w:lang w:eastAsia="en-AU"/>
              </w:rPr>
            </w:pPr>
            <w:r w:rsidRPr="00AB2FC0">
              <w:rPr>
                <w:sz w:val="16"/>
                <w:szCs w:val="16"/>
                <w:lang w:eastAsia="en-AU"/>
              </w:rPr>
              <w:t>1,636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504</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1,034</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1,676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504</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1,016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1,628</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504</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972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1,686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496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949</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1,</w:t>
            </w:r>
            <w:r>
              <w:rPr>
                <w:sz w:val="16"/>
                <w:szCs w:val="16"/>
                <w:lang w:eastAsia="en-AU"/>
              </w:rPr>
              <w:t>621</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702</w:t>
            </w:r>
          </w:p>
        </w:tc>
        <w:tc>
          <w:tcPr>
            <w:tcW w:w="256"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902</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000000"/>
                <w:lang w:eastAsia="en-AU"/>
              </w:rPr>
            </w:pPr>
            <w:r>
              <w:rPr>
                <w:color w:val="000000"/>
                <w:lang w:eastAsia="en-AU"/>
              </w:rPr>
              <w:t>Numbers of services</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2,131</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2,720</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2,212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2,688</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2,292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2,681</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2,099</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2,669</w:t>
            </w:r>
          </w:p>
        </w:tc>
        <w:tc>
          <w:tcPr>
            <w:tcW w:w="263" w:type="pct"/>
            <w:shd w:val="clear" w:color="auto" w:fill="E8E8E8" w:themeFill="background2"/>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3A1EB7">
              <w:rPr>
                <w:sz w:val="16"/>
                <w:szCs w:val="16"/>
                <w:lang w:eastAsia="en-AU"/>
              </w:rPr>
              <w:t>N/A</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2,367</w:t>
            </w:r>
          </w:p>
        </w:tc>
        <w:tc>
          <w:tcPr>
            <w:tcW w:w="256"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2,672</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000000"/>
                <w:lang w:eastAsia="en-AU"/>
              </w:rPr>
            </w:pPr>
            <w:r>
              <w:rPr>
                <w:color w:val="000000"/>
                <w:lang w:eastAsia="en-AU"/>
              </w:rPr>
              <w:t>Number of places</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60,308</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186,278</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66,149</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189,283</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72,702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192,370</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78,956</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195,825</w:t>
            </w:r>
          </w:p>
        </w:tc>
        <w:tc>
          <w:tcPr>
            <w:tcW w:w="263" w:type="pct"/>
            <w:shd w:val="clear" w:color="auto" w:fill="E8E8E8" w:themeFill="background2"/>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3A1EB7">
              <w:rPr>
                <w:sz w:val="16"/>
                <w:szCs w:val="16"/>
                <w:lang w:eastAsia="en-AU"/>
              </w:rPr>
              <w:t>N/A</w:t>
            </w:r>
          </w:p>
        </w:tc>
        <w:tc>
          <w:tcPr>
            <w:tcW w:w="263" w:type="pct"/>
            <w:shd w:val="clear" w:color="auto" w:fill="E8E8E8" w:themeFill="background2"/>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r w:rsidRPr="00B44B0F">
              <w:rPr>
                <w:sz w:val="16"/>
                <w:szCs w:val="16"/>
                <w:lang w:eastAsia="en-AU"/>
              </w:rPr>
              <w:t>N/A</w:t>
            </w:r>
            <w:r>
              <w:rPr>
                <w:rStyle w:val="FootnoteReference"/>
                <w:lang w:eastAsia="en-AU"/>
              </w:rPr>
              <w:footnoteReference w:id="8"/>
            </w:r>
          </w:p>
        </w:tc>
        <w:tc>
          <w:tcPr>
            <w:tcW w:w="256"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200,689</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000000"/>
                <w:lang w:eastAsia="en-AU"/>
              </w:rPr>
            </w:pPr>
            <w:r>
              <w:rPr>
                <w:color w:val="000000"/>
                <w:lang w:eastAsia="en-AU"/>
              </w:rPr>
              <w:t>Number of consumers</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756,148</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82,895</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226,042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775,959</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83,144</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231,515</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812,384</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83,838</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231,255</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Pr>
                <w:sz w:val="16"/>
                <w:szCs w:val="16"/>
                <w:lang w:eastAsia="en-AU"/>
              </w:rPr>
              <w:t>9</w:t>
            </w:r>
            <w:r w:rsidRPr="00AB2FC0">
              <w:rPr>
                <w:sz w:val="16"/>
                <w:szCs w:val="16"/>
                <w:lang w:eastAsia="en-AU"/>
              </w:rPr>
              <w:t>25,432</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88,875</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234,931</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784,927</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 xml:space="preserve">97,516 </w:t>
            </w:r>
          </w:p>
        </w:tc>
        <w:tc>
          <w:tcPr>
            <w:tcW w:w="256"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239,379</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1F497D"/>
                <w:lang w:eastAsia="en-AU"/>
              </w:rPr>
            </w:pPr>
            <w:r>
              <w:rPr>
                <w:color w:val="000000"/>
                <w:lang w:eastAsia="en-AU"/>
              </w:rPr>
              <w:t>Commonwealth funding ($b)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$1.6b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$1.2b</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$9.2b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$1.7b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$1.3b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$9.8b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$1.9b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$1.3b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$10.6 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$2.2b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$1.5b</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$11.4b</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$2.4b</w:t>
            </w:r>
          </w:p>
        </w:tc>
        <w:tc>
          <w:tcPr>
            <w:tcW w:w="263"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3A1EB7">
              <w:rPr>
                <w:sz w:val="16"/>
                <w:szCs w:val="16"/>
                <w:lang w:eastAsia="en-AU"/>
              </w:rPr>
              <w:t>$1.6b</w:t>
            </w:r>
          </w:p>
        </w:tc>
        <w:tc>
          <w:tcPr>
            <w:tcW w:w="256" w:type="pct"/>
          </w:tcPr>
          <w:p w:rsidR="00596D01" w:rsidRPr="003A1EB7"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Pr>
                <w:sz w:val="16"/>
                <w:szCs w:val="16"/>
                <w:lang w:eastAsia="en-AU"/>
              </w:rPr>
              <w:t>$11.9</w:t>
            </w:r>
            <w:r w:rsidRPr="003A1EB7">
              <w:rPr>
                <w:sz w:val="16"/>
                <w:szCs w:val="16"/>
                <w:lang w:eastAsia="en-AU"/>
              </w:rPr>
              <w:t>b</w:t>
            </w:r>
          </w:p>
        </w:tc>
      </w:tr>
      <w:tr w:rsidR="00596D01" w:rsidTr="00A4014C">
        <w:trPr>
          <w:trHeight w:val="113"/>
        </w:trPr>
        <w:tc>
          <w:tcPr>
            <w:cnfStyle w:val="001000000000" w:firstRow="0" w:lastRow="0" w:firstColumn="1" w:lastColumn="0" w:oddVBand="0" w:evenVBand="0" w:oddHBand="0" w:evenHBand="0" w:firstRowFirstColumn="0" w:firstRowLastColumn="0" w:lastRowFirstColumn="0" w:lastRowLastColumn="0"/>
            <w:tcW w:w="1059" w:type="pct"/>
            <w:hideMark/>
          </w:tcPr>
          <w:p w:rsidR="00596D01" w:rsidRDefault="00596D01" w:rsidP="00A4014C">
            <w:pPr>
              <w:rPr>
                <w:color w:val="1F497D"/>
                <w:lang w:eastAsia="en-AU"/>
              </w:rPr>
            </w:pPr>
            <w:r>
              <w:rPr>
                <w:color w:val="000000"/>
                <w:lang w:eastAsia="en-AU"/>
              </w:rPr>
              <w:t>Consumer contribution</w:t>
            </w:r>
            <w:r>
              <w:rPr>
                <w:color w:val="1F497D"/>
                <w:lang w:eastAsia="en-AU"/>
              </w:rPr>
              <w:t xml:space="preserve"> </w:t>
            </w:r>
          </w:p>
        </w:tc>
        <w:tc>
          <w:tcPr>
            <w:tcW w:w="263" w:type="pct"/>
            <w:shd w:val="clear" w:color="auto" w:fill="E8E8E8" w:themeFill="background2"/>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$84m</w:t>
            </w:r>
          </w:p>
        </w:tc>
        <w:tc>
          <w:tcPr>
            <w:tcW w:w="265"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$3.8b</w:t>
            </w:r>
          </w:p>
        </w:tc>
        <w:tc>
          <w:tcPr>
            <w:tcW w:w="263" w:type="pct"/>
            <w:shd w:val="clear" w:color="auto" w:fill="E8E8E8" w:themeFill="background2"/>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$87m</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$4.0b</w:t>
            </w:r>
          </w:p>
        </w:tc>
        <w:tc>
          <w:tcPr>
            <w:tcW w:w="263" w:type="pct"/>
            <w:shd w:val="clear" w:color="auto" w:fill="E8E8E8" w:themeFill="background2"/>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w:t>
            </w:r>
            <w:r>
              <w:rPr>
                <w:sz w:val="16"/>
                <w:szCs w:val="16"/>
                <w:lang w:eastAsia="en-AU"/>
              </w:rPr>
              <w:t>36</w:t>
            </w:r>
            <w:r w:rsidRPr="00AB2FC0">
              <w:rPr>
                <w:sz w:val="16"/>
                <w:szCs w:val="16"/>
                <w:lang w:eastAsia="en-AU"/>
              </w:rPr>
              <w:t>m</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$4.2b</w:t>
            </w:r>
          </w:p>
        </w:tc>
        <w:tc>
          <w:tcPr>
            <w:tcW w:w="263" w:type="pct"/>
            <w:shd w:val="clear" w:color="auto" w:fill="E8E8E8" w:themeFill="background2"/>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N/A</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$1</w:t>
            </w:r>
            <w:r>
              <w:rPr>
                <w:sz w:val="16"/>
                <w:szCs w:val="16"/>
                <w:lang w:eastAsia="en-AU"/>
              </w:rPr>
              <w:t>42</w:t>
            </w:r>
            <w:r w:rsidRPr="00AB2FC0">
              <w:rPr>
                <w:sz w:val="16"/>
                <w:szCs w:val="16"/>
                <w:lang w:eastAsia="en-AU"/>
              </w:rPr>
              <w:t>m</w:t>
            </w:r>
          </w:p>
        </w:tc>
        <w:tc>
          <w:tcPr>
            <w:tcW w:w="263" w:type="pct"/>
            <w:hideMark/>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sidRPr="00AB2FC0">
              <w:rPr>
                <w:sz w:val="16"/>
                <w:szCs w:val="16"/>
                <w:lang w:eastAsia="en-AU"/>
              </w:rPr>
              <w:t>$4.5b</w:t>
            </w:r>
          </w:p>
        </w:tc>
        <w:tc>
          <w:tcPr>
            <w:tcW w:w="263" w:type="pct"/>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Pr>
                <w:sz w:val="16"/>
                <w:szCs w:val="16"/>
                <w:lang w:eastAsia="en-AU"/>
              </w:rPr>
              <w:t>$204m</w:t>
            </w:r>
          </w:p>
        </w:tc>
        <w:tc>
          <w:tcPr>
            <w:tcW w:w="263" w:type="pct"/>
          </w:tcPr>
          <w:p w:rsidR="00596D01" w:rsidRPr="00B44B0F"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Pr>
                <w:sz w:val="16"/>
                <w:szCs w:val="16"/>
                <w:lang w:eastAsia="en-AU"/>
              </w:rPr>
              <w:t>$150m</w:t>
            </w:r>
          </w:p>
        </w:tc>
        <w:tc>
          <w:tcPr>
            <w:tcW w:w="256" w:type="pct"/>
          </w:tcPr>
          <w:p w:rsidR="00596D01" w:rsidRPr="00AB2FC0" w:rsidRDefault="00596D01" w:rsidP="00A4014C">
            <w:pPr>
              <w:cnfStyle w:val="000000000000" w:firstRow="0" w:lastRow="0" w:firstColumn="0" w:lastColumn="0" w:oddVBand="0" w:evenVBand="0" w:oddHBand="0" w:evenHBand="0" w:firstRowFirstColumn="0" w:firstRowLastColumn="0" w:lastRowFirstColumn="0" w:lastRowLastColumn="0"/>
              <w:rPr>
                <w:sz w:val="16"/>
                <w:szCs w:val="16"/>
                <w:lang w:eastAsia="en-AU"/>
              </w:rPr>
            </w:pPr>
            <w:r>
              <w:rPr>
                <w:sz w:val="16"/>
                <w:szCs w:val="16"/>
                <w:lang w:eastAsia="en-AU"/>
              </w:rPr>
              <w:t>$4.5b</w:t>
            </w:r>
          </w:p>
        </w:tc>
      </w:tr>
    </w:tbl>
    <w:p w:rsidR="00E76FDC" w:rsidRPr="00596D01" w:rsidRDefault="00D35F9F" w:rsidP="00C67407">
      <w:pPr>
        <w:pStyle w:val="SourceNotesHeading"/>
      </w:pPr>
      <w:r w:rsidRPr="00596D01">
        <w:t>Notes:</w:t>
      </w:r>
      <w:bookmarkStart w:id="90" w:name="_Toc487702525"/>
      <w:bookmarkStart w:id="91" w:name="_Toc487702877"/>
      <w:bookmarkStart w:id="92" w:name="_Toc487703375"/>
      <w:bookmarkStart w:id="93" w:name="_Toc487703569"/>
    </w:p>
    <w:p w:rsidR="000D4AB8" w:rsidRPr="00BE642A" w:rsidRDefault="000D4AB8" w:rsidP="0016704B">
      <w:pPr>
        <w:pStyle w:val="ListParagraph"/>
        <w:numPr>
          <w:ilvl w:val="0"/>
          <w:numId w:val="4"/>
        </w:numPr>
        <w:ind w:left="284" w:hanging="284"/>
        <w:rPr>
          <w:rFonts w:ascii="Segoe UI" w:hAnsi="Segoe UI" w:cs="Segoe UI"/>
          <w:color w:val="313131"/>
          <w:sz w:val="16"/>
          <w:szCs w:val="16"/>
          <w:lang w:val="en-GB"/>
        </w:rPr>
      </w:pPr>
      <w:r w:rsidRPr="00BE642A">
        <w:rPr>
          <w:rFonts w:ascii="Segoe UI" w:hAnsi="Segoe UI" w:cs="Segoe UI"/>
          <w:color w:val="313131"/>
          <w:sz w:val="16"/>
          <w:szCs w:val="16"/>
          <w:lang w:val="en-GB"/>
        </w:rPr>
        <w:t>This table only shows data for the three main types of Government funded aged care: CHSP (and Vic/WA HACC), home care and residential care. Therefore total consumers of aged care does not match the 1.3</w:t>
      </w:r>
      <w:r w:rsidR="00A261F3">
        <w:rPr>
          <w:rFonts w:ascii="Segoe UI" w:hAnsi="Segoe UI" w:cs="Segoe UI"/>
          <w:color w:val="313131"/>
          <w:sz w:val="16"/>
          <w:szCs w:val="16"/>
          <w:lang w:val="en-GB"/>
        </w:rPr>
        <w:t> million</w:t>
      </w:r>
      <w:r w:rsidRPr="00BE642A">
        <w:rPr>
          <w:rFonts w:ascii="Segoe UI" w:hAnsi="Segoe UI" w:cs="Segoe UI"/>
          <w:color w:val="313131"/>
          <w:sz w:val="16"/>
          <w:szCs w:val="16"/>
          <w:lang w:val="en-GB"/>
        </w:rPr>
        <w:t xml:space="preserve"> </w:t>
      </w:r>
      <w:r w:rsidR="00842013">
        <w:rPr>
          <w:rFonts w:ascii="Segoe UI" w:hAnsi="Segoe UI" w:cs="Segoe UI"/>
          <w:color w:val="313131"/>
          <w:sz w:val="16"/>
          <w:szCs w:val="16"/>
          <w:lang w:val="en-GB"/>
        </w:rPr>
        <w:t xml:space="preserve">stated </w:t>
      </w:r>
      <w:r w:rsidRPr="00BE642A">
        <w:rPr>
          <w:rFonts w:ascii="Segoe UI" w:hAnsi="Segoe UI" w:cs="Segoe UI"/>
          <w:color w:val="313131"/>
          <w:sz w:val="16"/>
          <w:szCs w:val="16"/>
          <w:lang w:val="en-GB"/>
        </w:rPr>
        <w:t>at the beginning of this chapter as that figure includes all other types of Government funded aged care.</w:t>
      </w:r>
    </w:p>
    <w:p w:rsidR="00D8721E" w:rsidRDefault="00E76FDC" w:rsidP="0016704B">
      <w:pPr>
        <w:pStyle w:val="ListParagraph"/>
        <w:numPr>
          <w:ilvl w:val="0"/>
          <w:numId w:val="4"/>
        </w:numPr>
        <w:ind w:left="284" w:hanging="284"/>
        <w:rPr>
          <w:rFonts w:ascii="Segoe UI" w:hAnsi="Segoe UI" w:cs="Segoe UI"/>
          <w:color w:val="313131"/>
          <w:sz w:val="16"/>
          <w:szCs w:val="16"/>
          <w:lang w:val="en-GB"/>
        </w:rPr>
      </w:pPr>
      <w:r>
        <w:rPr>
          <w:rFonts w:ascii="Segoe UI" w:hAnsi="Segoe UI" w:cs="Segoe UI"/>
          <w:color w:val="313131"/>
          <w:sz w:val="16"/>
          <w:szCs w:val="16"/>
          <w:lang w:val="en-GB"/>
        </w:rPr>
        <w:t>Home support for the years</w:t>
      </w:r>
      <w:r w:rsidR="00A261F3">
        <w:rPr>
          <w:rFonts w:ascii="Segoe UI" w:hAnsi="Segoe UI" w:cs="Segoe UI"/>
          <w:color w:val="313131"/>
          <w:sz w:val="16"/>
          <w:szCs w:val="16"/>
          <w:lang w:val="en-GB"/>
        </w:rPr>
        <w:t> 201</w:t>
      </w:r>
      <w:r>
        <w:rPr>
          <w:rFonts w:ascii="Segoe UI" w:hAnsi="Segoe UI" w:cs="Segoe UI"/>
          <w:color w:val="313131"/>
          <w:sz w:val="16"/>
          <w:szCs w:val="16"/>
          <w:lang w:val="en-GB"/>
        </w:rPr>
        <w:t>2</w:t>
      </w:r>
      <w:r w:rsidR="00D8721E">
        <w:rPr>
          <w:rFonts w:ascii="Segoe UI" w:hAnsi="Segoe UI" w:cs="Segoe UI"/>
          <w:color w:val="313131"/>
          <w:sz w:val="16"/>
          <w:szCs w:val="16"/>
          <w:lang w:val="en-GB"/>
        </w:rPr>
        <w:t>–1</w:t>
      </w:r>
      <w:r>
        <w:rPr>
          <w:rFonts w:ascii="Segoe UI" w:hAnsi="Segoe UI" w:cs="Segoe UI"/>
          <w:color w:val="313131"/>
          <w:sz w:val="16"/>
          <w:szCs w:val="16"/>
          <w:lang w:val="en-GB"/>
        </w:rPr>
        <w:t xml:space="preserve">3 </w:t>
      </w:r>
      <w:r w:rsidR="00FE0754">
        <w:rPr>
          <w:rFonts w:ascii="Segoe UI" w:hAnsi="Segoe UI" w:cs="Segoe UI"/>
          <w:color w:val="313131"/>
          <w:sz w:val="16"/>
          <w:szCs w:val="16"/>
          <w:lang w:val="en-GB"/>
        </w:rPr>
        <w:t>to</w:t>
      </w:r>
      <w:r w:rsidR="00A261F3">
        <w:rPr>
          <w:rFonts w:ascii="Segoe UI" w:hAnsi="Segoe UI" w:cs="Segoe UI"/>
          <w:color w:val="313131"/>
          <w:sz w:val="16"/>
          <w:szCs w:val="16"/>
          <w:lang w:val="en-GB"/>
        </w:rPr>
        <w:t> 201</w:t>
      </w:r>
      <w:r>
        <w:rPr>
          <w:rFonts w:ascii="Segoe UI" w:hAnsi="Segoe UI" w:cs="Segoe UI"/>
          <w:color w:val="313131"/>
          <w:sz w:val="16"/>
          <w:szCs w:val="16"/>
          <w:lang w:val="en-GB"/>
        </w:rPr>
        <w:t>4</w:t>
      </w:r>
      <w:r w:rsidR="00D8721E">
        <w:rPr>
          <w:rFonts w:ascii="Segoe UI" w:hAnsi="Segoe UI" w:cs="Segoe UI"/>
          <w:color w:val="313131"/>
          <w:sz w:val="16"/>
          <w:szCs w:val="16"/>
          <w:lang w:val="en-GB"/>
        </w:rPr>
        <w:t>–1</w:t>
      </w:r>
      <w:r>
        <w:rPr>
          <w:rFonts w:ascii="Segoe UI" w:hAnsi="Segoe UI" w:cs="Segoe UI"/>
          <w:color w:val="313131"/>
          <w:sz w:val="16"/>
          <w:szCs w:val="16"/>
          <w:lang w:val="en-GB"/>
        </w:rPr>
        <w:t>5 comprises Commonwealth HACC as well as Vic and WA HACC, in</w:t>
      </w:r>
      <w:r w:rsidR="00A261F3">
        <w:rPr>
          <w:rFonts w:ascii="Segoe UI" w:hAnsi="Segoe UI" w:cs="Segoe UI"/>
          <w:color w:val="313131"/>
          <w:sz w:val="16"/>
          <w:szCs w:val="16"/>
          <w:lang w:val="en-GB"/>
        </w:rPr>
        <w:t> 201</w:t>
      </w:r>
      <w:r>
        <w:rPr>
          <w:rFonts w:ascii="Segoe UI" w:hAnsi="Segoe UI" w:cs="Segoe UI"/>
          <w:color w:val="313131"/>
          <w:sz w:val="16"/>
          <w:szCs w:val="16"/>
          <w:lang w:val="en-GB"/>
        </w:rPr>
        <w:t>5</w:t>
      </w:r>
      <w:r w:rsidR="00D8721E">
        <w:rPr>
          <w:rFonts w:ascii="Segoe UI" w:hAnsi="Segoe UI" w:cs="Segoe UI"/>
          <w:color w:val="313131"/>
          <w:sz w:val="16"/>
          <w:szCs w:val="16"/>
          <w:lang w:val="en-GB"/>
        </w:rPr>
        <w:t>–1</w:t>
      </w:r>
      <w:r>
        <w:rPr>
          <w:rFonts w:ascii="Segoe UI" w:hAnsi="Segoe UI" w:cs="Segoe UI"/>
          <w:color w:val="313131"/>
          <w:sz w:val="16"/>
          <w:szCs w:val="16"/>
          <w:lang w:val="en-GB"/>
        </w:rPr>
        <w:t>6 comprises CHSP as well as VIC and WA HACC and in</w:t>
      </w:r>
      <w:r w:rsidR="00A261F3">
        <w:rPr>
          <w:rFonts w:ascii="Segoe UI" w:hAnsi="Segoe UI" w:cs="Segoe UI"/>
          <w:color w:val="313131"/>
          <w:sz w:val="16"/>
          <w:szCs w:val="16"/>
          <w:lang w:val="en-GB"/>
        </w:rPr>
        <w:t> 201</w:t>
      </w:r>
      <w:r>
        <w:rPr>
          <w:rFonts w:ascii="Segoe UI" w:hAnsi="Segoe UI" w:cs="Segoe UI"/>
          <w:color w:val="313131"/>
          <w:sz w:val="16"/>
          <w:szCs w:val="16"/>
          <w:lang w:val="en-GB"/>
        </w:rPr>
        <w:t>6</w:t>
      </w:r>
      <w:r w:rsidR="00D8721E">
        <w:rPr>
          <w:rFonts w:ascii="Segoe UI" w:hAnsi="Segoe UI" w:cs="Segoe UI"/>
          <w:color w:val="313131"/>
          <w:sz w:val="16"/>
          <w:szCs w:val="16"/>
          <w:lang w:val="en-GB"/>
        </w:rPr>
        <w:t>–1</w:t>
      </w:r>
      <w:r>
        <w:rPr>
          <w:rFonts w:ascii="Segoe UI" w:hAnsi="Segoe UI" w:cs="Segoe UI"/>
          <w:color w:val="313131"/>
          <w:sz w:val="16"/>
          <w:szCs w:val="16"/>
          <w:lang w:val="en-GB"/>
        </w:rPr>
        <w:t>7 comprises CHSP as well as WA HACC</w:t>
      </w:r>
      <w:r w:rsidR="00D8721E">
        <w:rPr>
          <w:rFonts w:ascii="Segoe UI" w:hAnsi="Segoe UI" w:cs="Segoe UI"/>
          <w:color w:val="313131"/>
          <w:sz w:val="16"/>
          <w:szCs w:val="16"/>
          <w:lang w:val="en-GB"/>
        </w:rPr>
        <w:t>.</w:t>
      </w:r>
    </w:p>
    <w:p w:rsidR="00D8721E" w:rsidRDefault="00E76FDC" w:rsidP="0016704B">
      <w:pPr>
        <w:pStyle w:val="ListParagraph"/>
        <w:numPr>
          <w:ilvl w:val="0"/>
          <w:numId w:val="4"/>
        </w:numPr>
        <w:ind w:left="284" w:hanging="284"/>
        <w:rPr>
          <w:rFonts w:ascii="Segoe UI" w:hAnsi="Segoe UI" w:cs="Segoe UI"/>
          <w:color w:val="313131"/>
          <w:sz w:val="16"/>
          <w:szCs w:val="16"/>
          <w:lang w:val="en-GB"/>
        </w:rPr>
      </w:pPr>
      <w:r>
        <w:rPr>
          <w:rFonts w:ascii="Segoe UI" w:hAnsi="Segoe UI" w:cs="Segoe UI"/>
          <w:color w:val="313131"/>
          <w:sz w:val="16"/>
          <w:szCs w:val="16"/>
          <w:lang w:val="en-GB"/>
        </w:rPr>
        <w:t xml:space="preserve">Commonwealth funding </w:t>
      </w:r>
      <w:r w:rsidR="00842013">
        <w:rPr>
          <w:rFonts w:ascii="Segoe UI" w:hAnsi="Segoe UI" w:cs="Segoe UI"/>
          <w:color w:val="313131"/>
          <w:sz w:val="16"/>
          <w:szCs w:val="16"/>
          <w:lang w:val="en-GB"/>
        </w:rPr>
        <w:t>for home support in</w:t>
      </w:r>
      <w:r w:rsidR="00A261F3">
        <w:rPr>
          <w:rFonts w:ascii="Segoe UI" w:hAnsi="Segoe UI" w:cs="Segoe UI"/>
          <w:color w:val="313131"/>
          <w:sz w:val="16"/>
          <w:szCs w:val="16"/>
          <w:lang w:val="en-GB"/>
        </w:rPr>
        <w:t> 201</w:t>
      </w:r>
      <w:r w:rsidR="00842013">
        <w:rPr>
          <w:rFonts w:ascii="Segoe UI" w:hAnsi="Segoe UI" w:cs="Segoe UI"/>
          <w:color w:val="313131"/>
          <w:sz w:val="16"/>
          <w:szCs w:val="16"/>
          <w:lang w:val="en-GB"/>
        </w:rPr>
        <w:t>5</w:t>
      </w:r>
      <w:r w:rsidR="00D8721E">
        <w:rPr>
          <w:rFonts w:ascii="Segoe UI" w:hAnsi="Segoe UI" w:cs="Segoe UI"/>
          <w:color w:val="313131"/>
          <w:sz w:val="16"/>
          <w:szCs w:val="16"/>
          <w:lang w:val="en-GB"/>
        </w:rPr>
        <w:t>–1</w:t>
      </w:r>
      <w:r w:rsidR="00842013">
        <w:rPr>
          <w:rFonts w:ascii="Segoe UI" w:hAnsi="Segoe UI" w:cs="Segoe UI"/>
          <w:color w:val="313131"/>
          <w:sz w:val="16"/>
          <w:szCs w:val="16"/>
          <w:lang w:val="en-GB"/>
        </w:rPr>
        <w:t>6 and</w:t>
      </w:r>
      <w:r w:rsidR="00A261F3">
        <w:rPr>
          <w:rFonts w:ascii="Segoe UI" w:hAnsi="Segoe UI" w:cs="Segoe UI"/>
          <w:color w:val="313131"/>
          <w:sz w:val="16"/>
          <w:szCs w:val="16"/>
          <w:lang w:val="en-GB"/>
        </w:rPr>
        <w:t> 201</w:t>
      </w:r>
      <w:r w:rsidR="00842013">
        <w:rPr>
          <w:rFonts w:ascii="Segoe UI" w:hAnsi="Segoe UI" w:cs="Segoe UI"/>
          <w:color w:val="313131"/>
          <w:sz w:val="16"/>
          <w:szCs w:val="16"/>
          <w:lang w:val="en-GB"/>
        </w:rPr>
        <w:t>6</w:t>
      </w:r>
      <w:r w:rsidR="00D8721E">
        <w:rPr>
          <w:rFonts w:ascii="Segoe UI" w:hAnsi="Segoe UI" w:cs="Segoe UI"/>
          <w:color w:val="313131"/>
          <w:sz w:val="16"/>
          <w:szCs w:val="16"/>
          <w:lang w:val="en-GB"/>
        </w:rPr>
        <w:t>–1</w:t>
      </w:r>
      <w:r w:rsidR="00842013">
        <w:rPr>
          <w:rFonts w:ascii="Segoe UI" w:hAnsi="Segoe UI" w:cs="Segoe UI"/>
          <w:color w:val="313131"/>
          <w:sz w:val="16"/>
          <w:szCs w:val="16"/>
          <w:lang w:val="en-GB"/>
        </w:rPr>
        <w:t xml:space="preserve">7 </w:t>
      </w:r>
      <w:r>
        <w:rPr>
          <w:rFonts w:ascii="Segoe UI" w:hAnsi="Segoe UI" w:cs="Segoe UI"/>
          <w:color w:val="313131"/>
          <w:sz w:val="16"/>
          <w:szCs w:val="16"/>
          <w:lang w:val="en-GB"/>
        </w:rPr>
        <w:t xml:space="preserve">includes </w:t>
      </w:r>
      <w:r w:rsidRPr="00E76FDC">
        <w:rPr>
          <w:rFonts w:ascii="Segoe UI" w:hAnsi="Segoe UI" w:cs="Segoe UI"/>
          <w:color w:val="313131"/>
          <w:sz w:val="16"/>
          <w:szCs w:val="16"/>
          <w:lang w:val="en-GB"/>
        </w:rPr>
        <w:t xml:space="preserve">funding for </w:t>
      </w:r>
      <w:r>
        <w:rPr>
          <w:rFonts w:ascii="Segoe UI" w:hAnsi="Segoe UI" w:cs="Segoe UI"/>
          <w:color w:val="313131"/>
          <w:sz w:val="16"/>
          <w:szCs w:val="16"/>
          <w:lang w:val="en-GB"/>
        </w:rPr>
        <w:t>My Aged Care and Regional Assessment Service (RAS) to support the CHSP (</w:t>
      </w:r>
      <w:r w:rsidRPr="00E76FDC">
        <w:rPr>
          <w:rFonts w:ascii="Segoe UI" w:hAnsi="Segoe UI" w:cs="Segoe UI"/>
          <w:color w:val="313131"/>
          <w:sz w:val="16"/>
          <w:szCs w:val="16"/>
          <w:lang w:val="en-GB"/>
        </w:rPr>
        <w:t>$14</w:t>
      </w:r>
      <w:r w:rsidR="00B97D56">
        <w:rPr>
          <w:rFonts w:ascii="Segoe UI" w:hAnsi="Segoe UI" w:cs="Segoe UI"/>
          <w:color w:val="313131"/>
          <w:sz w:val="16"/>
          <w:szCs w:val="16"/>
          <w:lang w:val="en-GB"/>
        </w:rPr>
        <w:t>8</w:t>
      </w:r>
      <w:r w:rsidR="00A261F3">
        <w:rPr>
          <w:rFonts w:ascii="Segoe UI" w:hAnsi="Segoe UI" w:cs="Segoe UI"/>
          <w:color w:val="313131"/>
          <w:sz w:val="16"/>
          <w:szCs w:val="16"/>
          <w:lang w:val="en-GB"/>
        </w:rPr>
        <w:t> million</w:t>
      </w:r>
      <w:r w:rsidRPr="00E76FDC">
        <w:rPr>
          <w:rFonts w:ascii="Segoe UI" w:hAnsi="Segoe UI" w:cs="Segoe UI"/>
          <w:color w:val="313131"/>
          <w:sz w:val="16"/>
          <w:szCs w:val="16"/>
          <w:lang w:val="en-GB"/>
        </w:rPr>
        <w:t xml:space="preserve"> in</w:t>
      </w:r>
      <w:r w:rsidR="00A261F3">
        <w:rPr>
          <w:rFonts w:ascii="Segoe UI" w:hAnsi="Segoe UI" w:cs="Segoe UI"/>
          <w:color w:val="313131"/>
          <w:sz w:val="16"/>
          <w:szCs w:val="16"/>
          <w:lang w:val="en-GB"/>
        </w:rPr>
        <w:t> 201</w:t>
      </w:r>
      <w:r w:rsidRPr="00E76FDC">
        <w:rPr>
          <w:rFonts w:ascii="Segoe UI" w:hAnsi="Segoe UI" w:cs="Segoe UI"/>
          <w:color w:val="313131"/>
          <w:sz w:val="16"/>
          <w:szCs w:val="16"/>
          <w:lang w:val="en-GB"/>
        </w:rPr>
        <w:t>5</w:t>
      </w:r>
      <w:r w:rsidR="00D8721E">
        <w:rPr>
          <w:rFonts w:ascii="Segoe UI" w:hAnsi="Segoe UI" w:cs="Segoe UI"/>
          <w:color w:val="313131"/>
          <w:sz w:val="16"/>
          <w:szCs w:val="16"/>
          <w:lang w:val="en-GB"/>
        </w:rPr>
        <w:t>–1</w:t>
      </w:r>
      <w:r w:rsidRPr="00E76FDC">
        <w:rPr>
          <w:rFonts w:ascii="Segoe UI" w:hAnsi="Segoe UI" w:cs="Segoe UI"/>
          <w:color w:val="313131"/>
          <w:sz w:val="16"/>
          <w:szCs w:val="16"/>
          <w:lang w:val="en-GB"/>
        </w:rPr>
        <w:t>6 and $123</w:t>
      </w:r>
      <w:r w:rsidR="00A261F3">
        <w:rPr>
          <w:rFonts w:ascii="Segoe UI" w:hAnsi="Segoe UI" w:cs="Segoe UI"/>
          <w:color w:val="313131"/>
          <w:sz w:val="16"/>
          <w:szCs w:val="16"/>
          <w:lang w:val="en-GB"/>
        </w:rPr>
        <w:t> million</w:t>
      </w:r>
      <w:r w:rsidRPr="00E76FDC">
        <w:rPr>
          <w:rFonts w:ascii="Segoe UI" w:hAnsi="Segoe UI" w:cs="Segoe UI"/>
          <w:color w:val="313131"/>
          <w:sz w:val="16"/>
          <w:szCs w:val="16"/>
          <w:lang w:val="en-GB"/>
        </w:rPr>
        <w:t xml:space="preserve"> in</w:t>
      </w:r>
      <w:r w:rsidR="00A261F3">
        <w:rPr>
          <w:rFonts w:ascii="Segoe UI" w:hAnsi="Segoe UI" w:cs="Segoe UI"/>
          <w:color w:val="313131"/>
          <w:sz w:val="16"/>
          <w:szCs w:val="16"/>
          <w:lang w:val="en-GB"/>
        </w:rPr>
        <w:t> 201</w:t>
      </w:r>
      <w:r w:rsidRPr="00E76FDC">
        <w:rPr>
          <w:rFonts w:ascii="Segoe UI" w:hAnsi="Segoe UI" w:cs="Segoe UI"/>
          <w:color w:val="313131"/>
          <w:sz w:val="16"/>
          <w:szCs w:val="16"/>
          <w:lang w:val="en-GB"/>
        </w:rPr>
        <w:t>6</w:t>
      </w:r>
      <w:r w:rsidR="00D8721E">
        <w:rPr>
          <w:rFonts w:ascii="Segoe UI" w:hAnsi="Segoe UI" w:cs="Segoe UI"/>
          <w:color w:val="313131"/>
          <w:sz w:val="16"/>
          <w:szCs w:val="16"/>
          <w:lang w:val="en-GB"/>
        </w:rPr>
        <w:t>–1</w:t>
      </w:r>
      <w:r w:rsidRPr="00E76FDC">
        <w:rPr>
          <w:rFonts w:ascii="Segoe UI" w:hAnsi="Segoe UI" w:cs="Segoe UI"/>
          <w:color w:val="313131"/>
          <w:sz w:val="16"/>
          <w:szCs w:val="16"/>
          <w:lang w:val="en-GB"/>
        </w:rPr>
        <w:t>7)</w:t>
      </w:r>
      <w:r w:rsidR="00D8721E">
        <w:rPr>
          <w:rFonts w:ascii="Segoe UI" w:hAnsi="Segoe UI" w:cs="Segoe UI"/>
          <w:color w:val="313131"/>
          <w:sz w:val="16"/>
          <w:szCs w:val="16"/>
          <w:lang w:val="en-GB"/>
        </w:rPr>
        <w:t>.</w:t>
      </w:r>
    </w:p>
    <w:p w:rsidR="00E76FDC" w:rsidRDefault="00E76FDC" w:rsidP="0016704B">
      <w:pPr>
        <w:pStyle w:val="ListParagraph"/>
        <w:numPr>
          <w:ilvl w:val="0"/>
          <w:numId w:val="4"/>
        </w:numPr>
        <w:ind w:left="284" w:hanging="284"/>
        <w:rPr>
          <w:rFonts w:ascii="Segoe UI" w:hAnsi="Segoe UI" w:cs="Segoe UI"/>
          <w:color w:val="313131"/>
          <w:sz w:val="16"/>
          <w:szCs w:val="16"/>
          <w:lang w:val="en-GB"/>
        </w:rPr>
      </w:pPr>
      <w:r>
        <w:rPr>
          <w:rFonts w:ascii="Segoe UI" w:hAnsi="Segoe UI" w:cs="Segoe UI"/>
          <w:color w:val="313131"/>
          <w:sz w:val="16"/>
          <w:szCs w:val="16"/>
          <w:lang w:val="en-GB"/>
        </w:rPr>
        <w:t>The number of consumers of home support in</w:t>
      </w:r>
      <w:r w:rsidR="00A261F3">
        <w:rPr>
          <w:rFonts w:ascii="Segoe UI" w:hAnsi="Segoe UI" w:cs="Segoe UI"/>
          <w:color w:val="313131"/>
          <w:sz w:val="16"/>
          <w:szCs w:val="16"/>
          <w:lang w:val="en-GB"/>
        </w:rPr>
        <w:t> 201</w:t>
      </w:r>
      <w:r>
        <w:rPr>
          <w:rFonts w:ascii="Segoe UI" w:hAnsi="Segoe UI" w:cs="Segoe UI"/>
          <w:color w:val="313131"/>
          <w:sz w:val="16"/>
          <w:szCs w:val="16"/>
          <w:lang w:val="en-GB"/>
        </w:rPr>
        <w:t>5</w:t>
      </w:r>
      <w:r w:rsidR="00D8721E">
        <w:rPr>
          <w:rFonts w:ascii="Segoe UI" w:hAnsi="Segoe UI" w:cs="Segoe UI"/>
          <w:color w:val="313131"/>
          <w:sz w:val="16"/>
          <w:szCs w:val="16"/>
          <w:lang w:val="en-GB"/>
        </w:rPr>
        <w:t>–1</w:t>
      </w:r>
      <w:r>
        <w:rPr>
          <w:rFonts w:ascii="Segoe UI" w:hAnsi="Segoe UI" w:cs="Segoe UI"/>
          <w:color w:val="313131"/>
          <w:sz w:val="16"/>
          <w:szCs w:val="16"/>
          <w:lang w:val="en-GB"/>
        </w:rPr>
        <w:t>6 (925,432) includes 285,432 for Vic and WA HACC and an estimate of over 640,000 in the CHSP as accurate data was not available.</w:t>
      </w:r>
      <w:r w:rsidR="000D4AB8">
        <w:rPr>
          <w:rFonts w:ascii="Segoe UI" w:hAnsi="Segoe UI" w:cs="Segoe UI"/>
          <w:color w:val="313131"/>
          <w:sz w:val="16"/>
          <w:szCs w:val="16"/>
          <w:lang w:val="en-GB"/>
        </w:rPr>
        <w:t xml:space="preserve"> </w:t>
      </w:r>
      <w:r w:rsidR="000D4AB8" w:rsidRPr="00BE642A">
        <w:rPr>
          <w:rFonts w:ascii="Segoe UI" w:hAnsi="Segoe UI" w:cs="Segoe UI"/>
          <w:color w:val="313131"/>
          <w:sz w:val="16"/>
          <w:szCs w:val="16"/>
          <w:lang w:val="en-GB"/>
        </w:rPr>
        <w:t>Due to the lack of accurate data and differences in counting methods the CHSP consumers for</w:t>
      </w:r>
      <w:r w:rsidR="00A261F3">
        <w:rPr>
          <w:rFonts w:ascii="Segoe UI" w:hAnsi="Segoe UI" w:cs="Segoe UI"/>
          <w:color w:val="313131"/>
          <w:sz w:val="16"/>
          <w:szCs w:val="16"/>
          <w:lang w:val="en-GB"/>
        </w:rPr>
        <w:t> 201</w:t>
      </w:r>
      <w:r w:rsidR="000D4AB8" w:rsidRPr="00BE642A">
        <w:rPr>
          <w:rFonts w:ascii="Segoe UI" w:hAnsi="Segoe UI" w:cs="Segoe UI"/>
          <w:color w:val="313131"/>
          <w:sz w:val="16"/>
          <w:szCs w:val="16"/>
          <w:lang w:val="en-GB"/>
        </w:rPr>
        <w:t>5</w:t>
      </w:r>
      <w:r w:rsidR="00D8721E">
        <w:rPr>
          <w:rFonts w:ascii="Segoe UI" w:hAnsi="Segoe UI" w:cs="Segoe UI"/>
          <w:color w:val="313131"/>
          <w:sz w:val="16"/>
          <w:szCs w:val="16"/>
          <w:lang w:val="en-GB"/>
        </w:rPr>
        <w:t>–1</w:t>
      </w:r>
      <w:r w:rsidR="000D4AB8" w:rsidRPr="00BE642A">
        <w:rPr>
          <w:rFonts w:ascii="Segoe UI" w:hAnsi="Segoe UI" w:cs="Segoe UI"/>
          <w:color w:val="313131"/>
          <w:sz w:val="16"/>
          <w:szCs w:val="16"/>
          <w:lang w:val="en-GB"/>
        </w:rPr>
        <w:t>6 are likely overstated.</w:t>
      </w:r>
    </w:p>
    <w:p w:rsidR="00596D01" w:rsidRPr="00596D01" w:rsidRDefault="006048E0" w:rsidP="0016704B">
      <w:pPr>
        <w:pStyle w:val="ListParagraph"/>
        <w:numPr>
          <w:ilvl w:val="0"/>
          <w:numId w:val="4"/>
        </w:numPr>
        <w:ind w:left="284" w:hanging="284"/>
        <w:rPr>
          <w:lang w:val="en-GB"/>
        </w:rPr>
      </w:pPr>
      <w:r w:rsidRPr="00596D01">
        <w:rPr>
          <w:rFonts w:ascii="Segoe UI" w:hAnsi="Segoe UI" w:cs="Segoe UI"/>
          <w:color w:val="313131"/>
          <w:sz w:val="16"/>
          <w:szCs w:val="16"/>
          <w:lang w:val="en-GB"/>
        </w:rPr>
        <w:t>The amounts shown for home care consumer contribution</w:t>
      </w:r>
      <w:r w:rsidR="00842013" w:rsidRPr="00596D01">
        <w:rPr>
          <w:rFonts w:ascii="Segoe UI" w:hAnsi="Segoe UI" w:cs="Segoe UI"/>
          <w:color w:val="313131"/>
          <w:sz w:val="16"/>
          <w:szCs w:val="16"/>
          <w:lang w:val="en-GB"/>
        </w:rPr>
        <w:t>s in last year’s ACFA report (</w:t>
      </w:r>
      <w:r w:rsidRPr="00596D01">
        <w:rPr>
          <w:rFonts w:ascii="Segoe UI" w:hAnsi="Segoe UI" w:cs="Segoe UI"/>
          <w:color w:val="313131"/>
          <w:sz w:val="16"/>
          <w:szCs w:val="16"/>
          <w:lang w:val="en-GB"/>
        </w:rPr>
        <w:t>$147m in</w:t>
      </w:r>
      <w:r w:rsidR="00A261F3" w:rsidRPr="00596D01">
        <w:rPr>
          <w:rFonts w:ascii="Segoe UI" w:hAnsi="Segoe UI" w:cs="Segoe UI"/>
          <w:color w:val="313131"/>
          <w:sz w:val="16"/>
          <w:szCs w:val="16"/>
          <w:lang w:val="en-GB"/>
        </w:rPr>
        <w:t> 201</w:t>
      </w:r>
      <w:r w:rsidRPr="00596D01">
        <w:rPr>
          <w:rFonts w:ascii="Segoe UI" w:hAnsi="Segoe UI" w:cs="Segoe UI"/>
          <w:color w:val="313131"/>
          <w:sz w:val="16"/>
          <w:szCs w:val="16"/>
          <w:lang w:val="en-GB"/>
        </w:rPr>
        <w:t>4</w:t>
      </w:r>
      <w:r w:rsidR="00D8721E" w:rsidRPr="00596D01">
        <w:rPr>
          <w:rFonts w:ascii="Segoe UI" w:hAnsi="Segoe UI" w:cs="Segoe UI"/>
          <w:color w:val="313131"/>
          <w:sz w:val="16"/>
          <w:szCs w:val="16"/>
          <w:lang w:val="en-GB"/>
        </w:rPr>
        <w:t>–1</w:t>
      </w:r>
      <w:r w:rsidRPr="00596D01">
        <w:rPr>
          <w:rFonts w:ascii="Segoe UI" w:hAnsi="Segoe UI" w:cs="Segoe UI"/>
          <w:color w:val="313131"/>
          <w:sz w:val="16"/>
          <w:szCs w:val="16"/>
          <w:lang w:val="en-GB"/>
        </w:rPr>
        <w:t>5 and $160m in</w:t>
      </w:r>
      <w:r w:rsidR="00A261F3" w:rsidRPr="00596D01">
        <w:rPr>
          <w:rFonts w:ascii="Segoe UI" w:hAnsi="Segoe UI" w:cs="Segoe UI"/>
          <w:color w:val="313131"/>
          <w:sz w:val="16"/>
          <w:szCs w:val="16"/>
          <w:lang w:val="en-GB"/>
        </w:rPr>
        <w:t> 201</w:t>
      </w:r>
      <w:r w:rsidRPr="00596D01">
        <w:rPr>
          <w:rFonts w:ascii="Segoe UI" w:hAnsi="Segoe UI" w:cs="Segoe UI"/>
          <w:color w:val="313131"/>
          <w:sz w:val="16"/>
          <w:szCs w:val="16"/>
          <w:lang w:val="en-GB"/>
        </w:rPr>
        <w:t>5</w:t>
      </w:r>
      <w:r w:rsidR="00D8721E" w:rsidRPr="00596D01">
        <w:rPr>
          <w:rFonts w:ascii="Segoe UI" w:hAnsi="Segoe UI" w:cs="Segoe UI"/>
          <w:color w:val="313131"/>
          <w:sz w:val="16"/>
          <w:szCs w:val="16"/>
          <w:lang w:val="en-GB"/>
        </w:rPr>
        <w:t>–1</w:t>
      </w:r>
      <w:r w:rsidRPr="00596D01">
        <w:rPr>
          <w:rFonts w:ascii="Segoe UI" w:hAnsi="Segoe UI" w:cs="Segoe UI"/>
          <w:color w:val="313131"/>
          <w:sz w:val="16"/>
          <w:szCs w:val="16"/>
          <w:lang w:val="en-GB"/>
        </w:rPr>
        <w:t>6</w:t>
      </w:r>
      <w:r w:rsidR="00842013" w:rsidRPr="00596D01">
        <w:rPr>
          <w:rFonts w:ascii="Segoe UI" w:hAnsi="Segoe UI" w:cs="Segoe UI"/>
          <w:color w:val="313131"/>
          <w:sz w:val="16"/>
          <w:szCs w:val="16"/>
          <w:lang w:val="en-GB"/>
        </w:rPr>
        <w:t xml:space="preserve">) </w:t>
      </w:r>
      <w:r w:rsidRPr="00596D01">
        <w:rPr>
          <w:rFonts w:ascii="Segoe UI" w:hAnsi="Segoe UI" w:cs="Segoe UI"/>
          <w:color w:val="313131"/>
          <w:sz w:val="16"/>
          <w:szCs w:val="16"/>
          <w:lang w:val="en-GB"/>
        </w:rPr>
        <w:t>were incorrect.</w:t>
      </w:r>
    </w:p>
    <w:p w:rsidR="00596D01" w:rsidRDefault="00596D01" w:rsidP="00596D01">
      <w:pPr>
        <w:rPr>
          <w:lang w:val="en-GB"/>
        </w:rPr>
        <w:sectPr w:rsidR="00596D01" w:rsidSect="00596D01">
          <w:pgSz w:w="16838" w:h="11906" w:orient="landscape" w:code="9"/>
          <w:pgMar w:top="1134" w:right="1134" w:bottom="1134" w:left="1134" w:header="567" w:footer="567" w:gutter="0"/>
          <w:cols w:space="720"/>
          <w:titlePg/>
          <w:docGrid w:linePitch="360"/>
        </w:sectPr>
      </w:pPr>
    </w:p>
    <w:p w:rsidR="0010310F" w:rsidRPr="00596D01" w:rsidRDefault="001738DB" w:rsidP="00596D01">
      <w:pPr>
        <w:pStyle w:val="Heading2Numbered"/>
      </w:pPr>
      <w:bookmarkStart w:id="94" w:name="_Toc524424692"/>
      <w:r w:rsidRPr="00596D01">
        <w:lastRenderedPageBreak/>
        <w:t xml:space="preserve">Australian </w:t>
      </w:r>
      <w:r w:rsidR="0010310F" w:rsidRPr="00596D01">
        <w:t>Government expenditure on aged care</w:t>
      </w:r>
      <w:bookmarkEnd w:id="90"/>
      <w:bookmarkEnd w:id="91"/>
      <w:bookmarkEnd w:id="92"/>
      <w:bookmarkEnd w:id="93"/>
      <w:bookmarkEnd w:id="94"/>
    </w:p>
    <w:p w:rsidR="00D8721E" w:rsidRDefault="0048097C" w:rsidP="00596D01">
      <w:pPr>
        <w:rPr>
          <w:lang w:val="en-GB"/>
        </w:rPr>
      </w:pPr>
      <w:r w:rsidRPr="00B8475C">
        <w:rPr>
          <w:lang w:val="en-GB"/>
        </w:rPr>
        <w:t>The Australian Government spent</w:t>
      </w:r>
      <w:r w:rsidR="0010310F" w:rsidRPr="00B8475C">
        <w:rPr>
          <w:lang w:val="en-GB"/>
        </w:rPr>
        <w:t xml:space="preserve"> $</w:t>
      </w:r>
      <w:r w:rsidR="0068646E" w:rsidRPr="00B8475C">
        <w:rPr>
          <w:lang w:val="en-GB"/>
        </w:rPr>
        <w:t>17.</w:t>
      </w:r>
      <w:r w:rsidR="0056555D">
        <w:rPr>
          <w:lang w:val="en-GB"/>
        </w:rPr>
        <w:t>1</w:t>
      </w:r>
      <w:r w:rsidR="00A261F3">
        <w:rPr>
          <w:lang w:val="en-GB"/>
        </w:rPr>
        <w:t> billion</w:t>
      </w:r>
      <w:r w:rsidR="0010310F" w:rsidRPr="00B8475C">
        <w:rPr>
          <w:lang w:val="en-GB"/>
        </w:rPr>
        <w:t xml:space="preserve"> </w:t>
      </w:r>
      <w:r w:rsidRPr="00B8475C">
        <w:rPr>
          <w:lang w:val="en-GB"/>
        </w:rPr>
        <w:t>on aged care</w:t>
      </w:r>
      <w:r w:rsidR="0010310F" w:rsidRPr="00B8475C">
        <w:rPr>
          <w:lang w:val="en-GB"/>
        </w:rPr>
        <w:t xml:space="preserve"> in</w:t>
      </w:r>
      <w:r w:rsidR="00A261F3">
        <w:rPr>
          <w:lang w:val="en-GB"/>
        </w:rPr>
        <w:t> 201</w:t>
      </w:r>
      <w:r w:rsidR="00B86C31" w:rsidRPr="00B8475C">
        <w:rPr>
          <w:lang w:val="en-GB"/>
        </w:rPr>
        <w:t>6</w:t>
      </w:r>
      <w:r w:rsidR="00D8721E">
        <w:rPr>
          <w:lang w:val="en-GB"/>
        </w:rPr>
        <w:t>–1</w:t>
      </w:r>
      <w:r w:rsidR="00B86C31" w:rsidRPr="00B8475C">
        <w:rPr>
          <w:lang w:val="en-GB"/>
        </w:rPr>
        <w:t>7</w:t>
      </w:r>
      <w:r w:rsidR="0068646E" w:rsidRPr="00B8475C">
        <w:rPr>
          <w:lang w:val="en-GB"/>
        </w:rPr>
        <w:t xml:space="preserve">, </w:t>
      </w:r>
      <w:r w:rsidR="00E96ADC" w:rsidRPr="00B8475C">
        <w:rPr>
          <w:lang w:val="en-GB"/>
        </w:rPr>
        <w:t>up</w:t>
      </w:r>
      <w:r w:rsidR="0010310F" w:rsidRPr="00B8475C">
        <w:rPr>
          <w:lang w:val="en-GB"/>
        </w:rPr>
        <w:t xml:space="preserve"> from $1</w:t>
      </w:r>
      <w:r w:rsidR="00E96ADC" w:rsidRPr="00B8475C">
        <w:rPr>
          <w:lang w:val="en-GB"/>
        </w:rPr>
        <w:t>6.</w:t>
      </w:r>
      <w:r w:rsidR="0056555D">
        <w:rPr>
          <w:lang w:val="en-GB"/>
        </w:rPr>
        <w:t>2</w:t>
      </w:r>
      <w:r w:rsidR="00A261F3">
        <w:rPr>
          <w:lang w:val="en-GB"/>
        </w:rPr>
        <w:t> billion</w:t>
      </w:r>
      <w:r w:rsidR="0010310F" w:rsidRPr="00B8475C">
        <w:rPr>
          <w:lang w:val="en-GB"/>
        </w:rPr>
        <w:t xml:space="preserve"> in</w:t>
      </w:r>
      <w:r w:rsidR="00A261F3">
        <w:rPr>
          <w:lang w:val="en-GB"/>
        </w:rPr>
        <w:t> 201</w:t>
      </w:r>
      <w:r w:rsidR="0068646E" w:rsidRPr="00B8475C">
        <w:rPr>
          <w:lang w:val="en-GB"/>
        </w:rPr>
        <w:t>5</w:t>
      </w:r>
      <w:r w:rsidR="00D8721E">
        <w:rPr>
          <w:lang w:val="en-GB"/>
        </w:rPr>
        <w:t>–1</w:t>
      </w:r>
      <w:r w:rsidR="0068646E" w:rsidRPr="00B8475C">
        <w:rPr>
          <w:lang w:val="en-GB"/>
        </w:rPr>
        <w:t>6</w:t>
      </w:r>
      <w:r w:rsidR="00DF5D05" w:rsidRPr="00E96ADC">
        <w:rPr>
          <w:lang w:val="en-GB"/>
        </w:rPr>
        <w:t>.</w:t>
      </w:r>
      <w:r w:rsidR="00D27338">
        <w:rPr>
          <w:lang w:val="en-GB"/>
        </w:rPr>
        <w:t xml:space="preserve"> In</w:t>
      </w:r>
      <w:r w:rsidR="00A261F3">
        <w:rPr>
          <w:lang w:val="en-GB"/>
        </w:rPr>
        <w:t> 201</w:t>
      </w:r>
      <w:r w:rsidR="00505070">
        <w:rPr>
          <w:lang w:val="en-GB"/>
        </w:rPr>
        <w:t>7</w:t>
      </w:r>
      <w:r w:rsidR="00D8721E">
        <w:rPr>
          <w:lang w:val="en-GB"/>
        </w:rPr>
        <w:t>–1</w:t>
      </w:r>
      <w:r w:rsidR="00505070">
        <w:rPr>
          <w:lang w:val="en-GB"/>
        </w:rPr>
        <w:t>8</w:t>
      </w:r>
      <w:r>
        <w:rPr>
          <w:lang w:val="en-GB"/>
        </w:rPr>
        <w:t>, total Australian Government</w:t>
      </w:r>
      <w:r w:rsidR="006B661F">
        <w:rPr>
          <w:lang w:val="en-GB"/>
        </w:rPr>
        <w:t xml:space="preserve"> funding is expected to be $</w:t>
      </w:r>
      <w:r w:rsidR="00EE368C">
        <w:rPr>
          <w:lang w:val="en-GB"/>
        </w:rPr>
        <w:t>1</w:t>
      </w:r>
      <w:r w:rsidR="00D73558">
        <w:rPr>
          <w:lang w:val="en-GB"/>
        </w:rPr>
        <w:t>8.6</w:t>
      </w:r>
      <w:r w:rsidR="00A261F3">
        <w:rPr>
          <w:lang w:val="en-GB"/>
        </w:rPr>
        <w:t> billion</w:t>
      </w:r>
      <w:r w:rsidR="006B661F">
        <w:rPr>
          <w:lang w:val="en-GB"/>
        </w:rPr>
        <w:t xml:space="preserve"> </w:t>
      </w:r>
      <w:r w:rsidR="00EE368C">
        <w:rPr>
          <w:lang w:val="en-GB"/>
        </w:rPr>
        <w:t xml:space="preserve">with </w:t>
      </w:r>
      <w:r w:rsidR="00C878FD">
        <w:rPr>
          <w:lang w:val="en-GB"/>
        </w:rPr>
        <w:t>$</w:t>
      </w:r>
      <w:r w:rsidR="00EE368C">
        <w:rPr>
          <w:lang w:val="en-GB"/>
        </w:rPr>
        <w:t>2</w:t>
      </w:r>
      <w:r w:rsidR="00D73558">
        <w:rPr>
          <w:lang w:val="en-GB"/>
        </w:rPr>
        <w:t>2</w:t>
      </w:r>
      <w:r w:rsidR="0053732D">
        <w:rPr>
          <w:lang w:val="en-GB"/>
        </w:rPr>
        <w:t>.</w:t>
      </w:r>
      <w:r w:rsidR="0056555D">
        <w:rPr>
          <w:lang w:val="en-GB"/>
        </w:rPr>
        <w:t>2</w:t>
      </w:r>
      <w:r w:rsidR="00A261F3">
        <w:rPr>
          <w:lang w:val="en-GB"/>
        </w:rPr>
        <w:t> billion</w:t>
      </w:r>
      <w:r w:rsidR="0010310F" w:rsidRPr="00971586">
        <w:rPr>
          <w:lang w:val="en-GB"/>
        </w:rPr>
        <w:t xml:space="preserve"> </w:t>
      </w:r>
      <w:r w:rsidR="00EE368C">
        <w:rPr>
          <w:lang w:val="en-GB"/>
        </w:rPr>
        <w:t>budgeted for</w:t>
      </w:r>
      <w:r w:rsidR="00A261F3">
        <w:rPr>
          <w:lang w:val="en-GB"/>
        </w:rPr>
        <w:t> 202</w:t>
      </w:r>
      <w:r w:rsidR="00EE368C">
        <w:rPr>
          <w:lang w:val="en-GB"/>
        </w:rPr>
        <w:t>0</w:t>
      </w:r>
      <w:r w:rsidR="00D8721E">
        <w:rPr>
          <w:lang w:val="en-GB"/>
        </w:rPr>
        <w:t>–2</w:t>
      </w:r>
      <w:r w:rsidR="00EE368C">
        <w:rPr>
          <w:lang w:val="en-GB"/>
        </w:rPr>
        <w:t>1</w:t>
      </w:r>
      <w:r w:rsidR="0010310F" w:rsidRPr="00971586">
        <w:rPr>
          <w:lang w:val="en-GB"/>
        </w:rPr>
        <w:t xml:space="preserve">. </w:t>
      </w:r>
      <w:r w:rsidR="00492BF8">
        <w:rPr>
          <w:lang w:val="en-GB"/>
        </w:rPr>
        <w:fldChar w:fldCharType="begin"/>
      </w:r>
      <w:r w:rsidR="00492BF8">
        <w:rPr>
          <w:lang w:val="en-GB"/>
        </w:rPr>
        <w:instrText xml:space="preserve"> REF _Ref524427901 \r \h </w:instrText>
      </w:r>
      <w:r w:rsidR="00492BF8">
        <w:rPr>
          <w:lang w:val="en-GB"/>
        </w:rPr>
      </w:r>
      <w:r w:rsidR="00492BF8">
        <w:rPr>
          <w:lang w:val="en-GB"/>
        </w:rPr>
        <w:fldChar w:fldCharType="separate"/>
      </w:r>
      <w:r w:rsidR="00492BF8">
        <w:rPr>
          <w:lang w:val="en-GB"/>
        </w:rPr>
        <w:t>Chart 2.1</w:t>
      </w:r>
      <w:r w:rsidR="00492BF8">
        <w:rPr>
          <w:lang w:val="en-GB"/>
        </w:rPr>
        <w:fldChar w:fldCharType="end"/>
      </w:r>
      <w:r w:rsidR="00C878FD">
        <w:rPr>
          <w:lang w:val="en-GB"/>
        </w:rPr>
        <w:t xml:space="preserve"> shows total C</w:t>
      </w:r>
      <w:r w:rsidR="006B661F">
        <w:rPr>
          <w:lang w:val="en-GB"/>
        </w:rPr>
        <w:t>ommonwealth funding in aged care since</w:t>
      </w:r>
      <w:r w:rsidR="00A261F3">
        <w:rPr>
          <w:lang w:val="en-GB"/>
        </w:rPr>
        <w:t> 201</w:t>
      </w:r>
      <w:r w:rsidR="00DF5D05">
        <w:rPr>
          <w:lang w:val="en-GB"/>
        </w:rPr>
        <w:t>2</w:t>
      </w:r>
      <w:r w:rsidR="00D8721E">
        <w:rPr>
          <w:lang w:val="en-GB"/>
        </w:rPr>
        <w:t>–1</w:t>
      </w:r>
      <w:r w:rsidR="00DF5D05">
        <w:rPr>
          <w:lang w:val="en-GB"/>
        </w:rPr>
        <w:t>3 and budgeted expenditure to</w:t>
      </w:r>
      <w:r w:rsidR="00A261F3">
        <w:rPr>
          <w:lang w:val="en-GB"/>
        </w:rPr>
        <w:t> 202</w:t>
      </w:r>
      <w:r w:rsidR="00DF5D05">
        <w:rPr>
          <w:lang w:val="en-GB"/>
        </w:rPr>
        <w:t>0</w:t>
      </w:r>
      <w:r w:rsidR="00D8721E">
        <w:rPr>
          <w:lang w:val="en-GB"/>
        </w:rPr>
        <w:t>–2</w:t>
      </w:r>
      <w:r w:rsidR="00DF5D05">
        <w:rPr>
          <w:lang w:val="en-GB"/>
        </w:rPr>
        <w:t>1</w:t>
      </w:r>
      <w:r w:rsidR="006B661F">
        <w:rPr>
          <w:lang w:val="en-GB"/>
        </w:rPr>
        <w:t>.</w:t>
      </w:r>
    </w:p>
    <w:p w:rsidR="00BF68AF" w:rsidRPr="00596D01" w:rsidRDefault="006B661F" w:rsidP="00596D01">
      <w:pPr>
        <w:pStyle w:val="ChartTitle"/>
      </w:pPr>
      <w:bookmarkStart w:id="95" w:name="_Ref524427901"/>
      <w:r w:rsidRPr="00596D01">
        <w:t>Australian Government total aged care expenditure</w:t>
      </w:r>
      <w:r w:rsidR="001738DB" w:rsidRPr="00596D01">
        <w:t>,</w:t>
      </w:r>
      <w:r w:rsidR="00A261F3" w:rsidRPr="00596D01">
        <w:t> 201</w:t>
      </w:r>
      <w:r w:rsidR="00DF5D05" w:rsidRPr="00596D01">
        <w:t>2</w:t>
      </w:r>
      <w:r w:rsidR="00D8721E" w:rsidRPr="00596D01">
        <w:t>–1</w:t>
      </w:r>
      <w:r w:rsidR="00DF5D05" w:rsidRPr="00596D01">
        <w:t>3</w:t>
      </w:r>
      <w:r w:rsidRPr="00596D01">
        <w:t xml:space="preserve"> to</w:t>
      </w:r>
      <w:r w:rsidR="00A261F3" w:rsidRPr="00596D01">
        <w:t> 201</w:t>
      </w:r>
      <w:r w:rsidR="00DF5D05" w:rsidRPr="00596D01">
        <w:t>6</w:t>
      </w:r>
      <w:r w:rsidR="00D8721E" w:rsidRPr="00596D01">
        <w:t>–1</w:t>
      </w:r>
      <w:r w:rsidR="00DF5D05" w:rsidRPr="00596D01">
        <w:t>7</w:t>
      </w:r>
      <w:r w:rsidRPr="00596D01">
        <w:t xml:space="preserve"> and total budgeted aged care expenditure</w:t>
      </w:r>
      <w:r w:rsidR="001738DB" w:rsidRPr="00596D01">
        <w:t>,</w:t>
      </w:r>
      <w:r w:rsidR="00A261F3" w:rsidRPr="00596D01">
        <w:t> 201</w:t>
      </w:r>
      <w:r w:rsidR="00DF5D05" w:rsidRPr="00596D01">
        <w:t>7</w:t>
      </w:r>
      <w:r w:rsidR="00D8721E" w:rsidRPr="00596D01">
        <w:t>–1</w:t>
      </w:r>
      <w:r w:rsidR="00DF5D05" w:rsidRPr="00596D01">
        <w:t>8 to</w:t>
      </w:r>
      <w:r w:rsidR="00A261F3" w:rsidRPr="00596D01">
        <w:t> 202</w:t>
      </w:r>
      <w:r w:rsidR="00DF5D05" w:rsidRPr="00596D01">
        <w:t>0</w:t>
      </w:r>
      <w:r w:rsidR="00D8721E" w:rsidRPr="00596D01">
        <w:t>–2</w:t>
      </w:r>
      <w:r w:rsidR="00DF5D05" w:rsidRPr="00596D01">
        <w:t>1</w:t>
      </w:r>
      <w:bookmarkEnd w:id="95"/>
    </w:p>
    <w:p w:rsidR="00D8721E" w:rsidRDefault="00FF5F8E" w:rsidP="00596D01">
      <w:pPr>
        <w:rPr>
          <w:lang w:val="en-GB"/>
        </w:rPr>
      </w:pPr>
      <w:r>
        <w:rPr>
          <w:noProof/>
        </w:rPr>
        <w:drawing>
          <wp:inline distT="0" distB="0" distL="0" distR="0" wp14:anchorId="21CF44EE" wp14:editId="2794292B">
            <wp:extent cx="6120000" cy="2013290"/>
            <wp:effectExtent l="0" t="0" r="0" b="6350"/>
            <wp:docPr id="260" name="Picture 260" descr="Chart 2.1 Australian Government total aged care expenditure, 2012–13 to 2016–17 and total budgeted aged care expenditure, 2017–18 to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cb0036\AppData\Local\Microsoft\Windows\Temporary Internet Files\Content.Outlook\GOMP2YDW\Chart_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000" cy="2013290"/>
                    </a:xfrm>
                    <a:prstGeom prst="rect">
                      <a:avLst/>
                    </a:prstGeom>
                    <a:noFill/>
                    <a:ln>
                      <a:noFill/>
                    </a:ln>
                  </pic:spPr>
                </pic:pic>
              </a:graphicData>
            </a:graphic>
          </wp:inline>
        </w:drawing>
      </w:r>
    </w:p>
    <w:p w:rsidR="00D8721E" w:rsidRDefault="006B661F" w:rsidP="00596D01">
      <w:pPr>
        <w:rPr>
          <w:lang w:val="en-GB"/>
        </w:rPr>
      </w:pPr>
      <w:r>
        <w:rPr>
          <w:lang w:val="en-GB"/>
        </w:rPr>
        <w:t>Funding for residential care is by far the largest proportion of</w:t>
      </w:r>
      <w:r w:rsidR="00B07467">
        <w:rPr>
          <w:lang w:val="en-GB"/>
        </w:rPr>
        <w:t xml:space="preserve"> Commonwealth expenditure at </w:t>
      </w:r>
      <w:r w:rsidR="00B8475C" w:rsidRPr="00B8475C">
        <w:rPr>
          <w:lang w:val="en-GB"/>
        </w:rPr>
        <w:t>66.</w:t>
      </w:r>
      <w:r w:rsidR="00341DAB">
        <w:rPr>
          <w:lang w:val="en-GB"/>
        </w:rPr>
        <w:t>2</w:t>
      </w:r>
      <w:r w:rsidR="00A261F3">
        <w:rPr>
          <w:lang w:val="en-GB"/>
        </w:rPr>
        <w:t> per cent</w:t>
      </w:r>
      <w:r w:rsidRPr="00B8475C">
        <w:rPr>
          <w:lang w:val="en-GB"/>
        </w:rPr>
        <w:t>.</w:t>
      </w:r>
      <w:r>
        <w:rPr>
          <w:lang w:val="en-GB"/>
        </w:rPr>
        <w:t xml:space="preserve"> The proportion</w:t>
      </w:r>
      <w:r w:rsidR="00175792">
        <w:rPr>
          <w:lang w:val="en-GB"/>
        </w:rPr>
        <w:t>s</w:t>
      </w:r>
      <w:r>
        <w:rPr>
          <w:lang w:val="en-GB"/>
        </w:rPr>
        <w:t xml:space="preserve"> of Commonwealth funding across the sector </w:t>
      </w:r>
      <w:r w:rsidR="00175792">
        <w:rPr>
          <w:lang w:val="en-GB"/>
        </w:rPr>
        <w:t xml:space="preserve">are illustrated in </w:t>
      </w:r>
      <w:r w:rsidR="00492BF8">
        <w:rPr>
          <w:lang w:val="en-GB"/>
        </w:rPr>
        <w:fldChar w:fldCharType="begin"/>
      </w:r>
      <w:r w:rsidR="00492BF8">
        <w:rPr>
          <w:lang w:val="en-GB"/>
        </w:rPr>
        <w:instrText xml:space="preserve"> REF _Ref524427919 \r \h </w:instrText>
      </w:r>
      <w:r w:rsidR="00492BF8">
        <w:rPr>
          <w:lang w:val="en-GB"/>
        </w:rPr>
      </w:r>
      <w:r w:rsidR="00492BF8">
        <w:rPr>
          <w:lang w:val="en-GB"/>
        </w:rPr>
        <w:fldChar w:fldCharType="separate"/>
      </w:r>
      <w:r w:rsidR="00492BF8">
        <w:rPr>
          <w:lang w:val="en-GB"/>
        </w:rPr>
        <w:t>Chart 2.2</w:t>
      </w:r>
      <w:r w:rsidR="00492BF8">
        <w:rPr>
          <w:lang w:val="en-GB"/>
        </w:rPr>
        <w:fldChar w:fldCharType="end"/>
      </w:r>
      <w:r>
        <w:rPr>
          <w:lang w:val="en-GB"/>
        </w:rPr>
        <w:t>.</w:t>
      </w:r>
    </w:p>
    <w:p w:rsidR="0010310F" w:rsidRPr="00596D01" w:rsidRDefault="0010310F" w:rsidP="00596D01">
      <w:pPr>
        <w:pStyle w:val="ChartTitle"/>
      </w:pPr>
      <w:bookmarkStart w:id="96" w:name="_Ref524427919"/>
      <w:r w:rsidRPr="00596D01">
        <w:t>Australian Government total budgeted aged care expenditure,</w:t>
      </w:r>
      <w:r w:rsidR="00A261F3" w:rsidRPr="00596D01">
        <w:t> 201</w:t>
      </w:r>
      <w:r w:rsidR="00D73558" w:rsidRPr="00596D01">
        <w:t>7</w:t>
      </w:r>
      <w:r w:rsidR="00D8721E" w:rsidRPr="00596D01">
        <w:t>–1</w:t>
      </w:r>
      <w:r w:rsidR="00D73558" w:rsidRPr="00596D01">
        <w:t>8</w:t>
      </w:r>
      <w:bookmarkEnd w:id="96"/>
    </w:p>
    <w:p w:rsidR="00BF68AF" w:rsidRPr="00BF68AF" w:rsidRDefault="00686D61" w:rsidP="00596D01">
      <w:pPr>
        <w:jc w:val="center"/>
      </w:pPr>
      <w:r>
        <w:rPr>
          <w:noProof/>
        </w:rPr>
        <w:drawing>
          <wp:inline distT="0" distB="0" distL="0" distR="0" wp14:anchorId="79FC0DC4" wp14:editId="55A90C6A">
            <wp:extent cx="2819400" cy="2859822"/>
            <wp:effectExtent l="0" t="0" r="0" b="0"/>
            <wp:docPr id="1" name="Picture 1" descr="Chart 2.2 Australian Government total budgeted aged care expenditur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Chart_2.2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2859822"/>
                    </a:xfrm>
                    <a:prstGeom prst="rect">
                      <a:avLst/>
                    </a:prstGeom>
                    <a:noFill/>
                    <a:ln>
                      <a:noFill/>
                    </a:ln>
                  </pic:spPr>
                </pic:pic>
              </a:graphicData>
            </a:graphic>
          </wp:inline>
        </w:drawing>
      </w:r>
    </w:p>
    <w:p w:rsidR="00D8721E" w:rsidRDefault="00B17AB0" w:rsidP="00596D01">
      <w:pPr>
        <w:rPr>
          <w:lang w:val="en-GB"/>
        </w:rPr>
      </w:pPr>
      <w:r w:rsidRPr="00971586">
        <w:rPr>
          <w:lang w:val="en-GB"/>
        </w:rPr>
        <w:t xml:space="preserve">Australian Government expenditure on aged care is projected to nearly double as a share of the economy from </w:t>
      </w:r>
      <w:r>
        <w:rPr>
          <w:lang w:val="en-GB"/>
        </w:rPr>
        <w:t>1</w:t>
      </w:r>
      <w:r w:rsidR="00A261F3">
        <w:rPr>
          <w:lang w:val="en-GB"/>
        </w:rPr>
        <w:t> per cent</w:t>
      </w:r>
      <w:r w:rsidRPr="00971586">
        <w:rPr>
          <w:lang w:val="en-GB"/>
        </w:rPr>
        <w:t xml:space="preserve"> currently to aro</w:t>
      </w:r>
      <w:r>
        <w:rPr>
          <w:lang w:val="en-GB"/>
        </w:rPr>
        <w:t>und 1.7</w:t>
      </w:r>
      <w:r w:rsidR="00A261F3">
        <w:rPr>
          <w:lang w:val="en-GB"/>
        </w:rPr>
        <w:t> per cent</w:t>
      </w:r>
      <w:r>
        <w:rPr>
          <w:lang w:val="en-GB"/>
        </w:rPr>
        <w:t xml:space="preserve"> of GDP by 2055</w:t>
      </w:r>
      <w:r>
        <w:rPr>
          <w:rStyle w:val="FootnoteReference"/>
          <w:rFonts w:cs="Segoe UI"/>
          <w:color w:val="313131"/>
          <w:lang w:val="en-GB"/>
        </w:rPr>
        <w:footnoteReference w:id="9"/>
      </w:r>
      <w:r w:rsidRPr="00971586">
        <w:rPr>
          <w:lang w:val="en-GB"/>
        </w:rPr>
        <w:t xml:space="preserve">. </w:t>
      </w:r>
      <w:r>
        <w:rPr>
          <w:lang w:val="en-GB"/>
        </w:rPr>
        <w:t>C</w:t>
      </w:r>
      <w:r w:rsidRPr="00971586">
        <w:rPr>
          <w:lang w:val="en-GB"/>
        </w:rPr>
        <w:t>osts of care will continue to rise on account of growth in input costs (e.g. wages) and the increasing complexity of chronic health conditions in ageing populations</w:t>
      </w:r>
      <w:r w:rsidR="00D8721E">
        <w:rPr>
          <w:lang w:val="en-GB"/>
        </w:rPr>
        <w:t>.</w:t>
      </w:r>
    </w:p>
    <w:p w:rsidR="00B17AB0" w:rsidRDefault="00492BF8" w:rsidP="00596D01">
      <w:pPr>
        <w:rPr>
          <w:lang w:val="en-GB"/>
        </w:rPr>
      </w:pPr>
      <w:r>
        <w:rPr>
          <w:lang w:val="en-GB"/>
        </w:rPr>
        <w:fldChar w:fldCharType="begin"/>
      </w:r>
      <w:r>
        <w:rPr>
          <w:lang w:val="en-GB"/>
        </w:rPr>
        <w:instrText xml:space="preserve"> REF _Ref524429087 \r \h </w:instrText>
      </w:r>
      <w:r>
        <w:rPr>
          <w:lang w:val="en-GB"/>
        </w:rPr>
      </w:r>
      <w:r>
        <w:rPr>
          <w:lang w:val="en-GB"/>
        </w:rPr>
        <w:fldChar w:fldCharType="separate"/>
      </w:r>
      <w:r>
        <w:rPr>
          <w:lang w:val="en-GB"/>
        </w:rPr>
        <w:t>Table 2.2</w:t>
      </w:r>
      <w:r>
        <w:rPr>
          <w:lang w:val="en-GB"/>
        </w:rPr>
        <w:fldChar w:fldCharType="end"/>
      </w:r>
      <w:r>
        <w:rPr>
          <w:lang w:val="en-GB"/>
        </w:rPr>
        <w:t xml:space="preserve"> </w:t>
      </w:r>
      <w:r w:rsidR="00B17AB0">
        <w:rPr>
          <w:lang w:val="en-GB"/>
        </w:rPr>
        <w:t>shows the total Australian Government expenditure on home support, home care and residential care in terms of cost per consumer.</w:t>
      </w:r>
    </w:p>
    <w:p w:rsidR="00D8721E" w:rsidRDefault="00B17AB0" w:rsidP="00596D01">
      <w:pPr>
        <w:rPr>
          <w:lang w:val="en-GB"/>
        </w:rPr>
      </w:pPr>
      <w:r w:rsidRPr="00971586">
        <w:rPr>
          <w:lang w:val="en-GB"/>
        </w:rPr>
        <w:lastRenderedPageBreak/>
        <w:t>In previous annual reports</w:t>
      </w:r>
      <w:r>
        <w:rPr>
          <w:lang w:val="en-GB"/>
        </w:rPr>
        <w:t>,</w:t>
      </w:r>
      <w:r w:rsidRPr="00971586">
        <w:rPr>
          <w:lang w:val="en-GB"/>
        </w:rPr>
        <w:t xml:space="preserve"> ACFA noted that the shift in the balance of care in favour of home care over residential care is expected to improve affordability for taxpayers over the long term</w:t>
      </w:r>
      <w:r>
        <w:rPr>
          <w:lang w:val="en-GB"/>
        </w:rPr>
        <w:t>.</w:t>
      </w:r>
      <w:r w:rsidRPr="00971586">
        <w:rPr>
          <w:lang w:val="en-GB"/>
        </w:rPr>
        <w:t xml:space="preserve"> </w:t>
      </w:r>
      <w:r>
        <w:rPr>
          <w:lang w:val="en-GB"/>
        </w:rPr>
        <w:t xml:space="preserve">This is because </w:t>
      </w:r>
      <w:r w:rsidRPr="00971586">
        <w:rPr>
          <w:lang w:val="en-GB"/>
        </w:rPr>
        <w:t>the costs of accommodation associ</w:t>
      </w:r>
      <w:r>
        <w:rPr>
          <w:lang w:val="en-GB"/>
        </w:rPr>
        <w:t xml:space="preserve">ated with residential care </w:t>
      </w:r>
      <w:r w:rsidRPr="00971586">
        <w:rPr>
          <w:lang w:val="en-GB"/>
        </w:rPr>
        <w:t xml:space="preserve">are not </w:t>
      </w:r>
      <w:r>
        <w:rPr>
          <w:lang w:val="en-GB"/>
        </w:rPr>
        <w:t>incurred</w:t>
      </w:r>
      <w:r w:rsidRPr="00971586">
        <w:rPr>
          <w:lang w:val="en-GB"/>
        </w:rPr>
        <w:t xml:space="preserve"> with home care, and </w:t>
      </w:r>
      <w:r>
        <w:rPr>
          <w:lang w:val="en-GB"/>
        </w:rPr>
        <w:t xml:space="preserve">because, </w:t>
      </w:r>
      <w:r w:rsidRPr="00971586">
        <w:rPr>
          <w:lang w:val="en-GB"/>
        </w:rPr>
        <w:t>on average</w:t>
      </w:r>
      <w:r>
        <w:rPr>
          <w:lang w:val="en-GB"/>
        </w:rPr>
        <w:t>,</w:t>
      </w:r>
      <w:r w:rsidRPr="00971586">
        <w:rPr>
          <w:lang w:val="en-GB"/>
        </w:rPr>
        <w:t xml:space="preserve"> higher car</w:t>
      </w:r>
      <w:r>
        <w:rPr>
          <w:lang w:val="en-GB"/>
        </w:rPr>
        <w:t>e subsidies apply in residential care. It should be noted, however, that there are many home care consumers with higher care needs who are in receipt of a lower level package until a package suitable to their needs becomes available. This would mean that the average expenditure per consumer for home care would be higher if all consumers had packages matched to their assessed care needs. This is discussed in chapter 7</w:t>
      </w:r>
      <w:r w:rsidR="00D8721E">
        <w:rPr>
          <w:lang w:val="en-GB"/>
        </w:rPr>
        <w:t>.</w:t>
      </w:r>
    </w:p>
    <w:p w:rsidR="00821757" w:rsidRPr="00596D01" w:rsidRDefault="00821757" w:rsidP="00596D01">
      <w:pPr>
        <w:pStyle w:val="TableTitle"/>
      </w:pPr>
      <w:bookmarkStart w:id="97" w:name="_Ref524429087"/>
      <w:r w:rsidRPr="00596D01">
        <w:t>Australian Government expenditure, per consumer,</w:t>
      </w:r>
      <w:r w:rsidR="00A261F3" w:rsidRPr="00596D01">
        <w:t> 201</w:t>
      </w:r>
      <w:r w:rsidRPr="00596D01">
        <w:t>6</w:t>
      </w:r>
      <w:r w:rsidR="00D8721E" w:rsidRPr="00596D01">
        <w:t>–1</w:t>
      </w:r>
      <w:r w:rsidRPr="00596D01">
        <w:t>7</w:t>
      </w:r>
      <w:bookmarkEnd w:id="97"/>
    </w:p>
    <w:tbl>
      <w:tblPr>
        <w:tblStyle w:val="DefaultTable1"/>
        <w:tblW w:w="5000" w:type="pct"/>
        <w:tblLook w:val="0620" w:firstRow="1" w:lastRow="0" w:firstColumn="0" w:lastColumn="0" w:noHBand="1" w:noVBand="1"/>
        <w:tblCaption w:val="Table 2.2: Number of providers by service type, 2014-15"/>
        <w:tblDescription w:val="This table shows the number of providers by combination of types of providers (for instance, residential care only, home care only, HACC only, or any combination of the above)."/>
      </w:tblPr>
      <w:tblGrid>
        <w:gridCol w:w="2407"/>
        <w:gridCol w:w="2407"/>
        <w:gridCol w:w="2407"/>
        <w:gridCol w:w="2407"/>
      </w:tblGrid>
      <w:tr w:rsidR="00821757" w:rsidRPr="001865B8" w:rsidTr="00303CD5">
        <w:trPr>
          <w:cnfStyle w:val="100000000000" w:firstRow="1" w:lastRow="0" w:firstColumn="0" w:lastColumn="0" w:oddVBand="0" w:evenVBand="0" w:oddHBand="0" w:evenHBand="0" w:firstRowFirstColumn="0" w:firstRowLastColumn="0" w:lastRowFirstColumn="0" w:lastRowLastColumn="0"/>
          <w:trHeight w:val="290"/>
          <w:tblHeader/>
        </w:trPr>
        <w:tc>
          <w:tcPr>
            <w:tcW w:w="1250" w:type="pct"/>
            <w:hideMark/>
          </w:tcPr>
          <w:p w:rsidR="00821757" w:rsidRPr="001865B8" w:rsidRDefault="00821757" w:rsidP="00596D01"/>
        </w:tc>
        <w:tc>
          <w:tcPr>
            <w:tcW w:w="1250" w:type="pct"/>
            <w:hideMark/>
          </w:tcPr>
          <w:p w:rsidR="00821757" w:rsidRPr="001865B8" w:rsidRDefault="00821757" w:rsidP="001865B8">
            <w:pPr>
              <w:jc w:val="right"/>
            </w:pPr>
            <w:r w:rsidRPr="001865B8">
              <w:t>Commonwealth expenditure</w:t>
            </w:r>
          </w:p>
        </w:tc>
        <w:tc>
          <w:tcPr>
            <w:tcW w:w="1250" w:type="pct"/>
            <w:hideMark/>
          </w:tcPr>
          <w:p w:rsidR="00821757" w:rsidRPr="001865B8" w:rsidRDefault="00821757" w:rsidP="001865B8">
            <w:pPr>
              <w:jc w:val="right"/>
            </w:pPr>
            <w:r w:rsidRPr="001865B8">
              <w:t xml:space="preserve">Consumers </w:t>
            </w:r>
          </w:p>
        </w:tc>
        <w:tc>
          <w:tcPr>
            <w:tcW w:w="1250" w:type="pct"/>
            <w:hideMark/>
          </w:tcPr>
          <w:p w:rsidR="00821757" w:rsidRPr="001865B8" w:rsidRDefault="00821757" w:rsidP="001865B8">
            <w:pPr>
              <w:jc w:val="right"/>
            </w:pPr>
            <w:r w:rsidRPr="001865B8">
              <w:t>Average expenditure per consumer</w:t>
            </w:r>
          </w:p>
        </w:tc>
      </w:tr>
      <w:tr w:rsidR="00821757" w:rsidRPr="001865B8" w:rsidTr="001865B8">
        <w:trPr>
          <w:trHeight w:val="290"/>
        </w:trPr>
        <w:tc>
          <w:tcPr>
            <w:tcW w:w="1250" w:type="pct"/>
            <w:hideMark/>
          </w:tcPr>
          <w:p w:rsidR="00821757" w:rsidRPr="001865B8" w:rsidRDefault="00821757" w:rsidP="00596D01">
            <w:r w:rsidRPr="001865B8">
              <w:t xml:space="preserve">Home support </w:t>
            </w:r>
          </w:p>
        </w:tc>
        <w:tc>
          <w:tcPr>
            <w:tcW w:w="1250" w:type="pct"/>
            <w:hideMark/>
          </w:tcPr>
          <w:p w:rsidR="00821757" w:rsidRPr="001865B8" w:rsidRDefault="00821757" w:rsidP="001865B8">
            <w:pPr>
              <w:jc w:val="right"/>
            </w:pPr>
            <w:r w:rsidRPr="001865B8">
              <w:t>$2,271m</w:t>
            </w:r>
          </w:p>
        </w:tc>
        <w:tc>
          <w:tcPr>
            <w:tcW w:w="1250" w:type="pct"/>
            <w:hideMark/>
          </w:tcPr>
          <w:p w:rsidR="00821757" w:rsidRPr="001865B8" w:rsidRDefault="00821757" w:rsidP="001865B8">
            <w:pPr>
              <w:jc w:val="right"/>
            </w:pPr>
            <w:r w:rsidRPr="001865B8">
              <w:t>784,927</w:t>
            </w:r>
          </w:p>
        </w:tc>
        <w:tc>
          <w:tcPr>
            <w:tcW w:w="1250" w:type="pct"/>
            <w:hideMark/>
          </w:tcPr>
          <w:p w:rsidR="00821757" w:rsidRPr="001865B8" w:rsidRDefault="00821757" w:rsidP="001865B8">
            <w:pPr>
              <w:jc w:val="right"/>
            </w:pPr>
            <w:r w:rsidRPr="001865B8">
              <w:t>$2,893</w:t>
            </w:r>
          </w:p>
        </w:tc>
      </w:tr>
      <w:tr w:rsidR="00821757" w:rsidRPr="001865B8" w:rsidTr="001865B8">
        <w:trPr>
          <w:trHeight w:val="318"/>
        </w:trPr>
        <w:tc>
          <w:tcPr>
            <w:tcW w:w="1250" w:type="pct"/>
            <w:hideMark/>
          </w:tcPr>
          <w:p w:rsidR="00821757" w:rsidRPr="001865B8" w:rsidRDefault="00821757" w:rsidP="00596D01">
            <w:r w:rsidRPr="001865B8">
              <w:t xml:space="preserve">Home care </w:t>
            </w:r>
          </w:p>
        </w:tc>
        <w:tc>
          <w:tcPr>
            <w:tcW w:w="1250" w:type="pct"/>
            <w:hideMark/>
          </w:tcPr>
          <w:p w:rsidR="00821757" w:rsidRPr="001865B8" w:rsidRDefault="00821757" w:rsidP="001865B8">
            <w:pPr>
              <w:jc w:val="right"/>
            </w:pPr>
            <w:r w:rsidRPr="001865B8">
              <w:t>$1,586m</w:t>
            </w:r>
          </w:p>
        </w:tc>
        <w:tc>
          <w:tcPr>
            <w:tcW w:w="1250" w:type="pct"/>
            <w:hideMark/>
          </w:tcPr>
          <w:p w:rsidR="00821757" w:rsidRPr="001865B8" w:rsidRDefault="00821757" w:rsidP="001865B8">
            <w:pPr>
              <w:jc w:val="right"/>
            </w:pPr>
            <w:r w:rsidRPr="001865B8">
              <w:t>97,516</w:t>
            </w:r>
          </w:p>
        </w:tc>
        <w:tc>
          <w:tcPr>
            <w:tcW w:w="1250" w:type="pct"/>
            <w:hideMark/>
          </w:tcPr>
          <w:p w:rsidR="00821757" w:rsidRPr="001865B8" w:rsidRDefault="00821757" w:rsidP="001865B8">
            <w:pPr>
              <w:jc w:val="right"/>
            </w:pPr>
            <w:r w:rsidRPr="001865B8">
              <w:t>$16,264 </w:t>
            </w:r>
          </w:p>
        </w:tc>
      </w:tr>
      <w:tr w:rsidR="00821757" w:rsidRPr="001865B8" w:rsidTr="001865B8">
        <w:trPr>
          <w:trHeight w:val="290"/>
        </w:trPr>
        <w:tc>
          <w:tcPr>
            <w:tcW w:w="1250" w:type="pct"/>
            <w:hideMark/>
          </w:tcPr>
          <w:p w:rsidR="00821757" w:rsidRPr="001865B8" w:rsidRDefault="00821757" w:rsidP="00596D01">
            <w:r w:rsidRPr="001865B8">
              <w:t xml:space="preserve">Residential care </w:t>
            </w:r>
          </w:p>
        </w:tc>
        <w:tc>
          <w:tcPr>
            <w:tcW w:w="1250" w:type="pct"/>
            <w:hideMark/>
          </w:tcPr>
          <w:p w:rsidR="00821757" w:rsidRPr="001865B8" w:rsidRDefault="00821757" w:rsidP="001865B8">
            <w:pPr>
              <w:jc w:val="right"/>
            </w:pPr>
            <w:r w:rsidRPr="001865B8">
              <w:t>$11,903m</w:t>
            </w:r>
          </w:p>
        </w:tc>
        <w:tc>
          <w:tcPr>
            <w:tcW w:w="1250" w:type="pct"/>
            <w:hideMark/>
          </w:tcPr>
          <w:p w:rsidR="00821757" w:rsidRPr="001865B8" w:rsidRDefault="00821757" w:rsidP="001865B8">
            <w:pPr>
              <w:jc w:val="right"/>
            </w:pPr>
            <w:r w:rsidRPr="001865B8">
              <w:t>239,379</w:t>
            </w:r>
          </w:p>
        </w:tc>
        <w:tc>
          <w:tcPr>
            <w:tcW w:w="1250" w:type="pct"/>
            <w:hideMark/>
          </w:tcPr>
          <w:p w:rsidR="00821757" w:rsidRPr="001865B8" w:rsidRDefault="00821757" w:rsidP="001865B8">
            <w:pPr>
              <w:jc w:val="right"/>
            </w:pPr>
            <w:r w:rsidRPr="001865B8">
              <w:t>$49,724</w:t>
            </w:r>
          </w:p>
        </w:tc>
      </w:tr>
    </w:tbl>
    <w:p w:rsidR="00821757" w:rsidRDefault="0053732D" w:rsidP="00596D01">
      <w:pPr>
        <w:pStyle w:val="SourceNotesHeading"/>
        <w:rPr>
          <w:lang w:val="en-GB"/>
        </w:rPr>
      </w:pPr>
      <w:r>
        <w:rPr>
          <w:lang w:val="en-GB"/>
        </w:rPr>
        <w:t>Table n</w:t>
      </w:r>
      <w:r w:rsidR="00821757">
        <w:rPr>
          <w:lang w:val="en-GB"/>
        </w:rPr>
        <w:t>otes:</w:t>
      </w:r>
      <w:r w:rsidR="00D8721E">
        <w:rPr>
          <w:lang w:val="en-GB"/>
        </w:rPr>
        <w:t xml:space="preserve"> </w:t>
      </w:r>
    </w:p>
    <w:p w:rsidR="00821757" w:rsidRDefault="00FA2A62" w:rsidP="00596D01">
      <w:pPr>
        <w:pStyle w:val="SourceNotesNumbered"/>
        <w:rPr>
          <w:lang w:val="en-GB"/>
        </w:rPr>
      </w:pPr>
      <w:r>
        <w:rPr>
          <w:lang w:val="en-GB"/>
        </w:rPr>
        <w:t>R</w:t>
      </w:r>
      <w:r w:rsidR="00821757">
        <w:rPr>
          <w:lang w:val="en-GB"/>
        </w:rPr>
        <w:t xml:space="preserve">esidential care consumers </w:t>
      </w:r>
      <w:proofErr w:type="gramStart"/>
      <w:r w:rsidR="00821757">
        <w:rPr>
          <w:lang w:val="en-GB"/>
        </w:rPr>
        <w:t>includes</w:t>
      </w:r>
      <w:proofErr w:type="gramEnd"/>
      <w:r w:rsidR="00821757">
        <w:rPr>
          <w:lang w:val="en-GB"/>
        </w:rPr>
        <w:t xml:space="preserve"> permanent residents only</w:t>
      </w:r>
      <w:r w:rsidR="00002528">
        <w:rPr>
          <w:lang w:val="en-GB"/>
        </w:rPr>
        <w:t>.</w:t>
      </w:r>
    </w:p>
    <w:p w:rsidR="00821757" w:rsidRDefault="00821757" w:rsidP="00596D01">
      <w:pPr>
        <w:pStyle w:val="SourceNotesNumbered"/>
        <w:rPr>
          <w:lang w:val="en-GB"/>
        </w:rPr>
      </w:pPr>
      <w:r>
        <w:rPr>
          <w:lang w:val="en-GB"/>
        </w:rPr>
        <w:t>Does not include Commonwealth expenditure for flexible aged care and ‘other’ aged care</w:t>
      </w:r>
      <w:r w:rsidR="00002528">
        <w:rPr>
          <w:lang w:val="en-GB"/>
        </w:rPr>
        <w:t>.</w:t>
      </w:r>
    </w:p>
    <w:p w:rsidR="00D8721E" w:rsidRDefault="00821757" w:rsidP="00596D01">
      <w:pPr>
        <w:pStyle w:val="SourceNotesNumbered"/>
        <w:rPr>
          <w:lang w:val="en-GB"/>
        </w:rPr>
      </w:pPr>
      <w:r>
        <w:rPr>
          <w:lang w:val="en-GB"/>
        </w:rPr>
        <w:t>The figure for home support</w:t>
      </w:r>
      <w:r w:rsidR="0053732D">
        <w:rPr>
          <w:lang w:val="en-GB"/>
        </w:rPr>
        <w:t xml:space="preserve"> includes $188m for HACC in Western Australia which is not part of the CHSP</w:t>
      </w:r>
      <w:r w:rsidR="00D8721E">
        <w:rPr>
          <w:lang w:val="en-GB"/>
        </w:rPr>
        <w:t>.</w:t>
      </w:r>
    </w:p>
    <w:p w:rsidR="00B117B7" w:rsidRPr="00596D01" w:rsidRDefault="00B117B7" w:rsidP="001865B8">
      <w:pPr>
        <w:pStyle w:val="Heading2Numbered"/>
      </w:pPr>
      <w:bookmarkStart w:id="98" w:name="_Toc524424693"/>
      <w:r w:rsidRPr="00596D01">
        <w:t>Consumer contributions</w:t>
      </w:r>
      <w:bookmarkEnd w:id="98"/>
    </w:p>
    <w:p w:rsidR="00D8721E" w:rsidRDefault="003E48C9" w:rsidP="00596D01">
      <w:pPr>
        <w:rPr>
          <w:lang w:val="en-GB"/>
        </w:rPr>
      </w:pPr>
      <w:r>
        <w:rPr>
          <w:lang w:val="en-GB"/>
        </w:rPr>
        <w:t>Most a</w:t>
      </w:r>
      <w:r w:rsidR="00B117B7">
        <w:rPr>
          <w:lang w:val="en-GB"/>
        </w:rPr>
        <w:t>ged care consumers</w:t>
      </w:r>
      <w:r w:rsidR="00B117B7" w:rsidRPr="00971586">
        <w:rPr>
          <w:lang w:val="en-GB"/>
        </w:rPr>
        <w:t xml:space="preserve"> </w:t>
      </w:r>
      <w:r w:rsidR="00B117B7">
        <w:rPr>
          <w:lang w:val="en-GB"/>
        </w:rPr>
        <w:t xml:space="preserve">contribute to the cost of </w:t>
      </w:r>
      <w:r w:rsidR="00BF2C2D">
        <w:rPr>
          <w:lang w:val="en-GB"/>
        </w:rPr>
        <w:t>their</w:t>
      </w:r>
      <w:r w:rsidR="00B117B7">
        <w:rPr>
          <w:lang w:val="en-GB"/>
        </w:rPr>
        <w:t xml:space="preserve"> care</w:t>
      </w:r>
      <w:r w:rsidR="00D8721E">
        <w:rPr>
          <w:lang w:val="en-GB"/>
        </w:rPr>
        <w:t>.</w:t>
      </w:r>
    </w:p>
    <w:p w:rsidR="00B117B7" w:rsidRPr="00735E82" w:rsidRDefault="009C2D0A" w:rsidP="00596D01">
      <w:pPr>
        <w:rPr>
          <w:lang w:val="en-GB"/>
        </w:rPr>
      </w:pPr>
      <w:r w:rsidRPr="00735E82">
        <w:rPr>
          <w:lang w:val="en-GB"/>
        </w:rPr>
        <w:t>In residentia</w:t>
      </w:r>
      <w:r w:rsidR="00272B5B" w:rsidRPr="00735E82">
        <w:rPr>
          <w:lang w:val="en-GB"/>
        </w:rPr>
        <w:t>l care, consumers contribute 8</w:t>
      </w:r>
      <w:r w:rsidR="009C307B">
        <w:rPr>
          <w:lang w:val="en-GB"/>
        </w:rPr>
        <w:t>5</w:t>
      </w:r>
      <w:r w:rsidR="00A261F3">
        <w:rPr>
          <w:lang w:val="en-GB"/>
        </w:rPr>
        <w:t> per cent</w:t>
      </w:r>
      <w:r w:rsidRPr="00735E82">
        <w:rPr>
          <w:lang w:val="en-GB"/>
        </w:rPr>
        <w:t xml:space="preserve"> of the single age pension towards their living expenses and, subject to means testing, may be required to contribute towards their accommod</w:t>
      </w:r>
      <w:r w:rsidR="008F608F" w:rsidRPr="00735E82">
        <w:rPr>
          <w:lang w:val="en-GB"/>
        </w:rPr>
        <w:t>ation and care costs. In</w:t>
      </w:r>
      <w:r w:rsidR="00A261F3">
        <w:rPr>
          <w:lang w:val="en-GB"/>
        </w:rPr>
        <w:t> 201</w:t>
      </w:r>
      <w:r w:rsidR="008F608F" w:rsidRPr="00735E82">
        <w:rPr>
          <w:lang w:val="en-GB"/>
        </w:rPr>
        <w:t>6</w:t>
      </w:r>
      <w:r w:rsidR="00D8721E">
        <w:rPr>
          <w:lang w:val="en-GB"/>
        </w:rPr>
        <w:t>–1</w:t>
      </w:r>
      <w:r w:rsidR="008F608F" w:rsidRPr="00735E82">
        <w:rPr>
          <w:lang w:val="en-GB"/>
        </w:rPr>
        <w:t>7</w:t>
      </w:r>
      <w:r w:rsidRPr="00735E82">
        <w:rPr>
          <w:lang w:val="en-GB"/>
        </w:rPr>
        <w:t xml:space="preserve">, residents contributed </w:t>
      </w:r>
      <w:r w:rsidR="00145632" w:rsidRPr="00735E82">
        <w:rPr>
          <w:lang w:val="en-GB"/>
        </w:rPr>
        <w:t>$3.</w:t>
      </w:r>
      <w:r w:rsidR="0056555D">
        <w:rPr>
          <w:lang w:val="en-GB"/>
        </w:rPr>
        <w:t>1</w:t>
      </w:r>
      <w:r w:rsidR="00A261F3">
        <w:rPr>
          <w:lang w:val="en-GB"/>
        </w:rPr>
        <w:t> billion</w:t>
      </w:r>
      <w:r w:rsidRPr="00735E82">
        <w:rPr>
          <w:lang w:val="en-GB"/>
        </w:rPr>
        <w:t xml:space="preserve"> towards their living expenses, </w:t>
      </w:r>
      <w:r w:rsidR="00145632" w:rsidRPr="00735E82">
        <w:rPr>
          <w:lang w:val="en-GB"/>
        </w:rPr>
        <w:t>$753</w:t>
      </w:r>
      <w:r w:rsidR="00A261F3">
        <w:rPr>
          <w:lang w:val="en-GB"/>
        </w:rPr>
        <w:t> million</w:t>
      </w:r>
      <w:r w:rsidR="00470B24" w:rsidRPr="00735E82">
        <w:rPr>
          <w:lang w:val="en-GB"/>
        </w:rPr>
        <w:t xml:space="preserve"> </w:t>
      </w:r>
      <w:r w:rsidRPr="00735E82">
        <w:rPr>
          <w:lang w:val="en-GB"/>
        </w:rPr>
        <w:t>towards accommodation costs (excluding lump sum deposits) and</w:t>
      </w:r>
      <w:r w:rsidR="00145632" w:rsidRPr="00735E82">
        <w:rPr>
          <w:lang w:val="en-GB"/>
        </w:rPr>
        <w:t xml:space="preserve"> $54</w:t>
      </w:r>
      <w:r w:rsidR="00B97D56">
        <w:rPr>
          <w:lang w:val="en-GB"/>
        </w:rPr>
        <w:t>7</w:t>
      </w:r>
      <w:r w:rsidR="00A261F3">
        <w:rPr>
          <w:lang w:val="en-GB"/>
        </w:rPr>
        <w:t> million</w:t>
      </w:r>
      <w:r w:rsidRPr="00735E82">
        <w:rPr>
          <w:lang w:val="en-GB"/>
        </w:rPr>
        <w:t xml:space="preserve"> towards care costs.</w:t>
      </w:r>
    </w:p>
    <w:p w:rsidR="00B117B7" w:rsidRDefault="00B117B7" w:rsidP="00596D01">
      <w:pPr>
        <w:rPr>
          <w:lang w:val="en-GB"/>
        </w:rPr>
      </w:pPr>
      <w:r w:rsidRPr="00735E82">
        <w:rPr>
          <w:lang w:val="en-GB"/>
        </w:rPr>
        <w:t>Consumers of home care packages</w:t>
      </w:r>
      <w:r w:rsidR="008F608F" w:rsidRPr="00735E82">
        <w:rPr>
          <w:lang w:val="en-GB"/>
        </w:rPr>
        <w:t xml:space="preserve"> in</w:t>
      </w:r>
      <w:r w:rsidR="00A261F3">
        <w:rPr>
          <w:lang w:val="en-GB"/>
        </w:rPr>
        <w:t> 201</w:t>
      </w:r>
      <w:r w:rsidR="00E565EC" w:rsidRPr="00B8475C">
        <w:rPr>
          <w:lang w:val="en-GB"/>
        </w:rPr>
        <w:t>6</w:t>
      </w:r>
      <w:r w:rsidR="00D8721E">
        <w:rPr>
          <w:lang w:val="en-GB"/>
        </w:rPr>
        <w:t>–1</w:t>
      </w:r>
      <w:r w:rsidR="00E565EC" w:rsidRPr="00B8475C">
        <w:rPr>
          <w:lang w:val="en-GB"/>
        </w:rPr>
        <w:t>7</w:t>
      </w:r>
      <w:r w:rsidRPr="00735E82">
        <w:rPr>
          <w:lang w:val="en-GB"/>
        </w:rPr>
        <w:t xml:space="preserve"> contributed around </w:t>
      </w:r>
      <w:r w:rsidR="00145632" w:rsidRPr="00735E82">
        <w:rPr>
          <w:lang w:val="en-GB"/>
        </w:rPr>
        <w:t>$15</w:t>
      </w:r>
      <w:r w:rsidR="00AB6911">
        <w:rPr>
          <w:lang w:val="en-GB"/>
        </w:rPr>
        <w:t>0</w:t>
      </w:r>
      <w:r w:rsidR="00A261F3">
        <w:rPr>
          <w:lang w:val="en-GB"/>
        </w:rPr>
        <w:t> million</w:t>
      </w:r>
      <w:r w:rsidR="009C15BD" w:rsidRPr="00735E82">
        <w:rPr>
          <w:lang w:val="en-GB"/>
        </w:rPr>
        <w:t xml:space="preserve"> to their care costs</w:t>
      </w:r>
      <w:r w:rsidR="00EF5300" w:rsidRPr="00735E82">
        <w:rPr>
          <w:lang w:val="en-GB"/>
        </w:rPr>
        <w:t xml:space="preserve"> in</w:t>
      </w:r>
      <w:r w:rsidR="00A261F3">
        <w:rPr>
          <w:lang w:val="en-GB"/>
        </w:rPr>
        <w:t> 201</w:t>
      </w:r>
      <w:r w:rsidR="00E565EC" w:rsidRPr="00B8475C">
        <w:rPr>
          <w:lang w:val="en-GB"/>
        </w:rPr>
        <w:t>6</w:t>
      </w:r>
      <w:r w:rsidR="00D8721E">
        <w:rPr>
          <w:lang w:val="en-GB"/>
        </w:rPr>
        <w:t>–1</w:t>
      </w:r>
      <w:r w:rsidR="00E565EC" w:rsidRPr="00B8475C">
        <w:rPr>
          <w:lang w:val="en-GB"/>
        </w:rPr>
        <w:t>7</w:t>
      </w:r>
      <w:r w:rsidR="009C15BD" w:rsidRPr="00735E82">
        <w:rPr>
          <w:lang w:val="en-GB"/>
        </w:rPr>
        <w:t xml:space="preserve">, while Commonwealth Home Support </w:t>
      </w:r>
      <w:r w:rsidR="00E96466" w:rsidRPr="00735E82">
        <w:rPr>
          <w:lang w:val="en-GB"/>
        </w:rPr>
        <w:t>P</w:t>
      </w:r>
      <w:r w:rsidR="003F3EC2" w:rsidRPr="00735E82">
        <w:rPr>
          <w:lang w:val="en-GB"/>
        </w:rPr>
        <w:t xml:space="preserve">rogramme consumers contributed </w:t>
      </w:r>
      <w:r w:rsidR="00474A08" w:rsidRPr="00735E82">
        <w:rPr>
          <w:lang w:val="en-GB"/>
        </w:rPr>
        <w:t>$20</w:t>
      </w:r>
      <w:r w:rsidR="00AB6911">
        <w:rPr>
          <w:lang w:val="en-GB"/>
        </w:rPr>
        <w:t>4</w:t>
      </w:r>
      <w:r w:rsidR="00A261F3">
        <w:rPr>
          <w:lang w:val="en-GB"/>
        </w:rPr>
        <w:t> million</w:t>
      </w:r>
      <w:r w:rsidR="00B8475C" w:rsidRPr="00735E82">
        <w:rPr>
          <w:lang w:val="en-GB"/>
        </w:rPr>
        <w:t>.</w:t>
      </w:r>
    </w:p>
    <w:p w:rsidR="00D8721E" w:rsidRDefault="00CF1142" w:rsidP="00596D01">
      <w:pPr>
        <w:rPr>
          <w:lang w:val="en-GB"/>
        </w:rPr>
      </w:pPr>
      <w:r w:rsidRPr="00CF1142">
        <w:rPr>
          <w:lang w:val="en-GB"/>
        </w:rPr>
        <w:t>Consumers may also choose to pay additional amounts to a provider to access additional levels of care or services (e.g. to ‘top-up’ funding available under a home care package, or to purchase additional lifestyle-related services in residential care)</w:t>
      </w:r>
      <w:r w:rsidR="00D8721E">
        <w:rPr>
          <w:lang w:val="en-GB"/>
        </w:rPr>
        <w:t>.</w:t>
      </w:r>
    </w:p>
    <w:p w:rsidR="00B117B7" w:rsidRPr="00596D01" w:rsidRDefault="00B117B7" w:rsidP="001865B8">
      <w:pPr>
        <w:pStyle w:val="Heading2Numbered"/>
      </w:pPr>
      <w:bookmarkStart w:id="99" w:name="_Aged_care_providers"/>
      <w:bookmarkStart w:id="100" w:name="_Toc487702526"/>
      <w:bookmarkStart w:id="101" w:name="_Toc487702878"/>
      <w:bookmarkStart w:id="102" w:name="_Toc487703376"/>
      <w:bookmarkStart w:id="103" w:name="_Toc487703570"/>
      <w:bookmarkStart w:id="104" w:name="_Toc524424694"/>
      <w:bookmarkEnd w:id="99"/>
      <w:r w:rsidRPr="00596D01">
        <w:t>Aged care providers</w:t>
      </w:r>
      <w:bookmarkEnd w:id="100"/>
      <w:bookmarkEnd w:id="101"/>
      <w:bookmarkEnd w:id="102"/>
      <w:bookmarkEnd w:id="103"/>
      <w:bookmarkEnd w:id="104"/>
      <w:r w:rsidRPr="00596D01">
        <w:t xml:space="preserve"> </w:t>
      </w:r>
    </w:p>
    <w:p w:rsidR="00454255" w:rsidRDefault="008847A4" w:rsidP="001865B8">
      <w:r>
        <w:t>While the majority of providers operate only one type of aged care</w:t>
      </w:r>
      <w:r w:rsidR="00330F4F">
        <w:t xml:space="preserve"> service</w:t>
      </w:r>
      <w:r>
        <w:t>, some operat</w:t>
      </w:r>
      <w:r w:rsidR="004101CE">
        <w:t>e two or all three types</w:t>
      </w:r>
      <w:r>
        <w:t xml:space="preserve">. </w:t>
      </w:r>
      <w:r w:rsidR="00492BF8">
        <w:fldChar w:fldCharType="begin"/>
      </w:r>
      <w:r w:rsidR="00492BF8">
        <w:instrText xml:space="preserve"> REF _Ref524427938 \r \h </w:instrText>
      </w:r>
      <w:r w:rsidR="00492BF8">
        <w:fldChar w:fldCharType="separate"/>
      </w:r>
      <w:r w:rsidR="00492BF8">
        <w:t>Chart 2.3</w:t>
      </w:r>
      <w:r w:rsidR="00492BF8">
        <w:fldChar w:fldCharType="end"/>
      </w:r>
      <w:r w:rsidR="00492BF8">
        <w:t xml:space="preserve"> </w:t>
      </w:r>
      <w:r w:rsidR="004F5438">
        <w:t>show</w:t>
      </w:r>
      <w:r w:rsidR="00474A08">
        <w:t>s</w:t>
      </w:r>
      <w:r w:rsidR="00B830D7">
        <w:t xml:space="preserve"> the number of providers providing only one type, two types and all three types of services</w:t>
      </w:r>
      <w:r w:rsidR="00647CB8">
        <w:t>.</w:t>
      </w:r>
      <w:r w:rsidR="00CD0DDF">
        <w:rPr>
          <w:rStyle w:val="FootnoteReference"/>
          <w:rFonts w:cs="Segoe UI"/>
        </w:rPr>
        <w:footnoteReference w:id="10"/>
      </w:r>
    </w:p>
    <w:p w:rsidR="00B830D7" w:rsidRDefault="00B830D7" w:rsidP="001865B8">
      <w:r w:rsidRPr="00C94111">
        <w:t xml:space="preserve">Of </w:t>
      </w:r>
      <w:r w:rsidR="00FA2A62">
        <w:t>t</w:t>
      </w:r>
      <w:r>
        <w:t xml:space="preserve">otal </w:t>
      </w:r>
      <w:r w:rsidRPr="00C94111">
        <w:t>providers</w:t>
      </w:r>
      <w:r>
        <w:t>:</w:t>
      </w:r>
    </w:p>
    <w:p w:rsidR="00B830D7" w:rsidRPr="00B8475C" w:rsidRDefault="00D00B54" w:rsidP="001865B8">
      <w:pPr>
        <w:pStyle w:val="Bullet1"/>
        <w:rPr>
          <w:lang w:eastAsia="en-US"/>
        </w:rPr>
      </w:pPr>
      <w:r>
        <w:rPr>
          <w:lang w:eastAsia="en-US"/>
        </w:rPr>
        <w:t>7</w:t>
      </w:r>
      <w:r w:rsidR="00A261F3">
        <w:rPr>
          <w:lang w:eastAsia="en-US"/>
        </w:rPr>
        <w:t> per cent</w:t>
      </w:r>
      <w:r w:rsidR="00B830D7" w:rsidRPr="00B8475C">
        <w:rPr>
          <w:lang w:eastAsia="en-US"/>
        </w:rPr>
        <w:t xml:space="preserve"> provide all three types of services</w:t>
      </w:r>
      <w:r w:rsidR="00F56B36">
        <w:rPr>
          <w:lang w:eastAsia="en-US"/>
        </w:rPr>
        <w:t xml:space="preserve"> (</w:t>
      </w:r>
      <w:r>
        <w:rPr>
          <w:lang w:eastAsia="en-US"/>
        </w:rPr>
        <w:t>6</w:t>
      </w:r>
      <w:r w:rsidR="00A261F3">
        <w:rPr>
          <w:lang w:eastAsia="en-US"/>
        </w:rPr>
        <w:t> per cent</w:t>
      </w:r>
      <w:r w:rsidR="00F56B36">
        <w:rPr>
          <w:lang w:eastAsia="en-US"/>
        </w:rPr>
        <w:t xml:space="preserve"> in</w:t>
      </w:r>
      <w:r w:rsidR="00A261F3">
        <w:rPr>
          <w:lang w:eastAsia="en-US"/>
        </w:rPr>
        <w:t> 201</w:t>
      </w:r>
      <w:r w:rsidR="00F56B36">
        <w:rPr>
          <w:lang w:eastAsia="en-US"/>
        </w:rPr>
        <w:t>5</w:t>
      </w:r>
      <w:r w:rsidR="00D8721E">
        <w:rPr>
          <w:lang w:eastAsia="en-US"/>
        </w:rPr>
        <w:t>–1</w:t>
      </w:r>
      <w:r w:rsidR="00F56B36">
        <w:rPr>
          <w:lang w:eastAsia="en-US"/>
        </w:rPr>
        <w:t>6)</w:t>
      </w:r>
      <w:r w:rsidR="00B830D7" w:rsidRPr="00B8475C">
        <w:rPr>
          <w:lang w:eastAsia="en-US"/>
        </w:rPr>
        <w:t>.</w:t>
      </w:r>
    </w:p>
    <w:p w:rsidR="00D8721E" w:rsidRDefault="00B8475C" w:rsidP="001865B8">
      <w:pPr>
        <w:pStyle w:val="Bullet1"/>
        <w:rPr>
          <w:lang w:eastAsia="en-US"/>
        </w:rPr>
      </w:pPr>
      <w:r w:rsidRPr="00B8475C">
        <w:rPr>
          <w:lang w:eastAsia="en-US"/>
        </w:rPr>
        <w:t>1</w:t>
      </w:r>
      <w:r w:rsidR="00D00B54">
        <w:rPr>
          <w:lang w:eastAsia="en-US"/>
        </w:rPr>
        <w:t>7</w:t>
      </w:r>
      <w:r w:rsidR="00A261F3">
        <w:rPr>
          <w:lang w:eastAsia="en-US"/>
        </w:rPr>
        <w:t> per cent</w:t>
      </w:r>
      <w:r w:rsidR="00B830D7" w:rsidRPr="00B8475C">
        <w:rPr>
          <w:lang w:eastAsia="en-US"/>
        </w:rPr>
        <w:t xml:space="preserve"> provi</w:t>
      </w:r>
      <w:r w:rsidR="00D53725" w:rsidRPr="00B8475C">
        <w:rPr>
          <w:lang w:eastAsia="en-US"/>
        </w:rPr>
        <w:t>de</w:t>
      </w:r>
      <w:r w:rsidR="00B830D7" w:rsidRPr="00B8475C">
        <w:rPr>
          <w:lang w:eastAsia="en-US"/>
        </w:rPr>
        <w:t xml:space="preserve"> two service types</w:t>
      </w:r>
      <w:r w:rsidR="00F56B36">
        <w:rPr>
          <w:lang w:eastAsia="en-US"/>
        </w:rPr>
        <w:t xml:space="preserve"> (1</w:t>
      </w:r>
      <w:r w:rsidR="00D00B54">
        <w:rPr>
          <w:lang w:eastAsia="en-US"/>
        </w:rPr>
        <w:t>6</w:t>
      </w:r>
      <w:r w:rsidR="00A261F3">
        <w:rPr>
          <w:lang w:eastAsia="en-US"/>
        </w:rPr>
        <w:t> per cent</w:t>
      </w:r>
      <w:r w:rsidR="00F56B36">
        <w:rPr>
          <w:lang w:eastAsia="en-US"/>
        </w:rPr>
        <w:t xml:space="preserve"> in</w:t>
      </w:r>
      <w:r w:rsidR="00A261F3">
        <w:rPr>
          <w:lang w:eastAsia="en-US"/>
        </w:rPr>
        <w:t> 201</w:t>
      </w:r>
      <w:r w:rsidR="00F56B36">
        <w:rPr>
          <w:lang w:eastAsia="en-US"/>
        </w:rPr>
        <w:t>5</w:t>
      </w:r>
      <w:r w:rsidR="00D8721E">
        <w:rPr>
          <w:lang w:eastAsia="en-US"/>
        </w:rPr>
        <w:t>–1</w:t>
      </w:r>
      <w:r w:rsidR="00F56B36">
        <w:rPr>
          <w:lang w:eastAsia="en-US"/>
        </w:rPr>
        <w:t>6)</w:t>
      </w:r>
      <w:r w:rsidR="00D8721E">
        <w:rPr>
          <w:lang w:eastAsia="en-US"/>
        </w:rPr>
        <w:t>.</w:t>
      </w:r>
    </w:p>
    <w:p w:rsidR="00B830D7" w:rsidRPr="00B8475C" w:rsidRDefault="00B8475C" w:rsidP="001865B8">
      <w:pPr>
        <w:pStyle w:val="Bullet1"/>
        <w:rPr>
          <w:lang w:eastAsia="en-US"/>
        </w:rPr>
      </w:pPr>
      <w:r w:rsidRPr="00B8475C">
        <w:rPr>
          <w:lang w:eastAsia="en-US"/>
        </w:rPr>
        <w:t>7</w:t>
      </w:r>
      <w:r w:rsidR="00D00B54">
        <w:rPr>
          <w:lang w:eastAsia="en-US"/>
        </w:rPr>
        <w:t>6</w:t>
      </w:r>
      <w:r w:rsidR="00A261F3">
        <w:rPr>
          <w:lang w:eastAsia="en-US"/>
        </w:rPr>
        <w:t> per cent</w:t>
      </w:r>
      <w:r w:rsidR="00B830D7" w:rsidRPr="00B8475C">
        <w:rPr>
          <w:lang w:eastAsia="en-US"/>
        </w:rPr>
        <w:t xml:space="preserve"> of providers provide one type of service only</w:t>
      </w:r>
      <w:r w:rsidR="00F56B36">
        <w:rPr>
          <w:lang w:eastAsia="en-US"/>
        </w:rPr>
        <w:t xml:space="preserve"> (7</w:t>
      </w:r>
      <w:r w:rsidR="00D00B54">
        <w:rPr>
          <w:lang w:eastAsia="en-US"/>
        </w:rPr>
        <w:t>8</w:t>
      </w:r>
      <w:r w:rsidR="00A261F3">
        <w:rPr>
          <w:lang w:eastAsia="en-US"/>
        </w:rPr>
        <w:t> per cent</w:t>
      </w:r>
      <w:r w:rsidR="00F56B36">
        <w:rPr>
          <w:lang w:eastAsia="en-US"/>
        </w:rPr>
        <w:t xml:space="preserve"> in</w:t>
      </w:r>
      <w:r w:rsidR="00A261F3">
        <w:rPr>
          <w:lang w:eastAsia="en-US"/>
        </w:rPr>
        <w:t> 201</w:t>
      </w:r>
      <w:r w:rsidR="00F56B36">
        <w:rPr>
          <w:lang w:eastAsia="en-US"/>
        </w:rPr>
        <w:t>5</w:t>
      </w:r>
      <w:r w:rsidR="00D8721E">
        <w:rPr>
          <w:lang w:eastAsia="en-US"/>
        </w:rPr>
        <w:t>–1</w:t>
      </w:r>
      <w:r w:rsidR="00F56B36">
        <w:rPr>
          <w:lang w:eastAsia="en-US"/>
        </w:rPr>
        <w:t>6)</w:t>
      </w:r>
      <w:r w:rsidR="00B830D7" w:rsidRPr="00B8475C">
        <w:rPr>
          <w:lang w:eastAsia="en-US"/>
        </w:rPr>
        <w:t>.</w:t>
      </w:r>
    </w:p>
    <w:p w:rsidR="00B830D7" w:rsidRPr="009A1823" w:rsidRDefault="00B830D7" w:rsidP="001865B8">
      <w:r w:rsidRPr="009A1823">
        <w:t xml:space="preserve">As these </w:t>
      </w:r>
      <w:r w:rsidR="00B43BA4" w:rsidRPr="009A1823">
        <w:t>f</w:t>
      </w:r>
      <w:r w:rsidR="00D01738" w:rsidRPr="009A1823">
        <w:t>igures show, there appears to be</w:t>
      </w:r>
      <w:r w:rsidRPr="009A1823">
        <w:t xml:space="preserve"> a high degree of specialisation in terms of service types offere</w:t>
      </w:r>
      <w:r w:rsidR="008B3008" w:rsidRPr="009A1823">
        <w:t>d by providers</w:t>
      </w:r>
      <w:r w:rsidR="00F56B36" w:rsidRPr="009A1823">
        <w:t xml:space="preserve"> (although</w:t>
      </w:r>
      <w:r w:rsidR="00A261F3">
        <w:t> 201</w:t>
      </w:r>
      <w:r w:rsidR="00F56B36" w:rsidRPr="009A1823">
        <w:t>6</w:t>
      </w:r>
      <w:r w:rsidR="00D8721E">
        <w:t>–1</w:t>
      </w:r>
      <w:r w:rsidR="00F56B36" w:rsidRPr="009A1823">
        <w:t>7 shows a slight increase over</w:t>
      </w:r>
      <w:r w:rsidR="00A261F3">
        <w:t> 201</w:t>
      </w:r>
      <w:r w:rsidR="00F56B36" w:rsidRPr="009A1823">
        <w:t>5</w:t>
      </w:r>
      <w:r w:rsidR="00D8721E">
        <w:t>–1</w:t>
      </w:r>
      <w:r w:rsidR="00F56B36" w:rsidRPr="009A1823">
        <w:t>6 in terms of</w:t>
      </w:r>
      <w:r w:rsidR="00F56B36" w:rsidRPr="009A1823">
        <w:rPr>
          <w:color w:val="000000" w:themeColor="text1"/>
        </w:rPr>
        <w:t xml:space="preserve"> </w:t>
      </w:r>
      <w:r w:rsidR="00F56B36" w:rsidRPr="009A1823">
        <w:t>providers offering multiple types)</w:t>
      </w:r>
      <w:r w:rsidR="008B3008" w:rsidRPr="009A1823">
        <w:t xml:space="preserve">. </w:t>
      </w:r>
      <w:r w:rsidR="00AC224F" w:rsidRPr="009A1823">
        <w:t xml:space="preserve">ACFA </w:t>
      </w:r>
      <w:r w:rsidR="00F56B36" w:rsidRPr="009A1823">
        <w:t xml:space="preserve">does however </w:t>
      </w:r>
      <w:r w:rsidR="00765950" w:rsidRPr="009A1823">
        <w:t xml:space="preserve">suspect </w:t>
      </w:r>
      <w:r w:rsidR="003856C1" w:rsidRPr="009A1823">
        <w:t>there may be</w:t>
      </w:r>
      <w:r w:rsidR="00D01738" w:rsidRPr="009A1823">
        <w:t xml:space="preserve"> more occurrences of</w:t>
      </w:r>
      <w:r w:rsidR="003856C1" w:rsidRPr="009A1823">
        <w:t xml:space="preserve"> providers providing more tha</w:t>
      </w:r>
      <w:r w:rsidR="00D01738" w:rsidRPr="009A1823">
        <w:t xml:space="preserve">n one </w:t>
      </w:r>
      <w:r w:rsidR="00D01738" w:rsidRPr="009A1823">
        <w:lastRenderedPageBreak/>
        <w:t>service</w:t>
      </w:r>
      <w:r w:rsidR="001738DB" w:rsidRPr="009A1823">
        <w:t xml:space="preserve"> than reported here</w:t>
      </w:r>
      <w:r w:rsidR="00454255" w:rsidRPr="009A1823">
        <w:t>,</w:t>
      </w:r>
      <w:r w:rsidR="00D01738" w:rsidRPr="009A1823">
        <w:t xml:space="preserve"> however separate </w:t>
      </w:r>
      <w:r w:rsidR="003856C1" w:rsidRPr="009A1823">
        <w:t>provider registration in the three different sub-sectors me</w:t>
      </w:r>
      <w:r w:rsidR="008847A4" w:rsidRPr="009A1823">
        <w:t>ans this is not always apparent, as provide</w:t>
      </w:r>
      <w:r w:rsidR="00765950" w:rsidRPr="009A1823">
        <w:t>rs often have different ABNs and</w:t>
      </w:r>
      <w:r w:rsidR="008847A4" w:rsidRPr="009A1823">
        <w:t xml:space="preserve"> different trading names.</w:t>
      </w:r>
    </w:p>
    <w:p w:rsidR="00D8721E" w:rsidRDefault="00EB0C5E" w:rsidP="001865B8">
      <w:r w:rsidRPr="00EB0C5E">
        <w:t>As was the case in previous ACFA Reports, this analysis excludes Western Australia HACC providers as information on whether these providers also provide residential or home care is not available. However, for the first time, the analysis does include the former Victorian HACC providers as they were incorporated into the CHSP on 1 July</w:t>
      </w:r>
      <w:r w:rsidR="00A261F3">
        <w:t> 201</w:t>
      </w:r>
      <w:r w:rsidRPr="00EB0C5E">
        <w:t>6. While the inclusion of Victorian HACC providers increased the number of providers in each service type, the overall level of specialisation regarding service types has not changed</w:t>
      </w:r>
      <w:r w:rsidR="00D8721E">
        <w:t>.</w:t>
      </w:r>
    </w:p>
    <w:p w:rsidR="007324DE" w:rsidRPr="00596D01" w:rsidRDefault="00C322FF" w:rsidP="001865B8">
      <w:pPr>
        <w:pStyle w:val="ChartTitle"/>
      </w:pPr>
      <w:bookmarkStart w:id="105" w:name="_Ref524427938"/>
      <w:r w:rsidRPr="00596D01">
        <w:t>Number of providers, by service type,</w:t>
      </w:r>
      <w:r w:rsidR="00A261F3" w:rsidRPr="00596D01">
        <w:t> 201</w:t>
      </w:r>
      <w:r w:rsidRPr="00596D01">
        <w:t>6</w:t>
      </w:r>
      <w:r w:rsidR="00D8721E" w:rsidRPr="00596D01">
        <w:t>–1</w:t>
      </w:r>
      <w:r w:rsidRPr="00596D01">
        <w:t>7</w:t>
      </w:r>
      <w:bookmarkStart w:id="106" w:name="_Ref447870011"/>
      <w:bookmarkEnd w:id="105"/>
      <w:bookmarkEnd w:id="106"/>
    </w:p>
    <w:p w:rsidR="00D8721E" w:rsidRDefault="00AF3323" w:rsidP="001865B8">
      <w:pPr>
        <w:jc w:val="center"/>
      </w:pPr>
      <w:r>
        <w:rPr>
          <w:noProof/>
        </w:rPr>
        <w:drawing>
          <wp:inline distT="0" distB="0" distL="0" distR="0" wp14:anchorId="514E3438" wp14:editId="40362FE5">
            <wp:extent cx="3448050" cy="3324225"/>
            <wp:effectExtent l="0" t="0" r="0" b="9525"/>
            <wp:docPr id="16" name="Picture 16" descr="Chart 2.3 Number of providers, by service type,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Figure_2.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8050" cy="3324225"/>
                    </a:xfrm>
                    <a:prstGeom prst="rect">
                      <a:avLst/>
                    </a:prstGeom>
                    <a:noFill/>
                    <a:ln>
                      <a:noFill/>
                    </a:ln>
                  </pic:spPr>
                </pic:pic>
              </a:graphicData>
            </a:graphic>
          </wp:inline>
        </w:drawing>
      </w:r>
    </w:p>
    <w:p w:rsidR="00490355" w:rsidRPr="00596D01" w:rsidRDefault="00001040" w:rsidP="001865B8">
      <w:pPr>
        <w:pStyle w:val="Heading2Numbered"/>
      </w:pPr>
      <w:bookmarkStart w:id="107" w:name="_Toc487702527"/>
      <w:bookmarkStart w:id="108" w:name="_Toc487702879"/>
      <w:bookmarkStart w:id="109" w:name="_Toc487703377"/>
      <w:bookmarkStart w:id="110" w:name="_Toc487703571"/>
      <w:bookmarkStart w:id="111" w:name="_Toc524424695"/>
      <w:r w:rsidRPr="00596D01">
        <w:t>Regulation of supply</w:t>
      </w:r>
      <w:bookmarkEnd w:id="107"/>
      <w:bookmarkEnd w:id="108"/>
      <w:bookmarkEnd w:id="109"/>
      <w:bookmarkEnd w:id="110"/>
      <w:bookmarkEnd w:id="111"/>
    </w:p>
    <w:p w:rsidR="00FA2A62" w:rsidRDefault="00FA2A62" w:rsidP="001865B8">
      <w:bookmarkStart w:id="112" w:name="_Toc457549888"/>
      <w:bookmarkStart w:id="113" w:name="_Toc487702529"/>
      <w:bookmarkStart w:id="114" w:name="_Toc487702881"/>
      <w:bookmarkStart w:id="115" w:name="_Toc487703379"/>
      <w:bookmarkStart w:id="116" w:name="_Toc487703573"/>
      <w:r>
        <w:t>The Australian Government regulates the supply of services offered through the Commonwealth Home Support Programme (CHSP) through a capped funding amount that is indexed annually. Similarly, the Commonwealth contribution toward the joint Commonwealth</w:t>
      </w:r>
      <w:r>
        <w:noBreakHyphen/>
        <w:t>state funded Western Australian Home and Community Care (HACC) program was also capped and indexed. The Western Australian HACC program transitioned to the CHSP from 1 July</w:t>
      </w:r>
      <w:r w:rsidR="00A261F3">
        <w:t> 201</w:t>
      </w:r>
      <w:r>
        <w:t>8 making CHSP a national program. The funding for CHSP and HACC is discussed in Chapter 6.</w:t>
      </w:r>
    </w:p>
    <w:p w:rsidR="00D8721E" w:rsidRDefault="00FA2A62" w:rsidP="001865B8">
      <w:pPr>
        <w:rPr>
          <w:lang w:val="en-GB"/>
        </w:rPr>
      </w:pPr>
      <w:r>
        <w:rPr>
          <w:lang w:val="en-GB"/>
        </w:rPr>
        <w:t>The Australian Government</w:t>
      </w:r>
      <w:r w:rsidRPr="00343056">
        <w:rPr>
          <w:lang w:val="en-GB"/>
        </w:rPr>
        <w:t xml:space="preserve"> regulates the supply of residential aged care places and home care packages</w:t>
      </w:r>
      <w:r w:rsidR="009C280D">
        <w:rPr>
          <w:lang w:val="en-GB"/>
        </w:rPr>
        <w:t xml:space="preserve"> it funds by specifying targets</w:t>
      </w:r>
      <w:r w:rsidRPr="00343056">
        <w:rPr>
          <w:lang w:val="en-GB"/>
        </w:rPr>
        <w:t>. These targets, known as the aged care</w:t>
      </w:r>
      <w:r>
        <w:rPr>
          <w:lang w:val="en-GB"/>
        </w:rPr>
        <w:t xml:space="preserve"> target </w:t>
      </w:r>
      <w:r w:rsidRPr="00343056">
        <w:rPr>
          <w:lang w:val="en-GB"/>
        </w:rPr>
        <w:t>provision ratios, are based on the number of people aged 70 and over for every 1,000 people</w:t>
      </w:r>
      <w:r w:rsidR="00D8721E">
        <w:rPr>
          <w:lang w:val="en-GB"/>
        </w:rPr>
        <w:t>.</w:t>
      </w:r>
    </w:p>
    <w:p w:rsidR="00D8721E" w:rsidRDefault="00FA2A62" w:rsidP="001865B8">
      <w:pPr>
        <w:rPr>
          <w:lang w:val="en-GB"/>
        </w:rPr>
      </w:pPr>
      <w:r w:rsidRPr="00343056">
        <w:rPr>
          <w:lang w:val="en-GB"/>
        </w:rPr>
        <w:t>Until</w:t>
      </w:r>
      <w:r w:rsidR="00A261F3">
        <w:rPr>
          <w:lang w:val="en-GB"/>
        </w:rPr>
        <w:t> 201</w:t>
      </w:r>
      <w:r w:rsidRPr="00343056">
        <w:rPr>
          <w:lang w:val="en-GB"/>
        </w:rPr>
        <w:t xml:space="preserve">6, new aged care places in both residential and home care were made available for allocation </w:t>
      </w:r>
      <w:r>
        <w:rPr>
          <w:lang w:val="en-GB"/>
        </w:rPr>
        <w:t xml:space="preserve">to approved providers </w:t>
      </w:r>
      <w:r w:rsidRPr="00343056">
        <w:rPr>
          <w:lang w:val="en-GB"/>
        </w:rPr>
        <w:t>each year through</w:t>
      </w:r>
      <w:r>
        <w:rPr>
          <w:lang w:val="en-GB"/>
        </w:rPr>
        <w:t xml:space="preserve"> a competitive process known as</w:t>
      </w:r>
      <w:r w:rsidRPr="00343056">
        <w:rPr>
          <w:lang w:val="en-GB"/>
        </w:rPr>
        <w:t xml:space="preserve"> the A</w:t>
      </w:r>
      <w:r>
        <w:rPr>
          <w:lang w:val="en-GB"/>
        </w:rPr>
        <w:t xml:space="preserve">ged Care Approvals Round (ACAR). The number and geographic distribution of new places allocated through the ACAR has </w:t>
      </w:r>
      <w:r w:rsidRPr="00343056">
        <w:rPr>
          <w:lang w:val="en-GB"/>
        </w:rPr>
        <w:t>regard to the</w:t>
      </w:r>
      <w:r w:rsidR="00453C05">
        <w:rPr>
          <w:lang w:val="en-GB"/>
        </w:rPr>
        <w:t xml:space="preserve"> target provision ratios</w:t>
      </w:r>
      <w:r w:rsidRPr="00343056">
        <w:rPr>
          <w:lang w:val="en-GB"/>
        </w:rPr>
        <w:t>, population projections, current level of service provision, estimated lead times to commission new services and the quality of applications from providers</w:t>
      </w:r>
      <w:r w:rsidR="00D8721E">
        <w:rPr>
          <w:lang w:val="en-GB"/>
        </w:rPr>
        <w:t>.</w:t>
      </w:r>
    </w:p>
    <w:p w:rsidR="00FA2A62" w:rsidRDefault="00FA2A62" w:rsidP="001865B8">
      <w:pPr>
        <w:rPr>
          <w:lang w:val="en-GB" w:eastAsia="en-US"/>
        </w:rPr>
      </w:pPr>
      <w:r>
        <w:rPr>
          <w:lang w:val="en-GB" w:eastAsia="en-US"/>
        </w:rPr>
        <w:t>Changes implemented in February</w:t>
      </w:r>
      <w:r w:rsidR="00A261F3">
        <w:rPr>
          <w:lang w:val="en-GB" w:eastAsia="en-US"/>
        </w:rPr>
        <w:t> 201</w:t>
      </w:r>
      <w:r w:rsidRPr="00343056">
        <w:rPr>
          <w:lang w:val="en-GB" w:eastAsia="en-US"/>
        </w:rPr>
        <w:t xml:space="preserve">7 mean that home care packages are no longer allocated to home care providers through the ACAR process. Instead, </w:t>
      </w:r>
      <w:r>
        <w:rPr>
          <w:lang w:val="en-GB" w:eastAsia="en-US"/>
        </w:rPr>
        <w:t xml:space="preserve">eligible </w:t>
      </w:r>
      <w:r w:rsidRPr="00343056">
        <w:rPr>
          <w:lang w:val="en-GB" w:eastAsia="en-US"/>
        </w:rPr>
        <w:t>older Australians are assigned a home care packag</w:t>
      </w:r>
      <w:r>
        <w:rPr>
          <w:lang w:val="en-GB" w:eastAsia="en-US"/>
        </w:rPr>
        <w:t>e that they can</w:t>
      </w:r>
      <w:r w:rsidRPr="00343056">
        <w:rPr>
          <w:lang w:val="en-GB" w:eastAsia="en-US"/>
        </w:rPr>
        <w:t xml:space="preserve"> direct to their preferred provider. </w:t>
      </w:r>
      <w:r>
        <w:rPr>
          <w:lang w:val="en-GB" w:eastAsia="en-US"/>
        </w:rPr>
        <w:t xml:space="preserve">However, the Australian Government continues to control </w:t>
      </w:r>
      <w:r w:rsidRPr="00343056">
        <w:rPr>
          <w:lang w:val="en-GB" w:eastAsia="en-US"/>
        </w:rPr>
        <w:t>the supply of</w:t>
      </w:r>
      <w:r>
        <w:rPr>
          <w:lang w:val="en-GB" w:eastAsia="en-US"/>
        </w:rPr>
        <w:t xml:space="preserve"> home care packages</w:t>
      </w:r>
      <w:r w:rsidR="00CD754D">
        <w:rPr>
          <w:lang w:val="en-GB" w:eastAsia="en-US"/>
        </w:rPr>
        <w:t xml:space="preserve"> </w:t>
      </w:r>
      <w:r>
        <w:rPr>
          <w:lang w:val="en-GB" w:eastAsia="en-US"/>
        </w:rPr>
        <w:t>through the target provision ratio.</w:t>
      </w:r>
      <w:r w:rsidR="00CD754D">
        <w:rPr>
          <w:lang w:val="en-GB" w:eastAsia="en-US"/>
        </w:rPr>
        <w:t xml:space="preserve"> Residential care places are still allocated through the ACAR with consideration to the target provision ratios.</w:t>
      </w:r>
    </w:p>
    <w:p w:rsidR="00FA2A62" w:rsidRPr="00343056" w:rsidRDefault="00FA2A62" w:rsidP="001865B8">
      <w:pPr>
        <w:rPr>
          <w:lang w:val="en-GB"/>
        </w:rPr>
      </w:pPr>
      <w:r w:rsidRPr="00343056">
        <w:rPr>
          <w:lang w:val="en-GB"/>
        </w:rPr>
        <w:t xml:space="preserve">The aged care </w:t>
      </w:r>
      <w:r w:rsidR="009C280D">
        <w:rPr>
          <w:lang w:val="en-GB"/>
        </w:rPr>
        <w:t xml:space="preserve">target </w:t>
      </w:r>
      <w:r w:rsidRPr="00343056">
        <w:rPr>
          <w:lang w:val="en-GB"/>
        </w:rPr>
        <w:t>provision ratio</w:t>
      </w:r>
      <w:r>
        <w:rPr>
          <w:lang w:val="en-GB"/>
        </w:rPr>
        <w:t>s</w:t>
      </w:r>
      <w:r w:rsidRPr="00343056">
        <w:rPr>
          <w:lang w:val="en-GB"/>
        </w:rPr>
        <w:t xml:space="preserve"> </w:t>
      </w:r>
      <w:r>
        <w:rPr>
          <w:lang w:val="en-GB"/>
        </w:rPr>
        <w:t>are discussed further in Chapter </w:t>
      </w:r>
      <w:r w:rsidRPr="00343056">
        <w:rPr>
          <w:lang w:val="en-GB"/>
        </w:rPr>
        <w:t>5.</w:t>
      </w:r>
    </w:p>
    <w:p w:rsidR="00D8721E" w:rsidRDefault="00FA2A62" w:rsidP="001865B8">
      <w:pPr>
        <w:rPr>
          <w:lang w:val="en-GB" w:eastAsia="en-US"/>
        </w:rPr>
      </w:pPr>
      <w:r w:rsidRPr="00FC4FD3">
        <w:rPr>
          <w:lang w:val="en-GB" w:eastAsia="en-US"/>
        </w:rPr>
        <w:lastRenderedPageBreak/>
        <w:t>In last year’s annual report</w:t>
      </w:r>
      <w:r>
        <w:rPr>
          <w:lang w:val="en-GB" w:eastAsia="en-US"/>
        </w:rPr>
        <w:t>,</w:t>
      </w:r>
      <w:r w:rsidRPr="00FC4FD3">
        <w:rPr>
          <w:lang w:val="en-GB" w:eastAsia="en-US"/>
        </w:rPr>
        <w:t xml:space="preserve"> ACFA noted the results of the</w:t>
      </w:r>
      <w:r w:rsidR="00A261F3">
        <w:rPr>
          <w:lang w:val="en-GB" w:eastAsia="en-US"/>
        </w:rPr>
        <w:t> 201</w:t>
      </w:r>
      <w:r w:rsidRPr="00FC4FD3">
        <w:rPr>
          <w:lang w:val="en-GB" w:eastAsia="en-US"/>
        </w:rPr>
        <w:t>6</w:t>
      </w:r>
      <w:r w:rsidR="00D8721E">
        <w:rPr>
          <w:lang w:val="en-GB" w:eastAsia="en-US"/>
        </w:rPr>
        <w:t>–1</w:t>
      </w:r>
      <w:r w:rsidRPr="00FC4FD3">
        <w:rPr>
          <w:lang w:val="en-GB" w:eastAsia="en-US"/>
        </w:rPr>
        <w:t>7 ACAR, which were announced in May</w:t>
      </w:r>
      <w:r w:rsidR="00A261F3">
        <w:rPr>
          <w:lang w:val="en-GB" w:eastAsia="en-US"/>
        </w:rPr>
        <w:t> 201</w:t>
      </w:r>
      <w:r w:rsidRPr="00FC4FD3">
        <w:rPr>
          <w:lang w:val="en-GB" w:eastAsia="en-US"/>
        </w:rPr>
        <w:t xml:space="preserve">7. </w:t>
      </w:r>
      <w:r>
        <w:rPr>
          <w:lang w:val="en-GB" w:eastAsia="en-US"/>
        </w:rPr>
        <w:t xml:space="preserve">An </w:t>
      </w:r>
      <w:r w:rsidRPr="00FC4FD3">
        <w:rPr>
          <w:lang w:val="en-GB" w:eastAsia="en-US"/>
        </w:rPr>
        <w:t xml:space="preserve">ACAR </w:t>
      </w:r>
      <w:r>
        <w:rPr>
          <w:lang w:val="en-GB" w:eastAsia="en-US"/>
        </w:rPr>
        <w:t xml:space="preserve">was not conducted </w:t>
      </w:r>
      <w:r w:rsidRPr="00FC4FD3">
        <w:rPr>
          <w:lang w:val="en-GB" w:eastAsia="en-US"/>
        </w:rPr>
        <w:t>for</w:t>
      </w:r>
      <w:r w:rsidR="00A261F3">
        <w:rPr>
          <w:lang w:val="en-GB" w:eastAsia="en-US"/>
        </w:rPr>
        <w:t> 201</w:t>
      </w:r>
      <w:r w:rsidRPr="00FC4FD3">
        <w:rPr>
          <w:lang w:val="en-GB" w:eastAsia="en-US"/>
        </w:rPr>
        <w:t>7</w:t>
      </w:r>
      <w:r w:rsidR="00D8721E">
        <w:rPr>
          <w:lang w:val="en-GB" w:eastAsia="en-US"/>
        </w:rPr>
        <w:t>–1</w:t>
      </w:r>
      <w:r w:rsidRPr="00FC4FD3">
        <w:rPr>
          <w:lang w:val="en-GB" w:eastAsia="en-US"/>
        </w:rPr>
        <w:t>8. The</w:t>
      </w:r>
      <w:r w:rsidR="00A261F3">
        <w:rPr>
          <w:lang w:val="en-GB" w:eastAsia="en-US"/>
        </w:rPr>
        <w:t> 201</w:t>
      </w:r>
      <w:r w:rsidRPr="00FC4FD3">
        <w:rPr>
          <w:lang w:val="en-GB" w:eastAsia="en-US"/>
        </w:rPr>
        <w:t>8</w:t>
      </w:r>
      <w:r w:rsidR="00D8721E">
        <w:rPr>
          <w:lang w:val="en-GB" w:eastAsia="en-US"/>
        </w:rPr>
        <w:t>–1</w:t>
      </w:r>
      <w:r w:rsidRPr="00FC4FD3">
        <w:rPr>
          <w:lang w:val="en-GB" w:eastAsia="en-US"/>
        </w:rPr>
        <w:t>9 ACAR will see 13,500 new residential aged care places, 775 short-term restorative care places and up to $6</w:t>
      </w:r>
      <w:r w:rsidR="00AB6911">
        <w:rPr>
          <w:lang w:val="en-GB" w:eastAsia="en-US"/>
        </w:rPr>
        <w:t>0</w:t>
      </w:r>
      <w:r w:rsidR="00A261F3">
        <w:rPr>
          <w:lang w:val="en-GB" w:eastAsia="en-US"/>
        </w:rPr>
        <w:t> million</w:t>
      </w:r>
      <w:r w:rsidRPr="00FC4FD3">
        <w:rPr>
          <w:lang w:val="en-GB" w:eastAsia="en-US"/>
        </w:rPr>
        <w:t xml:space="preserve"> in capital grants available to successful approved providers, following a co</w:t>
      </w:r>
      <w:r>
        <w:rPr>
          <w:lang w:val="en-GB" w:eastAsia="en-US"/>
        </w:rPr>
        <w:t>mpetitive application process</w:t>
      </w:r>
      <w:r w:rsidR="00D8721E">
        <w:rPr>
          <w:lang w:val="en-GB" w:eastAsia="en-US"/>
        </w:rPr>
        <w:t>.</w:t>
      </w:r>
    </w:p>
    <w:p w:rsidR="00001040" w:rsidRPr="00596D01" w:rsidRDefault="001608C0" w:rsidP="001865B8">
      <w:pPr>
        <w:pStyle w:val="Heading2Numbered"/>
      </w:pPr>
      <w:bookmarkStart w:id="117" w:name="_Toc524424696"/>
      <w:r w:rsidRPr="00596D01">
        <w:t xml:space="preserve">Sector </w:t>
      </w:r>
      <w:r w:rsidR="00001040" w:rsidRPr="00596D01">
        <w:t>viability</w:t>
      </w:r>
      <w:r w:rsidR="00053CF0" w:rsidRPr="00596D01">
        <w:t xml:space="preserve"> and sustainability</w:t>
      </w:r>
      <w:bookmarkEnd w:id="112"/>
      <w:bookmarkEnd w:id="113"/>
      <w:bookmarkEnd w:id="114"/>
      <w:bookmarkEnd w:id="115"/>
      <w:bookmarkEnd w:id="116"/>
      <w:bookmarkEnd w:id="117"/>
    </w:p>
    <w:p w:rsidR="00D16362" w:rsidRDefault="00D16362" w:rsidP="001865B8">
      <w:r w:rsidRPr="00C94111">
        <w:t xml:space="preserve">Population ageing means that there is growing demand for aged care. </w:t>
      </w:r>
      <w:r w:rsidR="001738DB">
        <w:t>T</w:t>
      </w:r>
      <w:r w:rsidRPr="00C94111">
        <w:t xml:space="preserve">his requires significant investment in the sector, particularly in the capital intensive residential sector. The viability and sustainability of residential </w:t>
      </w:r>
      <w:r>
        <w:t>care and the expansion of services that will be required will be</w:t>
      </w:r>
      <w:r w:rsidRPr="00C94111">
        <w:t xml:space="preserve"> dependent on ongoing investment. </w:t>
      </w:r>
      <w:r>
        <w:t>The</w:t>
      </w:r>
      <w:r w:rsidRPr="00C94111">
        <w:t xml:space="preserve"> industry needs to </w:t>
      </w:r>
      <w:r>
        <w:t>generate</w:t>
      </w:r>
      <w:r w:rsidRPr="00C94111">
        <w:t xml:space="preserve"> rates of return on capital that are app</w:t>
      </w:r>
      <w:r>
        <w:t>ropriate for the risk involved and are competitive with returns in other sectors.</w:t>
      </w:r>
    </w:p>
    <w:p w:rsidR="00D8721E" w:rsidRDefault="00D16362" w:rsidP="001865B8">
      <w:r w:rsidRPr="00C94111">
        <w:t xml:space="preserve">Viable and well run providers are best placed to attract the financial capital, experienced management and quality staff required to deliver long term industry sustainability and growth. To be viable, a provider, whether </w:t>
      </w:r>
      <w:r w:rsidR="001738DB">
        <w:t>not-</w:t>
      </w:r>
      <w:r w:rsidRPr="00C94111">
        <w:t>for-profit</w:t>
      </w:r>
      <w:r w:rsidR="001738DB">
        <w:t>, f</w:t>
      </w:r>
      <w:r w:rsidRPr="00C94111">
        <w:t>or-profit</w:t>
      </w:r>
      <w:r w:rsidR="001738DB">
        <w:t xml:space="preserve"> or government owned</w:t>
      </w:r>
      <w:r w:rsidRPr="00C94111">
        <w:t>, must have access to sufficient funds to repair and replace their capital stock, be able to maintain working capital to support their operations, and use capital efficiently relative to the other purposes to which it could be deployed</w:t>
      </w:r>
      <w:r w:rsidR="00D8721E">
        <w:t>.</w:t>
      </w:r>
    </w:p>
    <w:p w:rsidR="00D8721E" w:rsidRDefault="00D16362" w:rsidP="001865B8">
      <w:r w:rsidRPr="00C94111">
        <w:t>Investment activity requires equity investor and d</w:t>
      </w:r>
      <w:r w:rsidR="002247AC">
        <w:t>ebt provider confidence in the capacity</w:t>
      </w:r>
      <w:r w:rsidRPr="00C94111">
        <w:t xml:space="preserve"> of providers to deliver sustainable returns on capital</w:t>
      </w:r>
      <w:r>
        <w:t xml:space="preserve"> and of the sector overall</w:t>
      </w:r>
      <w:r w:rsidRPr="00C94111">
        <w:t>. The amount of (and change in) invested capital is one key metric of sustainability</w:t>
      </w:r>
      <w:r w:rsidR="00D8721E">
        <w:t>.</w:t>
      </w:r>
    </w:p>
    <w:p w:rsidR="00D16362" w:rsidRPr="00C94111" w:rsidRDefault="00D16362" w:rsidP="001865B8">
      <w:r w:rsidRPr="00C94111">
        <w:t xml:space="preserve">While home </w:t>
      </w:r>
      <w:r w:rsidR="001738DB">
        <w:t>support and home care</w:t>
      </w:r>
      <w:r w:rsidRPr="00C94111">
        <w:t xml:space="preserve"> providers do not require the same level of capital investment as residential care providers, there is also a requirement for ongoing investment to meet growing demand.</w:t>
      </w:r>
      <w:r w:rsidR="00B97D56">
        <w:t xml:space="preserve"> This is discussed in Chapter 5.</w:t>
      </w:r>
    </w:p>
    <w:p w:rsidR="00001040" w:rsidRPr="00596D01" w:rsidRDefault="00D110A7" w:rsidP="001865B8">
      <w:pPr>
        <w:pStyle w:val="Heading2Numbered"/>
      </w:pPr>
      <w:bookmarkStart w:id="118" w:name="_Toc457549890"/>
      <w:bookmarkStart w:id="119" w:name="_Toc487702530"/>
      <w:bookmarkStart w:id="120" w:name="_Toc487702882"/>
      <w:bookmarkStart w:id="121" w:name="_Toc487703380"/>
      <w:bookmarkStart w:id="122" w:name="_Toc487703574"/>
      <w:bookmarkStart w:id="123" w:name="_Toc524424697"/>
      <w:r w:rsidRPr="00596D01">
        <w:t>Changing p</w:t>
      </w:r>
      <w:r w:rsidR="0049176F" w:rsidRPr="00596D01">
        <w:t>opulation</w:t>
      </w:r>
      <w:bookmarkEnd w:id="118"/>
      <w:bookmarkEnd w:id="119"/>
      <w:bookmarkEnd w:id="120"/>
      <w:bookmarkEnd w:id="121"/>
      <w:bookmarkEnd w:id="122"/>
      <w:bookmarkEnd w:id="123"/>
      <w:r w:rsidR="00C314AE" w:rsidRPr="00596D01">
        <w:t xml:space="preserve"> </w:t>
      </w:r>
    </w:p>
    <w:p w:rsidR="00D8721E" w:rsidRDefault="00C92C29" w:rsidP="001865B8">
      <w:r>
        <w:t>D</w:t>
      </w:r>
      <w:r w:rsidRPr="009528E4">
        <w:t xml:space="preserve">emographic factors </w:t>
      </w:r>
      <w:r w:rsidR="00FA3B41">
        <w:t>are</w:t>
      </w:r>
      <w:r>
        <w:t xml:space="preserve"> the primary driver of increasing demand for aged care</w:t>
      </w:r>
      <w:r w:rsidRPr="009528E4">
        <w:t>. It is recognised that Australia’s</w:t>
      </w:r>
      <w:r>
        <w:t xml:space="preserve"> population is not only ageing but </w:t>
      </w:r>
      <w:r w:rsidRPr="009528E4">
        <w:t xml:space="preserve">Australians are </w:t>
      </w:r>
      <w:r>
        <w:t xml:space="preserve">also </w:t>
      </w:r>
      <w:r w:rsidRPr="009528E4">
        <w:t>living longer,</w:t>
      </w:r>
      <w:r>
        <w:t xml:space="preserve"> and m</w:t>
      </w:r>
      <w:r w:rsidRPr="009528E4">
        <w:t>any with chronic health conditions. This is bringing significant challenges and opportunities for the aged care system both now and in the years ahead</w:t>
      </w:r>
      <w:r w:rsidR="00D8721E">
        <w:t>.</w:t>
      </w:r>
    </w:p>
    <w:p w:rsidR="00D8721E" w:rsidRDefault="00272B5B" w:rsidP="001865B8">
      <w:r>
        <w:t>I</w:t>
      </w:r>
      <w:r w:rsidR="00E565EC">
        <w:t>n</w:t>
      </w:r>
      <w:r w:rsidR="00A261F3">
        <w:t> 201</w:t>
      </w:r>
      <w:r w:rsidR="00E565EC">
        <w:t>6</w:t>
      </w:r>
      <w:r w:rsidR="00D8721E">
        <w:t>–1</w:t>
      </w:r>
      <w:r w:rsidR="00FA3B41">
        <w:t>7,</w:t>
      </w:r>
      <w:r w:rsidR="009F5388" w:rsidRPr="00DE0F70">
        <w:t xml:space="preserve"> 10.</w:t>
      </w:r>
      <w:r w:rsidR="00D00B54">
        <w:t>6</w:t>
      </w:r>
      <w:r w:rsidR="00A261F3">
        <w:t> per cent</w:t>
      </w:r>
      <w:r w:rsidR="00E346E2" w:rsidRPr="00DE0F70">
        <w:t xml:space="preserve"> of Australians were aged 70 years and </w:t>
      </w:r>
      <w:r w:rsidR="00FA3B41" w:rsidRPr="00DE0F70">
        <w:t>over</w:t>
      </w:r>
      <w:r w:rsidR="009F5388" w:rsidRPr="00DE0F70">
        <w:t xml:space="preserve"> </w:t>
      </w:r>
      <w:r w:rsidR="00FA3B41" w:rsidRPr="00DE0F70">
        <w:t xml:space="preserve">and </w:t>
      </w:r>
      <w:r w:rsidR="00341DAB">
        <w:t>2</w:t>
      </w:r>
      <w:r w:rsidR="00A261F3">
        <w:t> per cent</w:t>
      </w:r>
      <w:r w:rsidR="00E346E2" w:rsidRPr="00DE0F70">
        <w:t xml:space="preserve"> </w:t>
      </w:r>
      <w:r w:rsidR="00CE21CA">
        <w:t xml:space="preserve">were </w:t>
      </w:r>
      <w:r w:rsidR="00E346E2" w:rsidRPr="00DE0F70">
        <w:t>aged 85</w:t>
      </w:r>
      <w:r w:rsidR="00A754B9">
        <w:t> </w:t>
      </w:r>
      <w:r w:rsidR="00E346E2" w:rsidRPr="00DE0F70">
        <w:t>years and o</w:t>
      </w:r>
      <w:r w:rsidRPr="00DE0F70">
        <w:t>ver</w:t>
      </w:r>
      <w:r w:rsidR="00EE368C" w:rsidRPr="00DE0F70">
        <w:t>.</w:t>
      </w:r>
      <w:r w:rsidR="009F5388" w:rsidRPr="00DE0F70">
        <w:t xml:space="preserve"> </w:t>
      </w:r>
      <w:r w:rsidRPr="00DE0F70">
        <w:t>By</w:t>
      </w:r>
      <w:r w:rsidR="00A261F3">
        <w:t> 202</w:t>
      </w:r>
      <w:r w:rsidR="009F5388" w:rsidRPr="00DE0F70">
        <w:t>8</w:t>
      </w:r>
      <w:r w:rsidRPr="00DE0F70">
        <w:t>, an estimated 13</w:t>
      </w:r>
      <w:r w:rsidR="009F5388" w:rsidRPr="00DE0F70">
        <w:t>.</w:t>
      </w:r>
      <w:r w:rsidR="00341DAB">
        <w:t>1</w:t>
      </w:r>
      <w:r w:rsidR="00A261F3">
        <w:t> per cent</w:t>
      </w:r>
      <w:r w:rsidR="00E346E2" w:rsidRPr="00DE0F70">
        <w:t xml:space="preserve"> of the population will be aged 70</w:t>
      </w:r>
      <w:r w:rsidR="00341DAB">
        <w:t> </w:t>
      </w:r>
      <w:r w:rsidR="00E346E2" w:rsidRPr="00DE0F70">
        <w:t>years and over</w:t>
      </w:r>
      <w:r w:rsidR="009F5388" w:rsidRPr="00DE0F70">
        <w:t xml:space="preserve"> </w:t>
      </w:r>
      <w:r w:rsidRPr="00DE0F70">
        <w:t>and 2.</w:t>
      </w:r>
      <w:r w:rsidR="008C2527">
        <w:t>4</w:t>
      </w:r>
      <w:r w:rsidR="00A261F3">
        <w:t> per cent</w:t>
      </w:r>
      <w:r w:rsidR="00536E0A" w:rsidRPr="00DE0F70">
        <w:t xml:space="preserve"> will be</w:t>
      </w:r>
      <w:r w:rsidR="00E346E2" w:rsidRPr="00DE0F70">
        <w:t xml:space="preserve"> 85</w:t>
      </w:r>
      <w:r w:rsidR="00A754B9">
        <w:t> </w:t>
      </w:r>
      <w:r w:rsidR="00E346E2" w:rsidRPr="00DE0F70">
        <w:t>years and over</w:t>
      </w:r>
      <w:r w:rsidR="00D8721E">
        <w:t>.</w:t>
      </w:r>
    </w:p>
    <w:p w:rsidR="00D8721E" w:rsidRDefault="00FA2A62" w:rsidP="001865B8">
      <w:r>
        <w:t>The future demand growth for aged care services and the ageing of Australia’s population profile is discussed in Chapter 5.</w:t>
      </w:r>
    </w:p>
    <w:p w:rsidR="0049176F" w:rsidRPr="00596D01" w:rsidRDefault="0049176F" w:rsidP="001865B8">
      <w:pPr>
        <w:pStyle w:val="Heading3Numbered"/>
      </w:pPr>
      <w:bookmarkStart w:id="124" w:name="_Toc487702531"/>
      <w:bookmarkStart w:id="125" w:name="_Toc487702883"/>
      <w:bookmarkStart w:id="126" w:name="_Toc487703381"/>
      <w:bookmarkStart w:id="127" w:name="_Toc487703575"/>
      <w:bookmarkStart w:id="128" w:name="_Toc524424698"/>
      <w:r w:rsidRPr="00596D01">
        <w:t>Independence</w:t>
      </w:r>
      <w:bookmarkEnd w:id="124"/>
      <w:bookmarkEnd w:id="125"/>
      <w:bookmarkEnd w:id="126"/>
      <w:bookmarkEnd w:id="127"/>
      <w:bookmarkEnd w:id="128"/>
    </w:p>
    <w:p w:rsidR="00D8721E" w:rsidRDefault="00367CA6" w:rsidP="001865B8">
      <w:r>
        <w:t>T</w:t>
      </w:r>
      <w:r w:rsidR="00D63616">
        <w:t xml:space="preserve">he </w:t>
      </w:r>
      <w:r w:rsidR="00B31470" w:rsidRPr="000B15F8">
        <w:t>majority of people aged 65 and over continue to live active, ind</w:t>
      </w:r>
      <w:r w:rsidR="00310FA6">
        <w:t xml:space="preserve">ependent lives in the community, </w:t>
      </w:r>
      <w:r w:rsidR="00B31470" w:rsidRPr="000B15F8">
        <w:t>and go on contributing to their communities and the economy for many years. Where required and possible, the Austral</w:t>
      </w:r>
      <w:r w:rsidR="00B008D0">
        <w:t>ian Government provides support</w:t>
      </w:r>
      <w:r w:rsidR="00B31470" w:rsidRPr="000B15F8">
        <w:t xml:space="preserve"> and assistance to help people remain living independent and active lives</w:t>
      </w:r>
      <w:r w:rsidR="00D8721E">
        <w:t>.</w:t>
      </w:r>
    </w:p>
    <w:p w:rsidR="00D8721E" w:rsidRDefault="00B31470" w:rsidP="001865B8">
      <w:r w:rsidRPr="00CE31F5">
        <w:t>During</w:t>
      </w:r>
      <w:r w:rsidR="00A261F3">
        <w:t> 201</w:t>
      </w:r>
      <w:r w:rsidR="00CE31F5" w:rsidRPr="00CE31F5">
        <w:t>6</w:t>
      </w:r>
      <w:r w:rsidR="00D8721E">
        <w:t>–1</w:t>
      </w:r>
      <w:r w:rsidR="00CE31F5" w:rsidRPr="00CE31F5">
        <w:t>7, 7</w:t>
      </w:r>
      <w:r w:rsidR="00341DAB">
        <w:t>1</w:t>
      </w:r>
      <w:r w:rsidR="00A261F3">
        <w:t> per cent</w:t>
      </w:r>
      <w:r w:rsidRPr="00CE31F5">
        <w:t xml:space="preserve"> of Australians aged 65 years and over lived at home without accessing </w:t>
      </w:r>
      <w:r w:rsidR="0046588D" w:rsidRPr="00CE31F5">
        <w:t>G</w:t>
      </w:r>
      <w:r w:rsidRPr="00CE31F5">
        <w:t xml:space="preserve">overnment subsidised </w:t>
      </w:r>
      <w:r w:rsidR="00C17232" w:rsidRPr="00CE31F5">
        <w:t>aged care services,</w:t>
      </w:r>
      <w:r w:rsidRPr="00CE31F5">
        <w:t xml:space="preserve"> 2</w:t>
      </w:r>
      <w:r w:rsidR="00341DAB">
        <w:t>2</w:t>
      </w:r>
      <w:r w:rsidR="00A261F3">
        <w:t> per cent</w:t>
      </w:r>
      <w:r w:rsidRPr="00CE31F5">
        <w:t xml:space="preserve"> accessed some form of supp</w:t>
      </w:r>
      <w:r w:rsidR="009C7B9B" w:rsidRPr="00CE31F5">
        <w:t>ort or care at home, while</w:t>
      </w:r>
      <w:r w:rsidRPr="00CE31F5">
        <w:t xml:space="preserve"> </w:t>
      </w:r>
      <w:r w:rsidR="00D00B54">
        <w:t>7</w:t>
      </w:r>
      <w:r w:rsidR="00A261F3">
        <w:t> per cent</w:t>
      </w:r>
      <w:r w:rsidRPr="00CE31F5">
        <w:t xml:space="preserve"> accessed residential aged care</w:t>
      </w:r>
      <w:r w:rsidR="00D8721E">
        <w:t>.</w:t>
      </w:r>
    </w:p>
    <w:p w:rsidR="00B31470" w:rsidRPr="000B15F8" w:rsidRDefault="00B31470" w:rsidP="001865B8">
      <w:r w:rsidRPr="000B15F8">
        <w:t>Around 8</w:t>
      </w:r>
      <w:r w:rsidR="009C307B">
        <w:t>5</w:t>
      </w:r>
      <w:r w:rsidR="00A261F3">
        <w:t> per cent</w:t>
      </w:r>
      <w:r w:rsidRPr="000B15F8">
        <w:t xml:space="preserve"> of older people living in the community who require help with self-care, mobility or communication</w:t>
      </w:r>
      <w:r w:rsidR="009C280D">
        <w:t>,</w:t>
      </w:r>
      <w:r w:rsidRPr="000B15F8">
        <w:t xml:space="preserve"> receive assistance from the informal care network of family, friends and neighbours. Informal carers perform an essential role in caring for older people, especially in supporting older people living at home.</w:t>
      </w:r>
    </w:p>
    <w:p w:rsidR="00D8721E" w:rsidRDefault="00B64ED3" w:rsidP="001865B8">
      <w:r>
        <w:lastRenderedPageBreak/>
        <w:t>The Productivity Commission</w:t>
      </w:r>
      <w:r w:rsidR="0056433F">
        <w:rPr>
          <w:rStyle w:val="FootnoteReference"/>
          <w:rFonts w:cs="Segoe UI"/>
          <w:color w:val="313131"/>
        </w:rPr>
        <w:footnoteReference w:id="11"/>
      </w:r>
      <w:r w:rsidR="00C17232">
        <w:t xml:space="preserve"> </w:t>
      </w:r>
      <w:r w:rsidR="00B31470" w:rsidRPr="000B15F8">
        <w:t xml:space="preserve">has </w:t>
      </w:r>
      <w:r w:rsidR="00341DAB">
        <w:t xml:space="preserve">previously </w:t>
      </w:r>
      <w:r w:rsidR="00B31470" w:rsidRPr="000B15F8">
        <w:t>predicted that there are likely to be fewer informal carers relative to the growing older population and that the ability and willingness to provide informal care may also be declining. These trends may add to pressu</w:t>
      </w:r>
      <w:r w:rsidR="000B15F8">
        <w:t>res on</w:t>
      </w:r>
      <w:r w:rsidR="00AE44DD">
        <w:t xml:space="preserve"> the</w:t>
      </w:r>
      <w:r w:rsidR="000B15F8">
        <w:t xml:space="preserve"> aged care</w:t>
      </w:r>
      <w:r w:rsidR="00034D1D">
        <w:t xml:space="preserve"> sector</w:t>
      </w:r>
      <w:r w:rsidR="000B15F8">
        <w:t xml:space="preserve"> in the future.</w:t>
      </w:r>
    </w:p>
    <w:p w:rsidR="00392834" w:rsidRPr="00123BAB" w:rsidRDefault="0052607D" w:rsidP="001865B8">
      <w:pPr>
        <w:pStyle w:val="Heading1Numbered"/>
      </w:pPr>
      <w:bookmarkStart w:id="129" w:name="_Aged_care_workforce"/>
      <w:bookmarkStart w:id="130" w:name="_Toc487702532"/>
      <w:bookmarkStart w:id="131" w:name="_Toc487702884"/>
      <w:bookmarkStart w:id="132" w:name="_Toc487703382"/>
      <w:bookmarkStart w:id="133" w:name="_Toc487703576"/>
      <w:bookmarkStart w:id="134" w:name="_Toc524424699"/>
      <w:bookmarkEnd w:id="129"/>
      <w:r>
        <w:lastRenderedPageBreak/>
        <w:t>Aged care w</w:t>
      </w:r>
      <w:r w:rsidR="00392834">
        <w:t>orkforce</w:t>
      </w:r>
      <w:bookmarkEnd w:id="130"/>
      <w:bookmarkEnd w:id="131"/>
      <w:bookmarkEnd w:id="132"/>
      <w:bookmarkEnd w:id="133"/>
      <w:bookmarkEnd w:id="134"/>
    </w:p>
    <w:p w:rsidR="001865B8" w:rsidRPr="00596D01" w:rsidRDefault="001865B8" w:rsidP="001865B8">
      <w:pPr>
        <w:pStyle w:val="Boxed1Heading"/>
      </w:pPr>
      <w:r w:rsidRPr="00596D01">
        <w:t>This chapter provides an overview of the aged care workforce, as presented in the 2016 National Aged Care Workforce Census and Survey, and as summarised in last year’s ACFA report.</w:t>
      </w:r>
    </w:p>
    <w:p w:rsidR="001865B8" w:rsidRPr="00596D01" w:rsidRDefault="001865B8" w:rsidP="001865B8">
      <w:pPr>
        <w:pStyle w:val="Boxed1Text"/>
        <w:rPr>
          <w:rStyle w:val="Strong"/>
        </w:rPr>
      </w:pPr>
      <w:r w:rsidRPr="00596D01">
        <w:rPr>
          <w:rStyle w:val="Strong"/>
        </w:rPr>
        <w:t>This chapter reports that:</w:t>
      </w:r>
    </w:p>
    <w:p w:rsidR="001865B8" w:rsidRDefault="001865B8" w:rsidP="001865B8">
      <w:pPr>
        <w:pStyle w:val="Boxed1Bullet"/>
      </w:pPr>
      <w:r>
        <w:t>t</w:t>
      </w:r>
      <w:r w:rsidRPr="0032484D">
        <w:t xml:space="preserve">here are </w:t>
      </w:r>
      <w:r>
        <w:t xml:space="preserve">over </w:t>
      </w:r>
      <w:r w:rsidRPr="0032484D">
        <w:t>366,000 paid workers in aged care with a further 6</w:t>
      </w:r>
      <w:r>
        <w:t>8,000 volunteers;</w:t>
      </w:r>
    </w:p>
    <w:p w:rsidR="001865B8" w:rsidRDefault="001865B8" w:rsidP="001865B8">
      <w:pPr>
        <w:pStyle w:val="Boxed1Bullet"/>
      </w:pPr>
      <w:r>
        <w:t>more than half of all workers are in residential care;</w:t>
      </w:r>
    </w:p>
    <w:p w:rsidR="001865B8" w:rsidRDefault="001865B8" w:rsidP="001865B8">
      <w:pPr>
        <w:pStyle w:val="Boxed1Bullet"/>
      </w:pPr>
      <w:r>
        <w:t>overall the personal care workforce in residential care, and in home support and home care, is more qualified when compared with the previous Census;</w:t>
      </w:r>
    </w:p>
    <w:p w:rsidR="001865B8" w:rsidRDefault="001865B8" w:rsidP="001865B8">
      <w:pPr>
        <w:pStyle w:val="Boxed1Bullet"/>
      </w:pPr>
      <w:r>
        <w:t>the aged care workforce is relatively stable, with 25 per cent of workers having been in the sector for over 14 years;</w:t>
      </w:r>
    </w:p>
    <w:p w:rsidR="001865B8" w:rsidRDefault="001865B8" w:rsidP="001865B8">
      <w:pPr>
        <w:pStyle w:val="Boxed1Bullet"/>
      </w:pPr>
      <w:r>
        <w:t>the average age of workers in residential care has decreased in recent years, with the average age in 2016 being 46 compared with 48 in 2012. By contrast, in home support and home care, the average age is two years older at 52 compared with 50 in 2012;</w:t>
      </w:r>
    </w:p>
    <w:p w:rsidR="001865B8" w:rsidRDefault="001865B8" w:rsidP="001865B8">
      <w:pPr>
        <w:pStyle w:val="Boxed1Bullet"/>
      </w:pPr>
      <w:r>
        <w:t xml:space="preserve">overseas born workers continue to make up a significant proportion </w:t>
      </w:r>
      <w:r w:rsidRPr="00CE21CA">
        <w:t>of the aged care workforce,</w:t>
      </w:r>
      <w:r>
        <w:t xml:space="preserve"> with 32 per cent in residential care and 23 per cent in home support and home care; </w:t>
      </w:r>
    </w:p>
    <w:p w:rsidR="001865B8" w:rsidRDefault="001865B8" w:rsidP="001865B8">
      <w:pPr>
        <w:pStyle w:val="Boxed1Bullet"/>
      </w:pPr>
      <w:r>
        <w:t>some aged care providers, particularly in more remote areas, continue to report difficulties in recruiting appropriately qualified staff.</w:t>
      </w:r>
    </w:p>
    <w:p w:rsidR="001865B8" w:rsidRDefault="001865B8" w:rsidP="001865B8">
      <w:pPr>
        <w:pStyle w:val="Boxed1Text"/>
      </w:pPr>
      <w:r w:rsidRPr="00D37AA3">
        <w:t>The Aged Care Workforce Taskforce was established by the Government in</w:t>
      </w:r>
      <w:r>
        <w:t> 201</w:t>
      </w:r>
      <w:r w:rsidRPr="00D37AA3">
        <w:t>7 to develop an Aged Care Workforce Strategy. The Taskforce undertook consultation over the period November</w:t>
      </w:r>
      <w:r>
        <w:t> 201</w:t>
      </w:r>
      <w:r w:rsidRPr="00D37AA3">
        <w:t>7 to May</w:t>
      </w:r>
      <w:r>
        <w:t> 201</w:t>
      </w:r>
      <w:r w:rsidRPr="00D37AA3">
        <w:t>8</w:t>
      </w:r>
      <w:r>
        <w:t>.</w:t>
      </w:r>
    </w:p>
    <w:p w:rsidR="001865B8" w:rsidRPr="00D37AA3" w:rsidRDefault="001865B8" w:rsidP="001865B8">
      <w:pPr>
        <w:pStyle w:val="Boxed1Text"/>
      </w:pPr>
      <w:r w:rsidRPr="00D37AA3">
        <w:t>On 29 June</w:t>
      </w:r>
      <w:r>
        <w:t> 201</w:t>
      </w:r>
      <w:r w:rsidRPr="00D37AA3">
        <w:t>8, the Taskforce delivered its Strategy to the Minister for Aged Care.</w:t>
      </w:r>
    </w:p>
    <w:p w:rsidR="0013084D" w:rsidRPr="00596D01" w:rsidRDefault="0013084D" w:rsidP="001865B8">
      <w:pPr>
        <w:pStyle w:val="Heading2Numbered"/>
      </w:pPr>
      <w:bookmarkStart w:id="135" w:name="_Toc457549889"/>
      <w:bookmarkStart w:id="136" w:name="_Toc487702533"/>
      <w:bookmarkStart w:id="137" w:name="_Toc487702885"/>
      <w:bookmarkStart w:id="138" w:name="_Toc487703383"/>
      <w:bookmarkStart w:id="139" w:name="_Toc487703577"/>
      <w:bookmarkStart w:id="140" w:name="_Toc524424700"/>
      <w:r w:rsidRPr="00596D01">
        <w:t>Workforce</w:t>
      </w:r>
      <w:bookmarkEnd w:id="135"/>
      <w:bookmarkEnd w:id="136"/>
      <w:bookmarkEnd w:id="137"/>
      <w:bookmarkEnd w:id="138"/>
      <w:bookmarkEnd w:id="139"/>
      <w:bookmarkEnd w:id="140"/>
    </w:p>
    <w:p w:rsidR="0084664D" w:rsidRDefault="0084664D" w:rsidP="001865B8">
      <w:bookmarkStart w:id="141" w:name="_Toc487702534"/>
      <w:bookmarkStart w:id="142" w:name="_Toc487702886"/>
      <w:bookmarkStart w:id="143" w:name="_Toc487703384"/>
      <w:bookmarkStart w:id="144" w:name="_Toc487703578"/>
      <w:r w:rsidRPr="00DE0F70">
        <w:t>The National Aged Care Workforce</w:t>
      </w:r>
      <w:r>
        <w:t xml:space="preserve"> Census and Survey is conducted approximately every four years. In last year’s annual report</w:t>
      </w:r>
      <w:r w:rsidR="00842013">
        <w:t>,</w:t>
      </w:r>
      <w:r>
        <w:t xml:space="preserve"> ACFA provided a summary of the findings of the</w:t>
      </w:r>
      <w:r w:rsidR="00A261F3">
        <w:t> 201</w:t>
      </w:r>
      <w:r>
        <w:t>6 Survey</w:t>
      </w:r>
      <w:r>
        <w:rPr>
          <w:rStyle w:val="FootnoteReference"/>
          <w:rFonts w:cs="Segoe UI"/>
        </w:rPr>
        <w:footnoteReference w:id="12"/>
      </w:r>
      <w:r>
        <w:t>. Another census will not be conducted until around</w:t>
      </w:r>
      <w:r w:rsidR="00A261F3">
        <w:t> 202</w:t>
      </w:r>
      <w:r>
        <w:t>0</w:t>
      </w:r>
      <w:r w:rsidR="00D8721E">
        <w:t>–2</w:t>
      </w:r>
      <w:r>
        <w:t>1.</w:t>
      </w:r>
    </w:p>
    <w:p w:rsidR="0084664D" w:rsidRDefault="0084664D" w:rsidP="001865B8">
      <w:r>
        <w:t xml:space="preserve">The </w:t>
      </w:r>
      <w:r w:rsidR="00B97D56">
        <w:t>C</w:t>
      </w:r>
      <w:r>
        <w:t>ensus only counted PAYG employees and did not include non-PAYG staff such as temporary and agency staff.</w:t>
      </w:r>
    </w:p>
    <w:p w:rsidR="00D8721E" w:rsidRDefault="0084664D" w:rsidP="001865B8">
      <w:r>
        <w:t>As noted in last year’s ACFA annual report, the census was completed by 7</w:t>
      </w:r>
      <w:r w:rsidR="00D00B54">
        <w:t>6</w:t>
      </w:r>
      <w:r w:rsidR="00A261F3">
        <w:t> per cent</w:t>
      </w:r>
      <w:r>
        <w:t xml:space="preserve"> of residential care providers, compared with 9</w:t>
      </w:r>
      <w:r w:rsidR="00D00B54">
        <w:t>6</w:t>
      </w:r>
      <w:r w:rsidR="00A261F3">
        <w:t> per cent</w:t>
      </w:r>
      <w:r>
        <w:t xml:space="preserve"> in</w:t>
      </w:r>
      <w:r w:rsidR="00A261F3">
        <w:t> 201</w:t>
      </w:r>
      <w:r>
        <w:t>2</w:t>
      </w:r>
      <w:r w:rsidR="00D8721E">
        <w:t>.</w:t>
      </w:r>
    </w:p>
    <w:p w:rsidR="00D8721E" w:rsidRDefault="0084664D" w:rsidP="001865B8">
      <w:r>
        <w:t xml:space="preserve">In </w:t>
      </w:r>
      <w:r w:rsidRPr="0042738F">
        <w:t xml:space="preserve">home </w:t>
      </w:r>
      <w:r>
        <w:t xml:space="preserve">support and </w:t>
      </w:r>
      <w:r w:rsidRPr="0042738F">
        <w:t xml:space="preserve">home </w:t>
      </w:r>
      <w:r>
        <w:t>care</w:t>
      </w:r>
      <w:r w:rsidR="00842013">
        <w:t>,</w:t>
      </w:r>
      <w:r>
        <w:t xml:space="preserve"> the census response rate was 4</w:t>
      </w:r>
      <w:r w:rsidR="00341DAB">
        <w:t>2</w:t>
      </w:r>
      <w:r w:rsidR="00A261F3">
        <w:t> per cent</w:t>
      </w:r>
      <w:r>
        <w:t>. Census results reported were scaled up to represent the whole sector</w:t>
      </w:r>
      <w:r w:rsidR="00D8721E">
        <w:t>.</w:t>
      </w:r>
    </w:p>
    <w:p w:rsidR="0013084D" w:rsidRPr="00596D01" w:rsidRDefault="0013084D" w:rsidP="001865B8">
      <w:pPr>
        <w:pStyle w:val="Heading3Numbered"/>
      </w:pPr>
      <w:bookmarkStart w:id="145" w:name="_Toc524424701"/>
      <w:r w:rsidRPr="00596D01">
        <w:t>Aged care workforce composition</w:t>
      </w:r>
      <w:bookmarkEnd w:id="141"/>
      <w:bookmarkEnd w:id="142"/>
      <w:bookmarkEnd w:id="143"/>
      <w:bookmarkEnd w:id="144"/>
      <w:bookmarkEnd w:id="145"/>
      <w:r w:rsidRPr="00596D01">
        <w:t xml:space="preserve"> </w:t>
      </w:r>
    </w:p>
    <w:p w:rsidR="00B97D56" w:rsidRDefault="00B97D56" w:rsidP="001865B8">
      <w:r>
        <w:t>The</w:t>
      </w:r>
      <w:r w:rsidR="00A261F3">
        <w:t> 201</w:t>
      </w:r>
      <w:r>
        <w:t>6 census reported the number of paid workers in the aged care industry was around 366,000, with an additional 68,000 volunteers. When the census was conducted in</w:t>
      </w:r>
      <w:r w:rsidR="00A261F3">
        <w:t> 201</w:t>
      </w:r>
      <w:r>
        <w:t xml:space="preserve">2, the number of paid workers was </w:t>
      </w:r>
      <w:r>
        <w:lastRenderedPageBreak/>
        <w:t xml:space="preserve">240,000. </w:t>
      </w:r>
      <w:r w:rsidRPr="00903A9A">
        <w:t>According to the Productivity Commission, the workforce is expected to grow to over 800,000 by 2050.</w:t>
      </w:r>
    </w:p>
    <w:p w:rsidR="00B97D56" w:rsidRPr="0042738F" w:rsidRDefault="00B97D56" w:rsidP="001865B8">
      <w:r>
        <w:t>T</w:t>
      </w:r>
      <w:r w:rsidRPr="0042738F">
        <w:t>ota</w:t>
      </w:r>
      <w:r>
        <w:t>l paid workers in residential</w:t>
      </w:r>
      <w:r w:rsidRPr="0042738F">
        <w:t xml:space="preserve"> care in</w:t>
      </w:r>
      <w:r w:rsidR="00A261F3">
        <w:t> 201</w:t>
      </w:r>
      <w:r w:rsidRPr="0042738F">
        <w:t xml:space="preserve">6 </w:t>
      </w:r>
      <w:r>
        <w:t>was</w:t>
      </w:r>
      <w:r w:rsidRPr="0042738F">
        <w:t xml:space="preserve"> estimated at 235,764, of which 153,854 </w:t>
      </w:r>
      <w:r>
        <w:t>were</w:t>
      </w:r>
      <w:r w:rsidRPr="0042738F">
        <w:t xml:space="preserve"> direct care workers. </w:t>
      </w:r>
      <w:r>
        <w:t>T</w:t>
      </w:r>
      <w:r w:rsidRPr="0042738F">
        <w:t xml:space="preserve">otal </w:t>
      </w:r>
      <w:r>
        <w:t>paid workers in</w:t>
      </w:r>
      <w:r w:rsidRPr="0042738F">
        <w:t xml:space="preserve"> home </w:t>
      </w:r>
      <w:r>
        <w:t xml:space="preserve">support and </w:t>
      </w:r>
      <w:r w:rsidRPr="0042738F">
        <w:t xml:space="preserve">home </w:t>
      </w:r>
      <w:r>
        <w:t>care</w:t>
      </w:r>
      <w:r w:rsidRPr="0042738F">
        <w:t xml:space="preserve"> </w:t>
      </w:r>
      <w:r>
        <w:t>were</w:t>
      </w:r>
      <w:r w:rsidRPr="0042738F">
        <w:t xml:space="preserve"> </w:t>
      </w:r>
      <w:r>
        <w:t xml:space="preserve">estimated at </w:t>
      </w:r>
      <w:r w:rsidRPr="0042738F">
        <w:t xml:space="preserve">130,263, of which 86,463 </w:t>
      </w:r>
      <w:r>
        <w:t>were</w:t>
      </w:r>
      <w:r w:rsidRPr="0042738F">
        <w:t xml:space="preserve"> </w:t>
      </w:r>
      <w:r>
        <w:t xml:space="preserve">in </w:t>
      </w:r>
      <w:r w:rsidRPr="0042738F">
        <w:t>direct care roles.</w:t>
      </w:r>
    </w:p>
    <w:p w:rsidR="00D8721E" w:rsidRDefault="0013084D" w:rsidP="001865B8">
      <w:r>
        <w:t xml:space="preserve">Of the </w:t>
      </w:r>
      <w:r w:rsidR="008C3D3D">
        <w:t xml:space="preserve">reported </w:t>
      </w:r>
      <w:r>
        <w:t>434,</w:t>
      </w:r>
      <w:r w:rsidR="00DA0A0D">
        <w:t>443</w:t>
      </w:r>
      <w:r>
        <w:t xml:space="preserve"> people working in aged care</w:t>
      </w:r>
      <w:r w:rsidR="008C3D3D">
        <w:t xml:space="preserve"> in</w:t>
      </w:r>
      <w:r w:rsidR="00A261F3">
        <w:t> 201</w:t>
      </w:r>
      <w:r w:rsidR="008C3D3D">
        <w:t>6</w:t>
      </w:r>
      <w:r>
        <w:t xml:space="preserve">, </w:t>
      </w:r>
      <w:r w:rsidR="008C3D3D">
        <w:t>60</w:t>
      </w:r>
      <w:r w:rsidR="00A261F3">
        <w:t> per cent</w:t>
      </w:r>
      <w:r w:rsidR="008C3D3D">
        <w:t xml:space="preserve"> were</w:t>
      </w:r>
      <w:r w:rsidR="00C81A9D">
        <w:t xml:space="preserve"> in residential </w:t>
      </w:r>
      <w:r>
        <w:t>care</w:t>
      </w:r>
      <w:r w:rsidR="008C3D3D">
        <w:t xml:space="preserve">. </w:t>
      </w:r>
      <w:r>
        <w:t>The remainder of the workforce</w:t>
      </w:r>
      <w:r w:rsidR="00DA0A0D">
        <w:t xml:space="preserve"> </w:t>
      </w:r>
      <w:r w:rsidR="008C3D3D">
        <w:t xml:space="preserve">were </w:t>
      </w:r>
      <w:r w:rsidR="00EB5F93">
        <w:t xml:space="preserve">in </w:t>
      </w:r>
      <w:r w:rsidR="001738DB" w:rsidRPr="0042738F">
        <w:t xml:space="preserve">home </w:t>
      </w:r>
      <w:r w:rsidR="001738DB">
        <w:t xml:space="preserve">support and </w:t>
      </w:r>
      <w:r w:rsidR="001738DB" w:rsidRPr="0042738F">
        <w:t xml:space="preserve">home </w:t>
      </w:r>
      <w:r w:rsidR="001738DB">
        <w:t>care</w:t>
      </w:r>
      <w:r w:rsidR="008C3D3D">
        <w:t>.</w:t>
      </w:r>
      <w:r w:rsidR="00A754B9">
        <w:t xml:space="preserve"> </w:t>
      </w:r>
      <w:r w:rsidR="00492BF8">
        <w:fldChar w:fldCharType="begin"/>
      </w:r>
      <w:r w:rsidR="00492BF8">
        <w:instrText xml:space="preserve"> REF _Ref524427950 \r \h </w:instrText>
      </w:r>
      <w:r w:rsidR="00492BF8">
        <w:fldChar w:fldCharType="separate"/>
      </w:r>
      <w:r w:rsidR="00492BF8">
        <w:t>Chart 3.1</w:t>
      </w:r>
      <w:r w:rsidR="00492BF8">
        <w:fldChar w:fldCharType="end"/>
      </w:r>
      <w:r w:rsidR="00492BF8">
        <w:t xml:space="preserve"> </w:t>
      </w:r>
      <w:r>
        <w:t>shows the composition of the aged care workforce</w:t>
      </w:r>
      <w:r w:rsidR="008C3D3D">
        <w:t xml:space="preserve"> as reported </w:t>
      </w:r>
      <w:r w:rsidR="007B4CE8">
        <w:t>in</w:t>
      </w:r>
      <w:r w:rsidR="00A261F3">
        <w:t> 201</w:t>
      </w:r>
      <w:r w:rsidR="007B4CE8">
        <w:t>6</w:t>
      </w:r>
      <w:r>
        <w:t>.</w:t>
      </w:r>
    </w:p>
    <w:p w:rsidR="0013084D" w:rsidRPr="00596D01" w:rsidRDefault="0013084D" w:rsidP="001865B8">
      <w:pPr>
        <w:pStyle w:val="ChartTitle"/>
      </w:pPr>
      <w:bookmarkStart w:id="146" w:name="_Ref524427950"/>
      <w:r w:rsidRPr="00596D01">
        <w:t>Aged care workforce composition</w:t>
      </w:r>
      <w:r w:rsidR="00BE77ED" w:rsidRPr="00596D01">
        <w:t>,</w:t>
      </w:r>
      <w:r w:rsidR="00A261F3" w:rsidRPr="00596D01">
        <w:t> 201</w:t>
      </w:r>
      <w:r w:rsidR="00BE77ED" w:rsidRPr="00596D01">
        <w:t>6</w:t>
      </w:r>
      <w:bookmarkEnd w:id="146"/>
    </w:p>
    <w:p w:rsidR="00D8721E" w:rsidRDefault="004734D9" w:rsidP="001865B8">
      <w:pPr>
        <w:jc w:val="center"/>
      </w:pPr>
      <w:r>
        <w:rPr>
          <w:noProof/>
        </w:rPr>
        <w:drawing>
          <wp:inline distT="0" distB="0" distL="0" distR="0" wp14:anchorId="79D83F14" wp14:editId="77F8C8C4">
            <wp:extent cx="3143250" cy="3124200"/>
            <wp:effectExtent l="0" t="0" r="0" b="0"/>
            <wp:docPr id="21" name="Picture 21" descr="Chart 3.1 Aged care workforce compositio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lajona\AppData\Local\Microsoft\Windows\Temporary Internet Files\Content.Outlook\H8XGS989\Chart_2.5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0" cy="3124200"/>
                    </a:xfrm>
                    <a:prstGeom prst="rect">
                      <a:avLst/>
                    </a:prstGeom>
                    <a:noFill/>
                    <a:ln>
                      <a:noFill/>
                    </a:ln>
                  </pic:spPr>
                </pic:pic>
              </a:graphicData>
            </a:graphic>
          </wp:inline>
        </w:drawing>
      </w:r>
    </w:p>
    <w:p w:rsidR="00D8721E" w:rsidRPr="00596D01" w:rsidRDefault="0013084D" w:rsidP="00944018">
      <w:pPr>
        <w:pStyle w:val="Heading5"/>
      </w:pPr>
      <w:r w:rsidRPr="00596D01">
        <w:t xml:space="preserve">The residential aged care workforce </w:t>
      </w:r>
    </w:p>
    <w:p w:rsidR="00D8721E" w:rsidRDefault="00A65EB9" w:rsidP="001865B8">
      <w:r w:rsidRPr="0042738F">
        <w:t xml:space="preserve">The </w:t>
      </w:r>
      <w:r>
        <w:t xml:space="preserve">residential </w:t>
      </w:r>
      <w:r w:rsidRPr="0042738F">
        <w:t xml:space="preserve">care </w:t>
      </w:r>
      <w:r>
        <w:t>workforce saw</w:t>
      </w:r>
      <w:r w:rsidRPr="0042738F">
        <w:t xml:space="preserve"> significant growth i</w:t>
      </w:r>
      <w:r>
        <w:t>n the four years between the</w:t>
      </w:r>
      <w:r w:rsidR="00A261F3">
        <w:t> 201</w:t>
      </w:r>
      <w:r>
        <w:t>2 and</w:t>
      </w:r>
      <w:r w:rsidR="00A261F3">
        <w:t> 201</w:t>
      </w:r>
      <w:r>
        <w:t>6 Census</w:t>
      </w:r>
      <w:r w:rsidRPr="0042738F">
        <w:t>.</w:t>
      </w:r>
      <w:r w:rsidR="0013084D" w:rsidRPr="0042738F">
        <w:t xml:space="preserve"> In</w:t>
      </w:r>
      <w:r w:rsidR="00A261F3">
        <w:t> 201</w:t>
      </w:r>
      <w:r w:rsidR="0013084D" w:rsidRPr="0042738F">
        <w:t xml:space="preserve">6, </w:t>
      </w:r>
      <w:r w:rsidR="00EC510A">
        <w:t>the total paid workforce in residential care was</w:t>
      </w:r>
      <w:r w:rsidR="005713AD">
        <w:t xml:space="preserve"> estimated to number 235,764. </w:t>
      </w:r>
      <w:r w:rsidR="00272B5B">
        <w:t>This is a</w:t>
      </w:r>
      <w:r w:rsidR="003E48C9">
        <w:t>n increase</w:t>
      </w:r>
      <w:r w:rsidR="00272B5B">
        <w:t xml:space="preserve"> of 1</w:t>
      </w:r>
      <w:r w:rsidR="00D00B54">
        <w:t>7</w:t>
      </w:r>
      <w:r w:rsidR="00A261F3">
        <w:t> per cent</w:t>
      </w:r>
      <w:r w:rsidR="0013084D" w:rsidRPr="0042738F">
        <w:t xml:space="preserve"> from</w:t>
      </w:r>
      <w:r w:rsidR="00A261F3">
        <w:t> 201</w:t>
      </w:r>
      <w:r w:rsidR="0013084D" w:rsidRPr="0042738F">
        <w:t>2. There also seem</w:t>
      </w:r>
      <w:r w:rsidR="005949E5">
        <w:t>ed</w:t>
      </w:r>
      <w:r w:rsidR="0013084D" w:rsidRPr="0042738F">
        <w:t xml:space="preserve"> to be a move toward </w:t>
      </w:r>
      <w:r w:rsidR="00EC510A">
        <w:t xml:space="preserve">more </w:t>
      </w:r>
      <w:r w:rsidR="0013084D" w:rsidRPr="0042738F">
        <w:t>secure tenure within this sub</w:t>
      </w:r>
      <w:r w:rsidR="00F46575">
        <w:t>-</w:t>
      </w:r>
      <w:r w:rsidR="0013084D" w:rsidRPr="0042738F">
        <w:t>sector, with 10</w:t>
      </w:r>
      <w:r w:rsidR="00A261F3">
        <w:t> per cent</w:t>
      </w:r>
      <w:r w:rsidR="0013084D" w:rsidRPr="0042738F">
        <w:t xml:space="preserve"> of the </w:t>
      </w:r>
      <w:r w:rsidR="00F46575">
        <w:t>pay as you go (</w:t>
      </w:r>
      <w:r w:rsidR="0013084D" w:rsidRPr="0042738F">
        <w:t>PAYG</w:t>
      </w:r>
      <w:r w:rsidR="00F46575">
        <w:t>)</w:t>
      </w:r>
      <w:r w:rsidR="0013084D" w:rsidRPr="0042738F">
        <w:t xml:space="preserve"> residential care workforce being casual or contract employees</w:t>
      </w:r>
      <w:r w:rsidR="0042305E">
        <w:t xml:space="preserve"> in</w:t>
      </w:r>
      <w:r w:rsidR="00A261F3">
        <w:t> 201</w:t>
      </w:r>
      <w:r w:rsidR="0042305E">
        <w:t>6</w:t>
      </w:r>
      <w:r w:rsidR="0013084D" w:rsidRPr="0042738F">
        <w:t>, significantly less than the 1</w:t>
      </w:r>
      <w:r w:rsidR="00D00B54">
        <w:t>9</w:t>
      </w:r>
      <w:r w:rsidR="00A261F3">
        <w:t> per cent</w:t>
      </w:r>
      <w:r w:rsidR="0013084D" w:rsidRPr="0042738F">
        <w:t xml:space="preserve"> in</w:t>
      </w:r>
      <w:r w:rsidR="00A261F3">
        <w:t> 201</w:t>
      </w:r>
      <w:r w:rsidR="0013084D" w:rsidRPr="0042738F">
        <w:t>2</w:t>
      </w:r>
      <w:r w:rsidR="00D8721E">
        <w:t>.</w:t>
      </w:r>
    </w:p>
    <w:p w:rsidR="00D8721E" w:rsidRDefault="0013084D" w:rsidP="001865B8">
      <w:r w:rsidRPr="0042738F">
        <w:t>The number of registered nurses</w:t>
      </w:r>
      <w:r w:rsidR="00EC510A">
        <w:t xml:space="preserve"> (RNs)</w:t>
      </w:r>
      <w:r w:rsidR="00272B5B">
        <w:t xml:space="preserve"> increased by 4.</w:t>
      </w:r>
      <w:r w:rsidR="009C307B">
        <w:t>5</w:t>
      </w:r>
      <w:r w:rsidR="00A261F3">
        <w:t> per cent</w:t>
      </w:r>
      <w:r w:rsidR="00DB2417">
        <w:t xml:space="preserve"> since</w:t>
      </w:r>
      <w:r w:rsidR="00A261F3">
        <w:t> 201</w:t>
      </w:r>
      <w:r w:rsidR="00DB2417">
        <w:t>2</w:t>
      </w:r>
      <w:r w:rsidR="00842013">
        <w:t>,</w:t>
      </w:r>
      <w:r w:rsidR="00DB2417">
        <w:t xml:space="preserve"> which reverses the </w:t>
      </w:r>
      <w:r w:rsidRPr="0042738F">
        <w:t>trend of dec</w:t>
      </w:r>
      <w:r w:rsidR="00C81A9D">
        <w:t>lining numbers of RNs reported in</w:t>
      </w:r>
      <w:r w:rsidR="00A261F3">
        <w:t> 200</w:t>
      </w:r>
      <w:r w:rsidR="003E48C9">
        <w:t>7 and</w:t>
      </w:r>
      <w:r w:rsidR="00A261F3">
        <w:t> 201</w:t>
      </w:r>
      <w:r w:rsidR="003E48C9">
        <w:t>2</w:t>
      </w:r>
      <w:r w:rsidR="0084664D">
        <w:t xml:space="preserve"> census</w:t>
      </w:r>
      <w:r w:rsidR="003E48C9">
        <w:t xml:space="preserve"> compared with</w:t>
      </w:r>
      <w:r w:rsidR="00A261F3">
        <w:t> 200</w:t>
      </w:r>
      <w:r w:rsidR="003E48C9">
        <w:t>3</w:t>
      </w:r>
      <w:r w:rsidRPr="0042738F">
        <w:t>. The number of nurse practitioners also increased, from 190 in</w:t>
      </w:r>
      <w:r w:rsidR="00A261F3">
        <w:t> 201</w:t>
      </w:r>
      <w:r w:rsidRPr="0042738F">
        <w:t>2 to 293 in</w:t>
      </w:r>
      <w:r w:rsidR="00A261F3">
        <w:t> 201</w:t>
      </w:r>
      <w:r w:rsidRPr="0042738F">
        <w:t>6.</w:t>
      </w:r>
      <w:r w:rsidR="00AE3A52">
        <w:t xml:space="preserve"> </w:t>
      </w:r>
      <w:r w:rsidR="00492BF8">
        <w:fldChar w:fldCharType="begin"/>
      </w:r>
      <w:r w:rsidR="00492BF8">
        <w:instrText xml:space="preserve"> REF _Ref524429099 \r \h </w:instrText>
      </w:r>
      <w:r w:rsidR="00492BF8">
        <w:fldChar w:fldCharType="separate"/>
      </w:r>
      <w:r w:rsidR="00492BF8">
        <w:t>Table 3.1</w:t>
      </w:r>
      <w:r w:rsidR="00492BF8">
        <w:fldChar w:fldCharType="end"/>
      </w:r>
      <w:r w:rsidR="00492BF8">
        <w:t xml:space="preserve"> </w:t>
      </w:r>
      <w:r w:rsidR="00AE3A52">
        <w:t>shows the fulltime equivalent direct care employees in the residential care workforce, by occupation, since</w:t>
      </w:r>
      <w:r w:rsidR="00A261F3">
        <w:t> 200</w:t>
      </w:r>
      <w:r w:rsidR="00AE3A52">
        <w:t>3</w:t>
      </w:r>
      <w:r w:rsidR="00D8721E">
        <w:t>.</w:t>
      </w:r>
    </w:p>
    <w:p w:rsidR="001865B8" w:rsidRDefault="001865B8">
      <w:pPr>
        <w:suppressAutoHyphens w:val="0"/>
        <w:spacing w:before="60" w:after="0"/>
        <w:jc w:val="both"/>
      </w:pPr>
      <w:r>
        <w:br w:type="page"/>
      </w:r>
    </w:p>
    <w:p w:rsidR="00F107FD" w:rsidRPr="00596D01" w:rsidRDefault="00F107FD" w:rsidP="001865B8">
      <w:pPr>
        <w:pStyle w:val="TableTitle"/>
      </w:pPr>
      <w:bookmarkStart w:id="147" w:name="_Ref524429099"/>
      <w:r w:rsidRPr="00596D01">
        <w:lastRenderedPageBreak/>
        <w:t>Full-time equivalent</w:t>
      </w:r>
      <w:r w:rsidR="00F46575" w:rsidRPr="00596D01">
        <w:t xml:space="preserve"> (FTE)</w:t>
      </w:r>
      <w:r w:rsidRPr="00596D01">
        <w:t xml:space="preserve"> direct care employees in the residential aged care workforce, by occupation:</w:t>
      </w:r>
      <w:r w:rsidR="00A261F3" w:rsidRPr="00596D01">
        <w:t> 200</w:t>
      </w:r>
      <w:r w:rsidRPr="00596D01">
        <w:t>3,</w:t>
      </w:r>
      <w:r w:rsidR="00A261F3" w:rsidRPr="00596D01">
        <w:t> 200</w:t>
      </w:r>
      <w:r w:rsidRPr="00596D01">
        <w:t>7,</w:t>
      </w:r>
      <w:r w:rsidR="00A261F3" w:rsidRPr="00596D01">
        <w:t> 201</w:t>
      </w:r>
      <w:r w:rsidRPr="00596D01">
        <w:t>2 and</w:t>
      </w:r>
      <w:r w:rsidR="00A261F3" w:rsidRPr="00596D01">
        <w:t> 201</w:t>
      </w:r>
      <w:r w:rsidRPr="00596D01">
        <w:t>6 (estimated FTE and</w:t>
      </w:r>
      <w:r w:rsidR="00A261F3" w:rsidRPr="00596D01">
        <w:t> per cent</w:t>
      </w:r>
      <w:r w:rsidRPr="00596D01">
        <w:t>)</w:t>
      </w:r>
      <w:bookmarkEnd w:id="147"/>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648"/>
        <w:gridCol w:w="1600"/>
        <w:gridCol w:w="1442"/>
        <w:gridCol w:w="1440"/>
        <w:gridCol w:w="1498"/>
      </w:tblGrid>
      <w:tr w:rsidR="00BF0B8E" w:rsidRPr="001865B8"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894" w:type="pct"/>
            <w:hideMark/>
          </w:tcPr>
          <w:p w:rsidR="00BF0B8E" w:rsidRPr="001865B8" w:rsidRDefault="00BF0B8E" w:rsidP="001865B8">
            <w:r w:rsidRPr="001865B8">
              <w:t>Occupation</w:t>
            </w:r>
          </w:p>
        </w:tc>
        <w:tc>
          <w:tcPr>
            <w:tcW w:w="831" w:type="pct"/>
            <w:hideMark/>
          </w:tcPr>
          <w:p w:rsidR="00BF0B8E" w:rsidRPr="001865B8" w:rsidRDefault="00BF0B8E" w:rsidP="001865B8">
            <w:pPr>
              <w:jc w:val="right"/>
            </w:pPr>
            <w:r w:rsidRPr="001865B8">
              <w:t>2003</w:t>
            </w:r>
          </w:p>
        </w:tc>
        <w:tc>
          <w:tcPr>
            <w:tcW w:w="749" w:type="pct"/>
            <w:hideMark/>
          </w:tcPr>
          <w:p w:rsidR="00BF0B8E" w:rsidRPr="001865B8" w:rsidRDefault="00BF0B8E" w:rsidP="001865B8">
            <w:pPr>
              <w:jc w:val="right"/>
            </w:pPr>
            <w:r w:rsidRPr="001865B8">
              <w:t>2007</w:t>
            </w:r>
          </w:p>
        </w:tc>
        <w:tc>
          <w:tcPr>
            <w:tcW w:w="748" w:type="pct"/>
            <w:hideMark/>
          </w:tcPr>
          <w:p w:rsidR="00BF0B8E" w:rsidRPr="001865B8" w:rsidRDefault="00BF0B8E" w:rsidP="001865B8">
            <w:pPr>
              <w:jc w:val="right"/>
            </w:pPr>
            <w:r w:rsidRPr="001865B8">
              <w:t>2012</w:t>
            </w:r>
          </w:p>
        </w:tc>
        <w:tc>
          <w:tcPr>
            <w:tcW w:w="778" w:type="pct"/>
            <w:hideMark/>
          </w:tcPr>
          <w:p w:rsidR="00BF0B8E" w:rsidRPr="001865B8" w:rsidRDefault="00BF0B8E" w:rsidP="001865B8">
            <w:pPr>
              <w:jc w:val="right"/>
            </w:pPr>
            <w:r w:rsidRPr="001865B8">
              <w:t>2016</w:t>
            </w:r>
          </w:p>
        </w:tc>
      </w:tr>
      <w:tr w:rsidR="00BF0B8E" w:rsidRPr="001865B8" w:rsidTr="001865B8">
        <w:trPr>
          <w:trHeight w:val="113"/>
        </w:trPr>
        <w:tc>
          <w:tcPr>
            <w:tcW w:w="1894" w:type="pct"/>
            <w:hideMark/>
          </w:tcPr>
          <w:p w:rsidR="00BF0B8E" w:rsidRPr="001865B8" w:rsidRDefault="00BF0B8E" w:rsidP="001865B8">
            <w:r w:rsidRPr="001865B8">
              <w:t>Nurse practitioner</w:t>
            </w:r>
          </w:p>
        </w:tc>
        <w:tc>
          <w:tcPr>
            <w:tcW w:w="831" w:type="pct"/>
            <w:hideMark/>
          </w:tcPr>
          <w:p w:rsidR="00BF0B8E" w:rsidRPr="001865B8" w:rsidRDefault="00BF0B8E" w:rsidP="001865B8">
            <w:pPr>
              <w:jc w:val="right"/>
            </w:pPr>
            <w:r w:rsidRPr="001865B8">
              <w:t>n/a</w:t>
            </w:r>
          </w:p>
        </w:tc>
        <w:tc>
          <w:tcPr>
            <w:tcW w:w="749" w:type="pct"/>
            <w:hideMark/>
          </w:tcPr>
          <w:p w:rsidR="00BF0B8E" w:rsidRPr="001865B8" w:rsidRDefault="00BF0B8E" w:rsidP="001865B8">
            <w:pPr>
              <w:jc w:val="right"/>
            </w:pPr>
            <w:r w:rsidRPr="001865B8">
              <w:t>n/a</w:t>
            </w:r>
          </w:p>
        </w:tc>
        <w:tc>
          <w:tcPr>
            <w:tcW w:w="748" w:type="pct"/>
            <w:hideMark/>
          </w:tcPr>
          <w:p w:rsidR="00BF0B8E" w:rsidRPr="001865B8" w:rsidRDefault="00BF0B8E" w:rsidP="001865B8">
            <w:pPr>
              <w:jc w:val="right"/>
            </w:pPr>
            <w:r w:rsidRPr="001865B8">
              <w:t>190</w:t>
            </w:r>
          </w:p>
        </w:tc>
        <w:tc>
          <w:tcPr>
            <w:tcW w:w="778" w:type="pct"/>
            <w:hideMark/>
          </w:tcPr>
          <w:p w:rsidR="00BF0B8E" w:rsidRPr="001865B8" w:rsidRDefault="00BF0B8E" w:rsidP="001865B8">
            <w:pPr>
              <w:jc w:val="right"/>
            </w:pPr>
            <w:r w:rsidRPr="001865B8">
              <w:t>293</w:t>
            </w:r>
          </w:p>
        </w:tc>
      </w:tr>
      <w:tr w:rsidR="00BF0B8E" w:rsidRPr="001865B8" w:rsidTr="001865B8">
        <w:trPr>
          <w:trHeight w:val="113"/>
        </w:trPr>
        <w:tc>
          <w:tcPr>
            <w:tcW w:w="1894" w:type="pct"/>
            <w:hideMark/>
          </w:tcPr>
          <w:p w:rsidR="00BF0B8E" w:rsidRPr="001865B8" w:rsidRDefault="00BF0B8E" w:rsidP="001865B8">
            <w:r w:rsidRPr="001865B8">
              <w:t xml:space="preserve">Registered nurse </w:t>
            </w:r>
          </w:p>
        </w:tc>
        <w:tc>
          <w:tcPr>
            <w:tcW w:w="831" w:type="pct"/>
            <w:hideMark/>
          </w:tcPr>
          <w:p w:rsidR="00BF0B8E" w:rsidRPr="001865B8" w:rsidRDefault="00BF0B8E" w:rsidP="001865B8">
            <w:pPr>
              <w:jc w:val="right"/>
            </w:pPr>
            <w:r w:rsidRPr="001865B8">
              <w:t>16,265</w:t>
            </w:r>
          </w:p>
        </w:tc>
        <w:tc>
          <w:tcPr>
            <w:tcW w:w="749" w:type="pct"/>
            <w:hideMark/>
          </w:tcPr>
          <w:p w:rsidR="00BF0B8E" w:rsidRPr="001865B8" w:rsidRDefault="00BF0B8E" w:rsidP="001865B8">
            <w:pPr>
              <w:jc w:val="right"/>
            </w:pPr>
            <w:r w:rsidRPr="001865B8">
              <w:t>13,247</w:t>
            </w:r>
          </w:p>
        </w:tc>
        <w:tc>
          <w:tcPr>
            <w:tcW w:w="748" w:type="pct"/>
            <w:hideMark/>
          </w:tcPr>
          <w:p w:rsidR="00BF0B8E" w:rsidRPr="001865B8" w:rsidRDefault="00BF0B8E" w:rsidP="001865B8">
            <w:pPr>
              <w:jc w:val="right"/>
            </w:pPr>
            <w:r w:rsidRPr="001865B8">
              <w:t>13,939</w:t>
            </w:r>
          </w:p>
        </w:tc>
        <w:tc>
          <w:tcPr>
            <w:tcW w:w="778" w:type="pct"/>
            <w:hideMark/>
          </w:tcPr>
          <w:p w:rsidR="00BF0B8E" w:rsidRPr="001865B8" w:rsidRDefault="00BF0B8E" w:rsidP="001865B8">
            <w:pPr>
              <w:jc w:val="right"/>
            </w:pPr>
            <w:r w:rsidRPr="001865B8">
              <w:t>14,564</w:t>
            </w:r>
          </w:p>
        </w:tc>
      </w:tr>
      <w:tr w:rsidR="00BF0B8E" w:rsidRPr="001865B8" w:rsidTr="001865B8">
        <w:trPr>
          <w:trHeight w:val="113"/>
        </w:trPr>
        <w:tc>
          <w:tcPr>
            <w:tcW w:w="1894" w:type="pct"/>
            <w:hideMark/>
          </w:tcPr>
          <w:p w:rsidR="00BF0B8E" w:rsidRPr="001865B8" w:rsidRDefault="00BF0B8E" w:rsidP="001865B8">
            <w:r w:rsidRPr="001865B8">
              <w:t xml:space="preserve">Enrolled nurse </w:t>
            </w:r>
          </w:p>
        </w:tc>
        <w:tc>
          <w:tcPr>
            <w:tcW w:w="831" w:type="pct"/>
            <w:hideMark/>
          </w:tcPr>
          <w:p w:rsidR="00BF0B8E" w:rsidRPr="001865B8" w:rsidRDefault="00BF0B8E" w:rsidP="001865B8">
            <w:pPr>
              <w:jc w:val="right"/>
            </w:pPr>
            <w:r w:rsidRPr="001865B8">
              <w:t>10,945</w:t>
            </w:r>
          </w:p>
        </w:tc>
        <w:tc>
          <w:tcPr>
            <w:tcW w:w="749" w:type="pct"/>
            <w:hideMark/>
          </w:tcPr>
          <w:p w:rsidR="00BF0B8E" w:rsidRPr="001865B8" w:rsidRDefault="00BF0B8E" w:rsidP="001865B8">
            <w:pPr>
              <w:jc w:val="right"/>
            </w:pPr>
            <w:r w:rsidRPr="001865B8">
              <w:t>9,856</w:t>
            </w:r>
          </w:p>
        </w:tc>
        <w:tc>
          <w:tcPr>
            <w:tcW w:w="748" w:type="pct"/>
            <w:hideMark/>
          </w:tcPr>
          <w:p w:rsidR="00BF0B8E" w:rsidRPr="001865B8" w:rsidRDefault="00BF0B8E" w:rsidP="001865B8">
            <w:pPr>
              <w:jc w:val="right"/>
            </w:pPr>
            <w:r w:rsidRPr="001865B8">
              <w:t>10,999</w:t>
            </w:r>
          </w:p>
        </w:tc>
        <w:tc>
          <w:tcPr>
            <w:tcW w:w="778" w:type="pct"/>
            <w:hideMark/>
          </w:tcPr>
          <w:p w:rsidR="00BF0B8E" w:rsidRPr="001865B8" w:rsidRDefault="00BF0B8E" w:rsidP="001865B8">
            <w:pPr>
              <w:jc w:val="right"/>
            </w:pPr>
            <w:r w:rsidRPr="001865B8">
              <w:t>9,126</w:t>
            </w:r>
          </w:p>
        </w:tc>
      </w:tr>
      <w:tr w:rsidR="00BF0B8E" w:rsidRPr="001865B8" w:rsidTr="001865B8">
        <w:trPr>
          <w:trHeight w:val="113"/>
        </w:trPr>
        <w:tc>
          <w:tcPr>
            <w:tcW w:w="1894" w:type="pct"/>
            <w:hideMark/>
          </w:tcPr>
          <w:p w:rsidR="00BF0B8E" w:rsidRPr="001865B8" w:rsidRDefault="00BF0B8E" w:rsidP="001865B8">
            <w:r w:rsidRPr="001865B8">
              <w:t>Personal care attendant</w:t>
            </w:r>
          </w:p>
        </w:tc>
        <w:tc>
          <w:tcPr>
            <w:tcW w:w="831" w:type="pct"/>
            <w:hideMark/>
          </w:tcPr>
          <w:p w:rsidR="00BF0B8E" w:rsidRPr="001865B8" w:rsidRDefault="00BF0B8E" w:rsidP="001865B8">
            <w:pPr>
              <w:jc w:val="right"/>
            </w:pPr>
            <w:r w:rsidRPr="001865B8">
              <w:t>42,943</w:t>
            </w:r>
          </w:p>
        </w:tc>
        <w:tc>
          <w:tcPr>
            <w:tcW w:w="749" w:type="pct"/>
            <w:hideMark/>
          </w:tcPr>
          <w:p w:rsidR="00BF0B8E" w:rsidRPr="001865B8" w:rsidRDefault="00BF0B8E" w:rsidP="001865B8">
            <w:pPr>
              <w:jc w:val="right"/>
            </w:pPr>
            <w:r w:rsidRPr="001865B8">
              <w:t>50,542</w:t>
            </w:r>
          </w:p>
        </w:tc>
        <w:tc>
          <w:tcPr>
            <w:tcW w:w="748" w:type="pct"/>
            <w:hideMark/>
          </w:tcPr>
          <w:p w:rsidR="00BF0B8E" w:rsidRPr="001865B8" w:rsidRDefault="00BF0B8E" w:rsidP="001865B8">
            <w:pPr>
              <w:jc w:val="right"/>
            </w:pPr>
            <w:r w:rsidRPr="001865B8">
              <w:t>64,669</w:t>
            </w:r>
          </w:p>
        </w:tc>
        <w:tc>
          <w:tcPr>
            <w:tcW w:w="778" w:type="pct"/>
            <w:hideMark/>
          </w:tcPr>
          <w:p w:rsidR="00BF0B8E" w:rsidRPr="001865B8" w:rsidRDefault="00BF0B8E" w:rsidP="001865B8">
            <w:pPr>
              <w:jc w:val="right"/>
            </w:pPr>
            <w:r w:rsidRPr="001865B8">
              <w:t>69,983</w:t>
            </w:r>
          </w:p>
        </w:tc>
      </w:tr>
      <w:tr w:rsidR="00BF0B8E" w:rsidRPr="001865B8" w:rsidTr="001865B8">
        <w:trPr>
          <w:trHeight w:val="113"/>
        </w:trPr>
        <w:tc>
          <w:tcPr>
            <w:tcW w:w="1894" w:type="pct"/>
            <w:hideMark/>
          </w:tcPr>
          <w:p w:rsidR="00BF0B8E" w:rsidRPr="001865B8" w:rsidRDefault="00BF0B8E" w:rsidP="001865B8">
            <w:r w:rsidRPr="001865B8">
              <w:t>Allied health professional</w:t>
            </w:r>
          </w:p>
        </w:tc>
        <w:tc>
          <w:tcPr>
            <w:tcW w:w="831" w:type="pct"/>
            <w:vMerge w:val="restart"/>
            <w:hideMark/>
          </w:tcPr>
          <w:p w:rsidR="00BF0B8E" w:rsidRPr="001865B8" w:rsidRDefault="00BF0B8E" w:rsidP="001865B8">
            <w:pPr>
              <w:jc w:val="right"/>
            </w:pPr>
            <w:r w:rsidRPr="001865B8">
              <w:t>5,776</w:t>
            </w:r>
          </w:p>
        </w:tc>
        <w:tc>
          <w:tcPr>
            <w:tcW w:w="749" w:type="pct"/>
            <w:vMerge w:val="restart"/>
            <w:hideMark/>
          </w:tcPr>
          <w:p w:rsidR="00BF0B8E" w:rsidRPr="001865B8" w:rsidRDefault="00BF0B8E" w:rsidP="001865B8">
            <w:pPr>
              <w:jc w:val="right"/>
            </w:pPr>
            <w:r w:rsidRPr="001865B8">
              <w:t>5,204</w:t>
            </w:r>
          </w:p>
        </w:tc>
        <w:tc>
          <w:tcPr>
            <w:tcW w:w="748" w:type="pct"/>
            <w:hideMark/>
          </w:tcPr>
          <w:p w:rsidR="00BF0B8E" w:rsidRPr="001865B8" w:rsidRDefault="00BF0B8E" w:rsidP="001865B8">
            <w:pPr>
              <w:jc w:val="right"/>
            </w:pPr>
            <w:r w:rsidRPr="001865B8">
              <w:t>1,612</w:t>
            </w:r>
          </w:p>
        </w:tc>
        <w:tc>
          <w:tcPr>
            <w:tcW w:w="778" w:type="pct"/>
            <w:hideMark/>
          </w:tcPr>
          <w:p w:rsidR="00BF0B8E" w:rsidRPr="001865B8" w:rsidRDefault="00BF0B8E" w:rsidP="001865B8">
            <w:pPr>
              <w:jc w:val="right"/>
            </w:pPr>
            <w:r w:rsidRPr="001865B8">
              <w:t>1,092</w:t>
            </w:r>
          </w:p>
        </w:tc>
      </w:tr>
      <w:tr w:rsidR="00BF0B8E" w:rsidRPr="001865B8" w:rsidTr="001865B8">
        <w:trPr>
          <w:trHeight w:val="113"/>
        </w:trPr>
        <w:tc>
          <w:tcPr>
            <w:tcW w:w="1894" w:type="pct"/>
            <w:hideMark/>
          </w:tcPr>
          <w:p w:rsidR="00BF0B8E" w:rsidRPr="001865B8" w:rsidRDefault="00BF0B8E" w:rsidP="001865B8">
            <w:r w:rsidRPr="001865B8">
              <w:t>Allied health assistant</w:t>
            </w:r>
          </w:p>
        </w:tc>
        <w:tc>
          <w:tcPr>
            <w:tcW w:w="831" w:type="pct"/>
            <w:vMerge/>
            <w:hideMark/>
          </w:tcPr>
          <w:p w:rsidR="00BF0B8E" w:rsidRPr="001865B8" w:rsidRDefault="00BF0B8E" w:rsidP="001865B8">
            <w:pPr>
              <w:jc w:val="right"/>
            </w:pPr>
          </w:p>
        </w:tc>
        <w:tc>
          <w:tcPr>
            <w:tcW w:w="749" w:type="pct"/>
            <w:vMerge/>
            <w:hideMark/>
          </w:tcPr>
          <w:p w:rsidR="00BF0B8E" w:rsidRPr="001865B8" w:rsidRDefault="00BF0B8E" w:rsidP="001865B8">
            <w:pPr>
              <w:jc w:val="right"/>
            </w:pPr>
          </w:p>
        </w:tc>
        <w:tc>
          <w:tcPr>
            <w:tcW w:w="748" w:type="pct"/>
            <w:hideMark/>
          </w:tcPr>
          <w:p w:rsidR="00BF0B8E" w:rsidRPr="001865B8" w:rsidRDefault="00BF0B8E" w:rsidP="001865B8">
            <w:pPr>
              <w:jc w:val="right"/>
            </w:pPr>
            <w:r w:rsidRPr="001865B8">
              <w:t>3,414</w:t>
            </w:r>
          </w:p>
        </w:tc>
        <w:tc>
          <w:tcPr>
            <w:tcW w:w="778" w:type="pct"/>
            <w:hideMark/>
          </w:tcPr>
          <w:p w:rsidR="00BF0B8E" w:rsidRPr="001865B8" w:rsidRDefault="00BF0B8E" w:rsidP="001865B8">
            <w:pPr>
              <w:jc w:val="right"/>
            </w:pPr>
            <w:r w:rsidRPr="001865B8">
              <w:t>2,862</w:t>
            </w:r>
          </w:p>
        </w:tc>
      </w:tr>
      <w:tr w:rsidR="00BF0B8E" w:rsidRPr="001865B8" w:rsidTr="001865B8">
        <w:trPr>
          <w:trHeight w:val="113"/>
        </w:trPr>
        <w:tc>
          <w:tcPr>
            <w:tcW w:w="1894" w:type="pct"/>
            <w:hideMark/>
          </w:tcPr>
          <w:p w:rsidR="00BF0B8E" w:rsidRPr="001865B8" w:rsidRDefault="00BF0B8E" w:rsidP="001865B8">
            <w:r w:rsidRPr="001865B8">
              <w:rPr>
                <w:rStyle w:val="Strong"/>
              </w:rPr>
              <w:t>Total number of employees (FTE)</w:t>
            </w:r>
          </w:p>
        </w:tc>
        <w:tc>
          <w:tcPr>
            <w:tcW w:w="831" w:type="pct"/>
            <w:hideMark/>
          </w:tcPr>
          <w:p w:rsidR="00BF0B8E" w:rsidRPr="001865B8" w:rsidRDefault="00BF0B8E" w:rsidP="001865B8">
            <w:pPr>
              <w:jc w:val="right"/>
            </w:pPr>
            <w:r w:rsidRPr="001865B8">
              <w:rPr>
                <w:rStyle w:val="Strong"/>
              </w:rPr>
              <w:t>76,006</w:t>
            </w:r>
          </w:p>
        </w:tc>
        <w:tc>
          <w:tcPr>
            <w:tcW w:w="749" w:type="pct"/>
            <w:hideMark/>
          </w:tcPr>
          <w:p w:rsidR="00BF0B8E" w:rsidRPr="001865B8" w:rsidRDefault="00BF0B8E" w:rsidP="001865B8">
            <w:pPr>
              <w:jc w:val="right"/>
            </w:pPr>
            <w:r w:rsidRPr="001865B8">
              <w:rPr>
                <w:rStyle w:val="Strong"/>
              </w:rPr>
              <w:t>78,849</w:t>
            </w:r>
          </w:p>
        </w:tc>
        <w:tc>
          <w:tcPr>
            <w:tcW w:w="748" w:type="pct"/>
            <w:hideMark/>
          </w:tcPr>
          <w:p w:rsidR="00BF0B8E" w:rsidRPr="001865B8" w:rsidRDefault="00BF0B8E" w:rsidP="001865B8">
            <w:pPr>
              <w:jc w:val="right"/>
            </w:pPr>
            <w:r w:rsidRPr="001865B8">
              <w:rPr>
                <w:rStyle w:val="Strong"/>
              </w:rPr>
              <w:t>94,823</w:t>
            </w:r>
          </w:p>
        </w:tc>
        <w:tc>
          <w:tcPr>
            <w:tcW w:w="778" w:type="pct"/>
            <w:hideMark/>
          </w:tcPr>
          <w:p w:rsidR="00BF0B8E" w:rsidRPr="001865B8" w:rsidRDefault="00BF0B8E" w:rsidP="001865B8">
            <w:pPr>
              <w:jc w:val="right"/>
              <w:rPr>
                <w:rStyle w:val="Strong"/>
              </w:rPr>
            </w:pPr>
            <w:r w:rsidRPr="001865B8">
              <w:rPr>
                <w:rStyle w:val="Strong"/>
              </w:rPr>
              <w:t>97,920</w:t>
            </w:r>
          </w:p>
        </w:tc>
      </w:tr>
      <w:tr w:rsidR="00BF0B8E" w:rsidRPr="001865B8" w:rsidTr="001865B8">
        <w:trPr>
          <w:trHeight w:val="113"/>
        </w:trPr>
        <w:tc>
          <w:tcPr>
            <w:tcW w:w="1894" w:type="pct"/>
            <w:hideMark/>
          </w:tcPr>
          <w:p w:rsidR="00BF0B8E" w:rsidRPr="001865B8" w:rsidRDefault="00BF0B8E" w:rsidP="001865B8">
            <w:r w:rsidRPr="001865B8">
              <w:rPr>
                <w:rStyle w:val="Strong"/>
              </w:rPr>
              <w:t>As a % of total employees:</w:t>
            </w:r>
          </w:p>
        </w:tc>
        <w:tc>
          <w:tcPr>
            <w:tcW w:w="831" w:type="pct"/>
          </w:tcPr>
          <w:p w:rsidR="00BF0B8E" w:rsidRPr="001865B8" w:rsidRDefault="00BF0B8E" w:rsidP="001865B8">
            <w:pPr>
              <w:jc w:val="right"/>
            </w:pPr>
          </w:p>
        </w:tc>
        <w:tc>
          <w:tcPr>
            <w:tcW w:w="749" w:type="pct"/>
          </w:tcPr>
          <w:p w:rsidR="00BF0B8E" w:rsidRPr="001865B8" w:rsidRDefault="00BF0B8E" w:rsidP="001865B8">
            <w:pPr>
              <w:jc w:val="right"/>
            </w:pPr>
          </w:p>
        </w:tc>
        <w:tc>
          <w:tcPr>
            <w:tcW w:w="748" w:type="pct"/>
          </w:tcPr>
          <w:p w:rsidR="00BF0B8E" w:rsidRPr="001865B8" w:rsidRDefault="00BF0B8E" w:rsidP="001865B8">
            <w:pPr>
              <w:jc w:val="right"/>
            </w:pPr>
          </w:p>
        </w:tc>
        <w:tc>
          <w:tcPr>
            <w:tcW w:w="778" w:type="pct"/>
          </w:tcPr>
          <w:p w:rsidR="00BF0B8E" w:rsidRPr="001865B8" w:rsidRDefault="00BF0B8E" w:rsidP="001865B8">
            <w:pPr>
              <w:jc w:val="right"/>
              <w:rPr>
                <w:rStyle w:val="Strong"/>
              </w:rPr>
            </w:pPr>
          </w:p>
        </w:tc>
      </w:tr>
      <w:tr w:rsidR="00BF0B8E" w:rsidRPr="001865B8" w:rsidTr="001865B8">
        <w:trPr>
          <w:trHeight w:val="113"/>
        </w:trPr>
        <w:tc>
          <w:tcPr>
            <w:tcW w:w="1894" w:type="pct"/>
            <w:hideMark/>
          </w:tcPr>
          <w:p w:rsidR="00BF0B8E" w:rsidRPr="001865B8" w:rsidRDefault="00BF0B8E" w:rsidP="001865B8">
            <w:r w:rsidRPr="001865B8">
              <w:t>Nurse practitioner</w:t>
            </w:r>
          </w:p>
        </w:tc>
        <w:tc>
          <w:tcPr>
            <w:tcW w:w="831" w:type="pct"/>
            <w:hideMark/>
          </w:tcPr>
          <w:p w:rsidR="00BF0B8E" w:rsidRPr="001865B8" w:rsidRDefault="00BF0B8E" w:rsidP="001865B8">
            <w:pPr>
              <w:jc w:val="right"/>
            </w:pPr>
            <w:r w:rsidRPr="001865B8">
              <w:t>n/a</w:t>
            </w:r>
          </w:p>
        </w:tc>
        <w:tc>
          <w:tcPr>
            <w:tcW w:w="749" w:type="pct"/>
            <w:hideMark/>
          </w:tcPr>
          <w:p w:rsidR="00BF0B8E" w:rsidRPr="001865B8" w:rsidRDefault="00BF0B8E" w:rsidP="001865B8">
            <w:pPr>
              <w:jc w:val="right"/>
            </w:pPr>
            <w:r w:rsidRPr="001865B8">
              <w:t>n/a</w:t>
            </w:r>
          </w:p>
        </w:tc>
        <w:tc>
          <w:tcPr>
            <w:tcW w:w="748" w:type="pct"/>
            <w:hideMark/>
          </w:tcPr>
          <w:p w:rsidR="00BF0B8E" w:rsidRPr="001865B8" w:rsidRDefault="00BF0B8E" w:rsidP="001865B8">
            <w:pPr>
              <w:jc w:val="right"/>
            </w:pPr>
            <w:r w:rsidRPr="001865B8">
              <w:t>0.2%</w:t>
            </w:r>
          </w:p>
        </w:tc>
        <w:tc>
          <w:tcPr>
            <w:tcW w:w="778" w:type="pct"/>
            <w:hideMark/>
          </w:tcPr>
          <w:p w:rsidR="00BF0B8E" w:rsidRPr="001865B8" w:rsidRDefault="00BF0B8E" w:rsidP="001865B8">
            <w:pPr>
              <w:jc w:val="right"/>
            </w:pPr>
            <w:r w:rsidRPr="001865B8">
              <w:t>0.3%</w:t>
            </w:r>
          </w:p>
        </w:tc>
      </w:tr>
      <w:tr w:rsidR="00BF0B8E" w:rsidRPr="001865B8" w:rsidTr="001865B8">
        <w:trPr>
          <w:trHeight w:val="113"/>
        </w:trPr>
        <w:tc>
          <w:tcPr>
            <w:tcW w:w="1894" w:type="pct"/>
            <w:hideMark/>
          </w:tcPr>
          <w:p w:rsidR="00BF0B8E" w:rsidRPr="001865B8" w:rsidRDefault="00BF0B8E" w:rsidP="001865B8">
            <w:r w:rsidRPr="001865B8">
              <w:t xml:space="preserve">Registered nurse </w:t>
            </w:r>
          </w:p>
        </w:tc>
        <w:tc>
          <w:tcPr>
            <w:tcW w:w="831" w:type="pct"/>
            <w:hideMark/>
          </w:tcPr>
          <w:p w:rsidR="00BF0B8E" w:rsidRPr="001865B8" w:rsidRDefault="00BF0B8E" w:rsidP="001865B8">
            <w:pPr>
              <w:jc w:val="right"/>
            </w:pPr>
            <w:r w:rsidRPr="001865B8">
              <w:t>21.4%</w:t>
            </w:r>
          </w:p>
        </w:tc>
        <w:tc>
          <w:tcPr>
            <w:tcW w:w="749" w:type="pct"/>
            <w:hideMark/>
          </w:tcPr>
          <w:p w:rsidR="00BF0B8E" w:rsidRPr="001865B8" w:rsidRDefault="00BF0B8E" w:rsidP="001865B8">
            <w:pPr>
              <w:jc w:val="right"/>
            </w:pPr>
            <w:r w:rsidRPr="001865B8">
              <w:t>16.8%</w:t>
            </w:r>
          </w:p>
        </w:tc>
        <w:tc>
          <w:tcPr>
            <w:tcW w:w="748" w:type="pct"/>
            <w:hideMark/>
          </w:tcPr>
          <w:p w:rsidR="00BF0B8E" w:rsidRPr="001865B8" w:rsidRDefault="00BF0B8E" w:rsidP="001865B8">
            <w:pPr>
              <w:jc w:val="right"/>
            </w:pPr>
            <w:r w:rsidRPr="001865B8">
              <w:t>14.7%</w:t>
            </w:r>
          </w:p>
        </w:tc>
        <w:tc>
          <w:tcPr>
            <w:tcW w:w="778" w:type="pct"/>
            <w:hideMark/>
          </w:tcPr>
          <w:p w:rsidR="00BF0B8E" w:rsidRPr="001865B8" w:rsidRDefault="00BF0B8E" w:rsidP="001865B8">
            <w:pPr>
              <w:jc w:val="right"/>
            </w:pPr>
            <w:r w:rsidRPr="001865B8">
              <w:t>14.9%</w:t>
            </w:r>
          </w:p>
        </w:tc>
      </w:tr>
      <w:tr w:rsidR="00BF0B8E" w:rsidRPr="001865B8" w:rsidTr="001865B8">
        <w:trPr>
          <w:trHeight w:val="113"/>
        </w:trPr>
        <w:tc>
          <w:tcPr>
            <w:tcW w:w="1894" w:type="pct"/>
            <w:hideMark/>
          </w:tcPr>
          <w:p w:rsidR="00BF0B8E" w:rsidRPr="001865B8" w:rsidRDefault="00BF0B8E" w:rsidP="001865B8">
            <w:r w:rsidRPr="001865B8">
              <w:t xml:space="preserve">Enrolled nurse </w:t>
            </w:r>
          </w:p>
        </w:tc>
        <w:tc>
          <w:tcPr>
            <w:tcW w:w="831" w:type="pct"/>
            <w:hideMark/>
          </w:tcPr>
          <w:p w:rsidR="00BF0B8E" w:rsidRPr="001865B8" w:rsidRDefault="00BF0B8E" w:rsidP="001865B8">
            <w:pPr>
              <w:jc w:val="right"/>
            </w:pPr>
            <w:r w:rsidRPr="001865B8">
              <w:t>14.4%</w:t>
            </w:r>
          </w:p>
        </w:tc>
        <w:tc>
          <w:tcPr>
            <w:tcW w:w="749" w:type="pct"/>
            <w:hideMark/>
          </w:tcPr>
          <w:p w:rsidR="00BF0B8E" w:rsidRPr="001865B8" w:rsidRDefault="00BF0B8E" w:rsidP="001865B8">
            <w:pPr>
              <w:jc w:val="right"/>
            </w:pPr>
            <w:r w:rsidRPr="001865B8">
              <w:t>12.5%</w:t>
            </w:r>
          </w:p>
        </w:tc>
        <w:tc>
          <w:tcPr>
            <w:tcW w:w="748" w:type="pct"/>
            <w:hideMark/>
          </w:tcPr>
          <w:p w:rsidR="00BF0B8E" w:rsidRPr="001865B8" w:rsidRDefault="00BF0B8E" w:rsidP="001865B8">
            <w:pPr>
              <w:jc w:val="right"/>
            </w:pPr>
            <w:r w:rsidRPr="001865B8">
              <w:t>11.6%</w:t>
            </w:r>
          </w:p>
        </w:tc>
        <w:tc>
          <w:tcPr>
            <w:tcW w:w="778" w:type="pct"/>
            <w:hideMark/>
          </w:tcPr>
          <w:p w:rsidR="00BF0B8E" w:rsidRPr="001865B8" w:rsidRDefault="00BF0B8E" w:rsidP="001865B8">
            <w:pPr>
              <w:jc w:val="right"/>
            </w:pPr>
            <w:r w:rsidRPr="001865B8">
              <w:t>9.3%</w:t>
            </w:r>
          </w:p>
        </w:tc>
      </w:tr>
      <w:tr w:rsidR="00BF0B8E" w:rsidRPr="001865B8" w:rsidTr="001865B8">
        <w:trPr>
          <w:trHeight w:val="113"/>
        </w:trPr>
        <w:tc>
          <w:tcPr>
            <w:tcW w:w="1894" w:type="pct"/>
            <w:hideMark/>
          </w:tcPr>
          <w:p w:rsidR="00BF0B8E" w:rsidRPr="001865B8" w:rsidRDefault="00BF0B8E" w:rsidP="001865B8">
            <w:r w:rsidRPr="001865B8">
              <w:t>Personal care attendant</w:t>
            </w:r>
          </w:p>
        </w:tc>
        <w:tc>
          <w:tcPr>
            <w:tcW w:w="831" w:type="pct"/>
            <w:hideMark/>
          </w:tcPr>
          <w:p w:rsidR="00BF0B8E" w:rsidRPr="001865B8" w:rsidRDefault="00BF0B8E" w:rsidP="001865B8">
            <w:pPr>
              <w:jc w:val="right"/>
            </w:pPr>
            <w:r w:rsidRPr="001865B8">
              <w:t>56.5%</w:t>
            </w:r>
          </w:p>
        </w:tc>
        <w:tc>
          <w:tcPr>
            <w:tcW w:w="749" w:type="pct"/>
            <w:hideMark/>
          </w:tcPr>
          <w:p w:rsidR="00BF0B8E" w:rsidRPr="001865B8" w:rsidRDefault="00BF0B8E" w:rsidP="001865B8">
            <w:pPr>
              <w:jc w:val="right"/>
            </w:pPr>
            <w:r w:rsidRPr="001865B8">
              <w:t>64.1%</w:t>
            </w:r>
          </w:p>
        </w:tc>
        <w:tc>
          <w:tcPr>
            <w:tcW w:w="748" w:type="pct"/>
            <w:hideMark/>
          </w:tcPr>
          <w:p w:rsidR="00BF0B8E" w:rsidRPr="001865B8" w:rsidRDefault="00BF0B8E" w:rsidP="001865B8">
            <w:pPr>
              <w:jc w:val="right"/>
            </w:pPr>
            <w:r w:rsidRPr="001865B8">
              <w:t>68.2%</w:t>
            </w:r>
          </w:p>
        </w:tc>
        <w:tc>
          <w:tcPr>
            <w:tcW w:w="778" w:type="pct"/>
            <w:hideMark/>
          </w:tcPr>
          <w:p w:rsidR="00BF0B8E" w:rsidRPr="001865B8" w:rsidRDefault="00BF0B8E" w:rsidP="001865B8">
            <w:pPr>
              <w:jc w:val="right"/>
            </w:pPr>
            <w:r w:rsidRPr="001865B8">
              <w:t>71.5%</w:t>
            </w:r>
          </w:p>
        </w:tc>
      </w:tr>
      <w:tr w:rsidR="00BF0B8E" w:rsidRPr="001865B8" w:rsidTr="001865B8">
        <w:trPr>
          <w:trHeight w:val="113"/>
        </w:trPr>
        <w:tc>
          <w:tcPr>
            <w:tcW w:w="1894" w:type="pct"/>
            <w:hideMark/>
          </w:tcPr>
          <w:p w:rsidR="00BF0B8E" w:rsidRPr="001865B8" w:rsidRDefault="00BF0B8E" w:rsidP="001865B8">
            <w:r w:rsidRPr="001865B8">
              <w:t>Allied health professional</w:t>
            </w:r>
          </w:p>
        </w:tc>
        <w:tc>
          <w:tcPr>
            <w:tcW w:w="831" w:type="pct"/>
            <w:vMerge w:val="restart"/>
            <w:hideMark/>
          </w:tcPr>
          <w:p w:rsidR="00BF0B8E" w:rsidRPr="001865B8" w:rsidRDefault="00BF0B8E" w:rsidP="001865B8">
            <w:pPr>
              <w:jc w:val="right"/>
            </w:pPr>
            <w:r w:rsidRPr="001865B8">
              <w:t>7.6%</w:t>
            </w:r>
          </w:p>
        </w:tc>
        <w:tc>
          <w:tcPr>
            <w:tcW w:w="749" w:type="pct"/>
            <w:vMerge w:val="restart"/>
            <w:hideMark/>
          </w:tcPr>
          <w:p w:rsidR="00BF0B8E" w:rsidRPr="001865B8" w:rsidRDefault="00BF0B8E" w:rsidP="001865B8">
            <w:pPr>
              <w:jc w:val="right"/>
            </w:pPr>
            <w:r w:rsidRPr="001865B8">
              <w:t>6.6%</w:t>
            </w:r>
          </w:p>
        </w:tc>
        <w:tc>
          <w:tcPr>
            <w:tcW w:w="748" w:type="pct"/>
            <w:hideMark/>
          </w:tcPr>
          <w:p w:rsidR="00BF0B8E" w:rsidRPr="001865B8" w:rsidRDefault="00BF0B8E" w:rsidP="001865B8">
            <w:pPr>
              <w:jc w:val="right"/>
            </w:pPr>
            <w:r w:rsidRPr="001865B8">
              <w:t>1.7%</w:t>
            </w:r>
          </w:p>
        </w:tc>
        <w:tc>
          <w:tcPr>
            <w:tcW w:w="778" w:type="pct"/>
            <w:hideMark/>
          </w:tcPr>
          <w:p w:rsidR="00BF0B8E" w:rsidRPr="001865B8" w:rsidRDefault="00BF0B8E" w:rsidP="001865B8">
            <w:pPr>
              <w:jc w:val="right"/>
            </w:pPr>
            <w:r w:rsidRPr="001865B8">
              <w:t>1.1%</w:t>
            </w:r>
          </w:p>
        </w:tc>
      </w:tr>
      <w:tr w:rsidR="00BF0B8E" w:rsidRPr="001865B8" w:rsidTr="001865B8">
        <w:trPr>
          <w:trHeight w:val="113"/>
        </w:trPr>
        <w:tc>
          <w:tcPr>
            <w:tcW w:w="1894" w:type="pct"/>
            <w:hideMark/>
          </w:tcPr>
          <w:p w:rsidR="00BF0B8E" w:rsidRPr="001865B8" w:rsidRDefault="00BF0B8E" w:rsidP="001865B8">
            <w:r w:rsidRPr="001865B8">
              <w:t>Allied health assistant</w:t>
            </w:r>
          </w:p>
        </w:tc>
        <w:tc>
          <w:tcPr>
            <w:tcW w:w="831" w:type="pct"/>
            <w:vMerge/>
            <w:hideMark/>
          </w:tcPr>
          <w:p w:rsidR="00BF0B8E" w:rsidRPr="001865B8" w:rsidRDefault="00BF0B8E" w:rsidP="001865B8">
            <w:pPr>
              <w:jc w:val="right"/>
            </w:pPr>
          </w:p>
        </w:tc>
        <w:tc>
          <w:tcPr>
            <w:tcW w:w="749" w:type="pct"/>
            <w:vMerge/>
            <w:hideMark/>
          </w:tcPr>
          <w:p w:rsidR="00BF0B8E" w:rsidRPr="001865B8" w:rsidRDefault="00BF0B8E" w:rsidP="001865B8">
            <w:pPr>
              <w:jc w:val="right"/>
            </w:pPr>
          </w:p>
        </w:tc>
        <w:tc>
          <w:tcPr>
            <w:tcW w:w="748" w:type="pct"/>
            <w:hideMark/>
          </w:tcPr>
          <w:p w:rsidR="00BF0B8E" w:rsidRPr="001865B8" w:rsidRDefault="00BF0B8E" w:rsidP="001865B8">
            <w:pPr>
              <w:jc w:val="right"/>
            </w:pPr>
            <w:r w:rsidRPr="001865B8">
              <w:t>3.6%</w:t>
            </w:r>
          </w:p>
        </w:tc>
        <w:tc>
          <w:tcPr>
            <w:tcW w:w="778" w:type="pct"/>
            <w:hideMark/>
          </w:tcPr>
          <w:p w:rsidR="00BF0B8E" w:rsidRPr="001865B8" w:rsidRDefault="00BF0B8E" w:rsidP="001865B8">
            <w:pPr>
              <w:jc w:val="right"/>
            </w:pPr>
            <w:r w:rsidRPr="001865B8">
              <w:t>2.9%</w:t>
            </w:r>
          </w:p>
        </w:tc>
      </w:tr>
    </w:tbl>
    <w:p w:rsidR="00D8721E" w:rsidRDefault="00EC510A" w:rsidP="001865B8">
      <w:r>
        <w:t>Residential care</w:t>
      </w:r>
      <w:r w:rsidR="0013084D" w:rsidRPr="0042738F">
        <w:t xml:space="preserve"> continue</w:t>
      </w:r>
      <w:r>
        <w:t>s</w:t>
      </w:r>
      <w:r w:rsidR="0013084D" w:rsidRPr="0042738F">
        <w:t xml:space="preserve"> to rely heavily on personal care attendants (PCAs), with PCAs increasing as a proportion of di</w:t>
      </w:r>
      <w:r w:rsidR="00272B5B">
        <w:t>rect care employees from 6</w:t>
      </w:r>
      <w:r w:rsidR="00D00B54">
        <w:t>8</w:t>
      </w:r>
      <w:r w:rsidR="00A261F3">
        <w:t> per cent</w:t>
      </w:r>
      <w:r w:rsidR="0013084D" w:rsidRPr="0042738F">
        <w:t xml:space="preserve"> in</w:t>
      </w:r>
      <w:r w:rsidR="00A261F3">
        <w:t> 201</w:t>
      </w:r>
      <w:r w:rsidR="0013084D" w:rsidRPr="0042738F">
        <w:t>2 to 7</w:t>
      </w:r>
      <w:r w:rsidR="00341DAB">
        <w:t>2</w:t>
      </w:r>
      <w:r w:rsidR="00A261F3">
        <w:t> per cent</w:t>
      </w:r>
      <w:r w:rsidR="0013084D" w:rsidRPr="0042738F">
        <w:t xml:space="preserve"> in</w:t>
      </w:r>
      <w:r w:rsidR="00A261F3">
        <w:t> 201</w:t>
      </w:r>
      <w:r w:rsidR="0013084D" w:rsidRPr="0042738F">
        <w:t>6. In</w:t>
      </w:r>
      <w:r w:rsidR="00A261F3">
        <w:t> 200</w:t>
      </w:r>
      <w:r w:rsidR="0013084D" w:rsidRPr="0042738F">
        <w:t>3</w:t>
      </w:r>
      <w:r w:rsidR="007C4243">
        <w:t>,</w:t>
      </w:r>
      <w:r w:rsidR="00272B5B">
        <w:t xml:space="preserve"> PCAs represented 5</w:t>
      </w:r>
      <w:r w:rsidR="00D00B54">
        <w:t>7</w:t>
      </w:r>
      <w:r w:rsidR="00A261F3">
        <w:t> per cent</w:t>
      </w:r>
      <w:r w:rsidR="0013084D" w:rsidRPr="0042738F">
        <w:t xml:space="preserve"> of direct care employees</w:t>
      </w:r>
      <w:r w:rsidR="00D8721E">
        <w:t>.</w:t>
      </w:r>
    </w:p>
    <w:p w:rsidR="003E48C9" w:rsidRDefault="003E48C9" w:rsidP="001865B8">
      <w:r>
        <w:t>The</w:t>
      </w:r>
      <w:r w:rsidR="00A261F3">
        <w:t> 201</w:t>
      </w:r>
      <w:r w:rsidR="003E6466">
        <w:t>6 C</w:t>
      </w:r>
      <w:r>
        <w:t>ensus reports a significant up-skilling of PCA workers in recent years, measured by the proportion of care workers holding Certificate III and IV in Aged Care. The proportion of facilities with more than three-quarters of PCAs holding a Certificate III rose from 4</w:t>
      </w:r>
      <w:r w:rsidR="00D00B54">
        <w:t>7</w:t>
      </w:r>
      <w:r w:rsidR="00A261F3">
        <w:t> per cent</w:t>
      </w:r>
      <w:r>
        <w:t xml:space="preserve"> in</w:t>
      </w:r>
      <w:r w:rsidR="00A261F3">
        <w:t> 200</w:t>
      </w:r>
      <w:r>
        <w:t>7 to 6</w:t>
      </w:r>
      <w:r w:rsidR="00341DAB">
        <w:t>2</w:t>
      </w:r>
      <w:r w:rsidR="00A261F3">
        <w:t> per cent</w:t>
      </w:r>
      <w:r>
        <w:t xml:space="preserve"> in</w:t>
      </w:r>
      <w:r w:rsidR="00A261F3">
        <w:t> 201</w:t>
      </w:r>
      <w:r>
        <w:t>2 and to 6</w:t>
      </w:r>
      <w:r w:rsidR="00D00B54">
        <w:t>6</w:t>
      </w:r>
      <w:r w:rsidR="00A261F3">
        <w:t> per cent</w:t>
      </w:r>
      <w:r>
        <w:t xml:space="preserve"> in</w:t>
      </w:r>
      <w:r w:rsidR="00A261F3">
        <w:t> 201</w:t>
      </w:r>
      <w:r>
        <w:t>6.</w:t>
      </w:r>
    </w:p>
    <w:p w:rsidR="00D8721E" w:rsidRDefault="004B1C39" w:rsidP="001865B8">
      <w:r w:rsidRPr="004B1C39">
        <w:t xml:space="preserve">In terms </w:t>
      </w:r>
      <w:r w:rsidR="005775DC">
        <w:t>of stability, the residential</w:t>
      </w:r>
      <w:r w:rsidRPr="004B1C39">
        <w:t xml:space="preserve"> care workforce showed some positive results. </w:t>
      </w:r>
      <w:r w:rsidR="00842013">
        <w:t>Forty</w:t>
      </w:r>
      <w:r w:rsidR="00842013">
        <w:noBreakHyphen/>
        <w:t>two</w:t>
      </w:r>
      <w:r w:rsidR="00A261F3">
        <w:t> per cent</w:t>
      </w:r>
      <w:r w:rsidRPr="004B1C39">
        <w:t xml:space="preserve"> of direct care employees had worked in the sector more than nine years, and approximately 2</w:t>
      </w:r>
      <w:r w:rsidR="009C307B">
        <w:t>5</w:t>
      </w:r>
      <w:r w:rsidR="00A261F3">
        <w:t> per cent</w:t>
      </w:r>
      <w:r w:rsidRPr="004B1C39">
        <w:t xml:space="preserve"> had worked in t</w:t>
      </w:r>
      <w:r w:rsidR="004F5438">
        <w:t>he sector more than 14 years. Ten</w:t>
      </w:r>
      <w:r w:rsidR="00A261F3">
        <w:t> per cent</w:t>
      </w:r>
      <w:r w:rsidRPr="004B1C39">
        <w:t xml:space="preserve"> of workers were actively seeking new employment</w:t>
      </w:r>
      <w:r w:rsidR="00D8721E">
        <w:t>.</w:t>
      </w:r>
    </w:p>
    <w:p w:rsidR="00D8721E" w:rsidRPr="00596D01" w:rsidRDefault="0013084D" w:rsidP="00944018">
      <w:pPr>
        <w:pStyle w:val="Heading5"/>
      </w:pPr>
      <w:r w:rsidRPr="00596D01">
        <w:t>The home</w:t>
      </w:r>
      <w:r w:rsidR="0047319E" w:rsidRPr="00596D01">
        <w:t xml:space="preserve"> </w:t>
      </w:r>
      <w:r w:rsidR="004A00B7" w:rsidRPr="00596D01">
        <w:t>support and home care</w:t>
      </w:r>
      <w:r w:rsidRPr="00596D01">
        <w:t xml:space="preserve"> workforce</w:t>
      </w:r>
    </w:p>
    <w:p w:rsidR="00D8721E" w:rsidRDefault="005949E5" w:rsidP="001865B8">
      <w:r>
        <w:t>T</w:t>
      </w:r>
      <w:r w:rsidR="00E14925" w:rsidRPr="0042738F">
        <w:t xml:space="preserve">he </w:t>
      </w:r>
      <w:r w:rsidR="004A00B7" w:rsidRPr="0042738F">
        <w:t xml:space="preserve">home </w:t>
      </w:r>
      <w:r w:rsidR="004A00B7">
        <w:t xml:space="preserve">support and </w:t>
      </w:r>
      <w:r w:rsidR="004A00B7" w:rsidRPr="0042738F">
        <w:t xml:space="preserve">home </w:t>
      </w:r>
      <w:r w:rsidR="004A00B7">
        <w:t>care</w:t>
      </w:r>
      <w:r w:rsidR="00E14925">
        <w:t xml:space="preserve"> workforce </w:t>
      </w:r>
      <w:r>
        <w:t>reported</w:t>
      </w:r>
      <w:r w:rsidR="00E14925" w:rsidRPr="0042738F">
        <w:t xml:space="preserve"> a significant reduction in its paid workforce</w:t>
      </w:r>
      <w:r>
        <w:t xml:space="preserve"> in</w:t>
      </w:r>
      <w:r w:rsidR="00A261F3">
        <w:t> 201</w:t>
      </w:r>
      <w:r>
        <w:t>6 compared with</w:t>
      </w:r>
      <w:r w:rsidR="00A261F3">
        <w:t> 201</w:t>
      </w:r>
      <w:r w:rsidR="00E14925" w:rsidRPr="0042738F">
        <w:t>2</w:t>
      </w:r>
      <w:r w:rsidR="004F5438">
        <w:t>,</w:t>
      </w:r>
      <w:r w:rsidR="00E14925">
        <w:t xml:space="preserve"> ac</w:t>
      </w:r>
      <w:r w:rsidR="00AA684F">
        <w:t>cording to the census results (</w:t>
      </w:r>
      <w:r w:rsidR="00492BF8">
        <w:fldChar w:fldCharType="begin"/>
      </w:r>
      <w:r w:rsidR="00492BF8">
        <w:instrText xml:space="preserve"> REF _Ref524429108 \r \h </w:instrText>
      </w:r>
      <w:r w:rsidR="00492BF8">
        <w:fldChar w:fldCharType="separate"/>
      </w:r>
      <w:r w:rsidR="00492BF8">
        <w:t>Table 3.2</w:t>
      </w:r>
      <w:r w:rsidR="00492BF8">
        <w:fldChar w:fldCharType="end"/>
      </w:r>
      <w:r w:rsidR="00E14925">
        <w:t>).</w:t>
      </w:r>
      <w:r w:rsidR="00E14925" w:rsidRPr="0042738F">
        <w:t xml:space="preserve"> This is despite significant growth in the number of consumers during this period. </w:t>
      </w:r>
      <w:r w:rsidR="00895A32">
        <w:t>The</w:t>
      </w:r>
      <w:r w:rsidR="00A261F3">
        <w:t> 201</w:t>
      </w:r>
      <w:r w:rsidR="00895A32">
        <w:t>6 </w:t>
      </w:r>
      <w:r w:rsidR="000C1C35">
        <w:t>C</w:t>
      </w:r>
      <w:r w:rsidR="009B6543">
        <w:t>ensus</w:t>
      </w:r>
      <w:r w:rsidR="00E14925">
        <w:t xml:space="preserve"> showed a</w:t>
      </w:r>
      <w:r w:rsidR="00E14925" w:rsidRPr="0042738F">
        <w:t xml:space="preserve"> 1</w:t>
      </w:r>
      <w:r w:rsidR="00341DAB">
        <w:t>3</w:t>
      </w:r>
      <w:r w:rsidR="00A261F3">
        <w:t> per cent</w:t>
      </w:r>
      <w:r w:rsidR="00E14925" w:rsidRPr="0042738F">
        <w:t xml:space="preserve"> drop in total paid workers between</w:t>
      </w:r>
      <w:r w:rsidR="00A261F3">
        <w:t> 201</w:t>
      </w:r>
      <w:r w:rsidR="00E14925" w:rsidRPr="0042738F">
        <w:t>2 and</w:t>
      </w:r>
      <w:r w:rsidR="00A261F3">
        <w:t> 201</w:t>
      </w:r>
      <w:r w:rsidR="00E14925" w:rsidRPr="0042738F">
        <w:t>6 (149,801 to 130,263). ACFA notes</w:t>
      </w:r>
      <w:r w:rsidR="00AE6E46">
        <w:t xml:space="preserve"> it is unlikely </w:t>
      </w:r>
      <w:r w:rsidR="00EC510A">
        <w:t xml:space="preserve">the total home support and home care </w:t>
      </w:r>
      <w:r w:rsidR="00AE6E46">
        <w:t>workforce could have decreased between</w:t>
      </w:r>
      <w:r w:rsidR="00A261F3">
        <w:t> 201</w:t>
      </w:r>
      <w:r w:rsidR="00AE6E46">
        <w:t>2 and</w:t>
      </w:r>
      <w:r w:rsidR="00A261F3">
        <w:t> 201</w:t>
      </w:r>
      <w:r w:rsidR="00AE6E46">
        <w:t>6 given the</w:t>
      </w:r>
      <w:r w:rsidR="004A00B7">
        <w:t xml:space="preserve"> </w:t>
      </w:r>
      <w:r w:rsidR="005775DC">
        <w:t>increase</w:t>
      </w:r>
      <w:r w:rsidR="00EC510A">
        <w:t xml:space="preserve"> in consumers. </w:t>
      </w:r>
      <w:r w:rsidR="00301C4F" w:rsidRPr="00301C4F">
        <w:t xml:space="preserve">A possible </w:t>
      </w:r>
      <w:r w:rsidR="00301C4F" w:rsidRPr="00301C4F">
        <w:lastRenderedPageBreak/>
        <w:t xml:space="preserve">reason in the reported number of workers overall dropping </w:t>
      </w:r>
      <w:r w:rsidR="004F5438">
        <w:t xml:space="preserve">may be greater use of </w:t>
      </w:r>
      <w:r w:rsidR="00301C4F" w:rsidRPr="00301C4F">
        <w:t>non-PAYG workers (</w:t>
      </w:r>
      <w:r w:rsidR="004F5438">
        <w:t>eg temporary and agency staff)</w:t>
      </w:r>
      <w:r w:rsidR="00D8721E">
        <w:t>.</w:t>
      </w:r>
    </w:p>
    <w:p w:rsidR="00D8721E" w:rsidRDefault="00E14925" w:rsidP="001865B8">
      <w:r w:rsidRPr="0042738F">
        <w:t xml:space="preserve">In </w:t>
      </w:r>
      <w:r w:rsidR="004A00B7" w:rsidRPr="0042738F">
        <w:t xml:space="preserve">home </w:t>
      </w:r>
      <w:r w:rsidR="004A00B7">
        <w:t xml:space="preserve">support and </w:t>
      </w:r>
      <w:r w:rsidR="004A00B7" w:rsidRPr="0042738F">
        <w:t xml:space="preserve">home </w:t>
      </w:r>
      <w:r w:rsidR="004A00B7">
        <w:t>care</w:t>
      </w:r>
      <w:r w:rsidRPr="0042738F">
        <w:t>, 1</w:t>
      </w:r>
      <w:r w:rsidR="008C2527">
        <w:t>4</w:t>
      </w:r>
      <w:r w:rsidR="00A261F3">
        <w:t> per cent</w:t>
      </w:r>
      <w:r w:rsidRPr="0042738F">
        <w:t xml:space="preserve"> of the paid workers </w:t>
      </w:r>
      <w:r w:rsidR="005949E5">
        <w:t>were</w:t>
      </w:r>
      <w:r w:rsidRPr="0042738F">
        <w:t xml:space="preserve"> casual employees, which </w:t>
      </w:r>
      <w:r w:rsidR="005949E5">
        <w:t>i</w:t>
      </w:r>
      <w:r w:rsidRPr="0042738F">
        <w:t>s a very considerable reduction from 4</w:t>
      </w:r>
      <w:r w:rsidR="00341DAB">
        <w:t>1</w:t>
      </w:r>
      <w:r w:rsidR="00A261F3">
        <w:t> per cent</w:t>
      </w:r>
      <w:r w:rsidRPr="0042738F">
        <w:t xml:space="preserve"> in</w:t>
      </w:r>
      <w:r w:rsidR="00A261F3">
        <w:t> 201</w:t>
      </w:r>
      <w:r w:rsidRPr="0042738F">
        <w:t>2</w:t>
      </w:r>
      <w:r w:rsidR="00D8721E">
        <w:t>.</w:t>
      </w:r>
    </w:p>
    <w:p w:rsidR="00F107FD" w:rsidRPr="00596D01" w:rsidRDefault="00F107FD" w:rsidP="001865B8">
      <w:pPr>
        <w:pStyle w:val="TableTitle"/>
      </w:pPr>
      <w:bookmarkStart w:id="148" w:name="_Ref524429108"/>
      <w:r w:rsidRPr="00596D01">
        <w:t xml:space="preserve">Size of the home </w:t>
      </w:r>
      <w:r w:rsidR="004A00B7" w:rsidRPr="00596D01">
        <w:t>support and home care</w:t>
      </w:r>
      <w:r w:rsidRPr="00596D01">
        <w:t xml:space="preserve"> workforce, all PAYG employees and direct care employees:</w:t>
      </w:r>
      <w:r w:rsidR="00A261F3" w:rsidRPr="00596D01">
        <w:t> 200</w:t>
      </w:r>
      <w:r w:rsidRPr="00596D01">
        <w:t>7,</w:t>
      </w:r>
      <w:r w:rsidR="00A261F3" w:rsidRPr="00596D01">
        <w:t> 201</w:t>
      </w:r>
      <w:r w:rsidRPr="00596D01">
        <w:t>2 and</w:t>
      </w:r>
      <w:r w:rsidR="00A261F3" w:rsidRPr="00596D01">
        <w:t> 201</w:t>
      </w:r>
      <w:r w:rsidRPr="00596D01">
        <w:t>6</w:t>
      </w:r>
      <w:bookmarkEnd w:id="148"/>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07"/>
        <w:gridCol w:w="2407"/>
        <w:gridCol w:w="2407"/>
        <w:gridCol w:w="2407"/>
      </w:tblGrid>
      <w:tr w:rsidR="00BF0B8E" w:rsidRPr="001865B8"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250" w:type="pct"/>
          </w:tcPr>
          <w:p w:rsidR="00BF0B8E" w:rsidRPr="001865B8" w:rsidRDefault="00BF0B8E" w:rsidP="001865B8">
            <w:r w:rsidRPr="001865B8">
              <w:t xml:space="preserve">Occupation </w:t>
            </w:r>
          </w:p>
        </w:tc>
        <w:tc>
          <w:tcPr>
            <w:tcW w:w="1250" w:type="pct"/>
          </w:tcPr>
          <w:p w:rsidR="00BF0B8E" w:rsidRPr="001865B8" w:rsidRDefault="00BF0B8E" w:rsidP="00C67407">
            <w:pPr>
              <w:jc w:val="right"/>
            </w:pPr>
            <w:r w:rsidRPr="001865B8">
              <w:t>2007</w:t>
            </w:r>
          </w:p>
        </w:tc>
        <w:tc>
          <w:tcPr>
            <w:tcW w:w="1250" w:type="pct"/>
          </w:tcPr>
          <w:p w:rsidR="00BF0B8E" w:rsidRPr="001865B8" w:rsidRDefault="00BF0B8E" w:rsidP="00C67407">
            <w:pPr>
              <w:jc w:val="right"/>
            </w:pPr>
            <w:r w:rsidRPr="001865B8">
              <w:t>2012</w:t>
            </w:r>
          </w:p>
        </w:tc>
        <w:tc>
          <w:tcPr>
            <w:tcW w:w="1250" w:type="pct"/>
          </w:tcPr>
          <w:p w:rsidR="00BF0B8E" w:rsidRPr="001865B8" w:rsidRDefault="00BF0B8E" w:rsidP="00C67407">
            <w:pPr>
              <w:jc w:val="right"/>
            </w:pPr>
            <w:r w:rsidRPr="001865B8">
              <w:t>2016</w:t>
            </w:r>
          </w:p>
        </w:tc>
      </w:tr>
      <w:tr w:rsidR="00BF0B8E" w:rsidRPr="001865B8" w:rsidTr="00C67407">
        <w:trPr>
          <w:trHeight w:val="113"/>
        </w:trPr>
        <w:tc>
          <w:tcPr>
            <w:tcW w:w="1250" w:type="pct"/>
          </w:tcPr>
          <w:p w:rsidR="00BF0B8E" w:rsidRPr="001865B8" w:rsidRDefault="00BF0B8E" w:rsidP="001865B8">
            <w:r w:rsidRPr="001865B8">
              <w:t>All PAYG employees</w:t>
            </w:r>
          </w:p>
        </w:tc>
        <w:tc>
          <w:tcPr>
            <w:tcW w:w="1250" w:type="pct"/>
          </w:tcPr>
          <w:p w:rsidR="00BF0B8E" w:rsidRPr="001865B8" w:rsidRDefault="00BF0B8E" w:rsidP="00C67407">
            <w:pPr>
              <w:jc w:val="right"/>
            </w:pPr>
            <w:r w:rsidRPr="001865B8">
              <w:t>87,478</w:t>
            </w:r>
          </w:p>
        </w:tc>
        <w:tc>
          <w:tcPr>
            <w:tcW w:w="1250" w:type="pct"/>
          </w:tcPr>
          <w:p w:rsidR="00BF0B8E" w:rsidRPr="001865B8" w:rsidRDefault="00BF0B8E" w:rsidP="00C67407">
            <w:pPr>
              <w:jc w:val="right"/>
            </w:pPr>
            <w:r w:rsidRPr="001865B8">
              <w:t>149,801</w:t>
            </w:r>
          </w:p>
        </w:tc>
        <w:tc>
          <w:tcPr>
            <w:tcW w:w="1250" w:type="pct"/>
          </w:tcPr>
          <w:p w:rsidR="00BF0B8E" w:rsidRPr="001865B8" w:rsidRDefault="00BF0B8E" w:rsidP="00C67407">
            <w:pPr>
              <w:jc w:val="right"/>
            </w:pPr>
            <w:r w:rsidRPr="001865B8">
              <w:t>130,263</w:t>
            </w:r>
          </w:p>
        </w:tc>
      </w:tr>
      <w:tr w:rsidR="00BF0B8E" w:rsidRPr="001865B8" w:rsidTr="00C67407">
        <w:trPr>
          <w:trHeight w:val="113"/>
        </w:trPr>
        <w:tc>
          <w:tcPr>
            <w:tcW w:w="1250" w:type="pct"/>
          </w:tcPr>
          <w:p w:rsidR="00BF0B8E" w:rsidRPr="001865B8" w:rsidRDefault="00BF0B8E" w:rsidP="001865B8">
            <w:r w:rsidRPr="001865B8">
              <w:t>Direct care employees</w:t>
            </w:r>
          </w:p>
        </w:tc>
        <w:tc>
          <w:tcPr>
            <w:tcW w:w="1250" w:type="pct"/>
          </w:tcPr>
          <w:p w:rsidR="00BF0B8E" w:rsidRPr="001865B8" w:rsidRDefault="00BF0B8E" w:rsidP="00C67407">
            <w:pPr>
              <w:jc w:val="right"/>
            </w:pPr>
            <w:r w:rsidRPr="001865B8">
              <w:t>74,067</w:t>
            </w:r>
          </w:p>
        </w:tc>
        <w:tc>
          <w:tcPr>
            <w:tcW w:w="1250" w:type="pct"/>
          </w:tcPr>
          <w:p w:rsidR="00BF0B8E" w:rsidRPr="001865B8" w:rsidRDefault="00BF0B8E" w:rsidP="00C67407">
            <w:pPr>
              <w:jc w:val="right"/>
            </w:pPr>
            <w:r w:rsidRPr="001865B8">
              <w:t>93,359</w:t>
            </w:r>
          </w:p>
        </w:tc>
        <w:tc>
          <w:tcPr>
            <w:tcW w:w="1250" w:type="pct"/>
          </w:tcPr>
          <w:p w:rsidR="00BF0B8E" w:rsidRPr="001865B8" w:rsidRDefault="00BF0B8E" w:rsidP="00C67407">
            <w:pPr>
              <w:jc w:val="right"/>
            </w:pPr>
            <w:r w:rsidRPr="001865B8">
              <w:t>86,463</w:t>
            </w:r>
          </w:p>
        </w:tc>
      </w:tr>
    </w:tbl>
    <w:p w:rsidR="00D8721E" w:rsidRDefault="000B2FCC" w:rsidP="001865B8">
      <w:r>
        <w:t>T</w:t>
      </w:r>
      <w:r w:rsidR="00E14925">
        <w:t xml:space="preserve">he </w:t>
      </w:r>
      <w:r w:rsidR="00E14925" w:rsidRPr="0042738F">
        <w:t xml:space="preserve">estimated proportion of </w:t>
      </w:r>
      <w:r w:rsidR="00F46575">
        <w:t>RNs</w:t>
      </w:r>
      <w:r w:rsidR="00E14925" w:rsidRPr="0042738F">
        <w:t xml:space="preserve"> has d</w:t>
      </w:r>
      <w:r w:rsidR="003F671B">
        <w:t>eclined from 13.</w:t>
      </w:r>
      <w:r w:rsidR="00341DAB">
        <w:t>2</w:t>
      </w:r>
      <w:r w:rsidR="00A261F3">
        <w:t> per cent</w:t>
      </w:r>
      <w:r w:rsidR="003F671B">
        <w:t xml:space="preserve"> in</w:t>
      </w:r>
      <w:r w:rsidR="00A261F3">
        <w:t> 200</w:t>
      </w:r>
      <w:r w:rsidR="003F671B">
        <w:t>7</w:t>
      </w:r>
      <w:r w:rsidR="00E14925" w:rsidRPr="0042738F">
        <w:t xml:space="preserve"> to 1</w:t>
      </w:r>
      <w:r w:rsidR="003F671B">
        <w:t>0.</w:t>
      </w:r>
      <w:r w:rsidR="009C307B">
        <w:t>5</w:t>
      </w:r>
      <w:r w:rsidR="00A261F3">
        <w:t> per cent</w:t>
      </w:r>
      <w:r w:rsidR="00E14925" w:rsidRPr="0042738F">
        <w:t xml:space="preserve"> in</w:t>
      </w:r>
      <w:r w:rsidR="00A261F3">
        <w:t> 201</w:t>
      </w:r>
      <w:r w:rsidR="00E14925" w:rsidRPr="0042738F">
        <w:t>6</w:t>
      </w:r>
      <w:r w:rsidR="00AA684F">
        <w:t xml:space="preserve"> (</w:t>
      </w:r>
      <w:r w:rsidR="00492BF8">
        <w:fldChar w:fldCharType="begin"/>
      </w:r>
      <w:r w:rsidR="00492BF8">
        <w:instrText xml:space="preserve"> REF _Ref524429117 \r \h </w:instrText>
      </w:r>
      <w:r w:rsidR="00492BF8">
        <w:fldChar w:fldCharType="separate"/>
      </w:r>
      <w:r w:rsidR="00492BF8">
        <w:t>Table 3.3</w:t>
      </w:r>
      <w:r w:rsidR="00492BF8">
        <w:fldChar w:fldCharType="end"/>
      </w:r>
      <w:r>
        <w:t>)</w:t>
      </w:r>
      <w:r w:rsidR="00E14925" w:rsidRPr="0042738F">
        <w:t xml:space="preserve">. Allied health employees increased </w:t>
      </w:r>
      <w:r w:rsidR="00E14925">
        <w:t>from</w:t>
      </w:r>
      <w:r w:rsidR="00853876">
        <w:t xml:space="preserve"> 6</w:t>
      </w:r>
      <w:r w:rsidR="00A261F3">
        <w:t> per cent</w:t>
      </w:r>
      <w:r w:rsidR="00D37AA3">
        <w:t xml:space="preserve"> to </w:t>
      </w:r>
      <w:r w:rsidR="00853876">
        <w:t>8</w:t>
      </w:r>
      <w:r w:rsidR="00A261F3">
        <w:t> per cent</w:t>
      </w:r>
      <w:r w:rsidR="00E14925">
        <w:t>. </w:t>
      </w:r>
      <w:r w:rsidR="00E14925" w:rsidRPr="0042738F">
        <w:t xml:space="preserve">Community </w:t>
      </w:r>
      <w:r w:rsidR="00F46575">
        <w:t>C</w:t>
      </w:r>
      <w:r w:rsidR="00E14925">
        <w:t xml:space="preserve">are </w:t>
      </w:r>
      <w:r w:rsidR="00F46575">
        <w:t>W</w:t>
      </w:r>
      <w:r w:rsidR="00E14925" w:rsidRPr="0042738F">
        <w:t>orkers (CCWs), whose composition of the direct care workforce remained relatively</w:t>
      </w:r>
      <w:r w:rsidR="003F671B">
        <w:t xml:space="preserve"> stable</w:t>
      </w:r>
      <w:r w:rsidR="00E14925" w:rsidRPr="0042738F">
        <w:t xml:space="preserve">, provide the bulk of the direct care in </w:t>
      </w:r>
      <w:r w:rsidR="004A00B7" w:rsidRPr="0042738F">
        <w:t xml:space="preserve">home </w:t>
      </w:r>
      <w:r w:rsidR="004A00B7">
        <w:t xml:space="preserve">support and </w:t>
      </w:r>
      <w:r w:rsidR="004A00B7" w:rsidRPr="0042738F">
        <w:t xml:space="preserve">home </w:t>
      </w:r>
      <w:r w:rsidR="004A00B7">
        <w:t>care</w:t>
      </w:r>
      <w:r w:rsidR="00E14925" w:rsidRPr="0042738F">
        <w:t>.</w:t>
      </w:r>
    </w:p>
    <w:p w:rsidR="009C759B" w:rsidRPr="00596D01" w:rsidRDefault="009C759B" w:rsidP="001865B8">
      <w:r>
        <w:br w:type="page"/>
      </w:r>
    </w:p>
    <w:p w:rsidR="00172DEC" w:rsidRPr="00596D01" w:rsidRDefault="00F46575" w:rsidP="001865B8">
      <w:pPr>
        <w:pStyle w:val="TableTitle"/>
        <w:rPr>
          <w:rStyle w:val="Strong"/>
        </w:rPr>
      </w:pPr>
      <w:bookmarkStart w:id="149" w:name="_Ref524429117"/>
      <w:r w:rsidRPr="00596D01">
        <w:lastRenderedPageBreak/>
        <w:t>Direc</w:t>
      </w:r>
      <w:r w:rsidR="00172DEC" w:rsidRPr="00596D01">
        <w:t>t care employees in the home support</w:t>
      </w:r>
      <w:r w:rsidR="004A00B7" w:rsidRPr="00596D01">
        <w:t xml:space="preserve"> and home care</w:t>
      </w:r>
      <w:r w:rsidR="00172DEC" w:rsidRPr="00596D01">
        <w:t xml:space="preserve"> workforce, by </w:t>
      </w:r>
      <w:r w:rsidR="008B0DF9" w:rsidRPr="00596D01">
        <w:t>occupation:</w:t>
      </w:r>
      <w:r w:rsidR="00A261F3" w:rsidRPr="00596D01">
        <w:t> 200</w:t>
      </w:r>
      <w:r w:rsidR="008B0DF9" w:rsidRPr="00596D01">
        <w:t>7,</w:t>
      </w:r>
      <w:r w:rsidR="00A261F3" w:rsidRPr="00596D01">
        <w:t> 201</w:t>
      </w:r>
      <w:r w:rsidR="008B0DF9" w:rsidRPr="00596D01">
        <w:t>2 and</w:t>
      </w:r>
      <w:r w:rsidR="00A261F3" w:rsidRPr="00596D01">
        <w:t> 201</w:t>
      </w:r>
      <w:r w:rsidR="008B0DF9" w:rsidRPr="00596D01">
        <w:t>6 (estimated FTE and</w:t>
      </w:r>
      <w:r w:rsidR="00A261F3" w:rsidRPr="00596D01">
        <w:t> per cent</w:t>
      </w:r>
      <w:r w:rsidR="008B0DF9" w:rsidRPr="00596D01">
        <w:t>)</w:t>
      </w:r>
      <w:bookmarkEnd w:id="14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60"/>
        <w:gridCol w:w="1854"/>
        <w:gridCol w:w="1854"/>
        <w:gridCol w:w="1960"/>
      </w:tblGrid>
      <w:tr w:rsidR="009C759B" w:rsidRPr="001865B8"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056" w:type="pct"/>
            <w:hideMark/>
          </w:tcPr>
          <w:p w:rsidR="009C759B" w:rsidRPr="001865B8" w:rsidRDefault="009C759B" w:rsidP="001865B8">
            <w:r w:rsidRPr="001865B8">
              <w:t xml:space="preserve">Occupation </w:t>
            </w:r>
          </w:p>
        </w:tc>
        <w:tc>
          <w:tcPr>
            <w:tcW w:w="963" w:type="pct"/>
            <w:hideMark/>
          </w:tcPr>
          <w:p w:rsidR="009C759B" w:rsidRPr="001865B8" w:rsidRDefault="009C759B" w:rsidP="00C67407">
            <w:pPr>
              <w:jc w:val="right"/>
            </w:pPr>
            <w:r w:rsidRPr="001865B8">
              <w:t>2007</w:t>
            </w:r>
          </w:p>
        </w:tc>
        <w:tc>
          <w:tcPr>
            <w:tcW w:w="963" w:type="pct"/>
            <w:hideMark/>
          </w:tcPr>
          <w:p w:rsidR="009C759B" w:rsidRPr="001865B8" w:rsidRDefault="009C759B" w:rsidP="00C67407">
            <w:pPr>
              <w:jc w:val="right"/>
            </w:pPr>
            <w:r w:rsidRPr="001865B8">
              <w:t>2012</w:t>
            </w:r>
          </w:p>
        </w:tc>
        <w:tc>
          <w:tcPr>
            <w:tcW w:w="1018" w:type="pct"/>
            <w:hideMark/>
          </w:tcPr>
          <w:p w:rsidR="009C759B" w:rsidRPr="001865B8" w:rsidRDefault="009C759B" w:rsidP="00C67407">
            <w:pPr>
              <w:jc w:val="right"/>
            </w:pPr>
            <w:r w:rsidRPr="001865B8">
              <w:t>2016</w:t>
            </w:r>
          </w:p>
        </w:tc>
      </w:tr>
      <w:tr w:rsidR="009C759B" w:rsidRPr="001865B8" w:rsidTr="00C67407">
        <w:trPr>
          <w:trHeight w:val="113"/>
        </w:trPr>
        <w:tc>
          <w:tcPr>
            <w:tcW w:w="2056" w:type="pct"/>
            <w:hideMark/>
          </w:tcPr>
          <w:p w:rsidR="009C759B" w:rsidRPr="001865B8" w:rsidRDefault="009C759B" w:rsidP="001865B8">
            <w:r w:rsidRPr="001865B8">
              <w:t>Nurse practitioner</w:t>
            </w:r>
          </w:p>
        </w:tc>
        <w:tc>
          <w:tcPr>
            <w:tcW w:w="963" w:type="pct"/>
            <w:hideMark/>
          </w:tcPr>
          <w:p w:rsidR="009C759B" w:rsidRPr="001865B8" w:rsidRDefault="009C759B" w:rsidP="00C67407">
            <w:pPr>
              <w:jc w:val="right"/>
            </w:pPr>
            <w:r w:rsidRPr="001865B8">
              <w:t>n/a</w:t>
            </w:r>
          </w:p>
        </w:tc>
        <w:tc>
          <w:tcPr>
            <w:tcW w:w="963" w:type="pct"/>
            <w:hideMark/>
          </w:tcPr>
          <w:p w:rsidR="009C759B" w:rsidRPr="001865B8" w:rsidRDefault="009C759B" w:rsidP="00C67407">
            <w:pPr>
              <w:jc w:val="right"/>
            </w:pPr>
            <w:r w:rsidRPr="001865B8">
              <w:t>55</w:t>
            </w:r>
          </w:p>
        </w:tc>
        <w:tc>
          <w:tcPr>
            <w:tcW w:w="1018" w:type="pct"/>
            <w:hideMark/>
          </w:tcPr>
          <w:p w:rsidR="009C759B" w:rsidRPr="001865B8" w:rsidRDefault="009C759B" w:rsidP="00C67407">
            <w:pPr>
              <w:jc w:val="right"/>
            </w:pPr>
            <w:r w:rsidRPr="001865B8">
              <w:t>41</w:t>
            </w:r>
          </w:p>
        </w:tc>
      </w:tr>
      <w:tr w:rsidR="009C759B" w:rsidRPr="001865B8" w:rsidTr="00C67407">
        <w:trPr>
          <w:trHeight w:val="113"/>
        </w:trPr>
        <w:tc>
          <w:tcPr>
            <w:tcW w:w="2056" w:type="pct"/>
            <w:hideMark/>
          </w:tcPr>
          <w:p w:rsidR="009C759B" w:rsidRPr="001865B8" w:rsidRDefault="009C759B" w:rsidP="001865B8">
            <w:r w:rsidRPr="001865B8">
              <w:t xml:space="preserve">Registered nurse </w:t>
            </w:r>
          </w:p>
        </w:tc>
        <w:tc>
          <w:tcPr>
            <w:tcW w:w="963" w:type="pct"/>
            <w:hideMark/>
          </w:tcPr>
          <w:p w:rsidR="009C759B" w:rsidRPr="001865B8" w:rsidRDefault="009C759B" w:rsidP="00C67407">
            <w:pPr>
              <w:jc w:val="right"/>
            </w:pPr>
            <w:r w:rsidRPr="001865B8">
              <w:t>6,079</w:t>
            </w:r>
          </w:p>
        </w:tc>
        <w:tc>
          <w:tcPr>
            <w:tcW w:w="963" w:type="pct"/>
            <w:hideMark/>
          </w:tcPr>
          <w:p w:rsidR="009C759B" w:rsidRPr="001865B8" w:rsidRDefault="009C759B" w:rsidP="00C67407">
            <w:pPr>
              <w:jc w:val="right"/>
            </w:pPr>
            <w:r w:rsidRPr="001865B8">
              <w:t>6,544</w:t>
            </w:r>
          </w:p>
        </w:tc>
        <w:tc>
          <w:tcPr>
            <w:tcW w:w="1018" w:type="pct"/>
            <w:hideMark/>
          </w:tcPr>
          <w:p w:rsidR="009C759B" w:rsidRPr="001865B8" w:rsidRDefault="009C759B" w:rsidP="00C67407">
            <w:pPr>
              <w:jc w:val="right"/>
            </w:pPr>
            <w:r w:rsidRPr="001865B8">
              <w:t>4,651</w:t>
            </w:r>
          </w:p>
        </w:tc>
      </w:tr>
      <w:tr w:rsidR="009C759B" w:rsidRPr="001865B8" w:rsidTr="00C67407">
        <w:trPr>
          <w:trHeight w:val="113"/>
        </w:trPr>
        <w:tc>
          <w:tcPr>
            <w:tcW w:w="2056" w:type="pct"/>
            <w:hideMark/>
          </w:tcPr>
          <w:p w:rsidR="009C759B" w:rsidRPr="001865B8" w:rsidRDefault="009C759B" w:rsidP="001865B8">
            <w:r w:rsidRPr="001865B8">
              <w:t xml:space="preserve">Enrolled nurse </w:t>
            </w:r>
          </w:p>
        </w:tc>
        <w:tc>
          <w:tcPr>
            <w:tcW w:w="963" w:type="pct"/>
            <w:hideMark/>
          </w:tcPr>
          <w:p w:rsidR="009C759B" w:rsidRPr="001865B8" w:rsidRDefault="009C759B" w:rsidP="00C67407">
            <w:pPr>
              <w:jc w:val="right"/>
            </w:pPr>
            <w:r w:rsidRPr="001865B8">
              <w:t>1,197</w:t>
            </w:r>
          </w:p>
        </w:tc>
        <w:tc>
          <w:tcPr>
            <w:tcW w:w="963" w:type="pct"/>
            <w:hideMark/>
          </w:tcPr>
          <w:p w:rsidR="009C759B" w:rsidRPr="001865B8" w:rsidRDefault="009C759B" w:rsidP="00C67407">
            <w:pPr>
              <w:jc w:val="right"/>
            </w:pPr>
            <w:r w:rsidRPr="001865B8">
              <w:t>2,345</w:t>
            </w:r>
          </w:p>
        </w:tc>
        <w:tc>
          <w:tcPr>
            <w:tcW w:w="1018" w:type="pct"/>
            <w:hideMark/>
          </w:tcPr>
          <w:p w:rsidR="009C759B" w:rsidRPr="001865B8" w:rsidRDefault="009C759B" w:rsidP="00C67407">
            <w:pPr>
              <w:jc w:val="right"/>
            </w:pPr>
            <w:r w:rsidRPr="001865B8">
              <w:t>1,143</w:t>
            </w:r>
          </w:p>
        </w:tc>
      </w:tr>
      <w:tr w:rsidR="009C759B" w:rsidRPr="001865B8" w:rsidTr="00C67407">
        <w:trPr>
          <w:trHeight w:val="113"/>
        </w:trPr>
        <w:tc>
          <w:tcPr>
            <w:tcW w:w="2056" w:type="pct"/>
            <w:hideMark/>
          </w:tcPr>
          <w:p w:rsidR="009C759B" w:rsidRPr="001865B8" w:rsidRDefault="009C759B" w:rsidP="001865B8">
            <w:r w:rsidRPr="001865B8">
              <w:t>Community care worker</w:t>
            </w:r>
          </w:p>
        </w:tc>
        <w:tc>
          <w:tcPr>
            <w:tcW w:w="963" w:type="pct"/>
            <w:hideMark/>
          </w:tcPr>
          <w:p w:rsidR="009C759B" w:rsidRPr="001865B8" w:rsidRDefault="009C759B" w:rsidP="00C67407">
            <w:pPr>
              <w:jc w:val="right"/>
            </w:pPr>
            <w:r w:rsidRPr="001865B8">
              <w:t>35,832</w:t>
            </w:r>
          </w:p>
        </w:tc>
        <w:tc>
          <w:tcPr>
            <w:tcW w:w="963" w:type="pct"/>
            <w:hideMark/>
          </w:tcPr>
          <w:p w:rsidR="009C759B" w:rsidRPr="001865B8" w:rsidRDefault="009C759B" w:rsidP="00C67407">
            <w:pPr>
              <w:jc w:val="right"/>
            </w:pPr>
            <w:r w:rsidRPr="001865B8">
              <w:t>41,394</w:t>
            </w:r>
          </w:p>
        </w:tc>
        <w:tc>
          <w:tcPr>
            <w:tcW w:w="1018" w:type="pct"/>
            <w:hideMark/>
          </w:tcPr>
          <w:p w:rsidR="009C759B" w:rsidRPr="001865B8" w:rsidRDefault="009C759B" w:rsidP="00C67407">
            <w:pPr>
              <w:jc w:val="right"/>
            </w:pPr>
            <w:r w:rsidRPr="001865B8">
              <w:t>34,712</w:t>
            </w:r>
          </w:p>
        </w:tc>
      </w:tr>
      <w:tr w:rsidR="009C759B" w:rsidRPr="001865B8" w:rsidTr="00C67407">
        <w:trPr>
          <w:trHeight w:val="113"/>
        </w:trPr>
        <w:tc>
          <w:tcPr>
            <w:tcW w:w="2056" w:type="pct"/>
            <w:hideMark/>
          </w:tcPr>
          <w:p w:rsidR="009C759B" w:rsidRPr="001865B8" w:rsidRDefault="009C759B" w:rsidP="001865B8">
            <w:r w:rsidRPr="001865B8">
              <w:t>Allied health professional</w:t>
            </w:r>
          </w:p>
        </w:tc>
        <w:tc>
          <w:tcPr>
            <w:tcW w:w="963" w:type="pct"/>
            <w:vMerge w:val="restart"/>
            <w:hideMark/>
          </w:tcPr>
          <w:p w:rsidR="009C759B" w:rsidRPr="001865B8" w:rsidRDefault="009C759B" w:rsidP="00C67407">
            <w:pPr>
              <w:jc w:val="right"/>
            </w:pPr>
            <w:r w:rsidRPr="001865B8">
              <w:t>2,948</w:t>
            </w:r>
          </w:p>
        </w:tc>
        <w:tc>
          <w:tcPr>
            <w:tcW w:w="963" w:type="pct"/>
            <w:hideMark/>
          </w:tcPr>
          <w:p w:rsidR="009C759B" w:rsidRPr="001865B8" w:rsidRDefault="009C759B" w:rsidP="00C67407">
            <w:pPr>
              <w:jc w:val="right"/>
            </w:pPr>
            <w:r w:rsidRPr="001865B8">
              <w:t>2,618</w:t>
            </w:r>
          </w:p>
        </w:tc>
        <w:tc>
          <w:tcPr>
            <w:tcW w:w="1018" w:type="pct"/>
            <w:hideMark/>
          </w:tcPr>
          <w:p w:rsidR="009C759B" w:rsidRPr="001865B8" w:rsidRDefault="009C759B" w:rsidP="00C67407">
            <w:pPr>
              <w:jc w:val="right"/>
            </w:pPr>
            <w:r w:rsidRPr="001865B8">
              <w:t>2,785</w:t>
            </w:r>
          </w:p>
        </w:tc>
      </w:tr>
      <w:tr w:rsidR="009C759B" w:rsidRPr="001865B8" w:rsidTr="00C67407">
        <w:trPr>
          <w:trHeight w:val="113"/>
        </w:trPr>
        <w:tc>
          <w:tcPr>
            <w:tcW w:w="2056" w:type="pct"/>
            <w:hideMark/>
          </w:tcPr>
          <w:p w:rsidR="009C759B" w:rsidRPr="001865B8" w:rsidRDefault="009C759B" w:rsidP="001865B8">
            <w:r w:rsidRPr="001865B8">
              <w:t>Allied health assistant</w:t>
            </w:r>
          </w:p>
        </w:tc>
        <w:tc>
          <w:tcPr>
            <w:tcW w:w="0" w:type="auto"/>
            <w:vMerge/>
            <w:hideMark/>
          </w:tcPr>
          <w:p w:rsidR="009C759B" w:rsidRPr="001865B8" w:rsidRDefault="009C759B" w:rsidP="00C67407">
            <w:pPr>
              <w:jc w:val="right"/>
            </w:pPr>
          </w:p>
        </w:tc>
        <w:tc>
          <w:tcPr>
            <w:tcW w:w="963" w:type="pct"/>
            <w:hideMark/>
          </w:tcPr>
          <w:p w:rsidR="009C759B" w:rsidRPr="001865B8" w:rsidRDefault="009C759B" w:rsidP="00C67407">
            <w:pPr>
              <w:jc w:val="right"/>
            </w:pPr>
            <w:r w:rsidRPr="001865B8">
              <w:t>1,581</w:t>
            </w:r>
          </w:p>
        </w:tc>
        <w:tc>
          <w:tcPr>
            <w:tcW w:w="1018" w:type="pct"/>
            <w:hideMark/>
          </w:tcPr>
          <w:p w:rsidR="009C759B" w:rsidRPr="001865B8" w:rsidRDefault="009C759B" w:rsidP="00C67407">
            <w:pPr>
              <w:jc w:val="right"/>
            </w:pPr>
            <w:r w:rsidRPr="001865B8">
              <w:t>755</w:t>
            </w:r>
          </w:p>
        </w:tc>
      </w:tr>
      <w:tr w:rsidR="009C759B" w:rsidRPr="001865B8" w:rsidTr="00C67407">
        <w:trPr>
          <w:trHeight w:val="113"/>
        </w:trPr>
        <w:tc>
          <w:tcPr>
            <w:tcW w:w="2056" w:type="pct"/>
            <w:hideMark/>
          </w:tcPr>
          <w:p w:rsidR="009C759B" w:rsidRPr="001865B8" w:rsidRDefault="009C759B" w:rsidP="001865B8">
            <w:r w:rsidRPr="001865B8">
              <w:rPr>
                <w:rStyle w:val="Strong"/>
              </w:rPr>
              <w:t>Total number of employees (FTE)</w:t>
            </w:r>
          </w:p>
        </w:tc>
        <w:tc>
          <w:tcPr>
            <w:tcW w:w="963" w:type="pct"/>
            <w:hideMark/>
          </w:tcPr>
          <w:p w:rsidR="009C759B" w:rsidRPr="001865B8" w:rsidRDefault="009C759B" w:rsidP="00C67407">
            <w:pPr>
              <w:jc w:val="right"/>
            </w:pPr>
            <w:r w:rsidRPr="001865B8">
              <w:rPr>
                <w:rStyle w:val="Strong"/>
              </w:rPr>
              <w:t>46,056</w:t>
            </w:r>
          </w:p>
        </w:tc>
        <w:tc>
          <w:tcPr>
            <w:tcW w:w="963" w:type="pct"/>
            <w:hideMark/>
          </w:tcPr>
          <w:p w:rsidR="009C759B" w:rsidRPr="001865B8" w:rsidRDefault="009C759B" w:rsidP="00C67407">
            <w:pPr>
              <w:jc w:val="right"/>
            </w:pPr>
            <w:r w:rsidRPr="001865B8">
              <w:rPr>
                <w:rStyle w:val="Strong"/>
              </w:rPr>
              <w:t>54,537</w:t>
            </w:r>
          </w:p>
        </w:tc>
        <w:tc>
          <w:tcPr>
            <w:tcW w:w="1018" w:type="pct"/>
            <w:hideMark/>
          </w:tcPr>
          <w:p w:rsidR="009C759B" w:rsidRPr="001865B8" w:rsidRDefault="009C759B" w:rsidP="00C67407">
            <w:pPr>
              <w:jc w:val="right"/>
              <w:rPr>
                <w:rStyle w:val="Strong"/>
              </w:rPr>
            </w:pPr>
            <w:r w:rsidRPr="001865B8">
              <w:rPr>
                <w:rStyle w:val="Strong"/>
              </w:rPr>
              <w:t>44,087</w:t>
            </w:r>
          </w:p>
        </w:tc>
      </w:tr>
      <w:tr w:rsidR="009C759B" w:rsidRPr="001865B8" w:rsidTr="00C67407">
        <w:trPr>
          <w:trHeight w:val="113"/>
        </w:trPr>
        <w:tc>
          <w:tcPr>
            <w:tcW w:w="2056" w:type="pct"/>
            <w:hideMark/>
          </w:tcPr>
          <w:p w:rsidR="009C759B" w:rsidRPr="001865B8" w:rsidRDefault="009C759B" w:rsidP="001865B8">
            <w:r w:rsidRPr="001865B8">
              <w:rPr>
                <w:rStyle w:val="Strong"/>
              </w:rPr>
              <w:t>As a % of total number of employees</w:t>
            </w:r>
          </w:p>
        </w:tc>
        <w:tc>
          <w:tcPr>
            <w:tcW w:w="963" w:type="pct"/>
          </w:tcPr>
          <w:p w:rsidR="009C759B" w:rsidRPr="001865B8" w:rsidRDefault="009C759B" w:rsidP="00C67407">
            <w:pPr>
              <w:jc w:val="right"/>
            </w:pPr>
          </w:p>
        </w:tc>
        <w:tc>
          <w:tcPr>
            <w:tcW w:w="963" w:type="pct"/>
          </w:tcPr>
          <w:p w:rsidR="009C759B" w:rsidRPr="001865B8" w:rsidRDefault="009C759B" w:rsidP="00C67407">
            <w:pPr>
              <w:jc w:val="right"/>
            </w:pPr>
          </w:p>
        </w:tc>
        <w:tc>
          <w:tcPr>
            <w:tcW w:w="1018" w:type="pct"/>
          </w:tcPr>
          <w:p w:rsidR="009C759B" w:rsidRPr="001865B8" w:rsidRDefault="009C759B" w:rsidP="00C67407">
            <w:pPr>
              <w:jc w:val="right"/>
              <w:rPr>
                <w:rStyle w:val="Strong"/>
              </w:rPr>
            </w:pPr>
          </w:p>
        </w:tc>
      </w:tr>
      <w:tr w:rsidR="009C759B" w:rsidRPr="001865B8" w:rsidTr="00C67407">
        <w:trPr>
          <w:trHeight w:val="113"/>
        </w:trPr>
        <w:tc>
          <w:tcPr>
            <w:tcW w:w="2056" w:type="pct"/>
            <w:hideMark/>
          </w:tcPr>
          <w:p w:rsidR="009C759B" w:rsidRPr="001865B8" w:rsidRDefault="009C759B" w:rsidP="001865B8">
            <w:r w:rsidRPr="001865B8">
              <w:t>Nurse practitioner</w:t>
            </w:r>
          </w:p>
        </w:tc>
        <w:tc>
          <w:tcPr>
            <w:tcW w:w="963" w:type="pct"/>
            <w:hideMark/>
          </w:tcPr>
          <w:p w:rsidR="009C759B" w:rsidRPr="001865B8" w:rsidRDefault="009C759B" w:rsidP="00C67407">
            <w:pPr>
              <w:jc w:val="right"/>
            </w:pPr>
            <w:r w:rsidRPr="001865B8">
              <w:t>n/a</w:t>
            </w:r>
          </w:p>
        </w:tc>
        <w:tc>
          <w:tcPr>
            <w:tcW w:w="963" w:type="pct"/>
            <w:hideMark/>
          </w:tcPr>
          <w:p w:rsidR="009C759B" w:rsidRPr="001865B8" w:rsidRDefault="009C759B" w:rsidP="00C67407">
            <w:pPr>
              <w:jc w:val="right"/>
            </w:pPr>
            <w:r w:rsidRPr="001865B8">
              <w:t>0.1%</w:t>
            </w:r>
          </w:p>
        </w:tc>
        <w:tc>
          <w:tcPr>
            <w:tcW w:w="1018" w:type="pct"/>
            <w:hideMark/>
          </w:tcPr>
          <w:p w:rsidR="009C759B" w:rsidRPr="001865B8" w:rsidRDefault="009C759B" w:rsidP="00C67407">
            <w:pPr>
              <w:jc w:val="right"/>
            </w:pPr>
            <w:r w:rsidRPr="001865B8">
              <w:t>0.1%</w:t>
            </w:r>
          </w:p>
        </w:tc>
      </w:tr>
      <w:tr w:rsidR="009C759B" w:rsidRPr="001865B8" w:rsidTr="00C67407">
        <w:trPr>
          <w:trHeight w:val="113"/>
        </w:trPr>
        <w:tc>
          <w:tcPr>
            <w:tcW w:w="2056" w:type="pct"/>
            <w:hideMark/>
          </w:tcPr>
          <w:p w:rsidR="009C759B" w:rsidRPr="001865B8" w:rsidRDefault="009C759B" w:rsidP="001865B8">
            <w:r w:rsidRPr="001865B8">
              <w:t xml:space="preserve">Registered nurse </w:t>
            </w:r>
          </w:p>
        </w:tc>
        <w:tc>
          <w:tcPr>
            <w:tcW w:w="963" w:type="pct"/>
            <w:hideMark/>
          </w:tcPr>
          <w:p w:rsidR="009C759B" w:rsidRPr="001865B8" w:rsidRDefault="009C759B" w:rsidP="00C67407">
            <w:pPr>
              <w:jc w:val="right"/>
            </w:pPr>
            <w:r w:rsidRPr="001865B8">
              <w:t>13.2%</w:t>
            </w:r>
          </w:p>
        </w:tc>
        <w:tc>
          <w:tcPr>
            <w:tcW w:w="963" w:type="pct"/>
            <w:hideMark/>
          </w:tcPr>
          <w:p w:rsidR="009C759B" w:rsidRPr="001865B8" w:rsidRDefault="009C759B" w:rsidP="00C67407">
            <w:pPr>
              <w:jc w:val="right"/>
            </w:pPr>
            <w:r w:rsidRPr="001865B8">
              <w:t>12.0%</w:t>
            </w:r>
          </w:p>
        </w:tc>
        <w:tc>
          <w:tcPr>
            <w:tcW w:w="1018" w:type="pct"/>
            <w:hideMark/>
          </w:tcPr>
          <w:p w:rsidR="009C759B" w:rsidRPr="001865B8" w:rsidRDefault="009C759B" w:rsidP="00C67407">
            <w:pPr>
              <w:jc w:val="right"/>
            </w:pPr>
            <w:r w:rsidRPr="001865B8">
              <w:t>10.5%</w:t>
            </w:r>
          </w:p>
        </w:tc>
      </w:tr>
      <w:tr w:rsidR="009C759B" w:rsidRPr="001865B8" w:rsidTr="00C67407">
        <w:trPr>
          <w:trHeight w:val="113"/>
        </w:trPr>
        <w:tc>
          <w:tcPr>
            <w:tcW w:w="2056" w:type="pct"/>
            <w:hideMark/>
          </w:tcPr>
          <w:p w:rsidR="009C759B" w:rsidRPr="001865B8" w:rsidRDefault="009C759B" w:rsidP="001865B8">
            <w:r w:rsidRPr="001865B8">
              <w:t xml:space="preserve">Enrolled nurse </w:t>
            </w:r>
          </w:p>
        </w:tc>
        <w:tc>
          <w:tcPr>
            <w:tcW w:w="963" w:type="pct"/>
            <w:hideMark/>
          </w:tcPr>
          <w:p w:rsidR="009C759B" w:rsidRPr="001865B8" w:rsidRDefault="009C759B" w:rsidP="00C67407">
            <w:pPr>
              <w:jc w:val="right"/>
            </w:pPr>
            <w:r w:rsidRPr="001865B8">
              <w:t>2.6%</w:t>
            </w:r>
          </w:p>
        </w:tc>
        <w:tc>
          <w:tcPr>
            <w:tcW w:w="963" w:type="pct"/>
            <w:hideMark/>
          </w:tcPr>
          <w:p w:rsidR="009C759B" w:rsidRPr="001865B8" w:rsidRDefault="009C759B" w:rsidP="00C67407">
            <w:pPr>
              <w:jc w:val="right"/>
            </w:pPr>
            <w:r w:rsidRPr="001865B8">
              <w:t>4.3%</w:t>
            </w:r>
          </w:p>
        </w:tc>
        <w:tc>
          <w:tcPr>
            <w:tcW w:w="1018" w:type="pct"/>
            <w:hideMark/>
          </w:tcPr>
          <w:p w:rsidR="009C759B" w:rsidRPr="001865B8" w:rsidRDefault="009C759B" w:rsidP="00C67407">
            <w:pPr>
              <w:jc w:val="right"/>
            </w:pPr>
            <w:r w:rsidRPr="001865B8">
              <w:t>2.6%</w:t>
            </w:r>
          </w:p>
        </w:tc>
      </w:tr>
      <w:tr w:rsidR="009C759B" w:rsidRPr="001865B8" w:rsidTr="00C67407">
        <w:trPr>
          <w:trHeight w:val="113"/>
        </w:trPr>
        <w:tc>
          <w:tcPr>
            <w:tcW w:w="2056" w:type="pct"/>
            <w:hideMark/>
          </w:tcPr>
          <w:p w:rsidR="009C759B" w:rsidRPr="001865B8" w:rsidRDefault="009C759B" w:rsidP="001865B8">
            <w:r w:rsidRPr="001865B8">
              <w:t>Community care worker</w:t>
            </w:r>
          </w:p>
        </w:tc>
        <w:tc>
          <w:tcPr>
            <w:tcW w:w="963" w:type="pct"/>
            <w:hideMark/>
          </w:tcPr>
          <w:p w:rsidR="009C759B" w:rsidRPr="001865B8" w:rsidRDefault="009C759B" w:rsidP="00C67407">
            <w:pPr>
              <w:jc w:val="right"/>
            </w:pPr>
            <w:r w:rsidRPr="001865B8">
              <w:t>77.8%</w:t>
            </w:r>
          </w:p>
        </w:tc>
        <w:tc>
          <w:tcPr>
            <w:tcW w:w="963" w:type="pct"/>
            <w:hideMark/>
          </w:tcPr>
          <w:p w:rsidR="009C759B" w:rsidRPr="001865B8" w:rsidRDefault="009C759B" w:rsidP="00C67407">
            <w:pPr>
              <w:jc w:val="right"/>
            </w:pPr>
            <w:r w:rsidRPr="001865B8">
              <w:t>75.9%</w:t>
            </w:r>
          </w:p>
        </w:tc>
        <w:tc>
          <w:tcPr>
            <w:tcW w:w="1018" w:type="pct"/>
            <w:hideMark/>
          </w:tcPr>
          <w:p w:rsidR="009C759B" w:rsidRPr="001865B8" w:rsidRDefault="009C759B" w:rsidP="00C67407">
            <w:pPr>
              <w:jc w:val="right"/>
            </w:pPr>
            <w:r w:rsidRPr="001865B8">
              <w:t>78.7%</w:t>
            </w:r>
          </w:p>
        </w:tc>
      </w:tr>
      <w:tr w:rsidR="009C759B" w:rsidRPr="001865B8" w:rsidTr="00C67407">
        <w:trPr>
          <w:trHeight w:val="113"/>
        </w:trPr>
        <w:tc>
          <w:tcPr>
            <w:tcW w:w="2056" w:type="pct"/>
            <w:hideMark/>
          </w:tcPr>
          <w:p w:rsidR="009C759B" w:rsidRPr="001865B8" w:rsidRDefault="009C759B" w:rsidP="001865B8">
            <w:r w:rsidRPr="001865B8">
              <w:t>Allied health professional</w:t>
            </w:r>
          </w:p>
        </w:tc>
        <w:tc>
          <w:tcPr>
            <w:tcW w:w="963" w:type="pct"/>
            <w:vMerge w:val="restart"/>
            <w:hideMark/>
          </w:tcPr>
          <w:p w:rsidR="009C759B" w:rsidRPr="001865B8" w:rsidRDefault="009C759B" w:rsidP="00C67407">
            <w:pPr>
              <w:jc w:val="right"/>
            </w:pPr>
            <w:r w:rsidRPr="001865B8">
              <w:t>6.4%</w:t>
            </w:r>
          </w:p>
        </w:tc>
        <w:tc>
          <w:tcPr>
            <w:tcW w:w="963" w:type="pct"/>
            <w:hideMark/>
          </w:tcPr>
          <w:p w:rsidR="009C759B" w:rsidRPr="001865B8" w:rsidRDefault="009C759B" w:rsidP="00C67407">
            <w:pPr>
              <w:jc w:val="right"/>
            </w:pPr>
            <w:r w:rsidRPr="001865B8">
              <w:t>4.8%</w:t>
            </w:r>
          </w:p>
        </w:tc>
        <w:tc>
          <w:tcPr>
            <w:tcW w:w="1018" w:type="pct"/>
            <w:hideMark/>
          </w:tcPr>
          <w:p w:rsidR="009C759B" w:rsidRPr="001865B8" w:rsidRDefault="009C759B" w:rsidP="00C67407">
            <w:pPr>
              <w:jc w:val="right"/>
            </w:pPr>
            <w:r w:rsidRPr="001865B8">
              <w:t>6.3%</w:t>
            </w:r>
          </w:p>
        </w:tc>
      </w:tr>
      <w:tr w:rsidR="009C759B" w:rsidRPr="001865B8" w:rsidTr="00C67407">
        <w:trPr>
          <w:trHeight w:val="113"/>
        </w:trPr>
        <w:tc>
          <w:tcPr>
            <w:tcW w:w="2056" w:type="pct"/>
            <w:hideMark/>
          </w:tcPr>
          <w:p w:rsidR="009C759B" w:rsidRPr="001865B8" w:rsidRDefault="009C759B" w:rsidP="001865B8">
            <w:r w:rsidRPr="001865B8">
              <w:t>Allied health assistant</w:t>
            </w:r>
          </w:p>
        </w:tc>
        <w:tc>
          <w:tcPr>
            <w:tcW w:w="0" w:type="auto"/>
            <w:vMerge/>
            <w:hideMark/>
          </w:tcPr>
          <w:p w:rsidR="009C759B" w:rsidRPr="001865B8" w:rsidRDefault="009C759B" w:rsidP="00C67407">
            <w:pPr>
              <w:jc w:val="right"/>
            </w:pPr>
          </w:p>
        </w:tc>
        <w:tc>
          <w:tcPr>
            <w:tcW w:w="963" w:type="pct"/>
            <w:hideMark/>
          </w:tcPr>
          <w:p w:rsidR="009C759B" w:rsidRPr="001865B8" w:rsidRDefault="009C759B" w:rsidP="00C67407">
            <w:pPr>
              <w:jc w:val="right"/>
            </w:pPr>
            <w:r w:rsidRPr="001865B8">
              <w:t>2.9%</w:t>
            </w:r>
          </w:p>
        </w:tc>
        <w:tc>
          <w:tcPr>
            <w:tcW w:w="1018" w:type="pct"/>
            <w:hideMark/>
          </w:tcPr>
          <w:p w:rsidR="009C759B" w:rsidRPr="001865B8" w:rsidRDefault="009C759B" w:rsidP="00C67407">
            <w:pPr>
              <w:jc w:val="right"/>
            </w:pPr>
            <w:r w:rsidRPr="001865B8">
              <w:t>1.7%</w:t>
            </w:r>
          </w:p>
        </w:tc>
      </w:tr>
    </w:tbl>
    <w:p w:rsidR="002D1C57" w:rsidRDefault="0013084D" w:rsidP="001865B8">
      <w:r w:rsidRPr="0042738F">
        <w:t xml:space="preserve">In terms of qualifications in </w:t>
      </w:r>
      <w:r w:rsidR="004A00B7" w:rsidRPr="0042738F">
        <w:t xml:space="preserve">home </w:t>
      </w:r>
      <w:r w:rsidR="004A00B7">
        <w:t xml:space="preserve">support and </w:t>
      </w:r>
      <w:r w:rsidR="004A00B7" w:rsidRPr="0042738F">
        <w:t xml:space="preserve">home </w:t>
      </w:r>
      <w:r w:rsidR="004A00B7">
        <w:t>care</w:t>
      </w:r>
      <w:r w:rsidR="007C4243">
        <w:t xml:space="preserve">, </w:t>
      </w:r>
      <w:r w:rsidR="004F5438">
        <w:t xml:space="preserve">the proportion of </w:t>
      </w:r>
      <w:r w:rsidR="007C4243">
        <w:t>direct care workers with post</w:t>
      </w:r>
      <w:r w:rsidR="007C4243">
        <w:noBreakHyphen/>
      </w:r>
      <w:r w:rsidRPr="0042738F">
        <w:t>secondary school qua</w:t>
      </w:r>
      <w:r w:rsidR="00272B5B">
        <w:t>lifications has increased to 8</w:t>
      </w:r>
      <w:r w:rsidR="00D00B54">
        <w:t>8</w:t>
      </w:r>
      <w:r w:rsidR="00A261F3">
        <w:t> per cent</w:t>
      </w:r>
      <w:r w:rsidRPr="0042738F">
        <w:t xml:space="preserve"> in</w:t>
      </w:r>
      <w:r w:rsidR="00A261F3">
        <w:t> 201</w:t>
      </w:r>
      <w:r w:rsidRPr="0042738F">
        <w:t>6, almost the same as in residential care (90</w:t>
      </w:r>
      <w:r w:rsidR="00A261F3">
        <w:t> per cent</w:t>
      </w:r>
      <w:r w:rsidRPr="0042738F">
        <w:t>). However, the proportion holding certificate level qualifications is lower than in residential care, with 5</w:t>
      </w:r>
      <w:r w:rsidR="00341DAB">
        <w:t>1</w:t>
      </w:r>
      <w:r w:rsidR="00A261F3">
        <w:t> per cent</w:t>
      </w:r>
      <w:r w:rsidRPr="0042738F">
        <w:t xml:space="preserve"> and 1</w:t>
      </w:r>
      <w:r w:rsidR="00341DAB">
        <w:t>2</w:t>
      </w:r>
      <w:r w:rsidR="00A261F3">
        <w:t> per cent</w:t>
      </w:r>
      <w:r w:rsidRPr="0042738F">
        <w:t xml:space="preserve"> of CCW’s holding a Certificate III and Certificate IV in Aged Care, compared with 6</w:t>
      </w:r>
      <w:r w:rsidR="00D00B54">
        <w:t>7</w:t>
      </w:r>
      <w:r w:rsidR="00A261F3">
        <w:t> per cent</w:t>
      </w:r>
      <w:r w:rsidR="00272B5B">
        <w:t xml:space="preserve"> and 2</w:t>
      </w:r>
      <w:r w:rsidR="00341DAB">
        <w:t>3</w:t>
      </w:r>
      <w:r w:rsidR="00A261F3">
        <w:t> per cent</w:t>
      </w:r>
      <w:r w:rsidRPr="0042738F">
        <w:t xml:space="preserve"> respectively for PCAs in residential care.</w:t>
      </w:r>
    </w:p>
    <w:p w:rsidR="002D1C57" w:rsidRDefault="005C231A" w:rsidP="001865B8">
      <w:r>
        <w:t>Fifty-one</w:t>
      </w:r>
      <w:r w:rsidR="00A261F3">
        <w:t> per cent</w:t>
      </w:r>
      <w:r w:rsidR="002D1C57" w:rsidRPr="0042738F">
        <w:t xml:space="preserve"> of </w:t>
      </w:r>
      <w:r w:rsidR="004A00B7" w:rsidRPr="0042738F">
        <w:t xml:space="preserve">home </w:t>
      </w:r>
      <w:r w:rsidR="004A00B7">
        <w:t xml:space="preserve">support and </w:t>
      </w:r>
      <w:r w:rsidR="004A00B7" w:rsidRPr="0042738F">
        <w:t xml:space="preserve">home </w:t>
      </w:r>
      <w:r w:rsidR="004A00B7">
        <w:t>care</w:t>
      </w:r>
      <w:r w:rsidR="002D1C57">
        <w:t xml:space="preserve"> ou</w:t>
      </w:r>
      <w:r w:rsidR="00072CDE">
        <w:t>tlets reported using</w:t>
      </w:r>
      <w:r w:rsidR="009C759B">
        <w:t xml:space="preserve"> </w:t>
      </w:r>
      <w:r w:rsidR="00072CDE">
        <w:t>volunteers.</w:t>
      </w:r>
    </w:p>
    <w:p w:rsidR="00D8721E" w:rsidRDefault="0013084D" w:rsidP="001865B8">
      <w:r w:rsidRPr="0042738F">
        <w:t xml:space="preserve">In terms of stability, as was the case in residential care, there were positive signs in the home </w:t>
      </w:r>
      <w:r w:rsidR="00A64378">
        <w:t xml:space="preserve">support and home </w:t>
      </w:r>
      <w:r w:rsidRPr="0042738F">
        <w:t>care sectors. A high proportion (64 and 7</w:t>
      </w:r>
      <w:r w:rsidR="00341DAB">
        <w:t>1</w:t>
      </w:r>
      <w:r w:rsidR="00A261F3">
        <w:t> per cent</w:t>
      </w:r>
      <w:r w:rsidRPr="0042738F">
        <w:t xml:space="preserve"> respectively) of RNs and E</w:t>
      </w:r>
      <w:r w:rsidR="00F46575">
        <w:t>nrolled Nurses (E</w:t>
      </w:r>
      <w:r w:rsidRPr="0042738F">
        <w:t>Ns</w:t>
      </w:r>
      <w:r w:rsidR="00F46575">
        <w:t>)</w:t>
      </w:r>
      <w:r w:rsidRPr="0042738F">
        <w:t xml:space="preserve"> had been working in the sector</w:t>
      </w:r>
      <w:r w:rsidR="004F5438">
        <w:t xml:space="preserve"> for more than nine years. N</w:t>
      </w:r>
      <w:r w:rsidRPr="0042738F">
        <w:t>ine</w:t>
      </w:r>
      <w:r w:rsidR="00A261F3">
        <w:t> per cent</w:t>
      </w:r>
      <w:r w:rsidRPr="0042738F">
        <w:t xml:space="preserve"> of direct care employees were actively s</w:t>
      </w:r>
      <w:r w:rsidR="009C7B9B">
        <w:t>eeking alternative employment</w:t>
      </w:r>
      <w:r w:rsidR="00D8721E">
        <w:t>.</w:t>
      </w:r>
    </w:p>
    <w:p w:rsidR="0013084D" w:rsidRPr="00596D01" w:rsidRDefault="00C64395" w:rsidP="00944018">
      <w:pPr>
        <w:pStyle w:val="Heading5"/>
      </w:pPr>
      <w:r w:rsidRPr="00596D01">
        <w:t>W</w:t>
      </w:r>
      <w:r w:rsidR="0013084D" w:rsidRPr="00596D01">
        <w:t xml:space="preserve">orkforce </w:t>
      </w:r>
      <w:r w:rsidRPr="00596D01">
        <w:t>profile</w:t>
      </w:r>
    </w:p>
    <w:p w:rsidR="00D8721E" w:rsidRDefault="004A4D9E" w:rsidP="001865B8">
      <w:r>
        <w:t>T</w:t>
      </w:r>
      <w:r w:rsidR="000D3E09" w:rsidRPr="000D3E09">
        <w:t>he ave</w:t>
      </w:r>
      <w:r w:rsidR="001B525D">
        <w:t>rage age of the residential</w:t>
      </w:r>
      <w:r w:rsidR="000D3E09" w:rsidRPr="000D3E09">
        <w:t xml:space="preserve"> care workforce decreased from 48 to 46 between</w:t>
      </w:r>
      <w:r w:rsidR="00A261F3">
        <w:t> 201</w:t>
      </w:r>
      <w:r w:rsidR="000D3E09" w:rsidRPr="000D3E09">
        <w:t>2 and</w:t>
      </w:r>
      <w:r w:rsidR="00A261F3">
        <w:t> 201</w:t>
      </w:r>
      <w:r w:rsidR="000D3E09" w:rsidRPr="000D3E09">
        <w:t>6</w:t>
      </w:r>
      <w:r w:rsidR="00C64395">
        <w:t xml:space="preserve">. In contrast, the average age of the workforce in </w:t>
      </w:r>
      <w:r w:rsidR="000D3E09" w:rsidRPr="000D3E09">
        <w:t xml:space="preserve">home </w:t>
      </w:r>
      <w:r w:rsidR="00A64378">
        <w:t>support and home care</w:t>
      </w:r>
      <w:r w:rsidR="000D3E09" w:rsidRPr="000D3E09">
        <w:t xml:space="preserve"> </w:t>
      </w:r>
      <w:r w:rsidR="00C64395">
        <w:t xml:space="preserve">increased from </w:t>
      </w:r>
      <w:r w:rsidR="000D3E09" w:rsidRPr="000D3E09">
        <w:t>50 in</w:t>
      </w:r>
      <w:r w:rsidR="00A261F3">
        <w:t> 201</w:t>
      </w:r>
      <w:r w:rsidR="000D3E09" w:rsidRPr="000D3E09">
        <w:t>2 to 52 in</w:t>
      </w:r>
      <w:r w:rsidR="00A261F3">
        <w:t> 201</w:t>
      </w:r>
      <w:r w:rsidR="000D3E09" w:rsidRPr="000D3E09">
        <w:t>6</w:t>
      </w:r>
      <w:r w:rsidR="00D8721E">
        <w:t>.</w:t>
      </w:r>
    </w:p>
    <w:p w:rsidR="000D3E09" w:rsidRPr="000D3E09" w:rsidRDefault="00C64395" w:rsidP="001865B8">
      <w:r>
        <w:t>In</w:t>
      </w:r>
      <w:r w:rsidR="00A261F3">
        <w:t> 201</w:t>
      </w:r>
      <w:r>
        <w:t>6</w:t>
      </w:r>
      <w:r w:rsidR="00E771F1">
        <w:t>,</w:t>
      </w:r>
      <w:r>
        <w:t xml:space="preserve"> o</w:t>
      </w:r>
      <w:r w:rsidR="000D3E09" w:rsidRPr="000D3E09">
        <w:t xml:space="preserve">verseas born workers continue to make up a very significant proportion of the aged care workforce. The proportion in residential care </w:t>
      </w:r>
      <w:r>
        <w:t>wa</w:t>
      </w:r>
      <w:r w:rsidR="000D3E09" w:rsidRPr="000D3E09">
        <w:t>s highest with 3</w:t>
      </w:r>
      <w:r w:rsidR="00341DAB">
        <w:t>2</w:t>
      </w:r>
      <w:r w:rsidR="00A261F3">
        <w:t> per cent</w:t>
      </w:r>
      <w:r w:rsidR="000D3E09" w:rsidRPr="000D3E09">
        <w:t xml:space="preserve"> of workers born overseas</w:t>
      </w:r>
      <w:r w:rsidR="004F5438">
        <w:t>,</w:t>
      </w:r>
      <w:r w:rsidR="000D3E09" w:rsidRPr="000D3E09">
        <w:t xml:space="preserve"> while in home </w:t>
      </w:r>
      <w:r w:rsidR="000D3E09" w:rsidRPr="000D3E09">
        <w:lastRenderedPageBreak/>
        <w:t>support and home care</w:t>
      </w:r>
      <w:r w:rsidR="00AB1FB1">
        <w:t xml:space="preserve"> the proportion </w:t>
      </w:r>
      <w:r>
        <w:t>was</w:t>
      </w:r>
      <w:r w:rsidR="00272B5B">
        <w:t xml:space="preserve"> 2</w:t>
      </w:r>
      <w:r w:rsidR="00341DAB">
        <w:t>3</w:t>
      </w:r>
      <w:r w:rsidR="00A261F3">
        <w:t> per cent</w:t>
      </w:r>
      <w:r w:rsidR="00AB1FB1">
        <w:t xml:space="preserve">. This compares with </w:t>
      </w:r>
      <w:r w:rsidR="005775DC">
        <w:t>3</w:t>
      </w:r>
      <w:r w:rsidR="009C307B">
        <w:t>5</w:t>
      </w:r>
      <w:r w:rsidR="00A261F3">
        <w:t> per cent</w:t>
      </w:r>
      <w:r w:rsidR="00272B5B">
        <w:t xml:space="preserve"> in residential </w:t>
      </w:r>
      <w:r w:rsidR="00A179FA">
        <w:t xml:space="preserve">care </w:t>
      </w:r>
      <w:r w:rsidR="00272B5B">
        <w:t>and 2</w:t>
      </w:r>
      <w:r w:rsidR="00D00B54">
        <w:t>8</w:t>
      </w:r>
      <w:r w:rsidR="00A261F3">
        <w:t> per cent</w:t>
      </w:r>
      <w:r w:rsidR="000D3E09" w:rsidRPr="000D3E09">
        <w:t xml:space="preserve"> in </w:t>
      </w:r>
      <w:r w:rsidR="004A00B7" w:rsidRPr="0042738F">
        <w:t xml:space="preserve">home </w:t>
      </w:r>
      <w:r w:rsidR="004A00B7">
        <w:t xml:space="preserve">support and </w:t>
      </w:r>
      <w:r w:rsidR="004A00B7" w:rsidRPr="0042738F">
        <w:t xml:space="preserve">home </w:t>
      </w:r>
      <w:r w:rsidR="004A00B7">
        <w:t>care</w:t>
      </w:r>
      <w:r w:rsidR="00AB1FB1">
        <w:t xml:space="preserve"> in</w:t>
      </w:r>
      <w:r w:rsidR="00A261F3">
        <w:t> 201</w:t>
      </w:r>
      <w:r w:rsidR="00AB1FB1">
        <w:t>2.</w:t>
      </w:r>
    </w:p>
    <w:p w:rsidR="00D8721E" w:rsidRDefault="000D3E09" w:rsidP="001865B8">
      <w:r w:rsidRPr="000D3E09">
        <w:t>Although aged care remains a female dominated sector, the proportion of males in the workforce is continuing to grow, albeit slowly and from a small bas</w:t>
      </w:r>
      <w:r w:rsidR="005775DC">
        <w:t>e. In residential</w:t>
      </w:r>
      <w:r w:rsidR="003A40B2">
        <w:t xml:space="preserve"> care, 1</w:t>
      </w:r>
      <w:r w:rsidR="00341DAB">
        <w:t>3</w:t>
      </w:r>
      <w:r w:rsidR="00A261F3">
        <w:t> per cent</w:t>
      </w:r>
      <w:r w:rsidRPr="000D3E09">
        <w:t xml:space="preserve"> of workers </w:t>
      </w:r>
      <w:r w:rsidR="00C64395">
        <w:t>were</w:t>
      </w:r>
      <w:r w:rsidRPr="000D3E09">
        <w:t xml:space="preserve"> male (compared with 1</w:t>
      </w:r>
      <w:r w:rsidR="00341DAB">
        <w:t>1</w:t>
      </w:r>
      <w:r w:rsidR="00A261F3">
        <w:t> per cent</w:t>
      </w:r>
      <w:r w:rsidRPr="000D3E09">
        <w:t xml:space="preserve"> in</w:t>
      </w:r>
      <w:r w:rsidR="00A261F3">
        <w:t> 201</w:t>
      </w:r>
      <w:r w:rsidRPr="000D3E09">
        <w:t>2)</w:t>
      </w:r>
      <w:r w:rsidR="004A4D9E">
        <w:t>.</w:t>
      </w:r>
      <w:r w:rsidRPr="000D3E09">
        <w:t xml:space="preserve"> </w:t>
      </w:r>
      <w:r w:rsidR="00AB1FB1">
        <w:t>I</w:t>
      </w:r>
      <w:r w:rsidRPr="000D3E09">
        <w:t xml:space="preserve">n the </w:t>
      </w:r>
      <w:r w:rsidR="004A00B7" w:rsidRPr="0042738F">
        <w:t xml:space="preserve">home </w:t>
      </w:r>
      <w:r w:rsidR="004A00B7">
        <w:t xml:space="preserve">support and </w:t>
      </w:r>
      <w:r w:rsidR="004A00B7" w:rsidRPr="0042738F">
        <w:t xml:space="preserve">home </w:t>
      </w:r>
      <w:r w:rsidR="004A00B7">
        <w:t>care</w:t>
      </w:r>
      <w:r w:rsidRPr="000D3E09">
        <w:t xml:space="preserve"> sector</w:t>
      </w:r>
      <w:r w:rsidR="004A4D9E">
        <w:t>,</w:t>
      </w:r>
      <w:r w:rsidRPr="000D3E09">
        <w:t xml:space="preserve"> men represent</w:t>
      </w:r>
      <w:r w:rsidR="00C64395">
        <w:t>ed</w:t>
      </w:r>
      <w:r w:rsidRPr="000D3E09">
        <w:t xml:space="preserve"> 1</w:t>
      </w:r>
      <w:r w:rsidR="00341DAB">
        <w:t>1</w:t>
      </w:r>
      <w:r w:rsidR="00A261F3">
        <w:t> per cent</w:t>
      </w:r>
      <w:r w:rsidR="00272B5B">
        <w:t xml:space="preserve"> of all workers (10</w:t>
      </w:r>
      <w:r w:rsidR="00A261F3">
        <w:t> per cent</w:t>
      </w:r>
      <w:r w:rsidR="00272B5B">
        <w:t> in</w:t>
      </w:r>
      <w:r w:rsidR="00A261F3">
        <w:t> 201</w:t>
      </w:r>
      <w:r w:rsidRPr="000D3E09">
        <w:t>2</w:t>
      </w:r>
      <w:r w:rsidR="005775DC">
        <w:t>)</w:t>
      </w:r>
      <w:r>
        <w:t>.</w:t>
      </w:r>
    </w:p>
    <w:p w:rsidR="0013084D" w:rsidRPr="00596D01" w:rsidRDefault="0013084D" w:rsidP="00944018">
      <w:pPr>
        <w:pStyle w:val="Heading5"/>
      </w:pPr>
      <w:r w:rsidRPr="00596D01">
        <w:t>Skills shortages</w:t>
      </w:r>
    </w:p>
    <w:p w:rsidR="00D8721E" w:rsidRDefault="004A00B7" w:rsidP="001865B8">
      <w:r>
        <w:t>Sixty-six</w:t>
      </w:r>
      <w:r w:rsidR="00A261F3">
        <w:t> per cent</w:t>
      </w:r>
      <w:r w:rsidR="0013084D" w:rsidRPr="0042738F">
        <w:t xml:space="preserve"> of residential care facilities reported skills shortages in at least one direct care occupation, with RNs being the most common. Skill</w:t>
      </w:r>
      <w:r w:rsidR="00E92B27">
        <w:t>s</w:t>
      </w:r>
      <w:r w:rsidR="0013084D" w:rsidRPr="0042738F">
        <w:t xml:space="preserve"> shortages are most common in remote areas. In </w:t>
      </w:r>
      <w:r w:rsidRPr="0042738F">
        <w:t xml:space="preserve">home </w:t>
      </w:r>
      <w:r>
        <w:t xml:space="preserve">support and </w:t>
      </w:r>
      <w:r w:rsidRPr="0042738F">
        <w:t xml:space="preserve">home </w:t>
      </w:r>
      <w:r>
        <w:t>care</w:t>
      </w:r>
      <w:r w:rsidR="0013084D" w:rsidRPr="0042738F">
        <w:t>, 4</w:t>
      </w:r>
      <w:r w:rsidR="00D00B54">
        <w:t>9</w:t>
      </w:r>
      <w:r w:rsidR="00A261F3">
        <w:t> per cent</w:t>
      </w:r>
      <w:r w:rsidR="0013084D" w:rsidRPr="0042738F">
        <w:t xml:space="preserve"> of services reported skills shortages.</w:t>
      </w:r>
    </w:p>
    <w:p w:rsidR="007D2DD6" w:rsidRPr="00596D01" w:rsidRDefault="00C64395" w:rsidP="001865B8">
      <w:pPr>
        <w:pStyle w:val="Heading3Numbered"/>
      </w:pPr>
      <w:bookmarkStart w:id="150" w:name="_Toc487702535"/>
      <w:bookmarkStart w:id="151" w:name="_Toc487702887"/>
      <w:bookmarkStart w:id="152" w:name="_Toc487703385"/>
      <w:bookmarkStart w:id="153" w:name="_Toc487703579"/>
      <w:bookmarkStart w:id="154" w:name="_Toc524424702"/>
      <w:r w:rsidRPr="00596D01">
        <w:t>Aged Care Workforce Taskforce</w:t>
      </w:r>
      <w:bookmarkEnd w:id="150"/>
      <w:bookmarkEnd w:id="151"/>
      <w:bookmarkEnd w:id="152"/>
      <w:bookmarkEnd w:id="153"/>
      <w:bookmarkEnd w:id="154"/>
      <w:r w:rsidRPr="00596D01">
        <w:t xml:space="preserve"> </w:t>
      </w:r>
    </w:p>
    <w:p w:rsidR="00D8721E" w:rsidRDefault="006538F1" w:rsidP="001865B8">
      <w:pPr>
        <w:rPr>
          <w:rFonts w:ascii="Calibri" w:hAnsi="Calibri"/>
          <w:sz w:val="18"/>
        </w:rPr>
      </w:pPr>
      <w:bookmarkStart w:id="155" w:name="_Ongoing_aged_care_1"/>
      <w:bookmarkStart w:id="156" w:name="_Evaluating_aged_care"/>
      <w:bookmarkStart w:id="157" w:name="_Ref457549418"/>
      <w:bookmarkStart w:id="158" w:name="_Toc457549893"/>
      <w:bookmarkStart w:id="159" w:name="_Toc487702537"/>
      <w:bookmarkStart w:id="160" w:name="_Toc487702889"/>
      <w:bookmarkStart w:id="161" w:name="_Toc487703387"/>
      <w:bookmarkStart w:id="162" w:name="_Toc487703581"/>
      <w:bookmarkEnd w:id="155"/>
      <w:bookmarkEnd w:id="156"/>
      <w:r w:rsidRPr="00F9649C">
        <w:t>As announced in the</w:t>
      </w:r>
      <w:r w:rsidR="00A261F3">
        <w:t> 201</w:t>
      </w:r>
      <w:r w:rsidRPr="00F9649C">
        <w:t>7</w:t>
      </w:r>
      <w:r w:rsidR="00D8721E">
        <w:t>–1</w:t>
      </w:r>
      <w:r w:rsidRPr="00F9649C">
        <w:t xml:space="preserve">8 Budget, the Australian Government created an industry-led </w:t>
      </w:r>
      <w:r w:rsidR="00E771F1">
        <w:t>Aged Care T</w:t>
      </w:r>
      <w:r w:rsidRPr="00F9649C">
        <w:t>askforce to develop an Aged Care Workforce Strategy. In September</w:t>
      </w:r>
      <w:r w:rsidR="00A261F3">
        <w:t> 201</w:t>
      </w:r>
      <w:r w:rsidRPr="00F9649C">
        <w:t xml:space="preserve">7, Professor John </w:t>
      </w:r>
      <w:proofErr w:type="spellStart"/>
      <w:r w:rsidRPr="00F9649C">
        <w:t>Pollaers</w:t>
      </w:r>
      <w:proofErr w:type="spellEnd"/>
      <w:r w:rsidRPr="00F9649C">
        <w:t xml:space="preserve"> was appointed chair </w:t>
      </w:r>
      <w:r w:rsidR="00E771F1">
        <w:t>of</w:t>
      </w:r>
      <w:r w:rsidRPr="00F9649C">
        <w:t xml:space="preserve"> the Taskforce. The Terms of Reference and membership of the Taskforce were announced in November</w:t>
      </w:r>
      <w:r w:rsidR="00A261F3">
        <w:t> 201</w:t>
      </w:r>
      <w:r w:rsidRPr="00F9649C">
        <w:t>7</w:t>
      </w:r>
      <w:r w:rsidR="00AE44DD">
        <w:rPr>
          <w:rStyle w:val="FootnoteReference"/>
          <w:rFonts w:cs="Segoe UI"/>
          <w:color w:val="313131"/>
        </w:rPr>
        <w:footnoteReference w:id="13"/>
      </w:r>
      <w:r w:rsidR="00D8721E">
        <w:rPr>
          <w:rFonts w:ascii="Calibri" w:hAnsi="Calibri"/>
          <w:sz w:val="18"/>
        </w:rPr>
        <w:t>.</w:t>
      </w:r>
    </w:p>
    <w:p w:rsidR="006538F1" w:rsidRPr="006538F1" w:rsidRDefault="006538F1" w:rsidP="001865B8">
      <w:r w:rsidRPr="00F9649C">
        <w:t xml:space="preserve">The Taskforce was established to develop a strategy for growing and sustaining the workforce providing aged care services and support for older people, </w:t>
      </w:r>
      <w:r w:rsidR="00E771F1">
        <w:t xml:space="preserve">and </w:t>
      </w:r>
      <w:r w:rsidRPr="00F9649C">
        <w:t xml:space="preserve">to meet their care needs in a variety of settings across Australia. The Taskforce </w:t>
      </w:r>
      <w:r w:rsidR="00E771F1">
        <w:t xml:space="preserve">was guided by </w:t>
      </w:r>
      <w:r w:rsidRPr="00F9649C">
        <w:t>five strategic imperatives</w:t>
      </w:r>
      <w:r w:rsidRPr="006538F1">
        <w:t>:</w:t>
      </w:r>
    </w:p>
    <w:p w:rsidR="006538F1" w:rsidRPr="00F9649C" w:rsidRDefault="006538F1" w:rsidP="001865B8">
      <w:pPr>
        <w:pStyle w:val="List1Numbered1"/>
      </w:pPr>
      <w:r w:rsidRPr="00F9649C">
        <w:t>Why th</w:t>
      </w:r>
      <w:r w:rsidR="003E6466">
        <w:t>e</w:t>
      </w:r>
      <w:r w:rsidRPr="00F9649C">
        <w:t xml:space="preserve"> Aged Care Industry Matters</w:t>
      </w:r>
    </w:p>
    <w:p w:rsidR="006538F1" w:rsidRPr="00F9649C" w:rsidRDefault="006538F1" w:rsidP="001865B8">
      <w:pPr>
        <w:pStyle w:val="List1Numbered1"/>
      </w:pPr>
      <w:r w:rsidRPr="00F9649C">
        <w:t>Industry Leadership, Mindset and Accountability</w:t>
      </w:r>
    </w:p>
    <w:p w:rsidR="006538F1" w:rsidRPr="00F9649C" w:rsidRDefault="006538F1" w:rsidP="001865B8">
      <w:pPr>
        <w:pStyle w:val="List1Numbered1"/>
      </w:pPr>
      <w:r w:rsidRPr="00F9649C">
        <w:t>Industry Workforce Organisation and Education (Current and Future)</w:t>
      </w:r>
    </w:p>
    <w:p w:rsidR="006538F1" w:rsidRPr="00F9649C" w:rsidRDefault="006538F1" w:rsidP="001865B8">
      <w:pPr>
        <w:pStyle w:val="List1Numbered1"/>
      </w:pPr>
      <w:r w:rsidRPr="00F9649C">
        <w:t>Industry Attraction and Retention</w:t>
      </w:r>
    </w:p>
    <w:p w:rsidR="00D8721E" w:rsidRDefault="006538F1" w:rsidP="001865B8">
      <w:pPr>
        <w:pStyle w:val="List1Numbered1"/>
      </w:pPr>
      <w:r w:rsidRPr="00F9649C">
        <w:t>Translating Research and Technology into Models of Care and Practice</w:t>
      </w:r>
    </w:p>
    <w:p w:rsidR="006538F1" w:rsidRPr="00F9649C" w:rsidRDefault="006538F1" w:rsidP="001865B8">
      <w:r w:rsidRPr="00F9649C">
        <w:t xml:space="preserve">The Taskforce undertook consultation over the </w:t>
      </w:r>
      <w:r w:rsidR="00DC144D" w:rsidRPr="00F9649C">
        <w:t>period November</w:t>
      </w:r>
      <w:r w:rsidR="00A261F3">
        <w:t> 201</w:t>
      </w:r>
      <w:r w:rsidR="00DC144D" w:rsidRPr="00F9649C">
        <w:t>7 to May</w:t>
      </w:r>
      <w:r w:rsidR="00A261F3">
        <w:t> 201</w:t>
      </w:r>
      <w:r w:rsidR="00DC144D" w:rsidRPr="00F9649C">
        <w:t>8.</w:t>
      </w:r>
      <w:r w:rsidR="00DC144D">
        <w:t xml:space="preserve"> </w:t>
      </w:r>
      <w:r w:rsidR="0084664D">
        <w:t xml:space="preserve">The </w:t>
      </w:r>
      <w:r w:rsidRPr="00F9649C">
        <w:t>Taskforce placed particular emphasis on workforce planning</w:t>
      </w:r>
      <w:r w:rsidR="00E771F1">
        <w:t>,</w:t>
      </w:r>
      <w:r w:rsidRPr="00F9649C">
        <w:t xml:space="preserve"> covering workforce size and structure, managing growth and changes in service requirements, mix of occupations, workforce roles and distinct workforce needs in different care settings and market catchments.</w:t>
      </w:r>
    </w:p>
    <w:p w:rsidR="00D8721E" w:rsidRDefault="00E92B27" w:rsidP="001865B8">
      <w:r>
        <w:t>In March</w:t>
      </w:r>
      <w:r w:rsidR="00A261F3">
        <w:t> 201</w:t>
      </w:r>
      <w:r>
        <w:t>8, t</w:t>
      </w:r>
      <w:r w:rsidR="006538F1" w:rsidRPr="00F9649C">
        <w:t>he Australian Government announced the establishment of an Aged Care Industry Reference Committee (IRC). The Aged Care IRC will be responsible for reforming national training package qualifications and skill sets needed by the aged care industry</w:t>
      </w:r>
      <w:r w:rsidR="00D8721E">
        <w:t>.</w:t>
      </w:r>
    </w:p>
    <w:p w:rsidR="00DC144D" w:rsidRPr="00D37AA3" w:rsidRDefault="00FA2A62" w:rsidP="001865B8">
      <w:r w:rsidRPr="00D37AA3">
        <w:t>On 29 June</w:t>
      </w:r>
      <w:r w:rsidR="00A261F3">
        <w:t> 201</w:t>
      </w:r>
      <w:r w:rsidRPr="00D37AA3">
        <w:t>8, the Taskforce delivered its Strategy to the Minister for Aged Care.</w:t>
      </w:r>
    </w:p>
    <w:p w:rsidR="00001040" w:rsidRDefault="00C01430" w:rsidP="001865B8">
      <w:pPr>
        <w:pStyle w:val="Heading1Numbered"/>
      </w:pPr>
      <w:bookmarkStart w:id="163" w:name="_Aged_care_reforms"/>
      <w:bookmarkStart w:id="164" w:name="_Toc524424703"/>
      <w:bookmarkEnd w:id="163"/>
      <w:r>
        <w:lastRenderedPageBreak/>
        <w:t>A</w:t>
      </w:r>
      <w:r w:rsidR="00D7490D" w:rsidRPr="00123BAB">
        <w:t>ged care reforms</w:t>
      </w:r>
      <w:bookmarkEnd w:id="157"/>
      <w:bookmarkEnd w:id="158"/>
      <w:bookmarkEnd w:id="159"/>
      <w:bookmarkEnd w:id="160"/>
      <w:bookmarkEnd w:id="161"/>
      <w:bookmarkEnd w:id="162"/>
      <w:bookmarkEnd w:id="164"/>
    </w:p>
    <w:p w:rsidR="001865B8" w:rsidRPr="001865B8" w:rsidRDefault="001865B8" w:rsidP="001865B8">
      <w:pPr>
        <w:pStyle w:val="Boxed1Heading"/>
      </w:pPr>
      <w:r w:rsidRPr="001865B8">
        <w:t>This chapter summarises reforms in aged care since 1 July 2014 and discusses current and future reforms.</w:t>
      </w:r>
    </w:p>
    <w:p w:rsidR="001865B8" w:rsidRPr="001865B8" w:rsidRDefault="001865B8" w:rsidP="001865B8">
      <w:pPr>
        <w:pStyle w:val="Boxed1Text"/>
      </w:pPr>
      <w:r w:rsidRPr="001865B8">
        <w:t>ACFA concluded in previous annual reports that 2014 funding and financial reforms had strengthened the viability and sustainability of the sector. Reforms are continuing to be implemented and the effect of some of these is yet to be fully seen.</w:t>
      </w:r>
    </w:p>
    <w:p w:rsidR="001865B8" w:rsidRPr="001865B8" w:rsidRDefault="001865B8" w:rsidP="001865B8">
      <w:pPr>
        <w:pStyle w:val="Boxed1Text"/>
      </w:pPr>
      <w:r w:rsidRPr="001865B8">
        <w:t>February 2017 saw significant reform in home care with the implementation of packages following consumers. Home care packages are now assigned directly to consumers who are able to select the provider of their choice.</w:t>
      </w:r>
    </w:p>
    <w:p w:rsidR="001865B8" w:rsidRPr="001865B8" w:rsidRDefault="001865B8" w:rsidP="001865B8">
      <w:pPr>
        <w:pStyle w:val="Boxed1Text"/>
      </w:pPr>
      <w:r w:rsidRPr="001865B8">
        <w:t>In May 2017, ACFA provided its assessment of the aged care reforms</w:t>
      </w:r>
      <w:r w:rsidRPr="001865B8">
        <w:rPr>
          <w:rStyle w:val="FootnoteReference"/>
        </w:rPr>
        <w:t xml:space="preserve"> </w:t>
      </w:r>
      <w:r w:rsidRPr="001865B8">
        <w:rPr>
          <w:rStyle w:val="FootnoteReference"/>
        </w:rPr>
        <w:footnoteReference w:id="14"/>
      </w:r>
      <w:r w:rsidRPr="001865B8">
        <w:t xml:space="preserve"> to date to the </w:t>
      </w:r>
      <w:r w:rsidRPr="001865B8">
        <w:rPr>
          <w:rStyle w:val="Emphasis"/>
        </w:rPr>
        <w:t>Legislated Review of Aged Care 2017</w:t>
      </w:r>
      <w:r w:rsidRPr="001865B8">
        <w:t>. The Review was presented to the Government in July 2017 and it, along with the Aged Care Roadmap</w:t>
      </w:r>
      <w:r w:rsidRPr="001865B8">
        <w:rPr>
          <w:rStyle w:val="FootnoteReference"/>
        </w:rPr>
        <w:footnoteReference w:id="15"/>
      </w:r>
      <w:r w:rsidRPr="001865B8">
        <w:t>, is expected to inform the next stages of aged care reforms.</w:t>
      </w:r>
    </w:p>
    <w:p w:rsidR="001865B8" w:rsidRPr="001865B8" w:rsidRDefault="001865B8" w:rsidP="001865B8">
      <w:pPr>
        <w:pStyle w:val="Boxed1Text"/>
        <w:rPr>
          <w:rStyle w:val="Strong"/>
        </w:rPr>
      </w:pPr>
      <w:r w:rsidRPr="001865B8">
        <w:rPr>
          <w:rStyle w:val="Strong"/>
        </w:rPr>
        <w:t>This chapter reports that:</w:t>
      </w:r>
    </w:p>
    <w:p w:rsidR="001865B8" w:rsidRPr="001865B8" w:rsidRDefault="001865B8" w:rsidP="001865B8">
      <w:pPr>
        <w:pStyle w:val="Boxed1Bullet"/>
      </w:pPr>
      <w:r w:rsidRPr="001865B8">
        <w:t>the pool of lump sum accommodation deposits held by providers continues to grow ($24.8 billion</w:t>
      </w:r>
      <w:r w:rsidRPr="001865B8">
        <w:rPr>
          <w:rStyle w:val="FootnoteReference"/>
        </w:rPr>
        <w:footnoteReference w:id="16"/>
      </w:r>
      <w:r w:rsidRPr="001865B8">
        <w:t xml:space="preserve"> at 30 June 2017, up from $21.9 billion at 30 June 2016); </w:t>
      </w:r>
    </w:p>
    <w:p w:rsidR="001865B8" w:rsidRPr="001865B8" w:rsidRDefault="001865B8" w:rsidP="001865B8">
      <w:pPr>
        <w:pStyle w:val="Boxed1Bullet"/>
      </w:pPr>
      <w:r w:rsidRPr="001865B8">
        <w:t>for the first time since the reforms of July 2014, Daily Accommodation Payments were slightly more popular than Refundable Accommodation Deposits; and</w:t>
      </w:r>
    </w:p>
    <w:p w:rsidR="001865B8" w:rsidRPr="001865B8" w:rsidRDefault="001865B8" w:rsidP="001865B8">
      <w:pPr>
        <w:pStyle w:val="Boxed1Bullet"/>
      </w:pPr>
      <w:r w:rsidRPr="001865B8">
        <w:t xml:space="preserve">means testing in residential care and income testing in home care have not impacted negatively on </w:t>
      </w:r>
      <w:proofErr w:type="gramStart"/>
      <w:r w:rsidRPr="001865B8">
        <w:t>consumers</w:t>
      </w:r>
      <w:proofErr w:type="gramEnd"/>
      <w:r w:rsidRPr="001865B8">
        <w:t xml:space="preserve"> access to care.</w:t>
      </w:r>
    </w:p>
    <w:p w:rsidR="002648AA" w:rsidRPr="00596D01" w:rsidRDefault="002648AA" w:rsidP="001865B8">
      <w:pPr>
        <w:pStyle w:val="Heading2Numbered"/>
      </w:pPr>
      <w:bookmarkStart w:id="165" w:name="_Toc423697046"/>
      <w:bookmarkStart w:id="166" w:name="_Ref452529582"/>
      <w:bookmarkStart w:id="167" w:name="_Toc457549894"/>
      <w:bookmarkStart w:id="168" w:name="_Toc487702538"/>
      <w:bookmarkStart w:id="169" w:name="_Toc487702890"/>
      <w:bookmarkStart w:id="170" w:name="_Toc487703388"/>
      <w:bookmarkStart w:id="171" w:name="_Toc487703582"/>
      <w:bookmarkStart w:id="172" w:name="_Toc524424704"/>
      <w:r w:rsidRPr="00596D01">
        <w:t>Description of reforms</w:t>
      </w:r>
      <w:bookmarkEnd w:id="165"/>
      <w:bookmarkEnd w:id="166"/>
      <w:bookmarkEnd w:id="167"/>
      <w:bookmarkEnd w:id="168"/>
      <w:bookmarkEnd w:id="169"/>
      <w:bookmarkEnd w:id="170"/>
      <w:bookmarkEnd w:id="171"/>
      <w:r w:rsidR="00F76A10" w:rsidRPr="00596D01">
        <w:t xml:space="preserve"> to date</w:t>
      </w:r>
      <w:bookmarkEnd w:id="172"/>
    </w:p>
    <w:p w:rsidR="00D8721E" w:rsidRDefault="00C01430" w:rsidP="001865B8">
      <w:r w:rsidRPr="006B640D">
        <w:t xml:space="preserve">The aged care sector has undergone substantial change in </w:t>
      </w:r>
      <w:r w:rsidR="00275A02" w:rsidRPr="006B640D">
        <w:t>recent</w:t>
      </w:r>
      <w:r w:rsidRPr="006B640D">
        <w:t xml:space="preserve"> years</w:t>
      </w:r>
      <w:r w:rsidR="0059304D" w:rsidRPr="006B640D">
        <w:t xml:space="preserve"> with a view to improving the sustainability of aged care services and increasing consumer choice and control. </w:t>
      </w:r>
      <w:r w:rsidRPr="006B640D">
        <w:t>This change includes a suite</w:t>
      </w:r>
      <w:r w:rsidR="00275A02" w:rsidRPr="006B640D">
        <w:t xml:space="preserve"> of reforms that have had a </w:t>
      </w:r>
      <w:r w:rsidRPr="006B640D">
        <w:t>phased implementation since</w:t>
      </w:r>
      <w:r w:rsidR="00935BDB" w:rsidRPr="006B640D">
        <w:t xml:space="preserve"> first being announced in April</w:t>
      </w:r>
      <w:r w:rsidR="00A261F3">
        <w:t> 201</w:t>
      </w:r>
      <w:r w:rsidR="00B756D4" w:rsidRPr="006B640D">
        <w:t>2</w:t>
      </w:r>
      <w:r w:rsidRPr="006B640D">
        <w:t xml:space="preserve"> and furt</w:t>
      </w:r>
      <w:r w:rsidR="000D5A5E">
        <w:t>her reform announcements in subsequent</w:t>
      </w:r>
      <w:r w:rsidRPr="006B640D">
        <w:t xml:space="preserve"> Budgets</w:t>
      </w:r>
      <w:r w:rsidR="00D8721E">
        <w:t>.</w:t>
      </w:r>
    </w:p>
    <w:p w:rsidR="00D8721E" w:rsidRDefault="00492BF8" w:rsidP="001865B8">
      <w:r>
        <w:fldChar w:fldCharType="begin"/>
      </w:r>
      <w:r>
        <w:instrText xml:space="preserve"> REF _Ref524428951 \r \h </w:instrText>
      </w:r>
      <w:r>
        <w:fldChar w:fldCharType="separate"/>
      </w:r>
      <w:r>
        <w:t>Figure 4.1</w:t>
      </w:r>
      <w:r>
        <w:fldChar w:fldCharType="end"/>
      </w:r>
      <w:r>
        <w:t xml:space="preserve"> </w:t>
      </w:r>
      <w:r w:rsidR="0071020A">
        <w:t xml:space="preserve">presents a timeline of reforms </w:t>
      </w:r>
      <w:r w:rsidR="005F5AA9">
        <w:t>in aged care since</w:t>
      </w:r>
      <w:r w:rsidR="00A261F3">
        <w:t> 201</w:t>
      </w:r>
      <w:r w:rsidR="00C51DE9">
        <w:t>3</w:t>
      </w:r>
      <w:r w:rsidR="00D8721E">
        <w:t>.</w:t>
      </w:r>
    </w:p>
    <w:p w:rsidR="00D8721E" w:rsidRDefault="00492BF8" w:rsidP="001865B8">
      <w:r>
        <w:fldChar w:fldCharType="begin"/>
      </w:r>
      <w:r>
        <w:instrText xml:space="preserve"> REF _Ref524429127 \r \h </w:instrText>
      </w:r>
      <w:r>
        <w:fldChar w:fldCharType="separate"/>
      </w:r>
      <w:r>
        <w:t>Table 4.1</w:t>
      </w:r>
      <w:r>
        <w:fldChar w:fldCharType="end"/>
      </w:r>
      <w:r>
        <w:t xml:space="preserve"> </w:t>
      </w:r>
      <w:r w:rsidR="00E94570" w:rsidRPr="00E94570">
        <w:t>summarises the reforms based on the care type they relate to, that is, CHSP, home care or residential care.</w:t>
      </w:r>
    </w:p>
    <w:p w:rsidR="001865B8" w:rsidRDefault="001865B8" w:rsidP="001865B8"/>
    <w:p w:rsidR="001865B8" w:rsidRDefault="001865B8" w:rsidP="001865B8">
      <w:pPr>
        <w:sectPr w:rsidR="001865B8" w:rsidSect="00A261F3">
          <w:pgSz w:w="11906" w:h="16838" w:code="9"/>
          <w:pgMar w:top="1134" w:right="1134" w:bottom="1134" w:left="1134" w:header="567" w:footer="567" w:gutter="0"/>
          <w:cols w:space="720"/>
          <w:titlePg/>
          <w:docGrid w:linePitch="360"/>
        </w:sectPr>
      </w:pPr>
    </w:p>
    <w:p w:rsidR="001865B8" w:rsidRPr="001865B8" w:rsidRDefault="000733AB" w:rsidP="001865B8">
      <w:pPr>
        <w:pStyle w:val="FigureTitle"/>
      </w:pPr>
      <w:bookmarkStart w:id="173" w:name="_Ref524428951"/>
      <w:r w:rsidRPr="001865B8">
        <w:lastRenderedPageBreak/>
        <w:t>Timeline of aged care reforms</w:t>
      </w:r>
      <w:bookmarkEnd w:id="173"/>
    </w:p>
    <w:p w:rsidR="00D8721E" w:rsidRDefault="00C73F3D" w:rsidP="001865B8">
      <w:pPr>
        <w:rPr>
          <w:color w:val="FF0000"/>
        </w:rPr>
      </w:pPr>
      <w:r>
        <w:rPr>
          <w:noProof/>
        </w:rPr>
        <w:drawing>
          <wp:inline distT="0" distB="0" distL="0" distR="0" wp14:anchorId="1E3AF3A0" wp14:editId="56A114AB">
            <wp:extent cx="9252000" cy="4806840"/>
            <wp:effectExtent l="0" t="0" r="6350" b="0"/>
            <wp:docPr id="676" name="Picture 676" descr="Figure 4.1 Timeline of aged care re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cb0036\AppData\Local\Microsoft\Windows\Temporary Internet Files\Content.Outlook\DXFUNO8X\Figure_4.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52000" cy="4806840"/>
                    </a:xfrm>
                    <a:prstGeom prst="rect">
                      <a:avLst/>
                    </a:prstGeom>
                    <a:noFill/>
                    <a:ln>
                      <a:noFill/>
                    </a:ln>
                  </pic:spPr>
                </pic:pic>
              </a:graphicData>
            </a:graphic>
          </wp:inline>
        </w:drawing>
      </w:r>
    </w:p>
    <w:p w:rsidR="001865B8" w:rsidRDefault="001865B8" w:rsidP="001865B8"/>
    <w:p w:rsidR="001865B8" w:rsidRDefault="001865B8" w:rsidP="001865B8">
      <w:pPr>
        <w:sectPr w:rsidR="001865B8" w:rsidSect="001865B8">
          <w:pgSz w:w="16838" w:h="11906" w:orient="landscape" w:code="9"/>
          <w:pgMar w:top="1134" w:right="1134" w:bottom="1134" w:left="1134" w:header="567" w:footer="567" w:gutter="0"/>
          <w:cols w:space="720"/>
          <w:titlePg/>
          <w:docGrid w:linePitch="360"/>
        </w:sectPr>
      </w:pPr>
    </w:p>
    <w:p w:rsidR="000956C6" w:rsidRPr="00596D01" w:rsidRDefault="006B1CE3" w:rsidP="001865B8">
      <w:pPr>
        <w:pStyle w:val="TableTitle"/>
        <w:rPr>
          <w:rStyle w:val="Strong"/>
        </w:rPr>
      </w:pPr>
      <w:bookmarkStart w:id="174" w:name="_Ref524429127"/>
      <w:r w:rsidRPr="00596D01">
        <w:lastRenderedPageBreak/>
        <w:t>Major reforms by program</w:t>
      </w:r>
      <w:bookmarkEnd w:id="174"/>
    </w:p>
    <w:tbl>
      <w:tblPr>
        <w:tblStyle w:val="DefaultTable1"/>
        <w:tblW w:w="0" w:type="auto"/>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972"/>
        <w:gridCol w:w="6656"/>
      </w:tblGrid>
      <w:tr w:rsidR="001865B8" w:rsidTr="001865B8">
        <w:trPr>
          <w:cnfStyle w:val="100000000000" w:firstRow="1" w:lastRow="0" w:firstColumn="0" w:lastColumn="0" w:oddVBand="0" w:evenVBand="0" w:oddHBand="0" w:evenHBand="0" w:firstRowFirstColumn="0" w:firstRowLastColumn="0" w:lastRowFirstColumn="0" w:lastRowLastColumn="0"/>
          <w:tblHeader/>
        </w:trPr>
        <w:tc>
          <w:tcPr>
            <w:tcW w:w="2972" w:type="dxa"/>
          </w:tcPr>
          <w:p w:rsidR="001865B8" w:rsidRDefault="001865B8" w:rsidP="001865B8">
            <w:r>
              <w:t>Programme</w:t>
            </w:r>
          </w:p>
        </w:tc>
        <w:tc>
          <w:tcPr>
            <w:tcW w:w="6656" w:type="dxa"/>
          </w:tcPr>
          <w:p w:rsidR="001865B8" w:rsidRDefault="001865B8" w:rsidP="001865B8">
            <w:r>
              <w:t>Reforms</w:t>
            </w:r>
          </w:p>
        </w:tc>
      </w:tr>
      <w:tr w:rsidR="001865B8" w:rsidTr="001865B8">
        <w:tc>
          <w:tcPr>
            <w:tcW w:w="2972" w:type="dxa"/>
          </w:tcPr>
          <w:p w:rsidR="001865B8" w:rsidRDefault="001865B8" w:rsidP="001865B8">
            <w:pPr>
              <w:rPr>
                <w:rStyle w:val="Strong"/>
              </w:rPr>
            </w:pPr>
            <w:r w:rsidRPr="00596D01">
              <w:rPr>
                <w:rStyle w:val="Strong"/>
              </w:rPr>
              <w:t>Commonwealth Home Support Programme (CHSP)</w:t>
            </w:r>
          </w:p>
        </w:tc>
        <w:tc>
          <w:tcPr>
            <w:tcW w:w="6656" w:type="dxa"/>
          </w:tcPr>
          <w:p w:rsidR="001865B8" w:rsidRPr="00C631A0" w:rsidRDefault="001865B8" w:rsidP="001865B8">
            <w:pPr>
              <w:pStyle w:val="Bullet1"/>
            </w:pPr>
            <w:r w:rsidRPr="00C631A0">
              <w:t>From 1 July</w:t>
            </w:r>
            <w:r>
              <w:t> 201</w:t>
            </w:r>
            <w:r w:rsidRPr="00C631A0">
              <w:t>5, the CHSP commenced</w:t>
            </w:r>
            <w:r>
              <w:t xml:space="preserve"> by</w:t>
            </w:r>
            <w:r w:rsidRPr="00C631A0">
              <w:t xml:space="preserve"> combining the</w:t>
            </w:r>
            <w:r>
              <w:t xml:space="preserve"> former </w:t>
            </w:r>
            <w:r w:rsidRPr="00C631A0">
              <w:t>Commonwealth</w:t>
            </w:r>
            <w:r>
              <w:t xml:space="preserve">-State </w:t>
            </w:r>
            <w:r w:rsidRPr="00C631A0">
              <w:t>Home and Community Care (HACC)</w:t>
            </w:r>
            <w:r>
              <w:t xml:space="preserve"> programs in all states and territories except Victoria and Western Australia</w:t>
            </w:r>
            <w:r w:rsidRPr="00C631A0">
              <w:t xml:space="preserve">, </w:t>
            </w:r>
            <w:r>
              <w:t xml:space="preserve">and the Commonwealth </w:t>
            </w:r>
            <w:r w:rsidRPr="00C631A0">
              <w:t xml:space="preserve">National Respite for Carers, Day Therapy Centres and Assistance with Care and Housing for the Aged programs; </w:t>
            </w:r>
          </w:p>
          <w:p w:rsidR="001865B8" w:rsidRDefault="001865B8" w:rsidP="001865B8">
            <w:pPr>
              <w:pStyle w:val="Bullet1"/>
              <w:rPr>
                <w:rStyle w:val="Strong"/>
              </w:rPr>
            </w:pPr>
            <w:r w:rsidRPr="00A92768">
              <w:t>Victoria transitioned their HACC services to the CHSP on 1 July</w:t>
            </w:r>
            <w:r>
              <w:t> 201</w:t>
            </w:r>
            <w:r w:rsidRPr="00A92768">
              <w:t>6 and Western Australia transitioned</w:t>
            </w:r>
            <w:r>
              <w:t xml:space="preserve"> to the CHSP on 1 July 2018.</w:t>
            </w:r>
          </w:p>
        </w:tc>
      </w:tr>
      <w:tr w:rsidR="001865B8" w:rsidTr="001865B8">
        <w:tc>
          <w:tcPr>
            <w:tcW w:w="2972" w:type="dxa"/>
          </w:tcPr>
          <w:p w:rsidR="001865B8" w:rsidRDefault="001865B8" w:rsidP="001865B8">
            <w:pPr>
              <w:rPr>
                <w:rStyle w:val="Strong"/>
              </w:rPr>
            </w:pPr>
            <w:r w:rsidRPr="00596D01">
              <w:rPr>
                <w:rStyle w:val="Strong"/>
              </w:rPr>
              <w:t>Home Care Packages Programme</w:t>
            </w:r>
          </w:p>
        </w:tc>
        <w:tc>
          <w:tcPr>
            <w:tcW w:w="6656" w:type="dxa"/>
          </w:tcPr>
          <w:p w:rsidR="001865B8" w:rsidRDefault="001865B8" w:rsidP="001865B8">
            <w:pPr>
              <w:pStyle w:val="Bullet1"/>
            </w:pPr>
            <w:r>
              <w:t xml:space="preserve">new </w:t>
            </w:r>
            <w:r w:rsidRPr="00C372CD">
              <w:t>home care packages</w:t>
            </w:r>
            <w:r>
              <w:t xml:space="preserve"> (levels 1–4)</w:t>
            </w:r>
            <w:r w:rsidRPr="00C372CD">
              <w:t xml:space="preserve"> commenced</w:t>
            </w:r>
            <w:r>
              <w:t xml:space="preserve"> 1 August 2013;</w:t>
            </w:r>
          </w:p>
          <w:p w:rsidR="001865B8" w:rsidRPr="005D6F66" w:rsidRDefault="001865B8" w:rsidP="001865B8">
            <w:pPr>
              <w:pStyle w:val="Bullet1"/>
            </w:pPr>
            <w:r>
              <w:t>formalised income testing with subsidy reduction, including annual and lifetime caps, commenced on 1 July 2014;</w:t>
            </w:r>
          </w:p>
          <w:p w:rsidR="001865B8" w:rsidRPr="00C372CD" w:rsidRDefault="001865B8" w:rsidP="001865B8">
            <w:pPr>
              <w:pStyle w:val="Bullet1"/>
            </w:pPr>
            <w:r>
              <w:t>a</w:t>
            </w:r>
            <w:r w:rsidRPr="00C372CD">
              <w:t>ll packages required to be CDC</w:t>
            </w:r>
            <w:r>
              <w:t>, with individualised budgets,</w:t>
            </w:r>
            <w:r w:rsidRPr="00C372CD">
              <w:t xml:space="preserve"> from </w:t>
            </w:r>
            <w:r>
              <w:t xml:space="preserve">1 July 2015; </w:t>
            </w:r>
          </w:p>
          <w:p w:rsidR="001865B8" w:rsidRDefault="001865B8" w:rsidP="001865B8">
            <w:pPr>
              <w:pStyle w:val="Bullet1"/>
            </w:pPr>
            <w:r>
              <w:t>h</w:t>
            </w:r>
            <w:r w:rsidRPr="00C372CD">
              <w:t xml:space="preserve">ome care packages </w:t>
            </w:r>
            <w:r>
              <w:t>assigned to the consumer rather than allocated to the provider from 27 February 2017; and</w:t>
            </w:r>
          </w:p>
          <w:p w:rsidR="001865B8" w:rsidRDefault="001865B8" w:rsidP="001865B8">
            <w:pPr>
              <w:pStyle w:val="Bullet1"/>
              <w:rPr>
                <w:rStyle w:val="Strong"/>
              </w:rPr>
            </w:pPr>
            <w:r w:rsidRPr="00CF3332">
              <w:t>14,000 additional higher level home care places announced in the</w:t>
            </w:r>
            <w:r>
              <w:t> 201</w:t>
            </w:r>
            <w:r w:rsidRPr="00CF3332">
              <w:t>8</w:t>
            </w:r>
            <w:r>
              <w:t>–1</w:t>
            </w:r>
            <w:r w:rsidRPr="00CF3332">
              <w:t>9 Budget.</w:t>
            </w:r>
          </w:p>
        </w:tc>
      </w:tr>
      <w:tr w:rsidR="001865B8" w:rsidTr="001865B8">
        <w:tc>
          <w:tcPr>
            <w:tcW w:w="2972" w:type="dxa"/>
          </w:tcPr>
          <w:p w:rsidR="001865B8" w:rsidRDefault="001865B8" w:rsidP="001865B8">
            <w:pPr>
              <w:rPr>
                <w:rStyle w:val="Strong"/>
              </w:rPr>
            </w:pPr>
            <w:r w:rsidRPr="00596D01">
              <w:rPr>
                <w:rStyle w:val="Strong"/>
              </w:rPr>
              <w:t>Residential aged care</w:t>
            </w:r>
          </w:p>
        </w:tc>
        <w:tc>
          <w:tcPr>
            <w:tcW w:w="6656" w:type="dxa"/>
          </w:tcPr>
          <w:p w:rsidR="001865B8" w:rsidRPr="00C94111" w:rsidRDefault="001865B8" w:rsidP="001865B8">
            <w:pPr>
              <w:pStyle w:val="Bullet1"/>
            </w:pPr>
            <w:r w:rsidRPr="00C94111">
              <w:t>new</w:t>
            </w:r>
            <w:r>
              <w:t xml:space="preserve"> means testing (combining income and assets test), including annual and lifetime caps, commenced on 1 July 2014;</w:t>
            </w:r>
          </w:p>
          <w:p w:rsidR="001865B8" w:rsidRPr="00C94111" w:rsidRDefault="001865B8" w:rsidP="001865B8">
            <w:pPr>
              <w:pStyle w:val="Bullet1"/>
            </w:pPr>
            <w:r w:rsidRPr="00C94111">
              <w:t xml:space="preserve">new accommodation payment arrangements </w:t>
            </w:r>
            <w:r>
              <w:t xml:space="preserve">from 1 July 2014 </w:t>
            </w:r>
            <w:r w:rsidRPr="00C94111">
              <w:t xml:space="preserve">which allow market-based accommodation prices for all non-supported residents, accompanied by consumer choice to pay by lump sum, daily payment or </w:t>
            </w:r>
            <w:r>
              <w:t xml:space="preserve">a </w:t>
            </w:r>
            <w:r w:rsidRPr="00C94111">
              <w:t>combination of both;</w:t>
            </w:r>
          </w:p>
          <w:p w:rsidR="001865B8" w:rsidRPr="00C94111" w:rsidRDefault="001865B8" w:rsidP="001865B8">
            <w:pPr>
              <w:pStyle w:val="Bullet1"/>
            </w:pPr>
            <w:r w:rsidRPr="00C94111">
              <w:t xml:space="preserve">requirements for providers to publish the maximum </w:t>
            </w:r>
            <w:r>
              <w:t xml:space="preserve">price </w:t>
            </w:r>
            <w:r w:rsidRPr="00C94111">
              <w:t>they charge for accommodation and extra services;</w:t>
            </w:r>
          </w:p>
          <w:p w:rsidR="001865B8" w:rsidRDefault="001865B8" w:rsidP="001865B8">
            <w:pPr>
              <w:pStyle w:val="Bullet1"/>
            </w:pPr>
            <w:r w:rsidRPr="00AF3323">
              <w:t>higher accommodation supplement payable for supported residents in residential aged care homes that were newly built or significantly refurbished</w:t>
            </w:r>
            <w:r>
              <w:t xml:space="preserve"> since 20 April 2012;</w:t>
            </w:r>
          </w:p>
          <w:p w:rsidR="001865B8" w:rsidRDefault="001865B8" w:rsidP="001865B8">
            <w:pPr>
              <w:pStyle w:val="Bullet1"/>
            </w:pPr>
            <w:r>
              <w:t xml:space="preserve">appointment of the Aged Care Pricing Commissioner in October 2013; and </w:t>
            </w:r>
          </w:p>
          <w:p w:rsidR="001865B8" w:rsidRPr="001865B8" w:rsidRDefault="001865B8" w:rsidP="001865B8">
            <w:pPr>
              <w:pStyle w:val="Bullet1"/>
              <w:rPr>
                <w:rStyle w:val="Strong"/>
                <w:b w:val="0"/>
                <w:bCs w:val="0"/>
              </w:rPr>
            </w:pPr>
            <w:r w:rsidRPr="00AF00F2">
              <w:t>Rental income from the former home assessable for all residents who enter care from 1 July</w:t>
            </w:r>
            <w:r>
              <w:t> 201</w:t>
            </w:r>
            <w:r w:rsidRPr="00AF00F2">
              <w:t>6 (formerly exempt for residents who made a daily payment for their accommodation).</w:t>
            </w:r>
          </w:p>
        </w:tc>
      </w:tr>
      <w:tr w:rsidR="001865B8" w:rsidTr="001865B8">
        <w:tc>
          <w:tcPr>
            <w:tcW w:w="2972" w:type="dxa"/>
          </w:tcPr>
          <w:p w:rsidR="001865B8" w:rsidRDefault="001865B8" w:rsidP="001865B8">
            <w:pPr>
              <w:rPr>
                <w:rStyle w:val="Strong"/>
              </w:rPr>
            </w:pPr>
            <w:r w:rsidRPr="00596D01">
              <w:rPr>
                <w:rStyle w:val="Strong"/>
              </w:rPr>
              <w:t>Cross-program</w:t>
            </w:r>
          </w:p>
        </w:tc>
        <w:tc>
          <w:tcPr>
            <w:tcW w:w="6656" w:type="dxa"/>
          </w:tcPr>
          <w:p w:rsidR="001865B8" w:rsidRPr="00550458" w:rsidRDefault="001865B8" w:rsidP="001865B8">
            <w:pPr>
              <w:pStyle w:val="Bullet1"/>
            </w:pPr>
            <w:r w:rsidRPr="00550458">
              <w:t>overall target provision ratio for Government subsidised aged care places to increase from 113 places for every 1,000 people aged 70+ to 125 places between</w:t>
            </w:r>
            <w:r>
              <w:t> 201</w:t>
            </w:r>
            <w:r w:rsidRPr="00550458">
              <w:t>2</w:t>
            </w:r>
            <w:r>
              <w:t>–1</w:t>
            </w:r>
            <w:r w:rsidRPr="00550458">
              <w:t>3 and</w:t>
            </w:r>
            <w:r>
              <w:t> 202</w:t>
            </w:r>
            <w:r w:rsidRPr="00550458">
              <w:t>1</w:t>
            </w:r>
            <w:r>
              <w:t>–2</w:t>
            </w:r>
            <w:r w:rsidRPr="00550458">
              <w:t>2;</w:t>
            </w:r>
          </w:p>
          <w:p w:rsidR="001865B8" w:rsidRPr="00550458" w:rsidRDefault="001865B8" w:rsidP="001865B8">
            <w:pPr>
              <w:pStyle w:val="Bullet1"/>
            </w:pPr>
            <w:r w:rsidRPr="00550458">
              <w:t>creation of a single budget item for home care packages and residential aged care places from 1 July</w:t>
            </w:r>
            <w:r>
              <w:t> 201</w:t>
            </w:r>
            <w:r w:rsidRPr="00550458">
              <w:t xml:space="preserve">8 that will allow flexibility to direct available funding to home care or residential care in response to consumer preferences; </w:t>
            </w:r>
          </w:p>
          <w:p w:rsidR="001865B8" w:rsidRPr="00550458" w:rsidRDefault="001865B8" w:rsidP="001865B8">
            <w:pPr>
              <w:pStyle w:val="Bullet1"/>
            </w:pPr>
            <w:r w:rsidRPr="00550458">
              <w:t>establishing the Aged Care Quality and Safety Commission from January</w:t>
            </w:r>
            <w:r>
              <w:t> 201</w:t>
            </w:r>
            <w:r w:rsidRPr="00550458">
              <w:t xml:space="preserve">9 and the </w:t>
            </w:r>
            <w:r>
              <w:t>commencement</w:t>
            </w:r>
            <w:r w:rsidRPr="00550458">
              <w:t xml:space="preserve"> of a single </w:t>
            </w:r>
            <w:r>
              <w:t xml:space="preserve">set of </w:t>
            </w:r>
            <w:r w:rsidRPr="00550458">
              <w:t>quality standards across all aged care</w:t>
            </w:r>
            <w:r>
              <w:t xml:space="preserve"> from 1 July 2019</w:t>
            </w:r>
            <w:r w:rsidRPr="00550458">
              <w:t>; and</w:t>
            </w:r>
          </w:p>
          <w:p w:rsidR="001865B8" w:rsidRPr="001865B8" w:rsidRDefault="001865B8" w:rsidP="001865B8">
            <w:pPr>
              <w:pStyle w:val="Bullet1"/>
              <w:rPr>
                <w:rStyle w:val="Strong"/>
                <w:b w:val="0"/>
                <w:bCs w:val="0"/>
              </w:rPr>
            </w:pPr>
            <w:r w:rsidRPr="00550458">
              <w:t>further improvements to My Aged Care in</w:t>
            </w:r>
            <w:r>
              <w:t> 201</w:t>
            </w:r>
            <w:r w:rsidRPr="00550458">
              <w:t>8</w:t>
            </w:r>
            <w:r>
              <w:t>–1</w:t>
            </w:r>
            <w:r w:rsidRPr="00550458">
              <w:t>9 and</w:t>
            </w:r>
            <w:r>
              <w:t> 201</w:t>
            </w:r>
            <w:r w:rsidRPr="00550458">
              <w:t>9</w:t>
            </w:r>
            <w:r>
              <w:t>–2</w:t>
            </w:r>
            <w:r w:rsidRPr="00550458">
              <w:t>0</w:t>
            </w:r>
            <w:r>
              <w:t>.</w:t>
            </w:r>
          </w:p>
        </w:tc>
      </w:tr>
    </w:tbl>
    <w:p w:rsidR="00536DCE" w:rsidRPr="00596D01" w:rsidRDefault="00536DCE" w:rsidP="001865B8">
      <w:pPr>
        <w:pStyle w:val="Heading2Numbered"/>
      </w:pPr>
      <w:bookmarkStart w:id="175" w:name="_Toc450735040"/>
      <w:bookmarkStart w:id="176" w:name="_Toc457549895"/>
      <w:bookmarkStart w:id="177" w:name="_Toc487702540"/>
      <w:bookmarkStart w:id="178" w:name="_Toc487702892"/>
      <w:bookmarkStart w:id="179" w:name="_Toc487703390"/>
      <w:bookmarkStart w:id="180" w:name="_Toc487703584"/>
      <w:bookmarkStart w:id="181" w:name="_Toc524424705"/>
      <w:r w:rsidRPr="00596D01">
        <w:lastRenderedPageBreak/>
        <w:t>Reform monitoring</w:t>
      </w:r>
      <w:bookmarkEnd w:id="175"/>
      <w:bookmarkEnd w:id="176"/>
      <w:bookmarkEnd w:id="177"/>
      <w:bookmarkEnd w:id="178"/>
      <w:bookmarkEnd w:id="179"/>
      <w:bookmarkEnd w:id="180"/>
      <w:bookmarkEnd w:id="181"/>
    </w:p>
    <w:p w:rsidR="00D8721E" w:rsidRDefault="00B66832" w:rsidP="001865B8">
      <w:pPr>
        <w:rPr>
          <w:lang w:val="en-GB"/>
        </w:rPr>
      </w:pPr>
      <w:r>
        <w:rPr>
          <w:lang w:val="en-GB"/>
        </w:rPr>
        <w:t xml:space="preserve">ACFA </w:t>
      </w:r>
      <w:r w:rsidRPr="008F5EEE">
        <w:rPr>
          <w:lang w:val="en-GB"/>
        </w:rPr>
        <w:t>monitor</w:t>
      </w:r>
      <w:r w:rsidR="006B1CE3">
        <w:rPr>
          <w:lang w:val="en-GB"/>
        </w:rPr>
        <w:t>ed</w:t>
      </w:r>
      <w:r w:rsidRPr="008F5EEE">
        <w:rPr>
          <w:lang w:val="en-GB"/>
        </w:rPr>
        <w:t xml:space="preserve"> the impact of the </w:t>
      </w:r>
      <w:r w:rsidR="00EB039B">
        <w:rPr>
          <w:lang w:val="en-GB"/>
        </w:rPr>
        <w:t>1 July</w:t>
      </w:r>
      <w:r w:rsidR="00A261F3">
        <w:rPr>
          <w:lang w:val="en-GB"/>
        </w:rPr>
        <w:t> 201</w:t>
      </w:r>
      <w:r w:rsidR="00031ADB">
        <w:rPr>
          <w:lang w:val="en-GB"/>
        </w:rPr>
        <w:t>4</w:t>
      </w:r>
      <w:r w:rsidRPr="008F5EEE">
        <w:rPr>
          <w:lang w:val="en-GB"/>
        </w:rPr>
        <w:t xml:space="preserve"> funding and financing changes on the aged care sector, including the impact of the new accommodation payment arrangements, consumer choice of payment method, and the new means testing arrangements. ACFA provided </w:t>
      </w:r>
      <w:r>
        <w:rPr>
          <w:lang w:val="en-GB"/>
        </w:rPr>
        <w:t xml:space="preserve">monthly reports </w:t>
      </w:r>
      <w:r w:rsidRPr="008F5EEE">
        <w:rPr>
          <w:lang w:val="en-GB"/>
        </w:rPr>
        <w:t>to the end of</w:t>
      </w:r>
      <w:r w:rsidR="00A261F3">
        <w:rPr>
          <w:lang w:val="en-GB"/>
        </w:rPr>
        <w:t> 201</w:t>
      </w:r>
      <w:r w:rsidRPr="008F5EEE">
        <w:rPr>
          <w:lang w:val="en-GB"/>
        </w:rPr>
        <w:t>4 the</w:t>
      </w:r>
      <w:r>
        <w:rPr>
          <w:lang w:val="en-GB"/>
        </w:rPr>
        <w:t>n quarterly in</w:t>
      </w:r>
      <w:r w:rsidR="00A261F3">
        <w:rPr>
          <w:lang w:val="en-GB"/>
        </w:rPr>
        <w:t> 201</w:t>
      </w:r>
      <w:r w:rsidR="00754AA9">
        <w:rPr>
          <w:lang w:val="en-GB"/>
        </w:rPr>
        <w:t>5</w:t>
      </w:r>
      <w:r w:rsidR="00D8721E">
        <w:rPr>
          <w:lang w:val="en-GB"/>
        </w:rPr>
        <w:t>.</w:t>
      </w:r>
    </w:p>
    <w:p w:rsidR="00B66832" w:rsidRDefault="006B1CE3" w:rsidP="001865B8">
      <w:pPr>
        <w:rPr>
          <w:lang w:val="en-GB"/>
        </w:rPr>
      </w:pPr>
      <w:r>
        <w:rPr>
          <w:lang w:val="en-GB"/>
        </w:rPr>
        <w:t>The</w:t>
      </w:r>
      <w:r w:rsidR="00B66832" w:rsidRPr="008F5EEE">
        <w:rPr>
          <w:lang w:val="en-GB"/>
        </w:rPr>
        <w:t xml:space="preserve"> </w:t>
      </w:r>
      <w:r w:rsidR="00C51DE9">
        <w:rPr>
          <w:lang w:val="en-GB"/>
        </w:rPr>
        <w:t xml:space="preserve">reports </w:t>
      </w:r>
      <w:r w:rsidR="00B66832" w:rsidRPr="008F5EEE">
        <w:rPr>
          <w:lang w:val="en-GB"/>
        </w:rPr>
        <w:t xml:space="preserve">can be found on the ACFA </w:t>
      </w:r>
      <w:hyperlink r:id="rId21" w:history="1">
        <w:r w:rsidR="00B66832" w:rsidRPr="00B97D56">
          <w:rPr>
            <w:lang w:val="en-GB"/>
          </w:rPr>
          <w:t>web page</w:t>
        </w:r>
      </w:hyperlink>
      <w:r w:rsidR="00B66832" w:rsidRPr="008F5EEE">
        <w:rPr>
          <w:lang w:val="en-GB"/>
        </w:rPr>
        <w:t>.</w:t>
      </w:r>
      <w:r w:rsidR="00B66832">
        <w:rPr>
          <w:rStyle w:val="FootnoteReference"/>
          <w:rFonts w:cs="Segoe UI"/>
        </w:rPr>
        <w:footnoteReference w:id="17"/>
      </w:r>
    </w:p>
    <w:p w:rsidR="00D8721E" w:rsidRDefault="00FA7AC0" w:rsidP="001865B8">
      <w:pPr>
        <w:rPr>
          <w:lang w:val="en-GB"/>
        </w:rPr>
      </w:pPr>
      <w:r>
        <w:rPr>
          <w:lang w:val="en-GB"/>
        </w:rPr>
        <w:t>In May</w:t>
      </w:r>
      <w:r w:rsidR="00A261F3">
        <w:rPr>
          <w:lang w:val="en-GB"/>
        </w:rPr>
        <w:t> 201</w:t>
      </w:r>
      <w:r>
        <w:rPr>
          <w:lang w:val="en-GB"/>
        </w:rPr>
        <w:t>7, ACFA also provided</w:t>
      </w:r>
      <w:r w:rsidR="00C60A31">
        <w:rPr>
          <w:lang w:val="en-GB"/>
        </w:rPr>
        <w:t xml:space="preserve"> its </w:t>
      </w:r>
      <w:r w:rsidR="00C60A31" w:rsidRPr="00596D01">
        <w:rPr>
          <w:rStyle w:val="Emphasis"/>
        </w:rPr>
        <w:t>Report to I</w:t>
      </w:r>
      <w:r w:rsidR="00EC72F0" w:rsidRPr="00596D01">
        <w:rPr>
          <w:rStyle w:val="Emphasis"/>
        </w:rPr>
        <w:t>nform the</w:t>
      </w:r>
      <w:r w:rsidR="00A261F3" w:rsidRPr="00596D01">
        <w:rPr>
          <w:rStyle w:val="Emphasis"/>
        </w:rPr>
        <w:t> 201</w:t>
      </w:r>
      <w:r w:rsidR="00EC72F0" w:rsidRPr="00596D01">
        <w:rPr>
          <w:rStyle w:val="Emphasis"/>
        </w:rPr>
        <w:t>6</w:t>
      </w:r>
      <w:r w:rsidR="00D8721E" w:rsidRPr="00596D01">
        <w:rPr>
          <w:rStyle w:val="Emphasis"/>
        </w:rPr>
        <w:t>–1</w:t>
      </w:r>
      <w:r w:rsidR="00EC72F0" w:rsidRPr="00596D01">
        <w:rPr>
          <w:rStyle w:val="Emphasis"/>
        </w:rPr>
        <w:t>7 Review of Amendments</w:t>
      </w:r>
      <w:r w:rsidR="00EC72F0" w:rsidRPr="00EC72F0">
        <w:rPr>
          <w:szCs w:val="22"/>
          <w:lang w:val="en-GB"/>
        </w:rPr>
        <w:t xml:space="preserve"> </w:t>
      </w:r>
      <w:r w:rsidR="00EC72F0" w:rsidRPr="00596D01">
        <w:rPr>
          <w:rStyle w:val="Emphasis"/>
        </w:rPr>
        <w:t>to the Aged Care Act 1997</w:t>
      </w:r>
      <w:r w:rsidR="006D40D0">
        <w:rPr>
          <w:lang w:val="en-GB"/>
        </w:rPr>
        <w:t>, including</w:t>
      </w:r>
      <w:r w:rsidR="00C3285F">
        <w:rPr>
          <w:lang w:val="en-GB"/>
        </w:rPr>
        <w:t xml:space="preserve"> </w:t>
      </w:r>
      <w:r w:rsidR="00C3285F" w:rsidRPr="00C3285F">
        <w:rPr>
          <w:lang w:val="en-GB"/>
        </w:rPr>
        <w:t xml:space="preserve">funding, financing and pricing issues. </w:t>
      </w:r>
      <w:r w:rsidR="00CE31F5">
        <w:rPr>
          <w:lang w:val="en-GB"/>
        </w:rPr>
        <w:t>This can also be found on the ACFA web page.</w:t>
      </w:r>
    </w:p>
    <w:p w:rsidR="00536DCE" w:rsidRPr="00596D01" w:rsidRDefault="00F5032D" w:rsidP="001865B8">
      <w:pPr>
        <w:pStyle w:val="Heading2Numbered"/>
      </w:pPr>
      <w:bookmarkStart w:id="182" w:name="_Toc487702541"/>
      <w:bookmarkStart w:id="183" w:name="_Toc487702893"/>
      <w:bookmarkStart w:id="184" w:name="_Toc487703391"/>
      <w:bookmarkStart w:id="185" w:name="_Toc487703585"/>
      <w:bookmarkStart w:id="186" w:name="_Toc524424706"/>
      <w:bookmarkStart w:id="187" w:name="_Ref524427779"/>
      <w:r w:rsidRPr="00596D01">
        <w:t>A</w:t>
      </w:r>
      <w:r w:rsidR="00536DCE" w:rsidRPr="00596D01">
        <w:t>ccommodation payment changes</w:t>
      </w:r>
      <w:bookmarkEnd w:id="182"/>
      <w:bookmarkEnd w:id="183"/>
      <w:bookmarkEnd w:id="184"/>
      <w:bookmarkEnd w:id="185"/>
      <w:bookmarkEnd w:id="186"/>
      <w:bookmarkEnd w:id="187"/>
    </w:p>
    <w:p w:rsidR="00F5032D" w:rsidRPr="00B574A2" w:rsidRDefault="00F5032D" w:rsidP="001865B8">
      <w:pPr>
        <w:rPr>
          <w:lang w:val="en-GB"/>
        </w:rPr>
      </w:pPr>
      <w:r w:rsidRPr="00B574A2">
        <w:rPr>
          <w:lang w:val="en-GB"/>
        </w:rPr>
        <w:t xml:space="preserve">The reforms </w:t>
      </w:r>
      <w:r w:rsidR="00F52521">
        <w:rPr>
          <w:lang w:val="en-GB"/>
        </w:rPr>
        <w:t>of</w:t>
      </w:r>
      <w:r w:rsidRPr="00B574A2">
        <w:rPr>
          <w:lang w:val="en-GB"/>
        </w:rPr>
        <w:t xml:space="preserve"> </w:t>
      </w:r>
      <w:r w:rsidR="00EB039B">
        <w:rPr>
          <w:lang w:val="en-GB"/>
        </w:rPr>
        <w:t>1 July</w:t>
      </w:r>
      <w:r w:rsidR="00A261F3">
        <w:rPr>
          <w:lang w:val="en-GB"/>
        </w:rPr>
        <w:t> 201</w:t>
      </w:r>
      <w:r w:rsidR="00031ADB">
        <w:rPr>
          <w:lang w:val="en-GB"/>
        </w:rPr>
        <w:t>4</w:t>
      </w:r>
      <w:r w:rsidRPr="00B574A2">
        <w:rPr>
          <w:lang w:val="en-GB"/>
        </w:rPr>
        <w:t xml:space="preserve"> saw a number of </w:t>
      </w:r>
      <w:r w:rsidR="000076DE">
        <w:rPr>
          <w:lang w:val="en-GB"/>
        </w:rPr>
        <w:t xml:space="preserve">significant </w:t>
      </w:r>
      <w:r w:rsidRPr="00B574A2">
        <w:rPr>
          <w:lang w:val="en-GB"/>
        </w:rPr>
        <w:t xml:space="preserve">changes </w:t>
      </w:r>
      <w:r w:rsidR="00CE31F5">
        <w:rPr>
          <w:lang w:val="en-GB"/>
        </w:rPr>
        <w:t>to the way that accommodation was</w:t>
      </w:r>
      <w:r w:rsidRPr="00B574A2">
        <w:rPr>
          <w:lang w:val="en-GB"/>
        </w:rPr>
        <w:t xml:space="preserve"> pri</w:t>
      </w:r>
      <w:r w:rsidR="00F52521">
        <w:rPr>
          <w:lang w:val="en-GB"/>
        </w:rPr>
        <w:t>ced a</w:t>
      </w:r>
      <w:r w:rsidR="000076DE">
        <w:rPr>
          <w:lang w:val="en-GB"/>
        </w:rPr>
        <w:t xml:space="preserve">nd paid for in </w:t>
      </w:r>
      <w:r w:rsidR="001275E6">
        <w:rPr>
          <w:lang w:val="en-GB"/>
        </w:rPr>
        <w:t xml:space="preserve">permanent </w:t>
      </w:r>
      <w:r w:rsidR="000076DE">
        <w:rPr>
          <w:lang w:val="en-GB"/>
        </w:rPr>
        <w:t>residential care</w:t>
      </w:r>
      <w:r w:rsidR="000076DE">
        <w:rPr>
          <w:rStyle w:val="FootnoteReference"/>
          <w:rFonts w:cs="Segoe UI"/>
          <w:color w:val="313131"/>
          <w:lang w:val="en-GB"/>
        </w:rPr>
        <w:footnoteReference w:id="18"/>
      </w:r>
      <w:r w:rsidR="003C207A">
        <w:rPr>
          <w:lang w:val="en-GB"/>
        </w:rPr>
        <w:t>.</w:t>
      </w:r>
    </w:p>
    <w:p w:rsidR="00BE2073" w:rsidRPr="00B574A2" w:rsidRDefault="00BE2073" w:rsidP="001865B8">
      <w:pPr>
        <w:rPr>
          <w:lang w:val="en-GB"/>
        </w:rPr>
      </w:pPr>
      <w:r>
        <w:rPr>
          <w:lang w:val="en-GB"/>
        </w:rPr>
        <w:t xml:space="preserve">A major change was the removal of </w:t>
      </w:r>
      <w:r w:rsidRPr="00B574A2">
        <w:rPr>
          <w:lang w:val="en-GB"/>
        </w:rPr>
        <w:t>controls over dai</w:t>
      </w:r>
      <w:r w:rsidR="00391394">
        <w:rPr>
          <w:lang w:val="en-GB"/>
        </w:rPr>
        <w:t xml:space="preserve">ly accommodation prices for </w:t>
      </w:r>
      <w:r w:rsidR="00920562">
        <w:rPr>
          <w:lang w:val="en-GB"/>
        </w:rPr>
        <w:t>n</w:t>
      </w:r>
      <w:r w:rsidR="00391394">
        <w:rPr>
          <w:lang w:val="en-GB"/>
        </w:rPr>
        <w:t>on</w:t>
      </w:r>
      <w:r w:rsidR="00391394">
        <w:rPr>
          <w:lang w:val="en-GB"/>
        </w:rPr>
        <w:noBreakHyphen/>
      </w:r>
      <w:r w:rsidRPr="00B574A2">
        <w:rPr>
          <w:lang w:val="en-GB"/>
        </w:rPr>
        <w:t>supported residents receiving a high level of care</w:t>
      </w:r>
      <w:r>
        <w:rPr>
          <w:lang w:val="en-GB"/>
        </w:rPr>
        <w:t xml:space="preserve">. In addition, </w:t>
      </w:r>
      <w:r w:rsidRPr="00B574A2">
        <w:rPr>
          <w:lang w:val="en-GB"/>
        </w:rPr>
        <w:t xml:space="preserve">regulations preventing </w:t>
      </w:r>
      <w:r>
        <w:rPr>
          <w:lang w:val="en-GB"/>
        </w:rPr>
        <w:t xml:space="preserve">the payment of </w:t>
      </w:r>
      <w:r w:rsidRPr="00B574A2">
        <w:rPr>
          <w:lang w:val="en-GB"/>
        </w:rPr>
        <w:t xml:space="preserve">lump sum accommodation </w:t>
      </w:r>
      <w:r>
        <w:rPr>
          <w:lang w:val="en-GB"/>
        </w:rPr>
        <w:t xml:space="preserve">deposits </w:t>
      </w:r>
      <w:r w:rsidRPr="00B574A2">
        <w:rPr>
          <w:lang w:val="en-GB"/>
        </w:rPr>
        <w:t>by residents receiving high levels of care</w:t>
      </w:r>
      <w:r>
        <w:rPr>
          <w:lang w:val="en-GB"/>
        </w:rPr>
        <w:t xml:space="preserve"> were removed</w:t>
      </w:r>
      <w:r w:rsidRPr="00B574A2">
        <w:rPr>
          <w:lang w:val="en-GB"/>
        </w:rPr>
        <w:t>. Lump sum</w:t>
      </w:r>
      <w:r>
        <w:rPr>
          <w:lang w:val="en-GB"/>
        </w:rPr>
        <w:t xml:space="preserve"> deposits</w:t>
      </w:r>
      <w:r w:rsidRPr="00B574A2">
        <w:rPr>
          <w:lang w:val="en-GB"/>
        </w:rPr>
        <w:t xml:space="preserve"> </w:t>
      </w:r>
      <w:r w:rsidR="00F7332D">
        <w:rPr>
          <w:lang w:val="en-GB"/>
        </w:rPr>
        <w:t>were also made fully refundable</w:t>
      </w:r>
      <w:r w:rsidRPr="00B574A2">
        <w:rPr>
          <w:lang w:val="en-GB"/>
        </w:rPr>
        <w:t xml:space="preserve"> by removing providers’ capacity to deduct retention amounts.</w:t>
      </w:r>
    </w:p>
    <w:p w:rsidR="00D8721E" w:rsidRDefault="0016354B" w:rsidP="001865B8">
      <w:pPr>
        <w:rPr>
          <w:lang w:val="en-GB"/>
        </w:rPr>
      </w:pPr>
      <w:r w:rsidRPr="0016354B">
        <w:rPr>
          <w:lang w:val="en-GB"/>
        </w:rPr>
        <w:t>Residents were also given complete choice in their method of payment, supported by a standard formula using the Maximum Permissible Interest Rate (MPIR) – a market-based interest rate</w:t>
      </w:r>
      <w:r w:rsidR="009C280D">
        <w:rPr>
          <w:lang w:val="en-GB"/>
        </w:rPr>
        <w:t>,</w:t>
      </w:r>
      <w:r w:rsidRPr="0016354B">
        <w:rPr>
          <w:lang w:val="en-GB"/>
        </w:rPr>
        <w:t xml:space="preserve"> updated quarterly – to calculate ‘equivalent’ </w:t>
      </w:r>
      <w:r w:rsidR="00B97D56">
        <w:rPr>
          <w:lang w:val="en-GB"/>
        </w:rPr>
        <w:t xml:space="preserve">Daily </w:t>
      </w:r>
      <w:r w:rsidR="009C280D">
        <w:rPr>
          <w:lang w:val="en-GB"/>
        </w:rPr>
        <w:t>A</w:t>
      </w:r>
      <w:r w:rsidR="00B97D56">
        <w:rPr>
          <w:lang w:val="en-GB"/>
        </w:rPr>
        <w:t>ccommodation Payments (</w:t>
      </w:r>
      <w:r w:rsidRPr="0016354B">
        <w:rPr>
          <w:lang w:val="en-GB"/>
        </w:rPr>
        <w:t>DAP</w:t>
      </w:r>
      <w:r w:rsidR="00B97D56">
        <w:rPr>
          <w:lang w:val="en-GB"/>
        </w:rPr>
        <w:t>)</w:t>
      </w:r>
      <w:r w:rsidRPr="0016354B">
        <w:rPr>
          <w:lang w:val="en-GB"/>
        </w:rPr>
        <w:t xml:space="preserve"> based on a given </w:t>
      </w:r>
      <w:r w:rsidR="00B97D56">
        <w:rPr>
          <w:lang w:val="en-GB"/>
        </w:rPr>
        <w:t>Refundable Accommodation Deposit (</w:t>
      </w:r>
      <w:r w:rsidRPr="0016354B">
        <w:rPr>
          <w:lang w:val="en-GB"/>
        </w:rPr>
        <w:t>RAD</w:t>
      </w:r>
      <w:r w:rsidR="00B97D56">
        <w:rPr>
          <w:lang w:val="en-GB"/>
        </w:rPr>
        <w:t>)</w:t>
      </w:r>
      <w:r w:rsidRPr="0016354B">
        <w:rPr>
          <w:lang w:val="en-GB"/>
        </w:rPr>
        <w:t xml:space="preserve"> amount. Residents are informed by transparency in prices introduced through the</w:t>
      </w:r>
      <w:r>
        <w:rPr>
          <w:lang w:val="en-GB"/>
        </w:rPr>
        <w:t xml:space="preserve"> publication of </w:t>
      </w:r>
      <w:r w:rsidRPr="0016354B">
        <w:rPr>
          <w:lang w:val="en-GB"/>
        </w:rPr>
        <w:t>accommodation prices. A maximum accommodation payment determined by the Minister, above which providers need to apply for approval from the Aged Care Pricing Commissioner, was set as a consumer protection mechanism</w:t>
      </w:r>
      <w:r w:rsidR="00052BBF">
        <w:rPr>
          <w:rStyle w:val="FootnoteReference"/>
          <w:rFonts w:cs="Segoe UI"/>
          <w:color w:val="313131"/>
          <w:lang w:val="en-GB"/>
        </w:rPr>
        <w:footnoteReference w:id="19"/>
      </w:r>
      <w:r w:rsidR="00D8721E">
        <w:rPr>
          <w:lang w:val="en-GB"/>
        </w:rPr>
        <w:t>.</w:t>
      </w:r>
    </w:p>
    <w:p w:rsidR="00D8721E" w:rsidRDefault="00220ED2" w:rsidP="001865B8">
      <w:pPr>
        <w:rPr>
          <w:lang w:val="en-GB"/>
        </w:rPr>
      </w:pPr>
      <w:r>
        <w:rPr>
          <w:lang w:val="en-GB"/>
        </w:rPr>
        <w:t>There was also a</w:t>
      </w:r>
      <w:r w:rsidR="001275E6">
        <w:rPr>
          <w:lang w:val="en-GB"/>
        </w:rPr>
        <w:t xml:space="preserve"> significant </w:t>
      </w:r>
      <w:r>
        <w:rPr>
          <w:lang w:val="en-GB"/>
        </w:rPr>
        <w:t>increase in the accommodation subsidy paid by Government on behalf of supported residents who cannot meet all their accommodation co</w:t>
      </w:r>
      <w:r w:rsidR="006B1CE3">
        <w:rPr>
          <w:lang w:val="en-GB"/>
        </w:rPr>
        <w:t xml:space="preserve">sts, and who live in aged care </w:t>
      </w:r>
      <w:r w:rsidR="002E2B4F">
        <w:rPr>
          <w:lang w:val="en-GB"/>
        </w:rPr>
        <w:t>facilities</w:t>
      </w:r>
      <w:r>
        <w:rPr>
          <w:lang w:val="en-GB"/>
        </w:rPr>
        <w:t xml:space="preserve"> that have been built or significa</w:t>
      </w:r>
      <w:r w:rsidR="00935BDB">
        <w:rPr>
          <w:lang w:val="en-GB"/>
        </w:rPr>
        <w:t>ntly refurbished since 2</w:t>
      </w:r>
      <w:r w:rsidR="003C207A">
        <w:rPr>
          <w:lang w:val="en-GB"/>
        </w:rPr>
        <w:t>0 </w:t>
      </w:r>
      <w:r w:rsidR="00935BDB">
        <w:rPr>
          <w:lang w:val="en-GB"/>
        </w:rPr>
        <w:t>April</w:t>
      </w:r>
      <w:r w:rsidR="00A261F3">
        <w:rPr>
          <w:lang w:val="en-GB"/>
        </w:rPr>
        <w:t> 201</w:t>
      </w:r>
      <w:r>
        <w:rPr>
          <w:lang w:val="en-GB"/>
        </w:rPr>
        <w:t>2.</w:t>
      </w:r>
    </w:p>
    <w:p w:rsidR="000D1661" w:rsidRPr="00596D01" w:rsidRDefault="000D1661" w:rsidP="001865B8">
      <w:pPr>
        <w:pStyle w:val="Heading3Numbered"/>
      </w:pPr>
      <w:bookmarkStart w:id="188" w:name="_Toc524424707"/>
      <w:r w:rsidRPr="00596D01">
        <w:t>Choice of payment options for accommodation</w:t>
      </w:r>
      <w:bookmarkEnd w:id="188"/>
      <w:r w:rsidRPr="00596D01">
        <w:t xml:space="preserve"> </w:t>
      </w:r>
    </w:p>
    <w:p w:rsidR="00D8721E" w:rsidRDefault="0036694E" w:rsidP="001865B8">
      <w:pPr>
        <w:rPr>
          <w:lang w:val="en-GB"/>
        </w:rPr>
      </w:pPr>
      <w:r>
        <w:rPr>
          <w:lang w:val="en-GB"/>
        </w:rPr>
        <w:t xml:space="preserve">When the reforms were introduced, there was some concern in the sector that there would be a move away from lump sum accommodation payments by consumers. </w:t>
      </w:r>
      <w:r w:rsidR="009C280D">
        <w:rPr>
          <w:lang w:val="en-GB"/>
        </w:rPr>
        <w:t>A</w:t>
      </w:r>
      <w:r w:rsidR="00834FA4">
        <w:rPr>
          <w:lang w:val="en-GB"/>
        </w:rPr>
        <w:t xml:space="preserve">s shown in </w:t>
      </w:r>
      <w:r w:rsidR="00492BF8">
        <w:rPr>
          <w:lang w:val="en-GB"/>
        </w:rPr>
        <w:fldChar w:fldCharType="begin"/>
      </w:r>
      <w:r w:rsidR="00492BF8">
        <w:rPr>
          <w:lang w:val="en-GB"/>
        </w:rPr>
        <w:instrText xml:space="preserve"> REF _Ref524427965 \r \h </w:instrText>
      </w:r>
      <w:r w:rsidR="00492BF8">
        <w:rPr>
          <w:lang w:val="en-GB"/>
        </w:rPr>
      </w:r>
      <w:r w:rsidR="00492BF8">
        <w:rPr>
          <w:lang w:val="en-GB"/>
        </w:rPr>
        <w:fldChar w:fldCharType="separate"/>
      </w:r>
      <w:r w:rsidR="00492BF8">
        <w:rPr>
          <w:lang w:val="en-GB"/>
        </w:rPr>
        <w:t>Chart 4.1</w:t>
      </w:r>
      <w:r w:rsidR="00492BF8">
        <w:rPr>
          <w:lang w:val="en-GB"/>
        </w:rPr>
        <w:fldChar w:fldCharType="end"/>
      </w:r>
      <w:r w:rsidR="00B756D4">
        <w:rPr>
          <w:lang w:val="en-GB"/>
        </w:rPr>
        <w:t>,</w:t>
      </w:r>
      <w:r w:rsidR="00834FA4">
        <w:rPr>
          <w:lang w:val="en-GB"/>
        </w:rPr>
        <w:t xml:space="preserve"> the total pool of a</w:t>
      </w:r>
      <w:r w:rsidR="00B926BD">
        <w:rPr>
          <w:lang w:val="en-GB"/>
        </w:rPr>
        <w:t xml:space="preserve">ccommodation deposits </w:t>
      </w:r>
      <w:r w:rsidR="00C20D4E">
        <w:rPr>
          <w:lang w:val="en-GB"/>
        </w:rPr>
        <w:t>held by providers</w:t>
      </w:r>
      <w:r w:rsidR="009C280D">
        <w:rPr>
          <w:lang w:val="en-GB"/>
        </w:rPr>
        <w:t xml:space="preserve"> has continued</w:t>
      </w:r>
      <w:r w:rsidR="00834FA4">
        <w:rPr>
          <w:lang w:val="en-GB"/>
        </w:rPr>
        <w:t xml:space="preserve"> to grow</w:t>
      </w:r>
      <w:r w:rsidR="009C280D">
        <w:rPr>
          <w:lang w:val="en-GB"/>
        </w:rPr>
        <w:t xml:space="preserve"> in</w:t>
      </w:r>
      <w:r w:rsidR="00A261F3">
        <w:rPr>
          <w:lang w:val="en-GB"/>
        </w:rPr>
        <w:t> 201</w:t>
      </w:r>
      <w:r w:rsidR="009C280D">
        <w:rPr>
          <w:lang w:val="en-GB"/>
        </w:rPr>
        <w:t>6</w:t>
      </w:r>
      <w:r w:rsidR="00D8721E">
        <w:rPr>
          <w:lang w:val="en-GB"/>
        </w:rPr>
        <w:t>–1</w:t>
      </w:r>
      <w:r w:rsidR="009C280D">
        <w:rPr>
          <w:lang w:val="en-GB"/>
        </w:rPr>
        <w:t>7</w:t>
      </w:r>
      <w:r w:rsidR="00D8721E">
        <w:rPr>
          <w:lang w:val="en-GB"/>
        </w:rPr>
        <w:t>.</w:t>
      </w:r>
    </w:p>
    <w:p w:rsidR="009A3DA6" w:rsidRPr="00596D01" w:rsidRDefault="00E0187D" w:rsidP="001865B8">
      <w:pPr>
        <w:pStyle w:val="ChartTitle"/>
      </w:pPr>
      <w:bookmarkStart w:id="189" w:name="_Ref524427965"/>
      <w:r w:rsidRPr="00596D01">
        <w:t>Total pool of accommodation deposits</w:t>
      </w:r>
      <w:r w:rsidR="00BE77ED" w:rsidRPr="00596D01">
        <w:t xml:space="preserve"> held,</w:t>
      </w:r>
      <w:r w:rsidR="00A261F3" w:rsidRPr="00596D01">
        <w:t> 201</w:t>
      </w:r>
      <w:r w:rsidR="006965A5" w:rsidRPr="00596D01">
        <w:t>1</w:t>
      </w:r>
      <w:r w:rsidR="00D8721E" w:rsidRPr="00596D01">
        <w:t>–1</w:t>
      </w:r>
      <w:r w:rsidR="006965A5" w:rsidRPr="00596D01">
        <w:t>2</w:t>
      </w:r>
      <w:r w:rsidR="00BE77ED" w:rsidRPr="00596D01">
        <w:t xml:space="preserve"> to</w:t>
      </w:r>
      <w:r w:rsidR="00A261F3" w:rsidRPr="00596D01">
        <w:t> 201</w:t>
      </w:r>
      <w:r w:rsidR="00BE77ED" w:rsidRPr="00596D01">
        <w:t>6</w:t>
      </w:r>
      <w:r w:rsidR="00D8721E" w:rsidRPr="00596D01">
        <w:t>–1</w:t>
      </w:r>
      <w:r w:rsidR="00BE77ED" w:rsidRPr="00596D01">
        <w:t>7</w:t>
      </w:r>
      <w:r w:rsidR="001D34B0" w:rsidRPr="0009332A">
        <w:rPr>
          <w:vertAlign w:val="superscript"/>
        </w:rPr>
        <w:footnoteReference w:id="20"/>
      </w:r>
      <w:bookmarkEnd w:id="189"/>
    </w:p>
    <w:p w:rsidR="00D8721E" w:rsidRDefault="00076E8F" w:rsidP="001865B8">
      <w:r>
        <w:rPr>
          <w:noProof/>
        </w:rPr>
        <w:drawing>
          <wp:inline distT="0" distB="0" distL="0" distR="0" wp14:anchorId="7CA2D243" wp14:editId="0D6954FF">
            <wp:extent cx="6120000" cy="1690811"/>
            <wp:effectExtent l="0" t="0" r="0" b="5080"/>
            <wp:docPr id="10" name="Picture 10" descr="Chart 4.1 Total pool of accommodation deposits held, 2011–12 to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4.1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000" cy="1690811"/>
                    </a:xfrm>
                    <a:prstGeom prst="rect">
                      <a:avLst/>
                    </a:prstGeom>
                    <a:noFill/>
                    <a:ln>
                      <a:noFill/>
                    </a:ln>
                  </pic:spPr>
                </pic:pic>
              </a:graphicData>
            </a:graphic>
          </wp:inline>
        </w:drawing>
      </w:r>
    </w:p>
    <w:p w:rsidR="00F56C01" w:rsidRDefault="00B756D4" w:rsidP="001865B8">
      <w:pPr>
        <w:rPr>
          <w:lang w:val="en-GB"/>
        </w:rPr>
      </w:pPr>
      <w:r>
        <w:rPr>
          <w:lang w:val="en-GB"/>
        </w:rPr>
        <w:lastRenderedPageBreak/>
        <w:t>R</w:t>
      </w:r>
      <w:r w:rsidRPr="00A27F4B">
        <w:rPr>
          <w:lang w:val="en-GB"/>
        </w:rPr>
        <w:t xml:space="preserve">esidents who are </w:t>
      </w:r>
      <w:r w:rsidR="000D1661">
        <w:rPr>
          <w:lang w:val="en-GB"/>
        </w:rPr>
        <w:t xml:space="preserve">assessed as </w:t>
      </w:r>
      <w:r w:rsidR="00F56C01">
        <w:rPr>
          <w:lang w:val="en-GB"/>
        </w:rPr>
        <w:t xml:space="preserve">having low financial capacity are </w:t>
      </w:r>
      <w:r w:rsidR="000D1661">
        <w:rPr>
          <w:lang w:val="en-GB"/>
        </w:rPr>
        <w:t>e</w:t>
      </w:r>
      <w:r w:rsidRPr="00A27F4B">
        <w:rPr>
          <w:lang w:val="en-GB"/>
        </w:rPr>
        <w:t xml:space="preserve">ligible for Commonwealth assistance with their accommodation costs </w:t>
      </w:r>
      <w:r w:rsidR="00F56C01">
        <w:rPr>
          <w:lang w:val="en-GB"/>
        </w:rPr>
        <w:t>as either a partially supported or fully supported resident.</w:t>
      </w:r>
    </w:p>
    <w:p w:rsidR="00D8721E" w:rsidRDefault="00B756D4" w:rsidP="001865B8">
      <w:pPr>
        <w:rPr>
          <w:lang w:val="en-GB"/>
        </w:rPr>
      </w:pPr>
      <w:r w:rsidRPr="00A27F4B">
        <w:rPr>
          <w:lang w:val="en-GB"/>
        </w:rPr>
        <w:t xml:space="preserve">Partially supported residents </w:t>
      </w:r>
      <w:r w:rsidR="00F56C01" w:rsidRPr="00A27F4B">
        <w:rPr>
          <w:lang w:val="en-GB"/>
        </w:rPr>
        <w:t>may be asked to contribute to</w:t>
      </w:r>
      <w:r w:rsidR="00F56C01">
        <w:rPr>
          <w:lang w:val="en-GB"/>
        </w:rPr>
        <w:t xml:space="preserve">wards the cost of accommodation, depending on their means. They </w:t>
      </w:r>
      <w:r w:rsidRPr="00A27F4B">
        <w:rPr>
          <w:lang w:val="en-GB"/>
        </w:rPr>
        <w:t>can choose to pay their accommodation contribution by a lump sum refundable accommodation contribution (RAC), a daily accommodation contribution (DAC)</w:t>
      </w:r>
      <w:r>
        <w:rPr>
          <w:lang w:val="en-GB"/>
        </w:rPr>
        <w:t>,</w:t>
      </w:r>
      <w:r w:rsidRPr="00A27F4B">
        <w:rPr>
          <w:lang w:val="en-GB"/>
        </w:rPr>
        <w:t xml:space="preserve"> or a combination of the two</w:t>
      </w:r>
      <w:r w:rsidR="00D8721E">
        <w:rPr>
          <w:lang w:val="en-GB"/>
        </w:rPr>
        <w:t>.</w:t>
      </w:r>
    </w:p>
    <w:p w:rsidR="00B756D4" w:rsidRDefault="00B756D4" w:rsidP="001865B8">
      <w:pPr>
        <w:rPr>
          <w:lang w:val="en-GB"/>
        </w:rPr>
      </w:pPr>
      <w:r w:rsidRPr="00A27F4B">
        <w:rPr>
          <w:lang w:val="en-GB"/>
        </w:rPr>
        <w:t xml:space="preserve">Fully supported residents cannot be asked to make a contribution and have their accommodation costs met in full by </w:t>
      </w:r>
      <w:r>
        <w:rPr>
          <w:lang w:val="en-GB"/>
        </w:rPr>
        <w:t>G</w:t>
      </w:r>
      <w:r w:rsidRPr="00A27F4B">
        <w:rPr>
          <w:lang w:val="en-GB"/>
        </w:rPr>
        <w:t>overnment.</w:t>
      </w:r>
    </w:p>
    <w:p w:rsidR="00B756D4" w:rsidRPr="00A27F4B" w:rsidRDefault="00B756D4" w:rsidP="001865B8">
      <w:pPr>
        <w:rPr>
          <w:lang w:val="en-GB"/>
        </w:rPr>
      </w:pPr>
      <w:r w:rsidRPr="00A27F4B">
        <w:rPr>
          <w:lang w:val="en-GB"/>
        </w:rPr>
        <w:t xml:space="preserve">Residents who are not eligible for Commonwealth assistance with their accommodation costs agree an accommodation price with their provider and </w:t>
      </w:r>
      <w:r w:rsidR="00F56C01">
        <w:rPr>
          <w:lang w:val="en-GB"/>
        </w:rPr>
        <w:t xml:space="preserve">then </w:t>
      </w:r>
      <w:r w:rsidRPr="00A27F4B">
        <w:rPr>
          <w:lang w:val="en-GB"/>
        </w:rPr>
        <w:t>can choose to pay by a lump sum refundable accommodation deposit (RAD), a daily accommodation payment (DAP) or a combination of the two.</w:t>
      </w:r>
    </w:p>
    <w:p w:rsidR="00D8721E" w:rsidRDefault="00492BF8" w:rsidP="001865B8">
      <w:r>
        <w:fldChar w:fldCharType="begin"/>
      </w:r>
      <w:r>
        <w:instrText xml:space="preserve"> REF _Ref524427974 \r \h </w:instrText>
      </w:r>
      <w:r>
        <w:fldChar w:fldCharType="separate"/>
      </w:r>
      <w:r>
        <w:t>Chart 4.2</w:t>
      </w:r>
      <w:r>
        <w:fldChar w:fldCharType="end"/>
      </w:r>
      <w:r>
        <w:t xml:space="preserve"> </w:t>
      </w:r>
      <w:r w:rsidR="00B756D4">
        <w:t>shows that in</w:t>
      </w:r>
      <w:r w:rsidR="00A261F3">
        <w:t> 201</w:t>
      </w:r>
      <w:r w:rsidR="00B756D4">
        <w:t>6</w:t>
      </w:r>
      <w:r w:rsidR="00D8721E">
        <w:t>–1</w:t>
      </w:r>
      <w:r w:rsidR="00B756D4">
        <w:t>7, for the first time since 1 July</w:t>
      </w:r>
      <w:r w:rsidR="00A261F3">
        <w:t> 201</w:t>
      </w:r>
      <w:r w:rsidR="00B756D4">
        <w:t>4,</w:t>
      </w:r>
      <w:r w:rsidR="00B756D4" w:rsidRPr="004F327E">
        <w:t xml:space="preserve"> DAP/DACs were slightly more popular than lump sum RAD/RACs. </w:t>
      </w:r>
      <w:r w:rsidR="00B756D4">
        <w:t xml:space="preserve">The proportion of people </w:t>
      </w:r>
      <w:r w:rsidR="00B756D4" w:rsidRPr="004F327E">
        <w:t>choosing RAD/RACs dropped for the seco</w:t>
      </w:r>
      <w:r w:rsidR="00B756D4">
        <w:t>nd year, from 43</w:t>
      </w:r>
      <w:r w:rsidR="00A261F3">
        <w:t> per cent</w:t>
      </w:r>
      <w:r w:rsidR="00B756D4">
        <w:t xml:space="preserve"> and 41</w:t>
      </w:r>
      <w:r w:rsidR="00A261F3">
        <w:t> per cent</w:t>
      </w:r>
      <w:r w:rsidR="00B756D4">
        <w:t xml:space="preserve"> in</w:t>
      </w:r>
      <w:r w:rsidR="00A261F3">
        <w:t> 201</w:t>
      </w:r>
      <w:r w:rsidR="00B756D4">
        <w:t>4</w:t>
      </w:r>
      <w:r w:rsidR="00D8721E">
        <w:t>–1</w:t>
      </w:r>
      <w:r w:rsidR="00B756D4">
        <w:t xml:space="preserve">5 </w:t>
      </w:r>
      <w:r w:rsidR="00757FEF">
        <w:t>and</w:t>
      </w:r>
      <w:r w:rsidR="00A261F3">
        <w:t> 201</w:t>
      </w:r>
      <w:r w:rsidR="00757FEF">
        <w:t>5</w:t>
      </w:r>
      <w:r w:rsidR="00D8721E">
        <w:t>–1</w:t>
      </w:r>
      <w:r w:rsidR="00757FEF">
        <w:t>6 respectively, to 38</w:t>
      </w:r>
      <w:r w:rsidR="00A261F3">
        <w:t> per cent</w:t>
      </w:r>
      <w:r w:rsidR="00B756D4">
        <w:t xml:space="preserve"> in</w:t>
      </w:r>
      <w:r w:rsidR="00A261F3">
        <w:t> 201</w:t>
      </w:r>
      <w:r w:rsidR="00B756D4">
        <w:t>6</w:t>
      </w:r>
      <w:r w:rsidR="00D8721E">
        <w:t>–1</w:t>
      </w:r>
      <w:r w:rsidR="00B756D4">
        <w:t>7. The proportion of people choosing DAP/DACs increased from 33</w:t>
      </w:r>
      <w:r w:rsidR="00A261F3">
        <w:t> per cent</w:t>
      </w:r>
      <w:r w:rsidR="00B756D4">
        <w:t xml:space="preserve"> in</w:t>
      </w:r>
      <w:r w:rsidR="00A261F3">
        <w:t> 201</w:t>
      </w:r>
      <w:r w:rsidR="00B756D4">
        <w:t>4</w:t>
      </w:r>
      <w:r w:rsidR="00D8721E">
        <w:t>–1</w:t>
      </w:r>
      <w:r w:rsidR="00B756D4">
        <w:t>5 to 40</w:t>
      </w:r>
      <w:r w:rsidR="00A261F3">
        <w:t> per cent</w:t>
      </w:r>
      <w:r w:rsidR="00B756D4">
        <w:t xml:space="preserve"> in</w:t>
      </w:r>
      <w:r w:rsidR="00A261F3">
        <w:t> 201</w:t>
      </w:r>
      <w:r w:rsidR="00B756D4">
        <w:t>6</w:t>
      </w:r>
      <w:r w:rsidR="00D8721E">
        <w:t>–1</w:t>
      </w:r>
      <w:r w:rsidR="00B756D4">
        <w:t>7. Providers were concerned about a possible flight from lump sum accommodation payments following the changes of 1</w:t>
      </w:r>
      <w:r w:rsidR="003C207A">
        <w:t> </w:t>
      </w:r>
      <w:r w:rsidR="00B756D4">
        <w:t>July</w:t>
      </w:r>
      <w:r w:rsidR="00A261F3">
        <w:t> 201</w:t>
      </w:r>
      <w:r w:rsidR="00B756D4">
        <w:t>4.</w:t>
      </w:r>
      <w:r w:rsidR="00D8721E">
        <w:t xml:space="preserve"> </w:t>
      </w:r>
      <w:r w:rsidR="00B756D4">
        <w:t xml:space="preserve">While the impact of the changes to date </w:t>
      </w:r>
      <w:r w:rsidR="00DE6C17">
        <w:t>is</w:t>
      </w:r>
      <w:r w:rsidR="00B756D4">
        <w:t xml:space="preserve"> not significant, ACFA will continue to monitor developments to see whether a trend may be emerging</w:t>
      </w:r>
      <w:r w:rsidR="00D8721E">
        <w:t>.</w:t>
      </w:r>
    </w:p>
    <w:p w:rsidR="00CE038B" w:rsidRPr="00596D01" w:rsidRDefault="009C280D" w:rsidP="001865B8">
      <w:pPr>
        <w:pStyle w:val="ChartTitle"/>
      </w:pPr>
      <w:bookmarkStart w:id="190" w:name="_Ref452502192"/>
      <w:bookmarkStart w:id="191" w:name="_Ref524427974"/>
      <w:r w:rsidRPr="00596D01">
        <w:t>Resident</w:t>
      </w:r>
      <w:r w:rsidR="008E20F8" w:rsidRPr="00596D01">
        <w:t xml:space="preserve"> method</w:t>
      </w:r>
      <w:r w:rsidR="00FF5C7E" w:rsidRPr="00596D01">
        <w:t xml:space="preserve"> of accommodation</w:t>
      </w:r>
      <w:r w:rsidR="00C35637" w:rsidRPr="00596D01">
        <w:t xml:space="preserve"> payment, Ju</w:t>
      </w:r>
      <w:r w:rsidR="000E7721" w:rsidRPr="00596D01">
        <w:t>ne</w:t>
      </w:r>
      <w:r w:rsidR="00A261F3" w:rsidRPr="00596D01">
        <w:t> 201</w:t>
      </w:r>
      <w:r w:rsidR="00891A38" w:rsidRPr="00596D01">
        <w:t>5</w:t>
      </w:r>
      <w:r w:rsidR="00C35637" w:rsidRPr="00596D01">
        <w:t xml:space="preserve"> to </w:t>
      </w:r>
      <w:bookmarkEnd w:id="190"/>
      <w:r w:rsidR="00DE6A58" w:rsidRPr="00596D01">
        <w:t>June</w:t>
      </w:r>
      <w:r w:rsidR="00A261F3" w:rsidRPr="00596D01">
        <w:t> 201</w:t>
      </w:r>
      <w:r w:rsidR="00891A38" w:rsidRPr="00596D01">
        <w:t>7</w:t>
      </w:r>
      <w:bookmarkEnd w:id="191"/>
      <w:r w:rsidR="00891A38" w:rsidRPr="00596D01">
        <w:t xml:space="preserve"> </w:t>
      </w:r>
    </w:p>
    <w:p w:rsidR="00D8721E" w:rsidRPr="00596D01" w:rsidRDefault="00891A38" w:rsidP="001865B8">
      <w:r w:rsidRPr="00596D01">
        <w:rPr>
          <w:noProof/>
        </w:rPr>
        <w:drawing>
          <wp:inline distT="0" distB="0" distL="0" distR="0" wp14:anchorId="1CEE6978" wp14:editId="0150E83B">
            <wp:extent cx="6120000" cy="2118462"/>
            <wp:effectExtent l="0" t="0" r="0" b="0"/>
            <wp:docPr id="3" name="Picture 3" descr="Chart 4.2 Resident method of accommodation payment, June 2015 to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4.2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000" cy="2118462"/>
                    </a:xfrm>
                    <a:prstGeom prst="rect">
                      <a:avLst/>
                    </a:prstGeom>
                    <a:noFill/>
                    <a:ln>
                      <a:noFill/>
                    </a:ln>
                  </pic:spPr>
                </pic:pic>
              </a:graphicData>
            </a:graphic>
          </wp:inline>
        </w:drawing>
      </w:r>
    </w:p>
    <w:p w:rsidR="003C207A" w:rsidRDefault="003C207A" w:rsidP="001865B8">
      <w:pPr>
        <w:rPr>
          <w:lang w:val="en-GB"/>
        </w:rPr>
      </w:pPr>
      <w:r>
        <w:rPr>
          <w:lang w:val="en-GB"/>
        </w:rPr>
        <w:t>ACFA notes t</w:t>
      </w:r>
      <w:r w:rsidRPr="0053207C">
        <w:rPr>
          <w:lang w:val="en-GB"/>
        </w:rPr>
        <w:t>here are a number of factors that a consumer might take into consideration when determining how to pay the accommodation payment; for example</w:t>
      </w:r>
      <w:r>
        <w:rPr>
          <w:lang w:val="en-GB"/>
        </w:rPr>
        <w:t xml:space="preserve">, </w:t>
      </w:r>
      <w:r w:rsidRPr="0053207C">
        <w:rPr>
          <w:lang w:val="en-GB"/>
        </w:rPr>
        <w:t>the rate of the MPIR</w:t>
      </w:r>
      <w:r>
        <w:rPr>
          <w:rStyle w:val="FootnoteReference"/>
          <w:rFonts w:cs="Segoe UI"/>
          <w:color w:val="313131"/>
          <w:lang w:val="en-GB"/>
        </w:rPr>
        <w:footnoteReference w:id="21"/>
      </w:r>
      <w:r>
        <w:rPr>
          <w:lang w:val="en-GB"/>
        </w:rPr>
        <w:t xml:space="preserve"> </w:t>
      </w:r>
      <w:r w:rsidRPr="00BE642A">
        <w:rPr>
          <w:lang w:val="en-GB"/>
        </w:rPr>
        <w:t>(if interest rates fall, equivalent DAPs will fall and vice versa),</w:t>
      </w:r>
      <w:r w:rsidRPr="0053207C">
        <w:rPr>
          <w:lang w:val="en-GB"/>
        </w:rPr>
        <w:t xml:space="preserve"> expected length of stay and/or personal financial circumstances.</w:t>
      </w:r>
      <w:r>
        <w:rPr>
          <w:lang w:val="en-GB"/>
        </w:rPr>
        <w:t xml:space="preserve"> </w:t>
      </w:r>
      <w:r w:rsidRPr="0053207C">
        <w:rPr>
          <w:lang w:val="en-GB"/>
        </w:rPr>
        <w:t xml:space="preserve">There is the potential for movement from lump sums to daily payments if the equivalence rate is set too low. If, all other things </w:t>
      </w:r>
      <w:r w:rsidR="000A1EDC">
        <w:rPr>
          <w:lang w:val="en-GB"/>
        </w:rPr>
        <w:t>being equal, consumers were</w:t>
      </w:r>
      <w:r w:rsidRPr="0053207C">
        <w:rPr>
          <w:lang w:val="en-GB"/>
        </w:rPr>
        <w:t xml:space="preserve"> able to achieve a better return, they may be inclined to invest the lump sum and pay the daily payment out of investment earnings. On the other hand, some residents see daily payments as interest on the outstanding lump sum. From this perspective</w:t>
      </w:r>
      <w:r>
        <w:rPr>
          <w:lang w:val="en-GB"/>
        </w:rPr>
        <w:t>,</w:t>
      </w:r>
      <w:r w:rsidRPr="0053207C">
        <w:rPr>
          <w:lang w:val="en-GB"/>
        </w:rPr>
        <w:t xml:space="preserve"> some residents see the MPIR as a punitively high rate of interest.</w:t>
      </w:r>
    </w:p>
    <w:p w:rsidR="003C207A" w:rsidRPr="00596D01" w:rsidRDefault="003C207A" w:rsidP="001865B8">
      <w:pPr>
        <w:rPr>
          <w:rStyle w:val="Emphasis"/>
        </w:rPr>
      </w:pPr>
      <w:r>
        <w:rPr>
          <w:lang w:val="en-GB"/>
        </w:rPr>
        <w:t>T</w:t>
      </w:r>
      <w:r w:rsidRPr="0053207C">
        <w:rPr>
          <w:lang w:val="en-GB"/>
        </w:rPr>
        <w:t xml:space="preserve">he MPIR is market based and </w:t>
      </w:r>
      <w:r>
        <w:rPr>
          <w:lang w:val="en-GB"/>
        </w:rPr>
        <w:t xml:space="preserve">given </w:t>
      </w:r>
      <w:r w:rsidRPr="0053207C">
        <w:rPr>
          <w:lang w:val="en-GB"/>
        </w:rPr>
        <w:t xml:space="preserve">the number of factors that </w:t>
      </w:r>
      <w:r>
        <w:rPr>
          <w:lang w:val="en-GB"/>
        </w:rPr>
        <w:t xml:space="preserve">might influence </w:t>
      </w:r>
      <w:r w:rsidRPr="0053207C">
        <w:rPr>
          <w:lang w:val="en-GB"/>
        </w:rPr>
        <w:t>a consumer</w:t>
      </w:r>
      <w:r>
        <w:rPr>
          <w:lang w:val="en-GB"/>
        </w:rPr>
        <w:t>’s decision</w:t>
      </w:r>
      <w:r w:rsidRPr="0053207C">
        <w:rPr>
          <w:lang w:val="en-GB"/>
        </w:rPr>
        <w:t xml:space="preserve">, it is </w:t>
      </w:r>
      <w:r>
        <w:rPr>
          <w:lang w:val="en-GB"/>
        </w:rPr>
        <w:t>difficult</w:t>
      </w:r>
      <w:r w:rsidRPr="0053207C">
        <w:rPr>
          <w:lang w:val="en-GB"/>
        </w:rPr>
        <w:t xml:space="preserve"> to determine a particular reason for any shift towards daily payments.</w:t>
      </w:r>
      <w:r w:rsidR="00DE6C17">
        <w:rPr>
          <w:lang w:val="en-GB"/>
        </w:rPr>
        <w:t xml:space="preserve"> </w:t>
      </w:r>
      <w:r w:rsidRPr="0053207C">
        <w:rPr>
          <w:lang w:val="en-GB"/>
        </w:rPr>
        <w:t xml:space="preserve">For a full discussion on the MPIR and its impact on residents and providers see page 46 of ACFA’s </w:t>
      </w:r>
      <w:r w:rsidRPr="00596D01">
        <w:rPr>
          <w:rStyle w:val="Emphasis"/>
        </w:rPr>
        <w:t>Report to inform the</w:t>
      </w:r>
      <w:r w:rsidR="00A261F3" w:rsidRPr="00596D01">
        <w:rPr>
          <w:rStyle w:val="Emphasis"/>
        </w:rPr>
        <w:t> 201</w:t>
      </w:r>
      <w:r w:rsidRPr="00596D01">
        <w:rPr>
          <w:rStyle w:val="Emphasis"/>
        </w:rPr>
        <w:t>6</w:t>
      </w:r>
      <w:r w:rsidR="00D8721E" w:rsidRPr="00596D01">
        <w:rPr>
          <w:rStyle w:val="Emphasis"/>
        </w:rPr>
        <w:t>–1</w:t>
      </w:r>
      <w:r w:rsidRPr="00596D01">
        <w:rPr>
          <w:rStyle w:val="Emphasis"/>
        </w:rPr>
        <w:t>7 review of amendments to the Aged Care Act 1997.</w:t>
      </w:r>
    </w:p>
    <w:p w:rsidR="00D8721E" w:rsidRDefault="00B756D4" w:rsidP="001865B8">
      <w:r>
        <w:lastRenderedPageBreak/>
        <w:t xml:space="preserve">The decrease in the proportion of RAD/RACs was </w:t>
      </w:r>
      <w:r w:rsidRPr="004C1978">
        <w:t>across not</w:t>
      </w:r>
      <w:r>
        <w:t>-for-profit and for-</w:t>
      </w:r>
      <w:r w:rsidRPr="004C1978">
        <w:t>profit providers, who both</w:t>
      </w:r>
      <w:r>
        <w:t xml:space="preserve"> recorded a decrease of two percentage points</w:t>
      </w:r>
      <w:r w:rsidR="00563330">
        <w:t xml:space="preserve"> since</w:t>
      </w:r>
      <w:r w:rsidR="00A261F3">
        <w:t> 201</w:t>
      </w:r>
      <w:r w:rsidR="00563330">
        <w:t>5</w:t>
      </w:r>
      <w:r w:rsidR="00D8721E">
        <w:t>–1</w:t>
      </w:r>
      <w:r w:rsidR="00563330">
        <w:t>6</w:t>
      </w:r>
      <w:r>
        <w:t xml:space="preserve"> (</w:t>
      </w:r>
      <w:r w:rsidR="00492BF8">
        <w:fldChar w:fldCharType="begin"/>
      </w:r>
      <w:r w:rsidR="00492BF8">
        <w:instrText xml:space="preserve"> REF _Ref524427985 \r \h </w:instrText>
      </w:r>
      <w:r w:rsidR="00492BF8">
        <w:fldChar w:fldCharType="separate"/>
      </w:r>
      <w:r w:rsidR="00492BF8">
        <w:t>Chart 4.3</w:t>
      </w:r>
      <w:r w:rsidR="00492BF8">
        <w:fldChar w:fldCharType="end"/>
      </w:r>
      <w:r>
        <w:t>). Government providers had slightly more RAD/RACs in</w:t>
      </w:r>
      <w:r w:rsidR="00A261F3">
        <w:t> 201</w:t>
      </w:r>
      <w:r>
        <w:t>6</w:t>
      </w:r>
      <w:r w:rsidR="00D8721E">
        <w:t>–1</w:t>
      </w:r>
      <w:r>
        <w:t>7, with 29</w:t>
      </w:r>
      <w:r w:rsidR="00A261F3">
        <w:t> per cent</w:t>
      </w:r>
      <w:r>
        <w:t xml:space="preserve"> compared with 27</w:t>
      </w:r>
      <w:r w:rsidR="00A261F3">
        <w:t> per cent</w:t>
      </w:r>
      <w:r>
        <w:t xml:space="preserve"> in</w:t>
      </w:r>
      <w:r w:rsidR="00A261F3">
        <w:t> 201</w:t>
      </w:r>
      <w:r>
        <w:t>5</w:t>
      </w:r>
      <w:r w:rsidR="00D8721E">
        <w:t>–1</w:t>
      </w:r>
      <w:r>
        <w:t>6. Another noticeable change was a sharp drop in residents of not</w:t>
      </w:r>
      <w:r>
        <w:noBreakHyphen/>
        <w:t>for</w:t>
      </w:r>
      <w:r>
        <w:noBreakHyphen/>
        <w:t>profit providers choosing combination payments (22</w:t>
      </w:r>
      <w:r w:rsidR="00A261F3">
        <w:t> per cent</w:t>
      </w:r>
      <w:r>
        <w:t xml:space="preserve"> down from 27</w:t>
      </w:r>
      <w:r w:rsidR="00A261F3">
        <w:t> per cent</w:t>
      </w:r>
      <w:r>
        <w:t>), seemingly choosing daily payments instead (44</w:t>
      </w:r>
      <w:r w:rsidR="00A261F3">
        <w:t> per cent</w:t>
      </w:r>
      <w:r>
        <w:t xml:space="preserve"> up from 37</w:t>
      </w:r>
      <w:r w:rsidR="00A261F3">
        <w:t> per cent</w:t>
      </w:r>
      <w:r>
        <w:t>)</w:t>
      </w:r>
      <w:r w:rsidR="00D8721E">
        <w:t>.</w:t>
      </w:r>
    </w:p>
    <w:p w:rsidR="00891A38" w:rsidRPr="00596D01" w:rsidRDefault="00D868E5" w:rsidP="001865B8">
      <w:pPr>
        <w:pStyle w:val="ChartTitle"/>
      </w:pPr>
      <w:bookmarkStart w:id="192" w:name="_Ref524427985"/>
      <w:r w:rsidRPr="00596D01">
        <w:t>Resident choice of p</w:t>
      </w:r>
      <w:r w:rsidR="004D02E4" w:rsidRPr="00596D01">
        <w:t>a</w:t>
      </w:r>
      <w:r w:rsidR="00891A38" w:rsidRPr="00596D01">
        <w:t xml:space="preserve">yment method, </w:t>
      </w:r>
      <w:r w:rsidR="00C51DE9" w:rsidRPr="00596D01">
        <w:t xml:space="preserve">by ownership type, </w:t>
      </w:r>
      <w:r w:rsidR="00891A38" w:rsidRPr="00596D01">
        <w:t>Ju</w:t>
      </w:r>
      <w:r w:rsidR="00F36081" w:rsidRPr="00596D01">
        <w:t>ne</w:t>
      </w:r>
      <w:r w:rsidR="00A261F3" w:rsidRPr="00596D01">
        <w:t> 201</w:t>
      </w:r>
      <w:r w:rsidR="00891A38" w:rsidRPr="00596D01">
        <w:t>5</w:t>
      </w:r>
      <w:r w:rsidR="00C51DE9" w:rsidRPr="00596D01">
        <w:t> </w:t>
      </w:r>
      <w:r w:rsidR="00DE6A58" w:rsidRPr="00596D01">
        <w:t>to</w:t>
      </w:r>
      <w:r w:rsidR="00C51DE9" w:rsidRPr="00596D01">
        <w:t> </w:t>
      </w:r>
      <w:r w:rsidR="00DE6A58" w:rsidRPr="00596D01">
        <w:t>June</w:t>
      </w:r>
      <w:r w:rsidR="00A261F3" w:rsidRPr="00596D01">
        <w:t> 201</w:t>
      </w:r>
      <w:r w:rsidR="00891A38" w:rsidRPr="00596D01">
        <w:t>7</w:t>
      </w:r>
      <w:bookmarkEnd w:id="192"/>
      <w:r w:rsidR="00891A38" w:rsidRPr="00596D01">
        <w:t xml:space="preserve"> </w:t>
      </w:r>
    </w:p>
    <w:p w:rsidR="00D8721E" w:rsidRDefault="00891A38" w:rsidP="001865B8">
      <w:r>
        <w:rPr>
          <w:noProof/>
        </w:rPr>
        <w:drawing>
          <wp:inline distT="0" distB="0" distL="0" distR="0" wp14:anchorId="17E9C56D" wp14:editId="7E479D98">
            <wp:extent cx="6120000" cy="2317696"/>
            <wp:effectExtent l="0" t="0" r="0" b="6985"/>
            <wp:docPr id="18" name="Picture 18" descr="Chart 4.3 Resident choice of payment method, by ownership type, June 2015 to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zc0004\AppData\Local\Microsoft\Windows\Temporary Internet Files\Content.Outlook\6DIYYC82\Chart_4.3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000" cy="2317696"/>
                    </a:xfrm>
                    <a:prstGeom prst="rect">
                      <a:avLst/>
                    </a:prstGeom>
                    <a:noFill/>
                    <a:ln>
                      <a:noFill/>
                    </a:ln>
                  </pic:spPr>
                </pic:pic>
              </a:graphicData>
            </a:graphic>
          </wp:inline>
        </w:drawing>
      </w:r>
    </w:p>
    <w:p w:rsidR="00D8721E" w:rsidRDefault="004328DF" w:rsidP="001865B8">
      <w:pPr>
        <w:rPr>
          <w:lang w:eastAsia="en-US"/>
        </w:rPr>
      </w:pPr>
      <w:r w:rsidRPr="004328DF">
        <w:rPr>
          <w:lang w:eastAsia="en-US"/>
        </w:rPr>
        <w:t xml:space="preserve">When analysed in terms of location, </w:t>
      </w:r>
      <w:r>
        <w:rPr>
          <w:lang w:eastAsia="en-US"/>
        </w:rPr>
        <w:t>lump sum payments dropped t</w:t>
      </w:r>
      <w:r w:rsidR="00F74A63">
        <w:rPr>
          <w:lang w:eastAsia="en-US"/>
        </w:rPr>
        <w:t>o 4</w:t>
      </w:r>
      <w:r w:rsidR="00341DAB">
        <w:rPr>
          <w:lang w:eastAsia="en-US"/>
        </w:rPr>
        <w:t>1</w:t>
      </w:r>
      <w:r w:rsidR="00A261F3">
        <w:rPr>
          <w:lang w:eastAsia="en-US"/>
        </w:rPr>
        <w:t> per cent</w:t>
      </w:r>
      <w:r w:rsidR="00F74A63">
        <w:rPr>
          <w:lang w:eastAsia="en-US"/>
        </w:rPr>
        <w:t xml:space="preserve"> (from 4</w:t>
      </w:r>
      <w:r w:rsidR="009C307B">
        <w:rPr>
          <w:lang w:eastAsia="en-US"/>
        </w:rPr>
        <w:t>5</w:t>
      </w:r>
      <w:r w:rsidR="00A261F3">
        <w:rPr>
          <w:lang w:eastAsia="en-US"/>
        </w:rPr>
        <w:t> per cent</w:t>
      </w:r>
      <w:r>
        <w:rPr>
          <w:lang w:eastAsia="en-US"/>
        </w:rPr>
        <w:t>) in metropolitan areas</w:t>
      </w:r>
      <w:r w:rsidR="00C51DE9">
        <w:rPr>
          <w:lang w:eastAsia="en-US"/>
        </w:rPr>
        <w:t xml:space="preserve"> (</w:t>
      </w:r>
      <w:r w:rsidR="00492BF8">
        <w:rPr>
          <w:lang w:eastAsia="en-US"/>
        </w:rPr>
        <w:fldChar w:fldCharType="begin"/>
      </w:r>
      <w:r w:rsidR="00492BF8">
        <w:rPr>
          <w:lang w:eastAsia="en-US"/>
        </w:rPr>
        <w:instrText xml:space="preserve"> REF _Ref524427994 \r \h </w:instrText>
      </w:r>
      <w:r w:rsidR="00492BF8">
        <w:rPr>
          <w:lang w:eastAsia="en-US"/>
        </w:rPr>
      </w:r>
      <w:r w:rsidR="00492BF8">
        <w:rPr>
          <w:lang w:eastAsia="en-US"/>
        </w:rPr>
        <w:fldChar w:fldCharType="separate"/>
      </w:r>
      <w:r w:rsidR="00492BF8">
        <w:rPr>
          <w:lang w:eastAsia="en-US"/>
        </w:rPr>
        <w:t>Chart 4.4</w:t>
      </w:r>
      <w:r w:rsidR="00492BF8">
        <w:rPr>
          <w:lang w:eastAsia="en-US"/>
        </w:rPr>
        <w:fldChar w:fldCharType="end"/>
      </w:r>
      <w:r w:rsidR="00C51DE9">
        <w:rPr>
          <w:lang w:eastAsia="en-US"/>
        </w:rPr>
        <w:t>)</w:t>
      </w:r>
      <w:r>
        <w:rPr>
          <w:lang w:eastAsia="en-US"/>
        </w:rPr>
        <w:t>. There was a lesser decrease (1 percentage point and 3</w:t>
      </w:r>
      <w:r w:rsidR="00C30359">
        <w:rPr>
          <w:lang w:eastAsia="en-US"/>
        </w:rPr>
        <w:t> </w:t>
      </w:r>
      <w:r>
        <w:rPr>
          <w:lang w:eastAsia="en-US"/>
        </w:rPr>
        <w:t>percentage points</w:t>
      </w:r>
      <w:r w:rsidR="00742E18">
        <w:rPr>
          <w:lang w:eastAsia="en-US"/>
        </w:rPr>
        <w:t xml:space="preserve"> respectively</w:t>
      </w:r>
      <w:r>
        <w:rPr>
          <w:lang w:eastAsia="en-US"/>
        </w:rPr>
        <w:t>) in regional and remote areas.</w:t>
      </w:r>
    </w:p>
    <w:p w:rsidR="00C51DE9" w:rsidRPr="00596D01" w:rsidRDefault="00C51DE9" w:rsidP="001865B8">
      <w:pPr>
        <w:pStyle w:val="ChartTitle"/>
      </w:pPr>
      <w:bookmarkStart w:id="193" w:name="_Ref524427994"/>
      <w:r w:rsidRPr="00596D01">
        <w:t>Resident choice of payment method, by location, June</w:t>
      </w:r>
      <w:r w:rsidR="00A261F3" w:rsidRPr="00596D01">
        <w:t> 201</w:t>
      </w:r>
      <w:r w:rsidRPr="00596D01">
        <w:t>5 to June</w:t>
      </w:r>
      <w:r w:rsidR="00A261F3" w:rsidRPr="00596D01">
        <w:t> 201</w:t>
      </w:r>
      <w:r w:rsidRPr="00596D01">
        <w:t>7</w:t>
      </w:r>
      <w:bookmarkEnd w:id="193"/>
      <w:r w:rsidRPr="00596D01">
        <w:t xml:space="preserve"> </w:t>
      </w:r>
    </w:p>
    <w:p w:rsidR="00D8721E" w:rsidRPr="00596D01" w:rsidRDefault="004328DF" w:rsidP="001865B8">
      <w:r>
        <w:rPr>
          <w:rFonts w:ascii="Segoe UI" w:hAnsi="Segoe UI" w:cs="Segoe UI"/>
          <w:szCs w:val="24"/>
          <w:lang w:eastAsia="en-US"/>
        </w:rPr>
        <w:t xml:space="preserve"> </w:t>
      </w:r>
      <w:r w:rsidR="00891A38" w:rsidRPr="00596D01">
        <w:rPr>
          <w:noProof/>
        </w:rPr>
        <w:drawing>
          <wp:inline distT="0" distB="0" distL="0" distR="0" wp14:anchorId="1C75C200" wp14:editId="6CA039E9">
            <wp:extent cx="6120000" cy="2309635"/>
            <wp:effectExtent l="0" t="0" r="0" b="0"/>
            <wp:docPr id="25" name="Picture 25" descr="Chart 4.4 Resident choice of payment method, by location, June 2015 to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4.3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000" cy="2309635"/>
                    </a:xfrm>
                    <a:prstGeom prst="rect">
                      <a:avLst/>
                    </a:prstGeom>
                    <a:noFill/>
                    <a:ln>
                      <a:noFill/>
                    </a:ln>
                  </pic:spPr>
                </pic:pic>
              </a:graphicData>
            </a:graphic>
          </wp:inline>
        </w:drawing>
      </w:r>
    </w:p>
    <w:p w:rsidR="00D8721E" w:rsidRDefault="001B1F8E" w:rsidP="001865B8">
      <w:r>
        <w:t>In last year’s annual report ACFA noted</w:t>
      </w:r>
      <w:r w:rsidR="00E86F80">
        <w:t xml:space="preserve"> there was </w:t>
      </w:r>
      <w:r w:rsidR="00EB193E">
        <w:t xml:space="preserve">a </w:t>
      </w:r>
      <w:r w:rsidR="00B66611">
        <w:t xml:space="preserve">very </w:t>
      </w:r>
      <w:r w:rsidR="00E86F80">
        <w:t xml:space="preserve">significant difference in choice of payment between non-supported residents and partially </w:t>
      </w:r>
      <w:r w:rsidR="00B66611">
        <w:t>supported residents.</w:t>
      </w:r>
      <w:r w:rsidR="004C1978">
        <w:t xml:space="preserve"> This trend con</w:t>
      </w:r>
      <w:r w:rsidR="00304A4C">
        <w:t>tinued in</w:t>
      </w:r>
      <w:r w:rsidR="00A261F3">
        <w:t> 201</w:t>
      </w:r>
      <w:r w:rsidR="00304A4C">
        <w:t>6</w:t>
      </w:r>
      <w:r w:rsidR="00D8721E">
        <w:t>–1</w:t>
      </w:r>
      <w:r w:rsidR="00304A4C">
        <w:t xml:space="preserve">7, as shown in </w:t>
      </w:r>
      <w:r w:rsidR="00492BF8">
        <w:fldChar w:fldCharType="begin"/>
      </w:r>
      <w:r w:rsidR="00492BF8">
        <w:instrText xml:space="preserve"> REF _Ref524428002 \r \h </w:instrText>
      </w:r>
      <w:r w:rsidR="00492BF8">
        <w:fldChar w:fldCharType="separate"/>
      </w:r>
      <w:r w:rsidR="00492BF8">
        <w:t>Chart 4.5</w:t>
      </w:r>
      <w:r w:rsidR="00492BF8">
        <w:fldChar w:fldCharType="end"/>
      </w:r>
      <w:r w:rsidR="00742E18">
        <w:t>.</w:t>
      </w:r>
    </w:p>
    <w:p w:rsidR="00060BFB" w:rsidRPr="00596D01" w:rsidRDefault="00060BFB" w:rsidP="001865B8">
      <w:pPr>
        <w:pStyle w:val="ChartTitle"/>
      </w:pPr>
      <w:bookmarkStart w:id="194" w:name="_Ref524428002"/>
      <w:r w:rsidRPr="00596D01">
        <w:lastRenderedPageBreak/>
        <w:t>Resident choice of payment method</w:t>
      </w:r>
      <w:r w:rsidR="00BE77ED" w:rsidRPr="00596D01">
        <w:t>,</w:t>
      </w:r>
      <w:r w:rsidR="00A261F3" w:rsidRPr="00596D01">
        <w:t> 201</w:t>
      </w:r>
      <w:r w:rsidR="00C51DE9" w:rsidRPr="00596D01">
        <w:t>5</w:t>
      </w:r>
      <w:r w:rsidR="00D8721E" w:rsidRPr="00596D01">
        <w:t>–1</w:t>
      </w:r>
      <w:r w:rsidR="00C51DE9" w:rsidRPr="00596D01">
        <w:t>6 and</w:t>
      </w:r>
      <w:r w:rsidR="00A261F3" w:rsidRPr="00596D01">
        <w:t> 201</w:t>
      </w:r>
      <w:r w:rsidR="00BE77ED" w:rsidRPr="00596D01">
        <w:t>6</w:t>
      </w:r>
      <w:r w:rsidR="00D8721E" w:rsidRPr="00596D01">
        <w:t>–1</w:t>
      </w:r>
      <w:r w:rsidR="00BE77ED" w:rsidRPr="00596D01">
        <w:t>7</w:t>
      </w:r>
      <w:bookmarkEnd w:id="194"/>
      <w:r w:rsidR="00891A38" w:rsidRPr="00596D01">
        <w:t xml:space="preserve"> </w:t>
      </w:r>
    </w:p>
    <w:p w:rsidR="00D8721E" w:rsidRDefault="007529E5" w:rsidP="001865B8">
      <w:pPr>
        <w:rPr>
          <w:noProof/>
        </w:rPr>
      </w:pPr>
      <w:r>
        <w:rPr>
          <w:noProof/>
        </w:rPr>
        <w:drawing>
          <wp:inline distT="0" distB="0" distL="0" distR="0" wp14:anchorId="59DA9D86" wp14:editId="32D9FD84">
            <wp:extent cx="6120000" cy="2917797"/>
            <wp:effectExtent l="0" t="0" r="0" b="0"/>
            <wp:docPr id="15" name="Picture 15" descr="Chart 4.5 Resident choice of payment method, 2015–16 and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D41F4D.2F3D821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6120000" cy="2917797"/>
                    </a:xfrm>
                    <a:prstGeom prst="rect">
                      <a:avLst/>
                    </a:prstGeom>
                    <a:noFill/>
                    <a:ln>
                      <a:noFill/>
                    </a:ln>
                  </pic:spPr>
                </pic:pic>
              </a:graphicData>
            </a:graphic>
          </wp:inline>
        </w:drawing>
      </w:r>
    </w:p>
    <w:p w:rsidR="00D8721E" w:rsidRDefault="00F74A63" w:rsidP="001865B8">
      <w:pPr>
        <w:rPr>
          <w:lang w:val="en-GB"/>
        </w:rPr>
      </w:pPr>
      <w:r>
        <w:rPr>
          <w:lang w:val="en-GB"/>
        </w:rPr>
        <w:t>R</w:t>
      </w:r>
      <w:r w:rsidR="00060BFB" w:rsidRPr="004328DF">
        <w:rPr>
          <w:lang w:val="en-GB"/>
        </w:rPr>
        <w:t>efundable deposits were</w:t>
      </w:r>
      <w:r>
        <w:rPr>
          <w:lang w:val="en-GB"/>
        </w:rPr>
        <w:t xml:space="preserve"> again</w:t>
      </w:r>
      <w:r w:rsidR="00060BFB" w:rsidRPr="004328DF">
        <w:rPr>
          <w:lang w:val="en-GB"/>
        </w:rPr>
        <w:t xml:space="preserve"> the dom</w:t>
      </w:r>
      <w:r w:rsidR="00A94E95" w:rsidRPr="004328DF">
        <w:rPr>
          <w:lang w:val="en-GB"/>
        </w:rPr>
        <w:t>inant method of payment for non</w:t>
      </w:r>
      <w:r w:rsidR="00A94E95" w:rsidRPr="004328DF">
        <w:rPr>
          <w:lang w:val="en-GB"/>
        </w:rPr>
        <w:noBreakHyphen/>
      </w:r>
      <w:r w:rsidR="00EB193E" w:rsidRPr="004328DF">
        <w:rPr>
          <w:lang w:val="en-GB"/>
        </w:rPr>
        <w:t>supported residents in</w:t>
      </w:r>
      <w:r w:rsidR="00A261F3">
        <w:rPr>
          <w:lang w:val="en-GB"/>
        </w:rPr>
        <w:t> 201</w:t>
      </w:r>
      <w:r>
        <w:rPr>
          <w:lang w:val="en-GB"/>
        </w:rPr>
        <w:t>6</w:t>
      </w:r>
      <w:r w:rsidR="00D8721E">
        <w:rPr>
          <w:lang w:val="en-GB"/>
        </w:rPr>
        <w:t>–1</w:t>
      </w:r>
      <w:r>
        <w:rPr>
          <w:lang w:val="en-GB"/>
        </w:rPr>
        <w:t>7</w:t>
      </w:r>
      <w:r w:rsidR="004D7CEA">
        <w:rPr>
          <w:lang w:val="en-GB"/>
        </w:rPr>
        <w:t xml:space="preserve"> with almost</w:t>
      </w:r>
      <w:r>
        <w:rPr>
          <w:lang w:val="en-GB"/>
        </w:rPr>
        <w:t xml:space="preserve"> half </w:t>
      </w:r>
      <w:r w:rsidR="004D7CEA">
        <w:rPr>
          <w:lang w:val="en-GB"/>
        </w:rPr>
        <w:t>paying</w:t>
      </w:r>
      <w:r w:rsidR="00EB193E" w:rsidRPr="004328DF">
        <w:rPr>
          <w:lang w:val="en-GB"/>
        </w:rPr>
        <w:t xml:space="preserve"> by lump sum</w:t>
      </w:r>
      <w:r w:rsidR="00D8721E">
        <w:rPr>
          <w:lang w:val="en-GB"/>
        </w:rPr>
        <w:t>.</w:t>
      </w:r>
    </w:p>
    <w:p w:rsidR="00D8721E" w:rsidRDefault="00DE6A58" w:rsidP="001865B8">
      <w:pPr>
        <w:rPr>
          <w:lang w:val="en-GB"/>
        </w:rPr>
      </w:pPr>
      <w:r w:rsidRPr="004328DF">
        <w:rPr>
          <w:lang w:val="en-GB"/>
        </w:rPr>
        <w:t>A sign</w:t>
      </w:r>
      <w:r w:rsidR="00F74A63">
        <w:rPr>
          <w:lang w:val="en-GB"/>
        </w:rPr>
        <w:t>ificant majority (</w:t>
      </w:r>
      <w:r w:rsidR="00742E18">
        <w:rPr>
          <w:lang w:val="en-GB"/>
        </w:rPr>
        <w:t>8</w:t>
      </w:r>
      <w:r w:rsidR="008C2527">
        <w:rPr>
          <w:lang w:val="en-GB"/>
        </w:rPr>
        <w:t>4</w:t>
      </w:r>
      <w:r w:rsidR="00A261F3">
        <w:rPr>
          <w:lang w:val="en-GB"/>
        </w:rPr>
        <w:t> per cent</w:t>
      </w:r>
      <w:r w:rsidR="00060BFB" w:rsidRPr="004328DF">
        <w:rPr>
          <w:lang w:val="en-GB"/>
        </w:rPr>
        <w:t>) of partially supported residents pa</w:t>
      </w:r>
      <w:r w:rsidR="009D733B">
        <w:rPr>
          <w:lang w:val="en-GB"/>
        </w:rPr>
        <w:t>id</w:t>
      </w:r>
      <w:r w:rsidR="00060BFB" w:rsidRPr="004328DF">
        <w:rPr>
          <w:lang w:val="en-GB"/>
        </w:rPr>
        <w:t xml:space="preserve"> daily contributions only,</w:t>
      </w:r>
      <w:r w:rsidR="00F74A63">
        <w:rPr>
          <w:lang w:val="en-GB"/>
        </w:rPr>
        <w:t xml:space="preserve"> with only </w:t>
      </w:r>
      <w:r w:rsidR="00742E18">
        <w:rPr>
          <w:lang w:val="en-GB"/>
        </w:rPr>
        <w:t>1</w:t>
      </w:r>
      <w:r w:rsidR="00341DAB">
        <w:rPr>
          <w:lang w:val="en-GB"/>
        </w:rPr>
        <w:t>1</w:t>
      </w:r>
      <w:r w:rsidR="00A261F3">
        <w:rPr>
          <w:lang w:val="en-GB"/>
        </w:rPr>
        <w:t> per cent</w:t>
      </w:r>
      <w:r w:rsidR="00F74A63">
        <w:rPr>
          <w:lang w:val="en-GB"/>
        </w:rPr>
        <w:t xml:space="preserve"> paying by lump su</w:t>
      </w:r>
      <w:r w:rsidR="004D7CEA">
        <w:rPr>
          <w:lang w:val="en-GB"/>
        </w:rPr>
        <w:t>m</w:t>
      </w:r>
      <w:r w:rsidR="00F74A63">
        <w:rPr>
          <w:lang w:val="en-GB"/>
        </w:rPr>
        <w:t xml:space="preserve"> only</w:t>
      </w:r>
      <w:r w:rsidR="00EB193E" w:rsidRPr="004328DF">
        <w:rPr>
          <w:lang w:val="en-GB"/>
        </w:rPr>
        <w:t xml:space="preserve">. </w:t>
      </w:r>
      <w:r w:rsidR="00F76A10">
        <w:rPr>
          <w:lang w:val="en-GB"/>
        </w:rPr>
        <w:t>T</w:t>
      </w:r>
      <w:r w:rsidR="00060BFB" w:rsidRPr="004328DF">
        <w:rPr>
          <w:lang w:val="en-GB"/>
        </w:rPr>
        <w:t>he proportion of</w:t>
      </w:r>
      <w:r w:rsidR="00073D20" w:rsidRPr="004328DF">
        <w:rPr>
          <w:lang w:val="en-GB"/>
        </w:rPr>
        <w:t xml:space="preserve"> residents paying by lump sum</w:t>
      </w:r>
      <w:r w:rsidR="00060BFB" w:rsidRPr="004328DF">
        <w:rPr>
          <w:lang w:val="en-GB"/>
        </w:rPr>
        <w:t xml:space="preserve"> may incl</w:t>
      </w:r>
      <w:r w:rsidR="007713A2" w:rsidRPr="004328DF">
        <w:rPr>
          <w:lang w:val="en-GB"/>
        </w:rPr>
        <w:t>ude residents who had commenced to pay</w:t>
      </w:r>
      <w:r w:rsidR="00060BFB" w:rsidRPr="004328DF">
        <w:rPr>
          <w:lang w:val="en-GB"/>
        </w:rPr>
        <w:t xml:space="preserve"> full or partial daily payments, and then paid a lump sum</w:t>
      </w:r>
      <w:r w:rsidR="007713A2" w:rsidRPr="004328DF">
        <w:rPr>
          <w:lang w:val="en-GB"/>
        </w:rPr>
        <w:t xml:space="preserve"> during the year</w:t>
      </w:r>
      <w:r w:rsidR="00060BFB" w:rsidRPr="004328DF">
        <w:rPr>
          <w:lang w:val="en-GB"/>
        </w:rPr>
        <w:t>. Similarly, residents paying a daily payment may subsequently pay a lump sum (e.g. once their house is sold).</w:t>
      </w:r>
    </w:p>
    <w:p w:rsidR="00FF5C7E" w:rsidRPr="00596D01" w:rsidRDefault="00AE4922" w:rsidP="001865B8">
      <w:pPr>
        <w:pStyle w:val="Heading3Numbered"/>
      </w:pPr>
      <w:bookmarkStart w:id="195" w:name="_Toc524424708"/>
      <w:r w:rsidRPr="00596D01">
        <w:t>Accommodation p</w:t>
      </w:r>
      <w:r w:rsidR="00FF5C7E" w:rsidRPr="00596D01">
        <w:t>rices</w:t>
      </w:r>
      <w:bookmarkEnd w:id="195"/>
    </w:p>
    <w:p w:rsidR="00D8721E" w:rsidRDefault="00F5032D" w:rsidP="001865B8">
      <w:pPr>
        <w:rPr>
          <w:lang w:val="en-GB"/>
        </w:rPr>
      </w:pPr>
      <w:r w:rsidRPr="00996BA6">
        <w:rPr>
          <w:lang w:val="en-GB"/>
        </w:rPr>
        <w:t xml:space="preserve">As part of the accommodation reforms in residential care, approved providers </w:t>
      </w:r>
      <w:r w:rsidR="00B926BD" w:rsidRPr="00996BA6">
        <w:rPr>
          <w:lang w:val="en-GB"/>
        </w:rPr>
        <w:t>are</w:t>
      </w:r>
      <w:r w:rsidRPr="00996BA6">
        <w:rPr>
          <w:lang w:val="en-GB"/>
        </w:rPr>
        <w:t xml:space="preserve"> required to publish the maximum accommodation prices and descriptive information for rooms in their aged care facilities. Maximum prices are required to be published as RADs, equivalent DAPs and an example combination price of both RAD and DAP. A resident cannot be charged more than the p</w:t>
      </w:r>
      <w:r w:rsidR="00EB193E" w:rsidRPr="00996BA6">
        <w:rPr>
          <w:lang w:val="en-GB"/>
        </w:rPr>
        <w:t>ublished maximum price, but residents</w:t>
      </w:r>
      <w:r w:rsidRPr="00996BA6">
        <w:rPr>
          <w:lang w:val="en-GB"/>
        </w:rPr>
        <w:t xml:space="preserve"> may negotiate a lower amount, referred to as the agreed price</w:t>
      </w:r>
      <w:r w:rsidR="00D8721E">
        <w:rPr>
          <w:lang w:val="en-GB"/>
        </w:rPr>
        <w:t>.</w:t>
      </w:r>
    </w:p>
    <w:p w:rsidR="00FF5C7E" w:rsidRPr="00596D01" w:rsidRDefault="00FF5C7E" w:rsidP="00944018">
      <w:pPr>
        <w:pStyle w:val="Heading5"/>
      </w:pPr>
      <w:r w:rsidRPr="00596D01">
        <w:t>Published maximum prices</w:t>
      </w:r>
      <w:r w:rsidR="006B640D" w:rsidRPr="00596D01">
        <w:t xml:space="preserve"> </w:t>
      </w:r>
    </w:p>
    <w:p w:rsidR="00742E18" w:rsidRDefault="00EE368C" w:rsidP="001865B8">
      <w:pPr>
        <w:rPr>
          <w:lang w:val="en-GB"/>
        </w:rPr>
      </w:pPr>
      <w:r w:rsidRPr="001B0DAB">
        <w:rPr>
          <w:lang w:val="en-GB"/>
        </w:rPr>
        <w:t>At 3 April</w:t>
      </w:r>
      <w:r w:rsidR="00A261F3">
        <w:rPr>
          <w:lang w:val="en-GB"/>
        </w:rPr>
        <w:t> 201</w:t>
      </w:r>
      <w:r w:rsidR="001B1F8E" w:rsidRPr="001B0DAB">
        <w:rPr>
          <w:lang w:val="en-GB"/>
        </w:rPr>
        <w:t>8</w:t>
      </w:r>
      <w:r w:rsidR="00275A02" w:rsidRPr="001B0DAB">
        <w:rPr>
          <w:lang w:val="en-GB"/>
        </w:rPr>
        <w:t>, t</w:t>
      </w:r>
      <w:r w:rsidR="00F5032D" w:rsidRPr="001B0DAB">
        <w:rPr>
          <w:lang w:val="en-GB"/>
        </w:rPr>
        <w:t xml:space="preserve">he average maximum RAD/DAP published on My Aged Care was </w:t>
      </w:r>
      <w:r w:rsidR="001B1F8E" w:rsidRPr="001B0DAB">
        <w:rPr>
          <w:lang w:val="en-GB"/>
        </w:rPr>
        <w:t>$</w:t>
      </w:r>
      <w:r w:rsidRPr="001B0DAB">
        <w:rPr>
          <w:lang w:val="en-GB"/>
        </w:rPr>
        <w:t>411,000</w:t>
      </w:r>
      <w:r w:rsidR="00841375" w:rsidRPr="001B0DAB">
        <w:rPr>
          <w:lang w:val="en-GB"/>
        </w:rPr>
        <w:t xml:space="preserve">/$64.97, </w:t>
      </w:r>
      <w:r w:rsidR="00271F2E" w:rsidRPr="001B0DAB">
        <w:rPr>
          <w:lang w:val="en-GB"/>
        </w:rPr>
        <w:t>compared with</w:t>
      </w:r>
      <w:r w:rsidR="00F5032D" w:rsidRPr="001B0DAB">
        <w:rPr>
          <w:lang w:val="en-GB"/>
        </w:rPr>
        <w:t xml:space="preserve"> $355,000/$65.06 at 29 July</w:t>
      </w:r>
      <w:r w:rsidR="00A261F3">
        <w:rPr>
          <w:lang w:val="en-GB"/>
        </w:rPr>
        <w:t> 201</w:t>
      </w:r>
      <w:r w:rsidR="00F5032D" w:rsidRPr="001B0DAB">
        <w:rPr>
          <w:lang w:val="en-GB"/>
        </w:rPr>
        <w:t>4</w:t>
      </w:r>
      <w:r w:rsidR="00C561C6" w:rsidRPr="001B0DAB">
        <w:rPr>
          <w:lang w:val="en-GB"/>
        </w:rPr>
        <w:t xml:space="preserve"> when prices were first published.</w:t>
      </w:r>
      <w:r w:rsidR="00742E18" w:rsidRPr="001B0DAB">
        <w:rPr>
          <w:lang w:val="en-GB"/>
        </w:rPr>
        <w:t xml:space="preserve"> ACFA notes that while average RAD amounts have increased over the four year period since July</w:t>
      </w:r>
      <w:r w:rsidR="00A261F3">
        <w:rPr>
          <w:lang w:val="en-GB"/>
        </w:rPr>
        <w:t> 201</w:t>
      </w:r>
      <w:r w:rsidR="00742E18" w:rsidRPr="001B0DAB">
        <w:rPr>
          <w:lang w:val="en-GB"/>
        </w:rPr>
        <w:t xml:space="preserve">4, </w:t>
      </w:r>
      <w:r w:rsidR="003026A9" w:rsidRPr="00BE642A">
        <w:rPr>
          <w:lang w:val="en-GB"/>
        </w:rPr>
        <w:t xml:space="preserve">average </w:t>
      </w:r>
      <w:r w:rsidR="000D632E" w:rsidRPr="00BE642A">
        <w:rPr>
          <w:lang w:val="en-GB"/>
        </w:rPr>
        <w:t>DAP</w:t>
      </w:r>
      <w:r w:rsidR="003026A9" w:rsidRPr="00BE642A">
        <w:rPr>
          <w:lang w:val="en-GB"/>
        </w:rPr>
        <w:t xml:space="preserve"> amounts </w:t>
      </w:r>
      <w:r w:rsidR="000D632E" w:rsidRPr="00BE642A">
        <w:rPr>
          <w:lang w:val="en-GB"/>
        </w:rPr>
        <w:t>have dec</w:t>
      </w:r>
      <w:r w:rsidR="003026A9" w:rsidRPr="00BE642A">
        <w:rPr>
          <w:lang w:val="en-GB"/>
        </w:rPr>
        <w:t>reased</w:t>
      </w:r>
      <w:r w:rsidR="000D632E" w:rsidRPr="00BE642A">
        <w:rPr>
          <w:lang w:val="en-GB"/>
        </w:rPr>
        <w:t xml:space="preserve"> because the MPIR</w:t>
      </w:r>
      <w:r w:rsidR="009D733B">
        <w:rPr>
          <w:lang w:val="en-GB"/>
        </w:rPr>
        <w:t>,</w:t>
      </w:r>
      <w:r w:rsidR="000D632E" w:rsidRPr="00BE642A">
        <w:rPr>
          <w:lang w:val="en-GB"/>
        </w:rPr>
        <w:t xml:space="preserve"> used to calculate equivalent DAP prices</w:t>
      </w:r>
      <w:r w:rsidR="009D733B">
        <w:rPr>
          <w:lang w:val="en-GB"/>
        </w:rPr>
        <w:t>,</w:t>
      </w:r>
      <w:r w:rsidR="000D632E" w:rsidRPr="00BE642A">
        <w:rPr>
          <w:lang w:val="en-GB"/>
        </w:rPr>
        <w:t xml:space="preserve"> has declined from 6.69% to 5.77% over the same period.</w:t>
      </w:r>
    </w:p>
    <w:p w:rsidR="00BB0CAF" w:rsidRDefault="00492BF8" w:rsidP="001865B8">
      <w:pPr>
        <w:rPr>
          <w:lang w:val="en-GB"/>
        </w:rPr>
      </w:pPr>
      <w:r>
        <w:rPr>
          <w:lang w:val="en-GB"/>
        </w:rPr>
        <w:fldChar w:fldCharType="begin"/>
      </w:r>
      <w:r>
        <w:rPr>
          <w:lang w:val="en-GB"/>
        </w:rPr>
        <w:instrText xml:space="preserve"> REF _Ref524429137 \r \h </w:instrText>
      </w:r>
      <w:r>
        <w:rPr>
          <w:lang w:val="en-GB"/>
        </w:rPr>
      </w:r>
      <w:r>
        <w:rPr>
          <w:lang w:val="en-GB"/>
        </w:rPr>
        <w:fldChar w:fldCharType="separate"/>
      </w:r>
      <w:r>
        <w:rPr>
          <w:lang w:val="en-GB"/>
        </w:rPr>
        <w:t>Table 4.2</w:t>
      </w:r>
      <w:r>
        <w:rPr>
          <w:lang w:val="en-GB"/>
        </w:rPr>
        <w:fldChar w:fldCharType="end"/>
      </w:r>
      <w:r>
        <w:rPr>
          <w:lang w:val="en-GB"/>
        </w:rPr>
        <w:t xml:space="preserve"> </w:t>
      </w:r>
      <w:r w:rsidR="00F5032D" w:rsidRPr="00C94111">
        <w:rPr>
          <w:lang w:val="en-GB"/>
        </w:rPr>
        <w:t>provides a summary of published prices by</w:t>
      </w:r>
      <w:r w:rsidR="00B926BD">
        <w:rPr>
          <w:lang w:val="en-GB"/>
        </w:rPr>
        <w:t xml:space="preserve"> ownership type</w:t>
      </w:r>
      <w:r w:rsidR="00A31C17">
        <w:rPr>
          <w:lang w:val="en-GB"/>
        </w:rPr>
        <w:t xml:space="preserve"> and</w:t>
      </w:r>
      <w:r w:rsidR="00B926BD">
        <w:rPr>
          <w:lang w:val="en-GB"/>
        </w:rPr>
        <w:t xml:space="preserve"> l</w:t>
      </w:r>
      <w:r w:rsidR="00271F2E">
        <w:rPr>
          <w:lang w:val="en-GB"/>
        </w:rPr>
        <w:t>ocation</w:t>
      </w:r>
      <w:r w:rsidR="00A31C17">
        <w:rPr>
          <w:lang w:val="en-GB"/>
        </w:rPr>
        <w:t xml:space="preserve">, and </w:t>
      </w:r>
      <w:r w:rsidR="00F464BE">
        <w:rPr>
          <w:lang w:val="en-GB"/>
        </w:rPr>
        <w:t xml:space="preserve">is presented </w:t>
      </w:r>
      <w:r w:rsidR="00A31C17">
        <w:rPr>
          <w:lang w:val="en-GB"/>
        </w:rPr>
        <w:t>by average and percentile</w:t>
      </w:r>
      <w:r w:rsidR="00F5032D" w:rsidRPr="00C94111">
        <w:rPr>
          <w:lang w:val="en-GB"/>
        </w:rPr>
        <w:t>. A</w:t>
      </w:r>
      <w:r w:rsidR="00F464BE">
        <w:rPr>
          <w:lang w:val="en-GB"/>
        </w:rPr>
        <w:t xml:space="preserve"> </w:t>
      </w:r>
      <w:r w:rsidR="00F5032D" w:rsidRPr="00C94111">
        <w:rPr>
          <w:lang w:val="en-GB"/>
        </w:rPr>
        <w:t xml:space="preserve">precise average </w:t>
      </w:r>
      <w:r w:rsidR="00F464BE">
        <w:rPr>
          <w:lang w:val="en-GB"/>
        </w:rPr>
        <w:t xml:space="preserve">is unable </w:t>
      </w:r>
      <w:r w:rsidR="00F5032D" w:rsidRPr="00C94111">
        <w:rPr>
          <w:lang w:val="en-GB"/>
        </w:rPr>
        <w:t>to be calculated as data is not available on the number of rooms in a facility at a particular price point. As a result</w:t>
      </w:r>
      <w:r w:rsidR="00F5032D">
        <w:rPr>
          <w:lang w:val="en-GB"/>
        </w:rPr>
        <w:t xml:space="preserve">, it is assumed </w:t>
      </w:r>
      <w:r w:rsidR="00F5032D" w:rsidRPr="00C94111">
        <w:rPr>
          <w:lang w:val="en-GB"/>
        </w:rPr>
        <w:t>that the number of price points are distributed evenly within the facility.</w:t>
      </w:r>
    </w:p>
    <w:p w:rsidR="00BB0CAF" w:rsidRDefault="00BB0CAF" w:rsidP="001865B8">
      <w:pPr>
        <w:rPr>
          <w:lang w:val="en-GB"/>
        </w:rPr>
      </w:pPr>
      <w:r>
        <w:rPr>
          <w:lang w:val="en-GB"/>
        </w:rPr>
        <w:t>As was the case in previous annual reports, fo</w:t>
      </w:r>
      <w:r w:rsidR="009A16D9">
        <w:rPr>
          <w:lang w:val="en-GB"/>
        </w:rPr>
        <w:t xml:space="preserve">r-profit providers had </w:t>
      </w:r>
      <w:r>
        <w:rPr>
          <w:lang w:val="en-GB"/>
        </w:rPr>
        <w:t>hig</w:t>
      </w:r>
      <w:r w:rsidR="009F770B">
        <w:rPr>
          <w:lang w:val="en-GB"/>
        </w:rPr>
        <w:t>her average published prices tha</w:t>
      </w:r>
      <w:r>
        <w:rPr>
          <w:lang w:val="en-GB"/>
        </w:rPr>
        <w:t>n not-for-profit providers</w:t>
      </w:r>
      <w:r w:rsidR="00271F2E">
        <w:rPr>
          <w:lang w:val="en-GB"/>
        </w:rPr>
        <w:t>,</w:t>
      </w:r>
      <w:r>
        <w:rPr>
          <w:lang w:val="en-GB"/>
        </w:rPr>
        <w:t xml:space="preserve"> with government providers recording the lowest.</w:t>
      </w:r>
      <w:r w:rsidR="00A31C17">
        <w:rPr>
          <w:lang w:val="en-GB"/>
        </w:rPr>
        <w:t xml:space="preserve"> </w:t>
      </w:r>
      <w:r>
        <w:rPr>
          <w:lang w:val="en-GB"/>
        </w:rPr>
        <w:t>Also</w:t>
      </w:r>
      <w:r w:rsidR="00271F2E">
        <w:rPr>
          <w:lang w:val="en-GB"/>
        </w:rPr>
        <w:t>,</w:t>
      </w:r>
      <w:r>
        <w:rPr>
          <w:lang w:val="en-GB"/>
        </w:rPr>
        <w:t xml:space="preserve"> </w:t>
      </w:r>
      <w:r w:rsidR="009F770B">
        <w:rPr>
          <w:lang w:val="en-GB"/>
        </w:rPr>
        <w:t xml:space="preserve">as </w:t>
      </w:r>
      <w:r w:rsidR="00F8029C">
        <w:rPr>
          <w:lang w:val="en-GB"/>
        </w:rPr>
        <w:t>in previous years</w:t>
      </w:r>
      <w:r w:rsidR="009F770B">
        <w:rPr>
          <w:lang w:val="en-GB"/>
        </w:rPr>
        <w:t xml:space="preserve">, </w:t>
      </w:r>
      <w:r>
        <w:rPr>
          <w:lang w:val="en-GB"/>
        </w:rPr>
        <w:t>the average published</w:t>
      </w:r>
      <w:r w:rsidR="00E11CE0">
        <w:rPr>
          <w:lang w:val="en-GB"/>
        </w:rPr>
        <w:t xml:space="preserve"> prices</w:t>
      </w:r>
      <w:r w:rsidR="009F770B">
        <w:rPr>
          <w:lang w:val="en-GB"/>
        </w:rPr>
        <w:t xml:space="preserve"> were</w:t>
      </w:r>
      <w:r w:rsidR="00E11CE0">
        <w:rPr>
          <w:lang w:val="en-GB"/>
        </w:rPr>
        <w:t xml:space="preserve"> significantly higher in</w:t>
      </w:r>
      <w:r>
        <w:rPr>
          <w:lang w:val="en-GB"/>
        </w:rPr>
        <w:t xml:space="preserve"> major cities than in regional and remote areas.</w:t>
      </w:r>
    </w:p>
    <w:p w:rsidR="00D8721E" w:rsidRDefault="00F5032D" w:rsidP="001865B8">
      <w:r w:rsidRPr="00C94111">
        <w:t>The threshold above which prices must be approved by the</w:t>
      </w:r>
      <w:r w:rsidR="00717503">
        <w:t xml:space="preserve"> Aged Care</w:t>
      </w:r>
      <w:r w:rsidRPr="00C94111">
        <w:t xml:space="preserve"> Pricing Commissioner remained unchanged duri</w:t>
      </w:r>
      <w:r w:rsidR="00694E5C">
        <w:t>ng</w:t>
      </w:r>
      <w:r w:rsidR="00A261F3">
        <w:t> 201</w:t>
      </w:r>
      <w:r w:rsidR="00516C41">
        <w:t>6</w:t>
      </w:r>
      <w:r w:rsidR="00D8721E">
        <w:t>–1</w:t>
      </w:r>
      <w:r w:rsidR="00516C41">
        <w:t>7</w:t>
      </w:r>
      <w:r w:rsidR="00694E5C">
        <w:t xml:space="preserve"> at a</w:t>
      </w:r>
      <w:r>
        <w:t xml:space="preserve"> RAD of $550,000 or equivalent daily payment of </w:t>
      </w:r>
      <w:r w:rsidR="00F275EA">
        <w:t>$</w:t>
      </w:r>
      <w:r w:rsidR="006A1710">
        <w:t>87.09</w:t>
      </w:r>
      <w:r w:rsidRPr="00C94111">
        <w:t xml:space="preserve">. At </w:t>
      </w:r>
      <w:r w:rsidR="00516C41">
        <w:t xml:space="preserve">3 </w:t>
      </w:r>
      <w:r w:rsidR="00694E5C">
        <w:t>April</w:t>
      </w:r>
      <w:r w:rsidR="00A261F3">
        <w:t> 201</w:t>
      </w:r>
      <w:r w:rsidR="00516C41">
        <w:t>8</w:t>
      </w:r>
      <w:r w:rsidRPr="00C94111">
        <w:t>,</w:t>
      </w:r>
      <w:r w:rsidR="00853876">
        <w:t xml:space="preserve"> 6</w:t>
      </w:r>
      <w:r w:rsidR="00A261F3">
        <w:t> per cent</w:t>
      </w:r>
      <w:r w:rsidRPr="00C94111">
        <w:t xml:space="preserve"> of </w:t>
      </w:r>
      <w:r w:rsidRPr="009B4AE1">
        <w:t xml:space="preserve">published </w:t>
      </w:r>
      <w:r>
        <w:t>prices were</w:t>
      </w:r>
      <w:r w:rsidR="00540B1E">
        <w:t xml:space="preserve"> higher than the</w:t>
      </w:r>
      <w:r w:rsidRPr="00C94111">
        <w:t xml:space="preserve"> threshold</w:t>
      </w:r>
      <w:r w:rsidR="00516C41">
        <w:t>, consistent with the previous two years.</w:t>
      </w:r>
    </w:p>
    <w:p w:rsidR="00C800DD" w:rsidRPr="00596D01" w:rsidRDefault="007513E2" w:rsidP="001865B8">
      <w:pPr>
        <w:pStyle w:val="TableTitle"/>
        <w:rPr>
          <w:rStyle w:val="Strong"/>
        </w:rPr>
      </w:pPr>
      <w:bookmarkStart w:id="196" w:name="_Ref524429137"/>
      <w:bookmarkStart w:id="197" w:name="_Ref424310733"/>
      <w:r w:rsidRPr="00596D01">
        <w:lastRenderedPageBreak/>
        <w:t xml:space="preserve">Average </w:t>
      </w:r>
      <w:r w:rsidR="004E7E5C" w:rsidRPr="00596D01">
        <w:t xml:space="preserve">maximum </w:t>
      </w:r>
      <w:r w:rsidRPr="00596D01">
        <w:t>published</w:t>
      </w:r>
      <w:r w:rsidR="00D7490D" w:rsidRPr="00596D01">
        <w:t xml:space="preserve"> </w:t>
      </w:r>
      <w:r w:rsidR="00BF5AF0" w:rsidRPr="00596D01">
        <w:t>RAD prices</w:t>
      </w:r>
      <w:r w:rsidR="004D7CEA" w:rsidRPr="00596D01">
        <w:t xml:space="preserve">, </w:t>
      </w:r>
      <w:r w:rsidR="00A31C17" w:rsidRPr="00596D01">
        <w:t xml:space="preserve">by ownership </w:t>
      </w:r>
      <w:r w:rsidR="001275E6" w:rsidRPr="00596D01">
        <w:t xml:space="preserve">type </w:t>
      </w:r>
      <w:r w:rsidR="00A31C17" w:rsidRPr="00596D01">
        <w:t>and</w:t>
      </w:r>
      <w:r w:rsidRPr="00596D01">
        <w:t xml:space="preserve"> location</w:t>
      </w:r>
      <w:r w:rsidR="004D7CEA" w:rsidRPr="00596D01">
        <w:t>, as</w:t>
      </w:r>
      <w:r w:rsidR="004638A9" w:rsidRPr="00596D01">
        <w:t> </w:t>
      </w:r>
      <w:r w:rsidR="004D7CEA" w:rsidRPr="00596D01">
        <w:t>at</w:t>
      </w:r>
      <w:r w:rsidR="004638A9" w:rsidRPr="00596D01">
        <w:t> </w:t>
      </w:r>
      <w:r w:rsidR="004D7CEA" w:rsidRPr="00596D01">
        <w:t>3</w:t>
      </w:r>
      <w:r w:rsidR="001865B8">
        <w:t> </w:t>
      </w:r>
      <w:r w:rsidR="004D7CEA" w:rsidRPr="00596D01">
        <w:t>April</w:t>
      </w:r>
      <w:r w:rsidR="00A261F3" w:rsidRPr="00596D01">
        <w:t> 201</w:t>
      </w:r>
      <w:r w:rsidR="004D7CEA" w:rsidRPr="00596D01">
        <w:t>8</w:t>
      </w:r>
      <w:bookmarkEnd w:id="196"/>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99"/>
        <w:gridCol w:w="1317"/>
        <w:gridCol w:w="1379"/>
        <w:gridCol w:w="1256"/>
        <w:gridCol w:w="1179"/>
        <w:gridCol w:w="1318"/>
        <w:gridCol w:w="1480"/>
      </w:tblGrid>
      <w:tr w:rsidR="00BB39D2" w:rsidTr="00303CD5">
        <w:trPr>
          <w:cnfStyle w:val="100000000000" w:firstRow="1" w:lastRow="0" w:firstColumn="0" w:lastColumn="0" w:oddVBand="0" w:evenVBand="0" w:oddHBand="0" w:evenHBand="0" w:firstRowFirstColumn="0" w:firstRowLastColumn="0" w:lastRowFirstColumn="0" w:lastRowLastColumn="0"/>
          <w:trHeight w:val="323"/>
          <w:tblHeader/>
        </w:trPr>
        <w:tc>
          <w:tcPr>
            <w:tcW w:w="724" w:type="pct"/>
            <w:noWrap/>
            <w:hideMark/>
          </w:tcPr>
          <w:p w:rsidR="00BB39D2" w:rsidRPr="00BF0B8E" w:rsidRDefault="00BB39D2" w:rsidP="003C2346">
            <w:pPr>
              <w:keepNext/>
              <w:rPr>
                <w:rFonts w:ascii="Calibri" w:hAnsi="Calibri"/>
                <w:color w:val="FFFFFF"/>
              </w:rPr>
            </w:pPr>
            <w:bookmarkStart w:id="198" w:name="_Toc452487242"/>
            <w:bookmarkStart w:id="199" w:name="_Toc450735043"/>
            <w:bookmarkEnd w:id="197"/>
            <w:r w:rsidRPr="00BF0B8E">
              <w:rPr>
                <w:rFonts w:ascii="Calibri" w:hAnsi="Calibri"/>
                <w:color w:val="FFFFFF"/>
              </w:rPr>
              <w:t> </w:t>
            </w:r>
          </w:p>
        </w:tc>
        <w:tc>
          <w:tcPr>
            <w:tcW w:w="724" w:type="pct"/>
            <w:noWrap/>
            <w:hideMark/>
          </w:tcPr>
          <w:p w:rsidR="00BB39D2" w:rsidRPr="00BF0B8E" w:rsidRDefault="00BB39D2" w:rsidP="001865B8">
            <w:pPr>
              <w:keepNext/>
              <w:jc w:val="right"/>
              <w:rPr>
                <w:rFonts w:ascii="Segoe UI" w:hAnsi="Segoe UI" w:cs="Segoe UI"/>
                <w:b w:val="0"/>
                <w:bCs w:val="0"/>
                <w:color w:val="FFFFFF"/>
              </w:rPr>
            </w:pPr>
            <w:r w:rsidRPr="00596D01">
              <w:t>Average</w:t>
            </w:r>
          </w:p>
        </w:tc>
        <w:tc>
          <w:tcPr>
            <w:tcW w:w="724" w:type="pct"/>
            <w:noWrap/>
            <w:hideMark/>
          </w:tcPr>
          <w:p w:rsidR="00BB39D2" w:rsidRPr="00BF0B8E" w:rsidRDefault="009D733B" w:rsidP="001865B8">
            <w:pPr>
              <w:keepNext/>
              <w:jc w:val="right"/>
              <w:rPr>
                <w:rFonts w:ascii="Segoe UI" w:hAnsi="Segoe UI" w:cs="Segoe UI"/>
                <w:b w:val="0"/>
                <w:bCs w:val="0"/>
                <w:color w:val="FFFFFF"/>
              </w:rPr>
            </w:pPr>
            <w:r w:rsidRPr="00596D01">
              <w:t>5th p</w:t>
            </w:r>
            <w:r w:rsidR="00BB39D2" w:rsidRPr="00596D01">
              <w:t>ercentile</w:t>
            </w:r>
          </w:p>
        </w:tc>
        <w:tc>
          <w:tcPr>
            <w:tcW w:w="724" w:type="pct"/>
            <w:noWrap/>
            <w:hideMark/>
          </w:tcPr>
          <w:p w:rsidR="00BB39D2" w:rsidRPr="00BF0B8E" w:rsidRDefault="00BB39D2" w:rsidP="001865B8">
            <w:pPr>
              <w:keepNext/>
              <w:jc w:val="right"/>
              <w:rPr>
                <w:rFonts w:ascii="Segoe UI" w:hAnsi="Segoe UI" w:cs="Segoe UI"/>
                <w:b w:val="0"/>
                <w:bCs w:val="0"/>
                <w:color w:val="FFFFFF"/>
              </w:rPr>
            </w:pPr>
            <w:r w:rsidRPr="00596D01">
              <w:t>Quartile 1</w:t>
            </w:r>
          </w:p>
        </w:tc>
        <w:tc>
          <w:tcPr>
            <w:tcW w:w="652" w:type="pct"/>
            <w:noWrap/>
            <w:hideMark/>
          </w:tcPr>
          <w:p w:rsidR="00BB39D2" w:rsidRPr="00BF0B8E" w:rsidRDefault="00BB39D2" w:rsidP="001865B8">
            <w:pPr>
              <w:keepNext/>
              <w:jc w:val="right"/>
              <w:rPr>
                <w:rFonts w:ascii="Segoe UI" w:hAnsi="Segoe UI" w:cs="Segoe UI"/>
                <w:b w:val="0"/>
                <w:bCs w:val="0"/>
                <w:color w:val="FFFFFF"/>
              </w:rPr>
            </w:pPr>
            <w:r w:rsidRPr="00596D01">
              <w:t>Median</w:t>
            </w:r>
          </w:p>
        </w:tc>
        <w:tc>
          <w:tcPr>
            <w:tcW w:w="724" w:type="pct"/>
            <w:noWrap/>
            <w:hideMark/>
          </w:tcPr>
          <w:p w:rsidR="00BB39D2" w:rsidRPr="00BF0B8E" w:rsidRDefault="00BB39D2" w:rsidP="001865B8">
            <w:pPr>
              <w:keepNext/>
              <w:jc w:val="right"/>
              <w:rPr>
                <w:rFonts w:ascii="Segoe UI" w:hAnsi="Segoe UI" w:cs="Segoe UI"/>
                <w:b w:val="0"/>
                <w:bCs w:val="0"/>
                <w:color w:val="FFFFFF"/>
              </w:rPr>
            </w:pPr>
            <w:r w:rsidRPr="00596D01">
              <w:t>Quartile 3</w:t>
            </w:r>
          </w:p>
        </w:tc>
        <w:tc>
          <w:tcPr>
            <w:tcW w:w="727" w:type="pct"/>
            <w:noWrap/>
            <w:hideMark/>
          </w:tcPr>
          <w:p w:rsidR="00BB39D2" w:rsidRPr="00596D01" w:rsidRDefault="009D733B" w:rsidP="001865B8">
            <w:pPr>
              <w:keepNext/>
              <w:jc w:val="right"/>
            </w:pPr>
            <w:r w:rsidRPr="00596D01">
              <w:t>95th p</w:t>
            </w:r>
            <w:r w:rsidR="00BB39D2" w:rsidRPr="00596D01">
              <w:t>ercentile</w:t>
            </w:r>
          </w:p>
        </w:tc>
      </w:tr>
      <w:tr w:rsidR="00BB39D2" w:rsidTr="001865B8">
        <w:trPr>
          <w:trHeight w:val="308"/>
        </w:trPr>
        <w:tc>
          <w:tcPr>
            <w:tcW w:w="724" w:type="pct"/>
            <w:noWrap/>
            <w:hideMark/>
          </w:tcPr>
          <w:p w:rsidR="00BB39D2" w:rsidRPr="00596D01" w:rsidRDefault="00BB39D2" w:rsidP="003C2346">
            <w:pPr>
              <w:keepNext/>
              <w:rPr>
                <w:rStyle w:val="Strong"/>
              </w:rPr>
            </w:pPr>
            <w:r w:rsidRPr="00596D01">
              <w:rPr>
                <w:rStyle w:val="Strong"/>
              </w:rPr>
              <w:t>Overall</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$411,000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$225,000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$300,000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$375,000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$475,000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$715,000</w:t>
            </w:r>
          </w:p>
        </w:tc>
      </w:tr>
      <w:tr w:rsidR="001865B8" w:rsidTr="001865B8">
        <w:trPr>
          <w:trHeight w:val="308"/>
        </w:trPr>
        <w:tc>
          <w:tcPr>
            <w:tcW w:w="724" w:type="pct"/>
            <w:shd w:val="clear" w:color="auto" w:fill="E8E8E8" w:themeFill="background2"/>
            <w:noWrap/>
            <w:hideMark/>
          </w:tcPr>
          <w:p w:rsidR="00BB39D2" w:rsidRPr="00596D01" w:rsidRDefault="00BB39D2" w:rsidP="003C2346">
            <w:pPr>
              <w:keepNext/>
              <w:rPr>
                <w:rStyle w:val="Strong"/>
              </w:rPr>
            </w:pPr>
            <w:r w:rsidRPr="00596D01">
              <w:rPr>
                <w:rStyle w:val="Strong"/>
              </w:rPr>
              <w:t>Ownership type</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652"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7"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r>
      <w:tr w:rsidR="00BB39D2" w:rsidTr="001865B8">
        <w:trPr>
          <w:trHeight w:val="260"/>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Not-for-profit</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$400,000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$225,000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$300,000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$375,000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$475,000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$650,000</w:t>
            </w:r>
          </w:p>
        </w:tc>
      </w:tr>
      <w:tr w:rsidR="00BB39D2" w:rsidTr="001865B8">
        <w:trPr>
          <w:trHeight w:val="308"/>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For-profit</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$442,000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$220,000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$300,000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$390,000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$500,000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$874,000</w:t>
            </w:r>
          </w:p>
        </w:tc>
      </w:tr>
      <w:tr w:rsidR="00BB39D2" w:rsidTr="001865B8">
        <w:trPr>
          <w:trHeight w:val="308"/>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Government</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$332,000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$250,000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$280,000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$320,000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$350,000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$502,000</w:t>
            </w:r>
          </w:p>
        </w:tc>
      </w:tr>
      <w:tr w:rsidR="001865B8" w:rsidTr="001865B8">
        <w:trPr>
          <w:trHeight w:val="308"/>
        </w:trPr>
        <w:tc>
          <w:tcPr>
            <w:tcW w:w="724" w:type="pct"/>
            <w:shd w:val="clear" w:color="auto" w:fill="E8E8E8" w:themeFill="background2"/>
            <w:noWrap/>
            <w:hideMark/>
          </w:tcPr>
          <w:p w:rsidR="00BB39D2" w:rsidRPr="00596D01" w:rsidRDefault="00BB39D2" w:rsidP="00E032B1">
            <w:pPr>
              <w:keepNext/>
              <w:rPr>
                <w:rStyle w:val="Strong"/>
              </w:rPr>
            </w:pPr>
            <w:r w:rsidRPr="00596D01">
              <w:rPr>
                <w:rStyle w:val="Strong"/>
              </w:rPr>
              <w:t>Location</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652"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4"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c>
          <w:tcPr>
            <w:tcW w:w="727" w:type="pct"/>
            <w:shd w:val="clear" w:color="auto" w:fill="E8E8E8" w:themeFill="background2"/>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 </w:t>
            </w:r>
          </w:p>
        </w:tc>
      </w:tr>
      <w:tr w:rsidR="00BB39D2" w:rsidTr="001865B8">
        <w:trPr>
          <w:trHeight w:val="308"/>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Major cities</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$443,000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$229,000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$320,000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$400,000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$525,000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$800,000</w:t>
            </w:r>
          </w:p>
        </w:tc>
      </w:tr>
      <w:tr w:rsidR="00BB39D2" w:rsidTr="001865B8">
        <w:trPr>
          <w:trHeight w:val="308"/>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Regional areas</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$347,000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$200,000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$280,000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$345,000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$400,000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$550,000</w:t>
            </w:r>
          </w:p>
        </w:tc>
      </w:tr>
      <w:tr w:rsidR="00BB39D2" w:rsidTr="001865B8">
        <w:trPr>
          <w:trHeight w:val="294"/>
        </w:trPr>
        <w:tc>
          <w:tcPr>
            <w:tcW w:w="724" w:type="pct"/>
            <w:noWrap/>
            <w:hideMark/>
          </w:tcPr>
          <w:p w:rsidR="00BB39D2" w:rsidRPr="00BF0B8E" w:rsidRDefault="00BB39D2" w:rsidP="003C2346">
            <w:pPr>
              <w:keepNext/>
              <w:rPr>
                <w:rFonts w:ascii="Segoe UI" w:hAnsi="Segoe UI" w:cs="Segoe UI"/>
                <w:color w:val="000000"/>
              </w:rPr>
            </w:pPr>
            <w:r w:rsidRPr="00BF0B8E">
              <w:rPr>
                <w:rFonts w:ascii="Segoe UI" w:hAnsi="Segoe UI" w:cs="Segoe UI"/>
                <w:color w:val="000000"/>
              </w:rPr>
              <w:t>Remote areas</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$297,000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$200,000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$250,000</w:t>
            </w:r>
          </w:p>
        </w:tc>
        <w:tc>
          <w:tcPr>
            <w:tcW w:w="652"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$280,000</w:t>
            </w:r>
          </w:p>
        </w:tc>
        <w:tc>
          <w:tcPr>
            <w:tcW w:w="724"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$320,000</w:t>
            </w:r>
          </w:p>
        </w:tc>
        <w:tc>
          <w:tcPr>
            <w:tcW w:w="727" w:type="pct"/>
            <w:noWrap/>
            <w:hideMark/>
          </w:tcPr>
          <w:p w:rsidR="00BB39D2" w:rsidRPr="00BF0B8E" w:rsidRDefault="00BB39D2" w:rsidP="001865B8">
            <w:pPr>
              <w:keepNext/>
              <w:jc w:val="right"/>
              <w:rPr>
                <w:rFonts w:ascii="Segoe UI" w:hAnsi="Segoe UI" w:cs="Segoe UI"/>
                <w:color w:val="000000"/>
              </w:rPr>
            </w:pPr>
            <w:r w:rsidRPr="00BF0B8E">
              <w:rPr>
                <w:rFonts w:ascii="Segoe UI" w:hAnsi="Segoe UI" w:cs="Segoe UI"/>
                <w:color w:val="000000"/>
              </w:rPr>
              <w:t>$420,000</w:t>
            </w:r>
          </w:p>
        </w:tc>
      </w:tr>
    </w:tbl>
    <w:p w:rsidR="00D7490D" w:rsidRPr="00596D01" w:rsidRDefault="00D7490D" w:rsidP="00944018">
      <w:pPr>
        <w:pStyle w:val="Heading5"/>
      </w:pPr>
      <w:r w:rsidRPr="00596D01">
        <w:t>Agreed prices</w:t>
      </w:r>
      <w:bookmarkEnd w:id="198"/>
      <w:r w:rsidRPr="00596D01">
        <w:t xml:space="preserve"> </w:t>
      </w:r>
      <w:bookmarkEnd w:id="199"/>
    </w:p>
    <w:p w:rsidR="00D8721E" w:rsidRDefault="007A376D" w:rsidP="001865B8">
      <w:pPr>
        <w:rPr>
          <w:lang w:val="en-GB"/>
        </w:rPr>
      </w:pPr>
      <w:r w:rsidRPr="005A15A1">
        <w:rPr>
          <w:lang w:val="en-GB"/>
        </w:rPr>
        <w:t xml:space="preserve">While </w:t>
      </w:r>
      <w:r w:rsidR="009D733B">
        <w:rPr>
          <w:lang w:val="en-GB"/>
        </w:rPr>
        <w:t xml:space="preserve">residential </w:t>
      </w:r>
      <w:r w:rsidRPr="005A15A1">
        <w:rPr>
          <w:lang w:val="en-GB"/>
        </w:rPr>
        <w:t xml:space="preserve">care providers are required to publish maximum prices, </w:t>
      </w:r>
      <w:r w:rsidR="00401EAA" w:rsidRPr="005A15A1">
        <w:rPr>
          <w:lang w:val="en-GB"/>
        </w:rPr>
        <w:t>each resident can negotiate a</w:t>
      </w:r>
      <w:r w:rsidRPr="005A15A1">
        <w:rPr>
          <w:lang w:val="en-GB"/>
        </w:rPr>
        <w:t xml:space="preserve"> lower actual price. This is the agreed price</w:t>
      </w:r>
      <w:r w:rsidR="00D8721E">
        <w:rPr>
          <w:lang w:val="en-GB"/>
        </w:rPr>
        <w:t>.</w:t>
      </w:r>
    </w:p>
    <w:p w:rsidR="00540B1E" w:rsidRPr="00216BD6" w:rsidRDefault="00E84277" w:rsidP="001865B8">
      <w:pPr>
        <w:rPr>
          <w:lang w:val="en-GB"/>
        </w:rPr>
      </w:pPr>
      <w:r>
        <w:rPr>
          <w:lang w:val="en-GB"/>
        </w:rPr>
        <w:t>Providers are required to report</w:t>
      </w:r>
      <w:r w:rsidR="007A376D" w:rsidRPr="00216BD6">
        <w:rPr>
          <w:lang w:val="en-GB"/>
        </w:rPr>
        <w:t xml:space="preserve"> </w:t>
      </w:r>
      <w:r>
        <w:rPr>
          <w:lang w:val="en-GB"/>
        </w:rPr>
        <w:t>agreed prices</w:t>
      </w:r>
      <w:r w:rsidR="007A376D" w:rsidRPr="00216BD6">
        <w:rPr>
          <w:lang w:val="en-GB"/>
        </w:rPr>
        <w:t xml:space="preserve"> through the Aged Care Entry Record</w:t>
      </w:r>
      <w:r w:rsidR="00275A02">
        <w:rPr>
          <w:lang w:val="en-GB"/>
        </w:rPr>
        <w:t xml:space="preserve">. </w:t>
      </w:r>
      <w:r w:rsidR="00275A02" w:rsidRPr="00216BD6">
        <w:rPr>
          <w:lang w:val="en-GB"/>
        </w:rPr>
        <w:t>Agreed prices are useful in understanding the way the industry is operating, particularly in pricing accommodation</w:t>
      </w:r>
      <w:r w:rsidR="00275A02">
        <w:rPr>
          <w:lang w:val="en-GB"/>
        </w:rPr>
        <w:t>.</w:t>
      </w:r>
      <w:r w:rsidR="007A376D" w:rsidRPr="00216BD6">
        <w:rPr>
          <w:lang w:val="en-GB"/>
        </w:rPr>
        <w:t xml:space="preserve"> Whilst the key findings on agreed prices</w:t>
      </w:r>
      <w:r w:rsidR="00540B1E" w:rsidRPr="00216BD6">
        <w:rPr>
          <w:lang w:val="en-GB"/>
        </w:rPr>
        <w:t xml:space="preserve"> </w:t>
      </w:r>
      <w:r w:rsidR="007A376D" w:rsidRPr="00216BD6">
        <w:rPr>
          <w:lang w:val="en-GB"/>
        </w:rPr>
        <w:t xml:space="preserve">are similar to those </w:t>
      </w:r>
      <w:r w:rsidR="00BF2447">
        <w:rPr>
          <w:lang w:val="en-GB"/>
        </w:rPr>
        <w:t>for</w:t>
      </w:r>
      <w:r w:rsidR="007A376D" w:rsidRPr="00216BD6">
        <w:rPr>
          <w:lang w:val="en-GB"/>
        </w:rPr>
        <w:t xml:space="preserve"> maximum prices, published accommodation prices can be </w:t>
      </w:r>
      <w:r w:rsidR="00073D20">
        <w:rPr>
          <w:lang w:val="en-GB"/>
        </w:rPr>
        <w:t>the average of a variety of room types</w:t>
      </w:r>
      <w:r w:rsidR="007A376D" w:rsidRPr="00216BD6">
        <w:rPr>
          <w:lang w:val="en-GB"/>
        </w:rPr>
        <w:t>, whereas average agreed</w:t>
      </w:r>
      <w:r w:rsidR="009A16D9">
        <w:rPr>
          <w:lang w:val="en-GB"/>
        </w:rPr>
        <w:t xml:space="preserve"> accommodation prices</w:t>
      </w:r>
      <w:r w:rsidR="007A376D" w:rsidRPr="00216BD6">
        <w:rPr>
          <w:lang w:val="en-GB"/>
        </w:rPr>
        <w:t xml:space="preserve"> are based on amounts agreed with individual residents</w:t>
      </w:r>
      <w:r w:rsidR="00073D20">
        <w:rPr>
          <w:lang w:val="en-GB"/>
        </w:rPr>
        <w:t xml:space="preserve"> for a particular room</w:t>
      </w:r>
      <w:r w:rsidR="007A376D" w:rsidRPr="00216BD6">
        <w:rPr>
          <w:lang w:val="en-GB"/>
        </w:rPr>
        <w:t>, and as such</w:t>
      </w:r>
      <w:r w:rsidR="00CB4B14">
        <w:rPr>
          <w:lang w:val="en-GB"/>
        </w:rPr>
        <w:t>,</w:t>
      </w:r>
      <w:r w:rsidR="007A376D" w:rsidRPr="00216BD6">
        <w:rPr>
          <w:lang w:val="en-GB"/>
        </w:rPr>
        <w:t xml:space="preserve"> averages</w:t>
      </w:r>
      <w:r w:rsidR="009B04F3">
        <w:rPr>
          <w:lang w:val="en-GB"/>
        </w:rPr>
        <w:t xml:space="preserve"> for published and agreed prices</w:t>
      </w:r>
      <w:r w:rsidR="007A376D" w:rsidRPr="00216BD6">
        <w:rPr>
          <w:lang w:val="en-GB"/>
        </w:rPr>
        <w:t xml:space="preserve"> cannot be compared on a like-for-like basis.</w:t>
      </w:r>
    </w:p>
    <w:p w:rsidR="00D8721E" w:rsidRDefault="00492BF8" w:rsidP="001865B8">
      <w:pPr>
        <w:rPr>
          <w:lang w:val="en-GB"/>
        </w:rPr>
      </w:pPr>
      <w:r>
        <w:rPr>
          <w:lang w:val="en-GB"/>
        </w:rPr>
        <w:fldChar w:fldCharType="begin"/>
      </w:r>
      <w:r>
        <w:rPr>
          <w:lang w:val="en-GB"/>
        </w:rPr>
        <w:instrText xml:space="preserve"> REF _Ref524429145 \r \h </w:instrText>
      </w:r>
      <w:r>
        <w:rPr>
          <w:lang w:val="en-GB"/>
        </w:rPr>
      </w:r>
      <w:r>
        <w:rPr>
          <w:lang w:val="en-GB"/>
        </w:rPr>
        <w:fldChar w:fldCharType="separate"/>
      </w:r>
      <w:r>
        <w:rPr>
          <w:lang w:val="en-GB"/>
        </w:rPr>
        <w:t>Table 4.3</w:t>
      </w:r>
      <w:r>
        <w:rPr>
          <w:lang w:val="en-GB"/>
        </w:rPr>
        <w:fldChar w:fldCharType="end"/>
      </w:r>
      <w:r>
        <w:rPr>
          <w:lang w:val="en-GB"/>
        </w:rPr>
        <w:t xml:space="preserve"> </w:t>
      </w:r>
      <w:r w:rsidR="00216BD6">
        <w:rPr>
          <w:lang w:val="en-GB"/>
        </w:rPr>
        <w:t>provides a summary of agreed prices</w:t>
      </w:r>
      <w:r w:rsidR="003C2196">
        <w:rPr>
          <w:lang w:val="en-GB"/>
        </w:rPr>
        <w:t xml:space="preserve"> for the 12 months from 1 April</w:t>
      </w:r>
      <w:r w:rsidR="00A261F3">
        <w:rPr>
          <w:lang w:val="en-GB"/>
        </w:rPr>
        <w:t> 201</w:t>
      </w:r>
      <w:r w:rsidR="003C2196">
        <w:rPr>
          <w:lang w:val="en-GB"/>
        </w:rPr>
        <w:t>7 to 31</w:t>
      </w:r>
      <w:r w:rsidR="00BB39D2">
        <w:rPr>
          <w:lang w:val="en-GB"/>
        </w:rPr>
        <w:t> </w:t>
      </w:r>
      <w:r w:rsidR="003C2196">
        <w:rPr>
          <w:lang w:val="en-GB"/>
        </w:rPr>
        <w:t>March</w:t>
      </w:r>
      <w:r w:rsidR="00A261F3">
        <w:rPr>
          <w:lang w:val="en-GB"/>
        </w:rPr>
        <w:t> 201</w:t>
      </w:r>
      <w:r w:rsidR="003C2196">
        <w:rPr>
          <w:lang w:val="en-GB"/>
        </w:rPr>
        <w:t>8</w:t>
      </w:r>
      <w:r w:rsidR="00221830">
        <w:rPr>
          <w:lang w:val="en-GB"/>
        </w:rPr>
        <w:t xml:space="preserve"> </w:t>
      </w:r>
      <w:r w:rsidR="00216BD6">
        <w:rPr>
          <w:lang w:val="en-GB"/>
        </w:rPr>
        <w:t xml:space="preserve">by </w:t>
      </w:r>
      <w:r w:rsidR="00E032B1">
        <w:rPr>
          <w:lang w:val="en-GB"/>
        </w:rPr>
        <w:t xml:space="preserve">provider </w:t>
      </w:r>
      <w:r w:rsidR="00216BD6">
        <w:rPr>
          <w:lang w:val="en-GB"/>
        </w:rPr>
        <w:t>ownership</w:t>
      </w:r>
      <w:r w:rsidR="009A16D9">
        <w:rPr>
          <w:lang w:val="en-GB"/>
        </w:rPr>
        <w:t xml:space="preserve"> type</w:t>
      </w:r>
      <w:r w:rsidR="00221830">
        <w:rPr>
          <w:lang w:val="en-GB"/>
        </w:rPr>
        <w:t xml:space="preserve"> and </w:t>
      </w:r>
      <w:r w:rsidR="00216BD6">
        <w:rPr>
          <w:lang w:val="en-GB"/>
        </w:rPr>
        <w:t>locat</w:t>
      </w:r>
      <w:r w:rsidR="00911DA5">
        <w:rPr>
          <w:lang w:val="en-GB"/>
        </w:rPr>
        <w:t xml:space="preserve">ion, </w:t>
      </w:r>
      <w:r w:rsidR="00216BD6">
        <w:rPr>
          <w:lang w:val="en-GB"/>
        </w:rPr>
        <w:t>shown by average and percentile.</w:t>
      </w:r>
    </w:p>
    <w:p w:rsidR="009B779B" w:rsidRPr="00596D01" w:rsidRDefault="009B779B" w:rsidP="001865B8">
      <w:pPr>
        <w:pStyle w:val="TableTitle"/>
        <w:rPr>
          <w:rStyle w:val="Strong"/>
        </w:rPr>
      </w:pPr>
      <w:bookmarkStart w:id="200" w:name="_Ref524429145"/>
      <w:r w:rsidRPr="00596D01">
        <w:t xml:space="preserve">Average agreed prices, </w:t>
      </w:r>
      <w:r w:rsidR="009D733B" w:rsidRPr="00596D01">
        <w:t>by provider ownership type and location, 1 April</w:t>
      </w:r>
      <w:r w:rsidR="00A261F3" w:rsidRPr="00596D01">
        <w:t> 201</w:t>
      </w:r>
      <w:r w:rsidR="009D733B" w:rsidRPr="00596D01">
        <w:t>7 to 31 March</w:t>
      </w:r>
      <w:r w:rsidR="00A261F3" w:rsidRPr="00596D01">
        <w:t> 201</w:t>
      </w:r>
      <w:r w:rsidR="009D733B" w:rsidRPr="00596D01">
        <w:t>8</w:t>
      </w:r>
      <w:bookmarkEnd w:id="20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067"/>
        <w:gridCol w:w="1241"/>
        <w:gridCol w:w="1515"/>
        <w:gridCol w:w="1101"/>
        <w:gridCol w:w="1101"/>
        <w:gridCol w:w="1240"/>
        <w:gridCol w:w="1363"/>
      </w:tblGrid>
      <w:tr w:rsidR="00BF0B8E" w:rsidRPr="001865B8"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73" w:type="pct"/>
            <w:noWrap/>
            <w:hideMark/>
          </w:tcPr>
          <w:p w:rsidR="00F74A63" w:rsidRPr="001865B8" w:rsidRDefault="00F74A63" w:rsidP="001865B8">
            <w:r w:rsidRPr="001865B8">
              <w:t> </w:t>
            </w:r>
          </w:p>
        </w:tc>
        <w:tc>
          <w:tcPr>
            <w:tcW w:w="644" w:type="pct"/>
            <w:noWrap/>
            <w:hideMark/>
          </w:tcPr>
          <w:p w:rsidR="00F74A63" w:rsidRPr="001865B8" w:rsidRDefault="00F74A63" w:rsidP="001865B8">
            <w:pPr>
              <w:jc w:val="right"/>
            </w:pPr>
            <w:r w:rsidRPr="001865B8">
              <w:t>Average</w:t>
            </w:r>
          </w:p>
        </w:tc>
        <w:tc>
          <w:tcPr>
            <w:tcW w:w="787" w:type="pct"/>
            <w:noWrap/>
            <w:hideMark/>
          </w:tcPr>
          <w:p w:rsidR="00F74A63" w:rsidRPr="001865B8" w:rsidRDefault="00F74A63" w:rsidP="001865B8">
            <w:pPr>
              <w:jc w:val="right"/>
            </w:pPr>
            <w:r w:rsidRPr="001865B8">
              <w:t>5th Percentile</w:t>
            </w:r>
          </w:p>
        </w:tc>
        <w:tc>
          <w:tcPr>
            <w:tcW w:w="572" w:type="pct"/>
            <w:noWrap/>
            <w:hideMark/>
          </w:tcPr>
          <w:p w:rsidR="00F74A63" w:rsidRPr="001865B8" w:rsidRDefault="00F74A63" w:rsidP="001865B8">
            <w:pPr>
              <w:jc w:val="right"/>
            </w:pPr>
            <w:r w:rsidRPr="001865B8">
              <w:t>Quartile 1</w:t>
            </w:r>
          </w:p>
        </w:tc>
        <w:tc>
          <w:tcPr>
            <w:tcW w:w="572" w:type="pct"/>
            <w:noWrap/>
            <w:hideMark/>
          </w:tcPr>
          <w:p w:rsidR="00F74A63" w:rsidRPr="001865B8" w:rsidRDefault="00F74A63" w:rsidP="001865B8">
            <w:pPr>
              <w:jc w:val="right"/>
            </w:pPr>
            <w:r w:rsidRPr="001865B8">
              <w:t>Median</w:t>
            </w:r>
          </w:p>
        </w:tc>
        <w:tc>
          <w:tcPr>
            <w:tcW w:w="644" w:type="pct"/>
            <w:noWrap/>
            <w:hideMark/>
          </w:tcPr>
          <w:p w:rsidR="00F74A63" w:rsidRPr="001865B8" w:rsidRDefault="00F74A63" w:rsidP="001865B8">
            <w:pPr>
              <w:jc w:val="right"/>
            </w:pPr>
            <w:r w:rsidRPr="001865B8">
              <w:t>Quartile 3</w:t>
            </w:r>
          </w:p>
        </w:tc>
        <w:tc>
          <w:tcPr>
            <w:tcW w:w="708" w:type="pct"/>
            <w:noWrap/>
            <w:hideMark/>
          </w:tcPr>
          <w:p w:rsidR="00F74A63" w:rsidRPr="001865B8" w:rsidRDefault="00F74A63" w:rsidP="001865B8">
            <w:pPr>
              <w:jc w:val="right"/>
            </w:pPr>
            <w:r w:rsidRPr="001865B8">
              <w:t xml:space="preserve">95th </w:t>
            </w:r>
            <w:r w:rsidRPr="001865B8">
              <w:br/>
              <w:t>Percentile</w:t>
            </w:r>
          </w:p>
        </w:tc>
      </w:tr>
      <w:tr w:rsidR="00F74A63" w:rsidRPr="001865B8" w:rsidTr="001865B8">
        <w:trPr>
          <w:trHeight w:val="113"/>
        </w:trPr>
        <w:tc>
          <w:tcPr>
            <w:tcW w:w="1073" w:type="pct"/>
            <w:noWrap/>
            <w:hideMark/>
          </w:tcPr>
          <w:p w:rsidR="00F74A63" w:rsidRPr="001865B8" w:rsidRDefault="00F74A63" w:rsidP="001865B8">
            <w:pPr>
              <w:rPr>
                <w:rStyle w:val="Strong"/>
              </w:rPr>
            </w:pPr>
            <w:r w:rsidRPr="001865B8">
              <w:rPr>
                <w:rStyle w:val="Strong"/>
              </w:rPr>
              <w:t>Overall</w:t>
            </w:r>
          </w:p>
        </w:tc>
        <w:tc>
          <w:tcPr>
            <w:tcW w:w="644" w:type="pct"/>
            <w:noWrap/>
            <w:hideMark/>
          </w:tcPr>
          <w:p w:rsidR="00F74A63" w:rsidRPr="001865B8" w:rsidRDefault="00F74A63" w:rsidP="001865B8">
            <w:pPr>
              <w:jc w:val="right"/>
            </w:pPr>
            <w:r w:rsidRPr="001865B8">
              <w:t>$393,000</w:t>
            </w:r>
          </w:p>
        </w:tc>
        <w:tc>
          <w:tcPr>
            <w:tcW w:w="787" w:type="pct"/>
            <w:noWrap/>
            <w:hideMark/>
          </w:tcPr>
          <w:p w:rsidR="00F74A63" w:rsidRPr="001865B8" w:rsidRDefault="00F74A63" w:rsidP="001865B8">
            <w:pPr>
              <w:jc w:val="right"/>
            </w:pPr>
            <w:r w:rsidRPr="001865B8">
              <w:t>$172,000</w:t>
            </w:r>
          </w:p>
        </w:tc>
        <w:tc>
          <w:tcPr>
            <w:tcW w:w="572" w:type="pct"/>
            <w:noWrap/>
            <w:hideMark/>
          </w:tcPr>
          <w:p w:rsidR="00F74A63" w:rsidRPr="001865B8" w:rsidRDefault="00F74A63" w:rsidP="001865B8">
            <w:pPr>
              <w:jc w:val="right"/>
            </w:pPr>
            <w:r w:rsidRPr="001865B8">
              <w:t>$299,000</w:t>
            </w:r>
          </w:p>
        </w:tc>
        <w:tc>
          <w:tcPr>
            <w:tcW w:w="572" w:type="pct"/>
            <w:noWrap/>
            <w:hideMark/>
          </w:tcPr>
          <w:p w:rsidR="00F74A63" w:rsidRPr="001865B8" w:rsidRDefault="00F74A63" w:rsidP="001865B8">
            <w:pPr>
              <w:jc w:val="right"/>
            </w:pPr>
            <w:r w:rsidRPr="001865B8">
              <w:t>$375,000</w:t>
            </w:r>
          </w:p>
        </w:tc>
        <w:tc>
          <w:tcPr>
            <w:tcW w:w="644" w:type="pct"/>
            <w:noWrap/>
            <w:hideMark/>
          </w:tcPr>
          <w:p w:rsidR="00F74A63" w:rsidRPr="001865B8" w:rsidRDefault="00F74A63" w:rsidP="001865B8">
            <w:pPr>
              <w:jc w:val="right"/>
            </w:pPr>
            <w:r w:rsidRPr="001865B8">
              <w:t>$475,000</w:t>
            </w:r>
          </w:p>
        </w:tc>
        <w:tc>
          <w:tcPr>
            <w:tcW w:w="708" w:type="pct"/>
            <w:noWrap/>
            <w:hideMark/>
          </w:tcPr>
          <w:p w:rsidR="00F74A63" w:rsidRPr="001865B8" w:rsidRDefault="00F74A63" w:rsidP="001865B8">
            <w:pPr>
              <w:jc w:val="right"/>
            </w:pPr>
            <w:r w:rsidRPr="001865B8">
              <w:t>$695,000</w:t>
            </w:r>
          </w:p>
        </w:tc>
      </w:tr>
      <w:tr w:rsidR="00F74A63" w:rsidRPr="001865B8" w:rsidTr="00303CD5">
        <w:trPr>
          <w:trHeight w:val="113"/>
        </w:trPr>
        <w:tc>
          <w:tcPr>
            <w:tcW w:w="1073" w:type="pct"/>
            <w:shd w:val="clear" w:color="auto" w:fill="E8E8E8" w:themeFill="background2"/>
            <w:noWrap/>
            <w:hideMark/>
          </w:tcPr>
          <w:p w:rsidR="00F74A63" w:rsidRPr="001865B8" w:rsidRDefault="00F74A63" w:rsidP="001865B8">
            <w:pPr>
              <w:rPr>
                <w:rStyle w:val="Strong"/>
              </w:rPr>
            </w:pPr>
            <w:r w:rsidRPr="001865B8">
              <w:rPr>
                <w:rStyle w:val="Strong"/>
              </w:rPr>
              <w:t>Ownership type</w:t>
            </w:r>
          </w:p>
        </w:tc>
        <w:tc>
          <w:tcPr>
            <w:tcW w:w="644" w:type="pct"/>
            <w:shd w:val="clear" w:color="auto" w:fill="E8E8E8" w:themeFill="background2"/>
            <w:noWrap/>
            <w:hideMark/>
          </w:tcPr>
          <w:p w:rsidR="00F74A63" w:rsidRPr="001865B8" w:rsidRDefault="00F74A63" w:rsidP="001865B8">
            <w:pPr>
              <w:jc w:val="right"/>
            </w:pPr>
            <w:r w:rsidRPr="001865B8">
              <w:t> </w:t>
            </w:r>
          </w:p>
        </w:tc>
        <w:tc>
          <w:tcPr>
            <w:tcW w:w="787" w:type="pct"/>
            <w:shd w:val="clear" w:color="auto" w:fill="E8E8E8" w:themeFill="background2"/>
            <w:noWrap/>
            <w:hideMark/>
          </w:tcPr>
          <w:p w:rsidR="00F74A63" w:rsidRPr="001865B8" w:rsidRDefault="00F74A63" w:rsidP="001865B8">
            <w:pPr>
              <w:jc w:val="right"/>
            </w:pPr>
            <w:r w:rsidRPr="001865B8">
              <w:t> </w:t>
            </w:r>
          </w:p>
        </w:tc>
        <w:tc>
          <w:tcPr>
            <w:tcW w:w="572" w:type="pct"/>
            <w:shd w:val="clear" w:color="auto" w:fill="E8E8E8" w:themeFill="background2"/>
            <w:noWrap/>
            <w:hideMark/>
          </w:tcPr>
          <w:p w:rsidR="00F74A63" w:rsidRPr="001865B8" w:rsidRDefault="00F74A63" w:rsidP="001865B8">
            <w:pPr>
              <w:jc w:val="right"/>
            </w:pPr>
            <w:r w:rsidRPr="001865B8">
              <w:t> </w:t>
            </w:r>
          </w:p>
        </w:tc>
        <w:tc>
          <w:tcPr>
            <w:tcW w:w="572" w:type="pct"/>
            <w:shd w:val="clear" w:color="auto" w:fill="E8E8E8" w:themeFill="background2"/>
            <w:noWrap/>
            <w:hideMark/>
          </w:tcPr>
          <w:p w:rsidR="00F74A63" w:rsidRPr="001865B8" w:rsidRDefault="00F74A63" w:rsidP="001865B8">
            <w:pPr>
              <w:jc w:val="right"/>
            </w:pPr>
            <w:r w:rsidRPr="001865B8">
              <w:t> </w:t>
            </w:r>
          </w:p>
        </w:tc>
        <w:tc>
          <w:tcPr>
            <w:tcW w:w="644" w:type="pct"/>
            <w:shd w:val="clear" w:color="auto" w:fill="E8E8E8" w:themeFill="background2"/>
            <w:noWrap/>
            <w:hideMark/>
          </w:tcPr>
          <w:p w:rsidR="00F74A63" w:rsidRPr="001865B8" w:rsidRDefault="00F74A63" w:rsidP="001865B8">
            <w:pPr>
              <w:jc w:val="right"/>
            </w:pPr>
            <w:r w:rsidRPr="001865B8">
              <w:t> </w:t>
            </w:r>
          </w:p>
        </w:tc>
        <w:tc>
          <w:tcPr>
            <w:tcW w:w="708" w:type="pct"/>
            <w:shd w:val="clear" w:color="auto" w:fill="E8E8E8" w:themeFill="background2"/>
            <w:noWrap/>
            <w:hideMark/>
          </w:tcPr>
          <w:p w:rsidR="00F74A63" w:rsidRPr="001865B8" w:rsidRDefault="00F74A63" w:rsidP="001865B8">
            <w:pPr>
              <w:jc w:val="right"/>
            </w:pPr>
            <w:r w:rsidRPr="001865B8">
              <w:t> </w:t>
            </w:r>
          </w:p>
        </w:tc>
      </w:tr>
      <w:tr w:rsidR="00F74A63" w:rsidRPr="001865B8" w:rsidTr="001865B8">
        <w:trPr>
          <w:trHeight w:val="113"/>
        </w:trPr>
        <w:tc>
          <w:tcPr>
            <w:tcW w:w="1073" w:type="pct"/>
            <w:noWrap/>
            <w:hideMark/>
          </w:tcPr>
          <w:p w:rsidR="00F74A63" w:rsidRPr="001865B8" w:rsidRDefault="00F74A63" w:rsidP="001865B8">
            <w:r w:rsidRPr="001865B8">
              <w:t>Not-for-profit</w:t>
            </w:r>
          </w:p>
        </w:tc>
        <w:tc>
          <w:tcPr>
            <w:tcW w:w="644" w:type="pct"/>
            <w:noWrap/>
            <w:hideMark/>
          </w:tcPr>
          <w:p w:rsidR="00F74A63" w:rsidRPr="001865B8" w:rsidRDefault="00F74A63" w:rsidP="001865B8">
            <w:pPr>
              <w:jc w:val="right"/>
            </w:pPr>
            <w:r w:rsidRPr="001865B8">
              <w:t>$385,000</w:t>
            </w:r>
          </w:p>
        </w:tc>
        <w:tc>
          <w:tcPr>
            <w:tcW w:w="787" w:type="pct"/>
            <w:noWrap/>
            <w:hideMark/>
          </w:tcPr>
          <w:p w:rsidR="00F74A63" w:rsidRPr="001865B8" w:rsidRDefault="00F74A63" w:rsidP="001865B8">
            <w:pPr>
              <w:jc w:val="right"/>
            </w:pPr>
            <w:r w:rsidRPr="001865B8">
              <w:t>$160,000</w:t>
            </w:r>
          </w:p>
        </w:tc>
        <w:tc>
          <w:tcPr>
            <w:tcW w:w="572" w:type="pct"/>
            <w:noWrap/>
            <w:hideMark/>
          </w:tcPr>
          <w:p w:rsidR="00F74A63" w:rsidRPr="001865B8" w:rsidRDefault="00F74A63" w:rsidP="001865B8">
            <w:pPr>
              <w:jc w:val="right"/>
            </w:pPr>
            <w:r w:rsidRPr="001865B8">
              <w:t>$299,000</w:t>
            </w:r>
          </w:p>
        </w:tc>
        <w:tc>
          <w:tcPr>
            <w:tcW w:w="572" w:type="pct"/>
            <w:noWrap/>
            <w:hideMark/>
          </w:tcPr>
          <w:p w:rsidR="00F74A63" w:rsidRPr="001865B8" w:rsidRDefault="00F74A63" w:rsidP="001865B8">
            <w:pPr>
              <w:jc w:val="right"/>
            </w:pPr>
            <w:r w:rsidRPr="001865B8">
              <w:t>$375,000</w:t>
            </w:r>
          </w:p>
        </w:tc>
        <w:tc>
          <w:tcPr>
            <w:tcW w:w="644" w:type="pct"/>
            <w:noWrap/>
            <w:hideMark/>
          </w:tcPr>
          <w:p w:rsidR="00F74A63" w:rsidRPr="001865B8" w:rsidRDefault="00F74A63" w:rsidP="001865B8">
            <w:pPr>
              <w:jc w:val="right"/>
            </w:pPr>
            <w:r w:rsidRPr="001865B8">
              <w:t>$460,000</w:t>
            </w:r>
          </w:p>
        </w:tc>
        <w:tc>
          <w:tcPr>
            <w:tcW w:w="708" w:type="pct"/>
            <w:noWrap/>
            <w:hideMark/>
          </w:tcPr>
          <w:p w:rsidR="00F74A63" w:rsidRPr="001865B8" w:rsidRDefault="00F74A63" w:rsidP="001865B8">
            <w:pPr>
              <w:jc w:val="right"/>
            </w:pPr>
            <w:r w:rsidRPr="001865B8">
              <w:t>$650,000</w:t>
            </w:r>
          </w:p>
        </w:tc>
      </w:tr>
      <w:tr w:rsidR="00F74A63" w:rsidRPr="001865B8" w:rsidTr="001865B8">
        <w:trPr>
          <w:trHeight w:val="113"/>
        </w:trPr>
        <w:tc>
          <w:tcPr>
            <w:tcW w:w="1073" w:type="pct"/>
            <w:noWrap/>
            <w:hideMark/>
          </w:tcPr>
          <w:p w:rsidR="00F74A63" w:rsidRPr="001865B8" w:rsidRDefault="00F74A63" w:rsidP="001865B8">
            <w:r w:rsidRPr="001865B8">
              <w:t>For-profit</w:t>
            </w:r>
          </w:p>
        </w:tc>
        <w:tc>
          <w:tcPr>
            <w:tcW w:w="644" w:type="pct"/>
            <w:noWrap/>
            <w:hideMark/>
          </w:tcPr>
          <w:p w:rsidR="00F74A63" w:rsidRPr="001865B8" w:rsidRDefault="00F74A63" w:rsidP="001865B8">
            <w:pPr>
              <w:jc w:val="right"/>
            </w:pPr>
            <w:r w:rsidRPr="001865B8">
              <w:t>$413,000</w:t>
            </w:r>
          </w:p>
        </w:tc>
        <w:tc>
          <w:tcPr>
            <w:tcW w:w="787" w:type="pct"/>
            <w:noWrap/>
            <w:hideMark/>
          </w:tcPr>
          <w:p w:rsidR="00F74A63" w:rsidRPr="001865B8" w:rsidRDefault="00F74A63" w:rsidP="001865B8">
            <w:pPr>
              <w:jc w:val="right"/>
            </w:pPr>
            <w:r w:rsidRPr="001865B8">
              <w:t>$180,000</w:t>
            </w:r>
          </w:p>
        </w:tc>
        <w:tc>
          <w:tcPr>
            <w:tcW w:w="572" w:type="pct"/>
            <w:noWrap/>
            <w:hideMark/>
          </w:tcPr>
          <w:p w:rsidR="00F74A63" w:rsidRPr="001865B8" w:rsidRDefault="00F74A63" w:rsidP="001865B8">
            <w:pPr>
              <w:jc w:val="right"/>
            </w:pPr>
            <w:r w:rsidRPr="001865B8">
              <w:t>$300,000</w:t>
            </w:r>
          </w:p>
        </w:tc>
        <w:tc>
          <w:tcPr>
            <w:tcW w:w="572" w:type="pct"/>
            <w:noWrap/>
            <w:hideMark/>
          </w:tcPr>
          <w:p w:rsidR="00F74A63" w:rsidRPr="001865B8" w:rsidRDefault="00F74A63" w:rsidP="001865B8">
            <w:pPr>
              <w:jc w:val="right"/>
            </w:pPr>
            <w:r w:rsidRPr="001865B8">
              <w:t>$390,000</w:t>
            </w:r>
          </w:p>
        </w:tc>
        <w:tc>
          <w:tcPr>
            <w:tcW w:w="644" w:type="pct"/>
            <w:noWrap/>
            <w:hideMark/>
          </w:tcPr>
          <w:p w:rsidR="00F74A63" w:rsidRPr="001865B8" w:rsidRDefault="00F74A63" w:rsidP="001865B8">
            <w:pPr>
              <w:jc w:val="right"/>
            </w:pPr>
            <w:r w:rsidRPr="001865B8">
              <w:t>$500,000</w:t>
            </w:r>
          </w:p>
        </w:tc>
        <w:tc>
          <w:tcPr>
            <w:tcW w:w="708" w:type="pct"/>
            <w:noWrap/>
            <w:hideMark/>
          </w:tcPr>
          <w:p w:rsidR="00F74A63" w:rsidRPr="001865B8" w:rsidRDefault="00F74A63" w:rsidP="001865B8">
            <w:pPr>
              <w:jc w:val="right"/>
            </w:pPr>
            <w:r w:rsidRPr="001865B8">
              <w:t>$750,000</w:t>
            </w:r>
          </w:p>
        </w:tc>
      </w:tr>
      <w:tr w:rsidR="00F74A63" w:rsidRPr="001865B8" w:rsidTr="001865B8">
        <w:trPr>
          <w:trHeight w:val="113"/>
        </w:trPr>
        <w:tc>
          <w:tcPr>
            <w:tcW w:w="1073" w:type="pct"/>
            <w:noWrap/>
            <w:hideMark/>
          </w:tcPr>
          <w:p w:rsidR="00F74A63" w:rsidRPr="001865B8" w:rsidRDefault="00F74A63" w:rsidP="001865B8">
            <w:r w:rsidRPr="001865B8">
              <w:t>Government</w:t>
            </w:r>
          </w:p>
        </w:tc>
        <w:tc>
          <w:tcPr>
            <w:tcW w:w="644" w:type="pct"/>
            <w:noWrap/>
            <w:hideMark/>
          </w:tcPr>
          <w:p w:rsidR="00F74A63" w:rsidRPr="001865B8" w:rsidRDefault="00F74A63" w:rsidP="001865B8">
            <w:pPr>
              <w:jc w:val="right"/>
            </w:pPr>
            <w:r w:rsidRPr="001865B8">
              <w:t>$357,000</w:t>
            </w:r>
          </w:p>
        </w:tc>
        <w:tc>
          <w:tcPr>
            <w:tcW w:w="787" w:type="pct"/>
            <w:noWrap/>
            <w:hideMark/>
          </w:tcPr>
          <w:p w:rsidR="00F74A63" w:rsidRPr="001865B8" w:rsidRDefault="00F74A63" w:rsidP="001865B8">
            <w:pPr>
              <w:jc w:val="right"/>
            </w:pPr>
            <w:r w:rsidRPr="001865B8">
              <w:t>$155,000</w:t>
            </w:r>
          </w:p>
        </w:tc>
        <w:tc>
          <w:tcPr>
            <w:tcW w:w="572" w:type="pct"/>
            <w:noWrap/>
            <w:hideMark/>
          </w:tcPr>
          <w:p w:rsidR="00F74A63" w:rsidRPr="001865B8" w:rsidRDefault="00F74A63" w:rsidP="001865B8">
            <w:pPr>
              <w:jc w:val="right"/>
            </w:pPr>
            <w:r w:rsidRPr="001865B8">
              <w:t>$275,000</w:t>
            </w:r>
          </w:p>
        </w:tc>
        <w:tc>
          <w:tcPr>
            <w:tcW w:w="572" w:type="pct"/>
            <w:noWrap/>
            <w:hideMark/>
          </w:tcPr>
          <w:p w:rsidR="00F74A63" w:rsidRPr="001865B8" w:rsidRDefault="00F74A63" w:rsidP="001865B8">
            <w:pPr>
              <w:jc w:val="right"/>
            </w:pPr>
            <w:r w:rsidRPr="001865B8">
              <w:t>$350,000</w:t>
            </w:r>
          </w:p>
        </w:tc>
        <w:tc>
          <w:tcPr>
            <w:tcW w:w="644" w:type="pct"/>
            <w:noWrap/>
            <w:hideMark/>
          </w:tcPr>
          <w:p w:rsidR="00F74A63" w:rsidRPr="001865B8" w:rsidRDefault="00F74A63" w:rsidP="001865B8">
            <w:pPr>
              <w:jc w:val="right"/>
            </w:pPr>
            <w:r w:rsidRPr="001865B8">
              <w:t>$425,000</w:t>
            </w:r>
          </w:p>
        </w:tc>
        <w:tc>
          <w:tcPr>
            <w:tcW w:w="708" w:type="pct"/>
            <w:noWrap/>
            <w:hideMark/>
          </w:tcPr>
          <w:p w:rsidR="00F74A63" w:rsidRPr="001865B8" w:rsidRDefault="00F74A63" w:rsidP="001865B8">
            <w:pPr>
              <w:jc w:val="right"/>
            </w:pPr>
            <w:r w:rsidRPr="001865B8">
              <w:t>$550,000</w:t>
            </w:r>
          </w:p>
        </w:tc>
      </w:tr>
      <w:tr w:rsidR="00F74A63" w:rsidRPr="001865B8" w:rsidTr="00303CD5">
        <w:trPr>
          <w:trHeight w:val="113"/>
        </w:trPr>
        <w:tc>
          <w:tcPr>
            <w:tcW w:w="1073" w:type="pct"/>
            <w:shd w:val="clear" w:color="auto" w:fill="E8E8E8" w:themeFill="background2"/>
            <w:noWrap/>
            <w:hideMark/>
          </w:tcPr>
          <w:p w:rsidR="00F74A63" w:rsidRPr="001865B8" w:rsidRDefault="00E032B1" w:rsidP="001865B8">
            <w:pPr>
              <w:rPr>
                <w:rStyle w:val="Strong"/>
              </w:rPr>
            </w:pPr>
            <w:r w:rsidRPr="001865B8">
              <w:rPr>
                <w:rStyle w:val="Strong"/>
              </w:rPr>
              <w:lastRenderedPageBreak/>
              <w:t>L</w:t>
            </w:r>
            <w:r w:rsidR="00F74A63" w:rsidRPr="001865B8">
              <w:rPr>
                <w:rStyle w:val="Strong"/>
              </w:rPr>
              <w:t>ocation</w:t>
            </w:r>
          </w:p>
        </w:tc>
        <w:tc>
          <w:tcPr>
            <w:tcW w:w="644" w:type="pct"/>
            <w:shd w:val="clear" w:color="auto" w:fill="E8E8E8" w:themeFill="background2"/>
            <w:noWrap/>
            <w:hideMark/>
          </w:tcPr>
          <w:p w:rsidR="00F74A63" w:rsidRPr="001865B8" w:rsidRDefault="00F74A63" w:rsidP="001865B8">
            <w:pPr>
              <w:jc w:val="right"/>
            </w:pPr>
            <w:r w:rsidRPr="001865B8">
              <w:t> </w:t>
            </w:r>
          </w:p>
        </w:tc>
        <w:tc>
          <w:tcPr>
            <w:tcW w:w="787" w:type="pct"/>
            <w:shd w:val="clear" w:color="auto" w:fill="E8E8E8" w:themeFill="background2"/>
            <w:noWrap/>
            <w:hideMark/>
          </w:tcPr>
          <w:p w:rsidR="00F74A63" w:rsidRPr="001865B8" w:rsidRDefault="00F74A63" w:rsidP="001865B8">
            <w:pPr>
              <w:jc w:val="right"/>
            </w:pPr>
            <w:r w:rsidRPr="001865B8">
              <w:t> </w:t>
            </w:r>
          </w:p>
        </w:tc>
        <w:tc>
          <w:tcPr>
            <w:tcW w:w="572" w:type="pct"/>
            <w:shd w:val="clear" w:color="auto" w:fill="E8E8E8" w:themeFill="background2"/>
            <w:noWrap/>
            <w:hideMark/>
          </w:tcPr>
          <w:p w:rsidR="00F74A63" w:rsidRPr="001865B8" w:rsidRDefault="00F74A63" w:rsidP="001865B8">
            <w:pPr>
              <w:jc w:val="right"/>
            </w:pPr>
            <w:r w:rsidRPr="001865B8">
              <w:t> </w:t>
            </w:r>
          </w:p>
        </w:tc>
        <w:tc>
          <w:tcPr>
            <w:tcW w:w="572" w:type="pct"/>
            <w:shd w:val="clear" w:color="auto" w:fill="E8E8E8" w:themeFill="background2"/>
            <w:noWrap/>
            <w:hideMark/>
          </w:tcPr>
          <w:p w:rsidR="00F74A63" w:rsidRPr="001865B8" w:rsidRDefault="00F74A63" w:rsidP="001865B8">
            <w:pPr>
              <w:jc w:val="right"/>
            </w:pPr>
            <w:r w:rsidRPr="001865B8">
              <w:t> </w:t>
            </w:r>
          </w:p>
        </w:tc>
        <w:tc>
          <w:tcPr>
            <w:tcW w:w="644" w:type="pct"/>
            <w:shd w:val="clear" w:color="auto" w:fill="E8E8E8" w:themeFill="background2"/>
            <w:noWrap/>
            <w:hideMark/>
          </w:tcPr>
          <w:p w:rsidR="00F74A63" w:rsidRPr="001865B8" w:rsidRDefault="00F74A63" w:rsidP="001865B8">
            <w:pPr>
              <w:jc w:val="right"/>
            </w:pPr>
            <w:r w:rsidRPr="001865B8">
              <w:t> </w:t>
            </w:r>
          </w:p>
        </w:tc>
        <w:tc>
          <w:tcPr>
            <w:tcW w:w="708" w:type="pct"/>
            <w:shd w:val="clear" w:color="auto" w:fill="E8E8E8" w:themeFill="background2"/>
            <w:noWrap/>
            <w:hideMark/>
          </w:tcPr>
          <w:p w:rsidR="00F74A63" w:rsidRPr="001865B8" w:rsidRDefault="00F74A63" w:rsidP="001865B8">
            <w:pPr>
              <w:jc w:val="right"/>
            </w:pPr>
            <w:r w:rsidRPr="001865B8">
              <w:t> </w:t>
            </w:r>
          </w:p>
        </w:tc>
      </w:tr>
      <w:tr w:rsidR="00F74A63" w:rsidRPr="001865B8" w:rsidTr="001865B8">
        <w:trPr>
          <w:trHeight w:val="113"/>
        </w:trPr>
        <w:tc>
          <w:tcPr>
            <w:tcW w:w="1073" w:type="pct"/>
            <w:noWrap/>
            <w:hideMark/>
          </w:tcPr>
          <w:p w:rsidR="00F74A63" w:rsidRPr="001865B8" w:rsidRDefault="00F74A63" w:rsidP="001865B8">
            <w:r w:rsidRPr="001865B8">
              <w:t>Major cities</w:t>
            </w:r>
          </w:p>
        </w:tc>
        <w:tc>
          <w:tcPr>
            <w:tcW w:w="644" w:type="pct"/>
            <w:noWrap/>
            <w:hideMark/>
          </w:tcPr>
          <w:p w:rsidR="00F74A63" w:rsidRPr="001865B8" w:rsidRDefault="00F74A63" w:rsidP="001865B8">
            <w:pPr>
              <w:jc w:val="right"/>
            </w:pPr>
            <w:r w:rsidRPr="001865B8">
              <w:t>$424,000</w:t>
            </w:r>
          </w:p>
        </w:tc>
        <w:tc>
          <w:tcPr>
            <w:tcW w:w="787" w:type="pct"/>
            <w:noWrap/>
            <w:hideMark/>
          </w:tcPr>
          <w:p w:rsidR="00F74A63" w:rsidRPr="001865B8" w:rsidRDefault="00F74A63" w:rsidP="001865B8">
            <w:pPr>
              <w:jc w:val="right"/>
            </w:pPr>
            <w:r w:rsidRPr="001865B8">
              <w:t>$188,000</w:t>
            </w:r>
          </w:p>
        </w:tc>
        <w:tc>
          <w:tcPr>
            <w:tcW w:w="572" w:type="pct"/>
            <w:noWrap/>
            <w:hideMark/>
          </w:tcPr>
          <w:p w:rsidR="00F74A63" w:rsidRPr="001865B8" w:rsidRDefault="00F74A63" w:rsidP="001865B8">
            <w:pPr>
              <w:jc w:val="right"/>
            </w:pPr>
            <w:r w:rsidRPr="001865B8">
              <w:t>$310,000</w:t>
            </w:r>
          </w:p>
        </w:tc>
        <w:tc>
          <w:tcPr>
            <w:tcW w:w="572" w:type="pct"/>
            <w:noWrap/>
            <w:hideMark/>
          </w:tcPr>
          <w:p w:rsidR="00F74A63" w:rsidRPr="001865B8" w:rsidRDefault="00F74A63" w:rsidP="001865B8">
            <w:pPr>
              <w:jc w:val="right"/>
            </w:pPr>
            <w:r w:rsidRPr="001865B8">
              <w:t>$400,000</w:t>
            </w:r>
          </w:p>
        </w:tc>
        <w:tc>
          <w:tcPr>
            <w:tcW w:w="644" w:type="pct"/>
            <w:noWrap/>
            <w:hideMark/>
          </w:tcPr>
          <w:p w:rsidR="00F74A63" w:rsidRPr="001865B8" w:rsidRDefault="00F74A63" w:rsidP="001865B8">
            <w:pPr>
              <w:jc w:val="right"/>
            </w:pPr>
            <w:r w:rsidRPr="001865B8">
              <w:t>$525,000</w:t>
            </w:r>
          </w:p>
        </w:tc>
        <w:tc>
          <w:tcPr>
            <w:tcW w:w="708" w:type="pct"/>
            <w:noWrap/>
            <w:hideMark/>
          </w:tcPr>
          <w:p w:rsidR="00F74A63" w:rsidRPr="001865B8" w:rsidRDefault="00F74A63" w:rsidP="001865B8">
            <w:pPr>
              <w:jc w:val="right"/>
            </w:pPr>
            <w:r w:rsidRPr="001865B8">
              <w:t>$750,000</w:t>
            </w:r>
          </w:p>
        </w:tc>
      </w:tr>
      <w:tr w:rsidR="00F74A63" w:rsidRPr="001865B8" w:rsidTr="001865B8">
        <w:trPr>
          <w:trHeight w:val="113"/>
        </w:trPr>
        <w:tc>
          <w:tcPr>
            <w:tcW w:w="1073" w:type="pct"/>
            <w:noWrap/>
            <w:hideMark/>
          </w:tcPr>
          <w:p w:rsidR="00F74A63" w:rsidRPr="001865B8" w:rsidRDefault="00F74A63" w:rsidP="001865B8">
            <w:r w:rsidRPr="001865B8">
              <w:t>Regional areas</w:t>
            </w:r>
          </w:p>
        </w:tc>
        <w:tc>
          <w:tcPr>
            <w:tcW w:w="644" w:type="pct"/>
            <w:noWrap/>
            <w:hideMark/>
          </w:tcPr>
          <w:p w:rsidR="00F74A63" w:rsidRPr="001865B8" w:rsidRDefault="00F74A63" w:rsidP="001865B8">
            <w:pPr>
              <w:jc w:val="right"/>
            </w:pPr>
            <w:r w:rsidRPr="001865B8">
              <w:t>$329,000</w:t>
            </w:r>
          </w:p>
        </w:tc>
        <w:tc>
          <w:tcPr>
            <w:tcW w:w="787" w:type="pct"/>
            <w:noWrap/>
            <w:hideMark/>
          </w:tcPr>
          <w:p w:rsidR="00F74A63" w:rsidRPr="001865B8" w:rsidRDefault="00F74A63" w:rsidP="001865B8">
            <w:pPr>
              <w:jc w:val="right"/>
            </w:pPr>
            <w:r w:rsidRPr="001865B8">
              <w:t>$136,000</w:t>
            </w:r>
          </w:p>
        </w:tc>
        <w:tc>
          <w:tcPr>
            <w:tcW w:w="572" w:type="pct"/>
            <w:noWrap/>
            <w:hideMark/>
          </w:tcPr>
          <w:p w:rsidR="00F74A63" w:rsidRPr="001865B8" w:rsidRDefault="00F74A63" w:rsidP="001865B8">
            <w:pPr>
              <w:jc w:val="right"/>
            </w:pPr>
            <w:r w:rsidRPr="001865B8">
              <w:t>$250,000</w:t>
            </w:r>
          </w:p>
        </w:tc>
        <w:tc>
          <w:tcPr>
            <w:tcW w:w="572" w:type="pct"/>
            <w:noWrap/>
            <w:hideMark/>
          </w:tcPr>
          <w:p w:rsidR="00F74A63" w:rsidRPr="001865B8" w:rsidRDefault="00F74A63" w:rsidP="001865B8">
            <w:pPr>
              <w:jc w:val="right"/>
            </w:pPr>
            <w:r w:rsidRPr="001865B8">
              <w:t>$330,000</w:t>
            </w:r>
          </w:p>
        </w:tc>
        <w:tc>
          <w:tcPr>
            <w:tcW w:w="644" w:type="pct"/>
            <w:noWrap/>
            <w:hideMark/>
          </w:tcPr>
          <w:p w:rsidR="00F74A63" w:rsidRPr="001865B8" w:rsidRDefault="00F74A63" w:rsidP="001865B8">
            <w:pPr>
              <w:jc w:val="right"/>
            </w:pPr>
            <w:r w:rsidRPr="001865B8">
              <w:t>$395,000</w:t>
            </w:r>
          </w:p>
        </w:tc>
        <w:tc>
          <w:tcPr>
            <w:tcW w:w="708" w:type="pct"/>
            <w:noWrap/>
            <w:hideMark/>
          </w:tcPr>
          <w:p w:rsidR="00F74A63" w:rsidRPr="001865B8" w:rsidRDefault="00F74A63" w:rsidP="001865B8">
            <w:pPr>
              <w:jc w:val="right"/>
            </w:pPr>
            <w:r w:rsidRPr="001865B8">
              <w:t>$500,000</w:t>
            </w:r>
          </w:p>
        </w:tc>
      </w:tr>
      <w:tr w:rsidR="00F74A63" w:rsidRPr="001865B8" w:rsidTr="001865B8">
        <w:trPr>
          <w:trHeight w:val="113"/>
        </w:trPr>
        <w:tc>
          <w:tcPr>
            <w:tcW w:w="1073" w:type="pct"/>
            <w:noWrap/>
            <w:hideMark/>
          </w:tcPr>
          <w:p w:rsidR="00F74A63" w:rsidRPr="001865B8" w:rsidRDefault="00F74A63" w:rsidP="001865B8">
            <w:r w:rsidRPr="001865B8">
              <w:t>Remote areas</w:t>
            </w:r>
          </w:p>
        </w:tc>
        <w:tc>
          <w:tcPr>
            <w:tcW w:w="644" w:type="pct"/>
            <w:noWrap/>
            <w:hideMark/>
          </w:tcPr>
          <w:p w:rsidR="00F74A63" w:rsidRPr="001865B8" w:rsidRDefault="00F74A63" w:rsidP="001865B8">
            <w:pPr>
              <w:jc w:val="right"/>
            </w:pPr>
            <w:r w:rsidRPr="001865B8">
              <w:t>$279,000</w:t>
            </w:r>
          </w:p>
        </w:tc>
        <w:tc>
          <w:tcPr>
            <w:tcW w:w="787" w:type="pct"/>
            <w:noWrap/>
            <w:hideMark/>
          </w:tcPr>
          <w:p w:rsidR="00F74A63" w:rsidRPr="001865B8" w:rsidRDefault="00F74A63" w:rsidP="001865B8">
            <w:pPr>
              <w:jc w:val="right"/>
            </w:pPr>
            <w:r w:rsidRPr="001865B8">
              <w:t>$150,000</w:t>
            </w:r>
          </w:p>
        </w:tc>
        <w:tc>
          <w:tcPr>
            <w:tcW w:w="572" w:type="pct"/>
            <w:noWrap/>
            <w:hideMark/>
          </w:tcPr>
          <w:p w:rsidR="00F74A63" w:rsidRPr="001865B8" w:rsidRDefault="00F74A63" w:rsidP="001865B8">
            <w:pPr>
              <w:jc w:val="right"/>
            </w:pPr>
            <w:r w:rsidRPr="001865B8">
              <w:t>$235,000</w:t>
            </w:r>
          </w:p>
        </w:tc>
        <w:tc>
          <w:tcPr>
            <w:tcW w:w="572" w:type="pct"/>
            <w:noWrap/>
            <w:hideMark/>
          </w:tcPr>
          <w:p w:rsidR="00F74A63" w:rsidRPr="001865B8" w:rsidRDefault="00F74A63" w:rsidP="001865B8">
            <w:pPr>
              <w:jc w:val="right"/>
            </w:pPr>
            <w:r w:rsidRPr="001865B8">
              <w:t>$300,000</w:t>
            </w:r>
          </w:p>
        </w:tc>
        <w:tc>
          <w:tcPr>
            <w:tcW w:w="644" w:type="pct"/>
            <w:noWrap/>
            <w:hideMark/>
          </w:tcPr>
          <w:p w:rsidR="00F74A63" w:rsidRPr="001865B8" w:rsidRDefault="00F74A63" w:rsidP="001865B8">
            <w:pPr>
              <w:jc w:val="right"/>
            </w:pPr>
            <w:r w:rsidRPr="001865B8">
              <w:t>$320,000</w:t>
            </w:r>
          </w:p>
        </w:tc>
        <w:tc>
          <w:tcPr>
            <w:tcW w:w="708" w:type="pct"/>
            <w:noWrap/>
            <w:hideMark/>
          </w:tcPr>
          <w:p w:rsidR="00F74A63" w:rsidRPr="001865B8" w:rsidRDefault="00F74A63" w:rsidP="001865B8">
            <w:pPr>
              <w:jc w:val="right"/>
            </w:pPr>
            <w:r w:rsidRPr="001865B8">
              <w:t>$420,000</w:t>
            </w:r>
          </w:p>
        </w:tc>
      </w:tr>
    </w:tbl>
    <w:p w:rsidR="00D8721E" w:rsidRDefault="00216BD6" w:rsidP="001865B8">
      <w:pPr>
        <w:rPr>
          <w:lang w:val="en-GB"/>
        </w:rPr>
      </w:pPr>
      <w:r>
        <w:rPr>
          <w:lang w:val="en-GB"/>
        </w:rPr>
        <w:t>The results for average a</w:t>
      </w:r>
      <w:r w:rsidR="00221301">
        <w:rPr>
          <w:lang w:val="en-GB"/>
        </w:rPr>
        <w:t>greed prices are similar to tho</w:t>
      </w:r>
      <w:r>
        <w:rPr>
          <w:lang w:val="en-GB"/>
        </w:rPr>
        <w:t>se fo</w:t>
      </w:r>
      <w:r w:rsidR="00221301">
        <w:rPr>
          <w:lang w:val="en-GB"/>
        </w:rPr>
        <w:t>r average p</w:t>
      </w:r>
      <w:r w:rsidR="00516C41">
        <w:rPr>
          <w:lang w:val="en-GB"/>
        </w:rPr>
        <w:t>ublished prices, generally</w:t>
      </w:r>
      <w:r w:rsidR="00CB4B14">
        <w:rPr>
          <w:lang w:val="en-GB"/>
        </w:rPr>
        <w:t xml:space="preserve"> </w:t>
      </w:r>
      <w:r w:rsidR="00516C41">
        <w:rPr>
          <w:lang w:val="en-GB"/>
        </w:rPr>
        <w:t>between</w:t>
      </w:r>
      <w:r w:rsidR="00C561C6">
        <w:rPr>
          <w:lang w:val="en-GB"/>
        </w:rPr>
        <w:t xml:space="preserve"> $10,000-$3</w:t>
      </w:r>
      <w:r w:rsidR="009A16D9">
        <w:rPr>
          <w:lang w:val="en-GB"/>
        </w:rPr>
        <w:t>0</w:t>
      </w:r>
      <w:r w:rsidR="00A31C17">
        <w:rPr>
          <w:lang w:val="en-GB"/>
        </w:rPr>
        <w:t xml:space="preserve">,000 </w:t>
      </w:r>
      <w:r w:rsidR="00A827FD">
        <w:rPr>
          <w:lang w:val="en-GB"/>
        </w:rPr>
        <w:t>lower.</w:t>
      </w:r>
      <w:r w:rsidR="00275A02">
        <w:rPr>
          <w:lang w:val="en-GB"/>
        </w:rPr>
        <w:t xml:space="preserve"> </w:t>
      </w:r>
      <w:r w:rsidR="00CC550F">
        <w:rPr>
          <w:lang w:val="en-GB"/>
        </w:rPr>
        <w:t>As was the case last year, f</w:t>
      </w:r>
      <w:r w:rsidR="00275A02">
        <w:rPr>
          <w:lang w:val="en-GB"/>
        </w:rPr>
        <w:t>or</w:t>
      </w:r>
      <w:r w:rsidR="00275A02">
        <w:rPr>
          <w:lang w:val="en-GB"/>
        </w:rPr>
        <w:noBreakHyphen/>
      </w:r>
      <w:r>
        <w:rPr>
          <w:lang w:val="en-GB"/>
        </w:rPr>
        <w:t>profit providers recorded the highest ag</w:t>
      </w:r>
      <w:r w:rsidR="00221301">
        <w:rPr>
          <w:lang w:val="en-GB"/>
        </w:rPr>
        <w:t>reed prices followed by not</w:t>
      </w:r>
      <w:r w:rsidR="00221301">
        <w:rPr>
          <w:lang w:val="en-GB"/>
        </w:rPr>
        <w:noBreakHyphen/>
        <w:t>for</w:t>
      </w:r>
      <w:r w:rsidR="00221301">
        <w:rPr>
          <w:lang w:val="en-GB"/>
        </w:rPr>
        <w:noBreakHyphen/>
      </w:r>
      <w:r>
        <w:rPr>
          <w:lang w:val="en-GB"/>
        </w:rPr>
        <w:t xml:space="preserve">profit and government providers. Major cities </w:t>
      </w:r>
      <w:r w:rsidR="00CC550F">
        <w:rPr>
          <w:lang w:val="en-GB"/>
        </w:rPr>
        <w:t>continued to have</w:t>
      </w:r>
      <w:r>
        <w:rPr>
          <w:lang w:val="en-GB"/>
        </w:rPr>
        <w:t xml:space="preserve"> significantly high</w:t>
      </w:r>
      <w:r w:rsidR="00275A02">
        <w:rPr>
          <w:lang w:val="en-GB"/>
        </w:rPr>
        <w:t>er</w:t>
      </w:r>
      <w:r>
        <w:rPr>
          <w:lang w:val="en-GB"/>
        </w:rPr>
        <w:t xml:space="preserve"> agreed prices than regional and remote areas</w:t>
      </w:r>
      <w:r w:rsidR="00D8721E">
        <w:rPr>
          <w:lang w:val="en-GB"/>
        </w:rPr>
        <w:t>.</w:t>
      </w:r>
    </w:p>
    <w:p w:rsidR="00EB1D4F" w:rsidRPr="00EB1D4F" w:rsidRDefault="00EB1D4F" w:rsidP="001865B8">
      <w:pPr>
        <w:rPr>
          <w:lang w:val="en-GB"/>
        </w:rPr>
      </w:pPr>
      <w:r w:rsidRPr="00EB1D4F">
        <w:rPr>
          <w:lang w:val="en-GB"/>
        </w:rPr>
        <w:t>There is no data available to determine the extent to which consumers may be actively negotiating lower accommodation prices. However, given that the average agreed price is lower than the average published price, this suggests that some consumers are successfully negotiating lower prices in some instances.</w:t>
      </w:r>
    </w:p>
    <w:p w:rsidR="00D8721E" w:rsidRDefault="00E81DCA" w:rsidP="001865B8">
      <w:pPr>
        <w:rPr>
          <w:lang w:val="en-GB"/>
        </w:rPr>
      </w:pPr>
      <w:r>
        <w:rPr>
          <w:lang w:val="en-GB"/>
        </w:rPr>
        <w:t>It</w:t>
      </w:r>
      <w:r w:rsidR="00EB1D4F" w:rsidRPr="00EB1D4F">
        <w:rPr>
          <w:lang w:val="en-GB"/>
        </w:rPr>
        <w:t xml:space="preserve"> should be noted</w:t>
      </w:r>
      <w:r>
        <w:rPr>
          <w:lang w:val="en-GB"/>
        </w:rPr>
        <w:t xml:space="preserve"> however</w:t>
      </w:r>
      <w:r w:rsidR="00EB1D4F" w:rsidRPr="00EB1D4F">
        <w:rPr>
          <w:lang w:val="en-GB"/>
        </w:rPr>
        <w:t xml:space="preserve"> that published prices are maximum prices, so some providers may publish higher prices by default in anticipation of charging a range of potential prices below this maximum.</w:t>
      </w:r>
    </w:p>
    <w:p w:rsidR="00677132" w:rsidRPr="00596D01" w:rsidRDefault="00677132" w:rsidP="001865B8">
      <w:pPr>
        <w:pStyle w:val="Heading2Numbered"/>
      </w:pPr>
      <w:bookmarkStart w:id="201" w:name="_Toc487702542"/>
      <w:bookmarkStart w:id="202" w:name="_Toc487702894"/>
      <w:bookmarkStart w:id="203" w:name="_Toc487703392"/>
      <w:bookmarkStart w:id="204" w:name="_Toc487703586"/>
      <w:bookmarkStart w:id="205" w:name="_Toc524424709"/>
      <w:r w:rsidRPr="00596D01">
        <w:t>Means testing</w:t>
      </w:r>
      <w:r w:rsidR="0039623C" w:rsidRPr="00596D01">
        <w:t xml:space="preserve"> and sustainability</w:t>
      </w:r>
      <w:bookmarkEnd w:id="201"/>
      <w:bookmarkEnd w:id="202"/>
      <w:bookmarkEnd w:id="203"/>
      <w:bookmarkEnd w:id="204"/>
      <w:bookmarkEnd w:id="205"/>
    </w:p>
    <w:p w:rsidR="0039623C" w:rsidRDefault="007F36A1" w:rsidP="001865B8">
      <w:r w:rsidRPr="007F36A1">
        <w:t xml:space="preserve">On </w:t>
      </w:r>
      <w:r w:rsidR="00EB039B">
        <w:t>1 July</w:t>
      </w:r>
      <w:r w:rsidR="00A261F3">
        <w:t> 201</w:t>
      </w:r>
      <w:r w:rsidR="00031ADB">
        <w:t>4</w:t>
      </w:r>
      <w:r w:rsidR="003B796B">
        <w:t>,</w:t>
      </w:r>
      <w:r w:rsidRPr="007F36A1">
        <w:t xml:space="preserve"> new means testing arrangements were introduced in</w:t>
      </w:r>
      <w:r>
        <w:t xml:space="preserve"> </w:t>
      </w:r>
      <w:r w:rsidR="007713A2">
        <w:t xml:space="preserve">both </w:t>
      </w:r>
      <w:r>
        <w:t xml:space="preserve">home care and residential care. </w:t>
      </w:r>
      <w:r w:rsidR="009D3A21">
        <w:t xml:space="preserve">One of the intentions of these reforms was to improve the long term sustainability of aged </w:t>
      </w:r>
      <w:r w:rsidR="00717503">
        <w:t>c</w:t>
      </w:r>
      <w:r w:rsidR="009D3A21">
        <w:t>are</w:t>
      </w:r>
      <w:r w:rsidR="00717503">
        <w:t xml:space="preserve"> in terms of affordability for</w:t>
      </w:r>
      <w:r w:rsidR="009D3A21">
        <w:t xml:space="preserve"> Government and taxpayers.</w:t>
      </w:r>
    </w:p>
    <w:p w:rsidR="00D8721E" w:rsidRDefault="007F36A1" w:rsidP="001865B8">
      <w:r>
        <w:t xml:space="preserve">In home care, </w:t>
      </w:r>
      <w:r w:rsidR="00C561C6">
        <w:t>an</w:t>
      </w:r>
      <w:r w:rsidR="0039623C">
        <w:t xml:space="preserve"> income test</w:t>
      </w:r>
      <w:r>
        <w:t xml:space="preserve"> with subsidy reduction was introduced</w:t>
      </w:r>
      <w:r w:rsidR="0039623C">
        <w:t xml:space="preserve">, and in residential care a new means test that combined formerly separate income and assets </w:t>
      </w:r>
      <w:r w:rsidR="009A16D9">
        <w:t xml:space="preserve">tests </w:t>
      </w:r>
      <w:r w:rsidR="0039623C">
        <w:t>came into effect</w:t>
      </w:r>
      <w:r>
        <w:t>.</w:t>
      </w:r>
      <w:r w:rsidR="00E81DCA">
        <w:t xml:space="preserve"> Both the income test in home c</w:t>
      </w:r>
      <w:r w:rsidR="00C561C6">
        <w:t>are and the means test in residential care are administered by the Department of Human Services</w:t>
      </w:r>
      <w:r w:rsidR="00D8721E">
        <w:t>.</w:t>
      </w:r>
    </w:p>
    <w:p w:rsidR="0039623C" w:rsidRDefault="0039623C" w:rsidP="001865B8">
      <w:r>
        <w:t>Annual and lifetime caps were also introduced for both home care and residential care to limit the amount consumers can be asked to contribute each year</w:t>
      </w:r>
      <w:r w:rsidR="009D733B">
        <w:t>,</w:t>
      </w:r>
      <w:r>
        <w:t xml:space="preserve"> and over the</w:t>
      </w:r>
      <w:r w:rsidR="00C561C6">
        <w:t>ir</w:t>
      </w:r>
      <w:r>
        <w:t xml:space="preserve"> lifetime</w:t>
      </w:r>
      <w:r w:rsidR="009D733B">
        <w:t>,</w:t>
      </w:r>
      <w:r>
        <w:t xml:space="preserve"> towards their care costs.</w:t>
      </w:r>
      <w:r w:rsidR="00E81DCA" w:rsidRPr="00E81DCA">
        <w:t xml:space="preserve"> </w:t>
      </w:r>
      <w:r w:rsidR="00E81DCA">
        <w:t>The caps do not apply for fees paid under the Co</w:t>
      </w:r>
      <w:r w:rsidR="00D02324">
        <w:t>mmonwealth Home Support Program, or to home care packages that commenced before 1 July</w:t>
      </w:r>
      <w:r w:rsidR="00A261F3">
        <w:t> 201</w:t>
      </w:r>
      <w:r w:rsidR="00D02324">
        <w:t>4 or permanent residents who were in residential care before 1 July</w:t>
      </w:r>
      <w:r w:rsidR="00A261F3">
        <w:t> 201</w:t>
      </w:r>
      <w:r w:rsidR="00D02324">
        <w:t>4 and who are still under the pre</w:t>
      </w:r>
      <w:r w:rsidR="00D8721E">
        <w:t>–1</w:t>
      </w:r>
      <w:r w:rsidR="00D02324">
        <w:t> July</w:t>
      </w:r>
      <w:r w:rsidR="00A261F3">
        <w:t> 201</w:t>
      </w:r>
      <w:r w:rsidR="00D02324">
        <w:t>4 rules.</w:t>
      </w:r>
    </w:p>
    <w:p w:rsidR="00D8721E" w:rsidRDefault="00D86FEA" w:rsidP="001865B8">
      <w:r>
        <w:t>Basic daily fees continued to apply in both home care and residential care as well as fees for extra and additional services</w:t>
      </w:r>
      <w:r w:rsidR="00B821C2">
        <w:rPr>
          <w:rStyle w:val="FootnoteReference"/>
          <w:rFonts w:cs="Segoe UI"/>
        </w:rPr>
        <w:footnoteReference w:id="22"/>
      </w:r>
      <w:r w:rsidR="00221301">
        <w:t>, all of which are payable by the consumer.</w:t>
      </w:r>
    </w:p>
    <w:p w:rsidR="00D86FEA" w:rsidRPr="00596D01" w:rsidRDefault="00D86FEA" w:rsidP="001865B8">
      <w:pPr>
        <w:pStyle w:val="Heading3Numbered"/>
      </w:pPr>
      <w:bookmarkStart w:id="206" w:name="_Toc524424710"/>
      <w:r w:rsidRPr="00596D01">
        <w:t>Home care</w:t>
      </w:r>
      <w:bookmarkEnd w:id="206"/>
    </w:p>
    <w:p w:rsidR="00CA14D5" w:rsidRDefault="00F53A10" w:rsidP="001865B8">
      <w:r>
        <w:t>In home c</w:t>
      </w:r>
      <w:r w:rsidR="00EE5B9D">
        <w:t xml:space="preserve">are, prior to </w:t>
      </w:r>
      <w:r w:rsidR="00EB039B">
        <w:t>1 July</w:t>
      </w:r>
      <w:r w:rsidR="00A261F3">
        <w:t> 201</w:t>
      </w:r>
      <w:r>
        <w:t>4,</w:t>
      </w:r>
      <w:r w:rsidRPr="00D86FEA">
        <w:t xml:space="preserve"> there was no reduction in subsidy paid by Government</w:t>
      </w:r>
      <w:r>
        <w:t xml:space="preserve"> if the provider did not charge the income tested fee. </w:t>
      </w:r>
      <w:r w:rsidR="00CA14D5">
        <w:t xml:space="preserve">If collected, any fee would be additional to the value of the package. </w:t>
      </w:r>
      <w:r w:rsidR="00D86FEA" w:rsidRPr="00D86FEA">
        <w:t xml:space="preserve">ACFA has previously noted that many providers therefore did </w:t>
      </w:r>
      <w:r w:rsidR="008B7B72">
        <w:t>not charge</w:t>
      </w:r>
      <w:r w:rsidR="00D86FEA">
        <w:t xml:space="preserve"> the fee.</w:t>
      </w:r>
    </w:p>
    <w:p w:rsidR="00EC0D87" w:rsidRPr="00596D01" w:rsidRDefault="00EC0D87" w:rsidP="001865B8">
      <w:pPr>
        <w:rPr>
          <w:rStyle w:val="Strong"/>
        </w:rPr>
      </w:pPr>
      <w:r>
        <w:t>Under the post 1 July</w:t>
      </w:r>
      <w:r w:rsidR="00A261F3">
        <w:t> 201</w:t>
      </w:r>
      <w:r>
        <w:t>4 income testing arrangements, the amount of Government subsidy is reduced by the amount of the income tested fee and providers are still required to provide services to the full value of the package should they choose not to charge this fee.</w:t>
      </w:r>
    </w:p>
    <w:p w:rsidR="00BB372F" w:rsidRPr="00BB372F" w:rsidRDefault="00BB372F" w:rsidP="001865B8">
      <w:r w:rsidRPr="00BB372F">
        <w:t xml:space="preserve">All consumers (both pre and post </w:t>
      </w:r>
      <w:r w:rsidR="00EB039B">
        <w:t>1 July</w:t>
      </w:r>
      <w:r w:rsidR="00A261F3">
        <w:t> 201</w:t>
      </w:r>
      <w:r w:rsidRPr="00BB372F">
        <w:t>4) can be asked to pay a basic daily fee of up to 17.</w:t>
      </w:r>
      <w:r w:rsidR="009C307B">
        <w:t>5</w:t>
      </w:r>
      <w:r w:rsidR="00A261F3">
        <w:t> per cent</w:t>
      </w:r>
      <w:r w:rsidRPr="00BB372F">
        <w:t xml:space="preserve"> of the single basic age pension (currently $10.32 a day/$3,767 per annum). This fee is not subject to an income or assets test and does not impact on the Government subsidy. Providers are only required to provide services in relation to the basic daily fee if they actually charge the basic daily fee.</w:t>
      </w:r>
    </w:p>
    <w:p w:rsidR="00D8721E" w:rsidRDefault="007171DD" w:rsidP="001865B8">
      <w:r>
        <w:lastRenderedPageBreak/>
        <w:t xml:space="preserve">One of the aspects ACFA </w:t>
      </w:r>
      <w:r w:rsidR="00A13416">
        <w:t>was</w:t>
      </w:r>
      <w:r>
        <w:t xml:space="preserve"> asked </w:t>
      </w:r>
      <w:r w:rsidR="00DE7206">
        <w:t xml:space="preserve">to monitor </w:t>
      </w:r>
      <w:r w:rsidR="0056588D">
        <w:t xml:space="preserve">following the reforms of </w:t>
      </w:r>
      <w:r w:rsidR="00EB039B">
        <w:t>1 July</w:t>
      </w:r>
      <w:r w:rsidR="00A261F3">
        <w:t> 201</w:t>
      </w:r>
      <w:r w:rsidR="0056588D">
        <w:t>4</w:t>
      </w:r>
      <w:r w:rsidR="00F06F0A">
        <w:t xml:space="preserve"> </w:t>
      </w:r>
      <w:r w:rsidR="00F76A10">
        <w:t>was</w:t>
      </w:r>
      <w:r w:rsidR="00DE7206">
        <w:t xml:space="preserve"> whether</w:t>
      </w:r>
      <w:r>
        <w:t xml:space="preserve"> access to aged care </w:t>
      </w:r>
      <w:r w:rsidR="0056588D">
        <w:t>was affected.</w:t>
      </w:r>
      <w:r w:rsidR="00BF2447">
        <w:t xml:space="preserve"> In last year’s report, </w:t>
      </w:r>
      <w:r w:rsidR="00F06F0A">
        <w:t xml:space="preserve">ACFA noted that the </w:t>
      </w:r>
      <w:r>
        <w:t>number of part pensioners and self-funded retirees accessing lower level home care packages</w:t>
      </w:r>
      <w:r w:rsidR="005C654A">
        <w:t xml:space="preserve"> </w:t>
      </w:r>
      <w:r w:rsidR="00F06F0A">
        <w:t>was</w:t>
      </w:r>
      <w:r w:rsidR="005C654A">
        <w:t xml:space="preserve"> </w:t>
      </w:r>
      <w:r w:rsidR="0056588D">
        <w:t xml:space="preserve">significantly </w:t>
      </w:r>
      <w:r w:rsidR="005C654A">
        <w:t>lower</w:t>
      </w:r>
      <w:r w:rsidR="00BA2E75">
        <w:t xml:space="preserve"> when compared with</w:t>
      </w:r>
      <w:r w:rsidR="0056588D">
        <w:t xml:space="preserve"> higher level packages.</w:t>
      </w:r>
      <w:r w:rsidR="00F06F0A">
        <w:t xml:space="preserve"> This trend has continued i</w:t>
      </w:r>
      <w:r w:rsidR="00C30359">
        <w:t>n</w:t>
      </w:r>
      <w:r w:rsidR="00A261F3">
        <w:t> 201</w:t>
      </w:r>
      <w:r w:rsidR="00C30359">
        <w:t>6</w:t>
      </w:r>
      <w:r w:rsidR="00D8721E">
        <w:t>–1</w:t>
      </w:r>
      <w:r w:rsidR="00C30359">
        <w:t xml:space="preserve">7 as shown in </w:t>
      </w:r>
      <w:r w:rsidR="00492BF8">
        <w:fldChar w:fldCharType="begin"/>
      </w:r>
      <w:r w:rsidR="00492BF8">
        <w:instrText xml:space="preserve"> REF _Ref524429158 \r \h </w:instrText>
      </w:r>
      <w:r w:rsidR="00492BF8">
        <w:fldChar w:fldCharType="separate"/>
      </w:r>
      <w:r w:rsidR="00492BF8">
        <w:t>Table 4.4</w:t>
      </w:r>
      <w:r w:rsidR="00492BF8">
        <w:fldChar w:fldCharType="end"/>
      </w:r>
      <w:r w:rsidR="00492BF8">
        <w:t xml:space="preserve">. </w:t>
      </w:r>
      <w:r w:rsidR="001B56F7">
        <w:t>Twenty</w:t>
      </w:r>
      <w:r w:rsidR="001B56F7">
        <w:noBreakHyphen/>
        <w:t>nine</w:t>
      </w:r>
      <w:r w:rsidR="00A261F3">
        <w:t> per cent</w:t>
      </w:r>
      <w:r w:rsidR="001B56F7">
        <w:t xml:space="preserve"> of level </w:t>
      </w:r>
      <w:r w:rsidR="004D23DF">
        <w:t>4</w:t>
      </w:r>
      <w:r w:rsidR="001B56F7">
        <w:t xml:space="preserve"> package holders were part pensioners or self</w:t>
      </w:r>
      <w:r w:rsidR="001B56F7">
        <w:noBreakHyphen/>
        <w:t>funded retirees in</w:t>
      </w:r>
      <w:r w:rsidR="00A261F3">
        <w:t> 201</w:t>
      </w:r>
      <w:r w:rsidR="001B56F7">
        <w:t>6</w:t>
      </w:r>
      <w:r w:rsidR="00D8721E">
        <w:t>–1</w:t>
      </w:r>
      <w:r w:rsidR="001B56F7">
        <w:t>7, w</w:t>
      </w:r>
      <w:r w:rsidR="0039161F">
        <w:t>ith t</w:t>
      </w:r>
      <w:r w:rsidR="00AF03F1" w:rsidRPr="003C2346">
        <w:t xml:space="preserve">he proportion </w:t>
      </w:r>
      <w:r w:rsidR="001B56F7">
        <w:t xml:space="preserve">decreasing significantly </w:t>
      </w:r>
      <w:r w:rsidR="00AF03F1" w:rsidRPr="003C2346">
        <w:t xml:space="preserve">with each </w:t>
      </w:r>
      <w:r w:rsidR="004D23DF">
        <w:t>lower</w:t>
      </w:r>
      <w:r w:rsidR="00AF03F1" w:rsidRPr="003C2346">
        <w:t xml:space="preserve"> level</w:t>
      </w:r>
      <w:r w:rsidR="009D733B">
        <w:t xml:space="preserve"> package</w:t>
      </w:r>
      <w:r w:rsidR="00AF03F1" w:rsidRPr="003C2346">
        <w:t>.</w:t>
      </w:r>
    </w:p>
    <w:p w:rsidR="00634E78" w:rsidRPr="00596D01" w:rsidRDefault="00634E78" w:rsidP="001865B8">
      <w:pPr>
        <w:pStyle w:val="TableTitle"/>
        <w:rPr>
          <w:rStyle w:val="Strong"/>
        </w:rPr>
      </w:pPr>
      <w:bookmarkStart w:id="207" w:name="_Ref524429158"/>
      <w:r w:rsidRPr="00596D01">
        <w:t xml:space="preserve">Proportion of consumers who are </w:t>
      </w:r>
      <w:r w:rsidR="006534FE" w:rsidRPr="00596D01">
        <w:t>part</w:t>
      </w:r>
      <w:r w:rsidRPr="00596D01">
        <w:t xml:space="preserve"> pensioners</w:t>
      </w:r>
      <w:r w:rsidR="006534FE" w:rsidRPr="00596D01">
        <w:t xml:space="preserve"> or self</w:t>
      </w:r>
      <w:r w:rsidR="006534FE" w:rsidRPr="00596D01">
        <w:noBreakHyphen/>
        <w:t>funded retirees</w:t>
      </w:r>
      <w:r w:rsidR="00CA3B83" w:rsidRPr="00596D01">
        <w:t>,</w:t>
      </w:r>
      <w:r w:rsidR="00C67407">
        <w:t xml:space="preserve"> </w:t>
      </w:r>
      <w:r w:rsidR="00C67407">
        <w:br/>
      </w:r>
      <w:r w:rsidR="00A261F3" w:rsidRPr="00596D01">
        <w:t>201</w:t>
      </w:r>
      <w:r w:rsidR="00A1140C" w:rsidRPr="00596D01">
        <w:t>5</w:t>
      </w:r>
      <w:r w:rsidR="00D8721E" w:rsidRPr="00596D01">
        <w:t>–1</w:t>
      </w:r>
      <w:r w:rsidR="006534FE" w:rsidRPr="00596D01">
        <w:t>6 </w:t>
      </w:r>
      <w:r w:rsidR="00A1140C" w:rsidRPr="00596D01">
        <w:t>and</w:t>
      </w:r>
      <w:r w:rsidR="00A261F3" w:rsidRPr="00596D01">
        <w:t> 201</w:t>
      </w:r>
      <w:r w:rsidRPr="00596D01">
        <w:t>6</w:t>
      </w:r>
      <w:r w:rsidR="00D8721E" w:rsidRPr="00596D01">
        <w:t>–1</w:t>
      </w:r>
      <w:r w:rsidRPr="00596D01">
        <w:t>7</w:t>
      </w:r>
      <w:bookmarkEnd w:id="207"/>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222"/>
        <w:gridCol w:w="3851"/>
        <w:gridCol w:w="3555"/>
      </w:tblGrid>
      <w:tr w:rsidR="0039161F" w:rsidTr="00303CD5">
        <w:trPr>
          <w:cnfStyle w:val="100000000000" w:firstRow="1" w:lastRow="0" w:firstColumn="0" w:lastColumn="0" w:oddVBand="0" w:evenVBand="0" w:oddHBand="0" w:evenHBand="0" w:firstRowFirstColumn="0" w:firstRowLastColumn="0" w:lastRowFirstColumn="0" w:lastRowLastColumn="0"/>
          <w:tblHeader/>
        </w:trPr>
        <w:tc>
          <w:tcPr>
            <w:tcW w:w="1154" w:type="pct"/>
          </w:tcPr>
          <w:p w:rsidR="0039161F" w:rsidRDefault="0039161F" w:rsidP="001865B8">
            <w:pPr>
              <w:rPr>
                <w:rFonts w:ascii="Segoe UI" w:hAnsi="Segoe UI" w:cs="Segoe UI"/>
                <w:color w:val="FF0000"/>
              </w:rPr>
            </w:pPr>
            <w:r w:rsidRPr="00596D01">
              <w:t xml:space="preserve">Package </w:t>
            </w:r>
            <w:r w:rsidR="00597FD2" w:rsidRPr="00596D01">
              <w:t>l</w:t>
            </w:r>
            <w:r w:rsidRPr="00596D01">
              <w:t>evel</w:t>
            </w:r>
          </w:p>
        </w:tc>
        <w:tc>
          <w:tcPr>
            <w:tcW w:w="2000" w:type="pct"/>
          </w:tcPr>
          <w:p w:rsidR="0039161F" w:rsidRPr="0039161F" w:rsidRDefault="0039161F" w:rsidP="001865B8">
            <w:pPr>
              <w:jc w:val="center"/>
              <w:rPr>
                <w:rFonts w:ascii="Segoe UI" w:hAnsi="Segoe UI" w:cs="Segoe UI"/>
              </w:rPr>
            </w:pPr>
            <w:r w:rsidRPr="00596D01">
              <w:t xml:space="preserve">Proportion of consumers who were </w:t>
            </w:r>
            <w:r w:rsidR="001B56F7" w:rsidRPr="00596D01">
              <w:t>part</w:t>
            </w:r>
            <w:r w:rsidRPr="00596D01">
              <w:t xml:space="preserve"> pensioners</w:t>
            </w:r>
            <w:r w:rsidR="001B56F7" w:rsidRPr="00596D01">
              <w:t xml:space="preserve"> or self</w:t>
            </w:r>
            <w:r w:rsidR="001B56F7" w:rsidRPr="00596D01">
              <w:noBreakHyphen/>
              <w:t>funded retirees,</w:t>
            </w:r>
            <w:r w:rsidR="001865B8">
              <w:br/>
            </w:r>
            <w:r w:rsidR="00A261F3" w:rsidRPr="00596D01">
              <w:t>201</w:t>
            </w:r>
            <w:r w:rsidRPr="00596D01">
              <w:t>5</w:t>
            </w:r>
            <w:r w:rsidR="00D8721E" w:rsidRPr="00596D01">
              <w:t>–1</w:t>
            </w:r>
            <w:r w:rsidRPr="00596D01">
              <w:t>6</w:t>
            </w:r>
          </w:p>
        </w:tc>
        <w:tc>
          <w:tcPr>
            <w:tcW w:w="1846" w:type="pct"/>
          </w:tcPr>
          <w:p w:rsidR="0039161F" w:rsidRPr="00596D01" w:rsidRDefault="0039161F" w:rsidP="001865B8">
            <w:pPr>
              <w:jc w:val="center"/>
            </w:pPr>
            <w:r w:rsidRPr="00596D01">
              <w:t xml:space="preserve">Proportion of consumers who </w:t>
            </w:r>
            <w:r w:rsidR="001B56F7" w:rsidRPr="00596D01">
              <w:t>were part pensioners or self</w:t>
            </w:r>
            <w:r w:rsidR="001B56F7" w:rsidRPr="00596D01">
              <w:noBreakHyphen/>
              <w:t>funded retirees,</w:t>
            </w:r>
            <w:r w:rsidR="00A261F3" w:rsidRPr="00596D01">
              <w:t> 201</w:t>
            </w:r>
            <w:r w:rsidRPr="00596D01">
              <w:t>6</w:t>
            </w:r>
            <w:r w:rsidR="00D8721E" w:rsidRPr="00596D01">
              <w:t>–1</w:t>
            </w:r>
            <w:r w:rsidRPr="00596D01">
              <w:t>7</w:t>
            </w:r>
          </w:p>
        </w:tc>
      </w:tr>
      <w:tr w:rsidR="0039161F" w:rsidTr="001865B8">
        <w:tc>
          <w:tcPr>
            <w:tcW w:w="1154" w:type="pct"/>
          </w:tcPr>
          <w:p w:rsidR="0039161F" w:rsidRPr="00DC71DE" w:rsidRDefault="0039161F" w:rsidP="001865B8">
            <w:pPr>
              <w:rPr>
                <w:rFonts w:ascii="Segoe UI" w:hAnsi="Segoe UI" w:cs="Segoe UI"/>
                <w:color w:val="000000"/>
              </w:rPr>
            </w:pPr>
            <w:r w:rsidRPr="00DC71DE">
              <w:rPr>
                <w:rFonts w:ascii="Segoe UI" w:hAnsi="Segoe UI" w:cs="Segoe UI"/>
                <w:color w:val="000000"/>
              </w:rPr>
              <w:t>Level 1</w:t>
            </w:r>
          </w:p>
        </w:tc>
        <w:tc>
          <w:tcPr>
            <w:tcW w:w="2000"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15</w:t>
            </w:r>
            <w:r w:rsidR="0039161F" w:rsidRPr="00DC71DE">
              <w:rPr>
                <w:rFonts w:ascii="Segoe UI" w:hAnsi="Segoe UI" w:cs="Segoe UI"/>
                <w:color w:val="000000"/>
              </w:rPr>
              <w:t>%</w:t>
            </w:r>
          </w:p>
        </w:tc>
        <w:tc>
          <w:tcPr>
            <w:tcW w:w="1846"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14</w:t>
            </w:r>
            <w:r w:rsidR="0039161F" w:rsidRPr="00DC71DE">
              <w:rPr>
                <w:rFonts w:ascii="Segoe UI" w:hAnsi="Segoe UI" w:cs="Segoe UI"/>
                <w:color w:val="000000"/>
              </w:rPr>
              <w:t>%</w:t>
            </w:r>
          </w:p>
        </w:tc>
      </w:tr>
      <w:tr w:rsidR="0039161F" w:rsidTr="001865B8">
        <w:tc>
          <w:tcPr>
            <w:tcW w:w="1154" w:type="pct"/>
          </w:tcPr>
          <w:p w:rsidR="0039161F" w:rsidRPr="00DC71DE" w:rsidRDefault="0039161F" w:rsidP="001865B8">
            <w:pPr>
              <w:rPr>
                <w:rFonts w:ascii="Segoe UI" w:hAnsi="Segoe UI" w:cs="Segoe UI"/>
                <w:color w:val="000000"/>
              </w:rPr>
            </w:pPr>
            <w:r w:rsidRPr="00DC71DE">
              <w:rPr>
                <w:rFonts w:ascii="Segoe UI" w:hAnsi="Segoe UI" w:cs="Segoe UI"/>
                <w:color w:val="000000"/>
              </w:rPr>
              <w:t>Level 2</w:t>
            </w:r>
          </w:p>
        </w:tc>
        <w:tc>
          <w:tcPr>
            <w:tcW w:w="2000"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21</w:t>
            </w:r>
            <w:r w:rsidR="0039161F" w:rsidRPr="00DC71DE">
              <w:rPr>
                <w:rFonts w:ascii="Segoe UI" w:hAnsi="Segoe UI" w:cs="Segoe UI"/>
                <w:color w:val="000000"/>
              </w:rPr>
              <w:t>%</w:t>
            </w:r>
          </w:p>
        </w:tc>
        <w:tc>
          <w:tcPr>
            <w:tcW w:w="1846"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21</w:t>
            </w:r>
            <w:r w:rsidR="0039161F" w:rsidRPr="00DC71DE">
              <w:rPr>
                <w:rFonts w:ascii="Segoe UI" w:hAnsi="Segoe UI" w:cs="Segoe UI"/>
                <w:color w:val="000000"/>
              </w:rPr>
              <w:t>%</w:t>
            </w:r>
          </w:p>
        </w:tc>
      </w:tr>
      <w:tr w:rsidR="0039161F" w:rsidTr="001865B8">
        <w:tc>
          <w:tcPr>
            <w:tcW w:w="1154" w:type="pct"/>
          </w:tcPr>
          <w:p w:rsidR="0039161F" w:rsidRPr="00DC71DE" w:rsidRDefault="0039161F" w:rsidP="001865B8">
            <w:pPr>
              <w:rPr>
                <w:rFonts w:ascii="Segoe UI" w:hAnsi="Segoe UI" w:cs="Segoe UI"/>
                <w:color w:val="000000"/>
              </w:rPr>
            </w:pPr>
            <w:r w:rsidRPr="00DC71DE">
              <w:rPr>
                <w:rFonts w:ascii="Segoe UI" w:hAnsi="Segoe UI" w:cs="Segoe UI"/>
                <w:color w:val="000000"/>
              </w:rPr>
              <w:t>Level 3</w:t>
            </w:r>
          </w:p>
        </w:tc>
        <w:tc>
          <w:tcPr>
            <w:tcW w:w="2000"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24</w:t>
            </w:r>
            <w:r w:rsidR="0039161F" w:rsidRPr="00DC71DE">
              <w:rPr>
                <w:rFonts w:ascii="Segoe UI" w:hAnsi="Segoe UI" w:cs="Segoe UI"/>
                <w:color w:val="000000"/>
              </w:rPr>
              <w:t>%</w:t>
            </w:r>
          </w:p>
        </w:tc>
        <w:tc>
          <w:tcPr>
            <w:tcW w:w="1846"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25</w:t>
            </w:r>
            <w:r w:rsidR="0039161F" w:rsidRPr="00DC71DE">
              <w:rPr>
                <w:rFonts w:ascii="Segoe UI" w:hAnsi="Segoe UI" w:cs="Segoe UI"/>
                <w:color w:val="000000"/>
              </w:rPr>
              <w:t>%</w:t>
            </w:r>
          </w:p>
        </w:tc>
      </w:tr>
      <w:tr w:rsidR="0039161F" w:rsidTr="001865B8">
        <w:tc>
          <w:tcPr>
            <w:tcW w:w="1154" w:type="pct"/>
          </w:tcPr>
          <w:p w:rsidR="0039161F" w:rsidRPr="00DC71DE" w:rsidRDefault="0039161F" w:rsidP="001865B8">
            <w:pPr>
              <w:rPr>
                <w:rFonts w:ascii="Segoe UI" w:hAnsi="Segoe UI" w:cs="Segoe UI"/>
                <w:color w:val="000000"/>
              </w:rPr>
            </w:pPr>
            <w:r w:rsidRPr="00DC71DE">
              <w:rPr>
                <w:rFonts w:ascii="Segoe UI" w:hAnsi="Segoe UI" w:cs="Segoe UI"/>
                <w:color w:val="000000"/>
              </w:rPr>
              <w:t>Level 4</w:t>
            </w:r>
          </w:p>
        </w:tc>
        <w:tc>
          <w:tcPr>
            <w:tcW w:w="2000"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27</w:t>
            </w:r>
            <w:r w:rsidR="0039161F" w:rsidRPr="00DC71DE">
              <w:rPr>
                <w:rFonts w:ascii="Segoe UI" w:hAnsi="Segoe UI" w:cs="Segoe UI"/>
                <w:color w:val="000000"/>
              </w:rPr>
              <w:t>%</w:t>
            </w:r>
          </w:p>
        </w:tc>
        <w:tc>
          <w:tcPr>
            <w:tcW w:w="1846" w:type="pct"/>
          </w:tcPr>
          <w:p w:rsidR="0039161F" w:rsidRPr="00DC71DE" w:rsidRDefault="001B56F7" w:rsidP="001865B8">
            <w:pPr>
              <w:jc w:val="center"/>
              <w:rPr>
                <w:rFonts w:ascii="Segoe UI" w:hAnsi="Segoe UI" w:cs="Segoe UI"/>
                <w:b/>
                <w:bCs/>
                <w:color w:val="000000"/>
              </w:rPr>
            </w:pPr>
            <w:r>
              <w:rPr>
                <w:rFonts w:ascii="Segoe UI" w:hAnsi="Segoe UI" w:cs="Segoe UI"/>
                <w:color w:val="000000"/>
              </w:rPr>
              <w:t>29</w:t>
            </w:r>
            <w:r w:rsidR="0039161F" w:rsidRPr="00DC71DE">
              <w:rPr>
                <w:rFonts w:ascii="Segoe UI" w:hAnsi="Segoe UI" w:cs="Segoe UI"/>
                <w:color w:val="000000"/>
              </w:rPr>
              <w:t>%</w:t>
            </w:r>
          </w:p>
        </w:tc>
      </w:tr>
    </w:tbl>
    <w:p w:rsidR="00D8721E" w:rsidRDefault="00491B3A" w:rsidP="001865B8">
      <w:r>
        <w:t xml:space="preserve">In last year’s report, and in ACFA’s input to the </w:t>
      </w:r>
      <w:r w:rsidRPr="00596D01">
        <w:rPr>
          <w:rStyle w:val="Emphasis"/>
        </w:rPr>
        <w:t>Legisl</w:t>
      </w:r>
      <w:r w:rsidR="00BF2447" w:rsidRPr="00596D01">
        <w:rPr>
          <w:rStyle w:val="Emphasis"/>
        </w:rPr>
        <w:t>ated Review of Aged Care</w:t>
      </w:r>
      <w:r w:rsidR="00A261F3" w:rsidRPr="00596D01">
        <w:rPr>
          <w:rStyle w:val="Emphasis"/>
        </w:rPr>
        <w:t> 201</w:t>
      </w:r>
      <w:r w:rsidR="00BF2447" w:rsidRPr="00596D01">
        <w:rPr>
          <w:rStyle w:val="Emphasis"/>
        </w:rPr>
        <w:t>7</w:t>
      </w:r>
      <w:r>
        <w:t>, ACFA</w:t>
      </w:r>
      <w:r w:rsidR="00766577">
        <w:t xml:space="preserve"> </w:t>
      </w:r>
      <w:r w:rsidR="003950DB">
        <w:t xml:space="preserve">noted this is likely because the level of consumer contributions, both through the basic daily fee and income tested fees, is not affected by the level of a home care package. Put another way, the proportion of the package value that the consumer is expected to pay is higher in lower level packages compared with higher level packages, as shown in </w:t>
      </w:r>
      <w:r w:rsidR="00492BF8">
        <w:fldChar w:fldCharType="begin"/>
      </w:r>
      <w:r w:rsidR="00492BF8">
        <w:instrText xml:space="preserve"> REF _Ref479585394 \r \h </w:instrText>
      </w:r>
      <w:r w:rsidR="00492BF8">
        <w:fldChar w:fldCharType="separate"/>
      </w:r>
      <w:r w:rsidR="00492BF8">
        <w:t>Table 4.5</w:t>
      </w:r>
      <w:r w:rsidR="00492BF8">
        <w:fldChar w:fldCharType="end"/>
      </w:r>
      <w:r w:rsidR="003950DB">
        <w:t xml:space="preserve">. </w:t>
      </w:r>
      <w:r w:rsidR="00015583">
        <w:t xml:space="preserve">This may act as a deterrent for part-pensioners and self-funded retirees from accessing lower level packages. </w:t>
      </w:r>
      <w:r w:rsidR="003950DB">
        <w:t xml:space="preserve">The income thresholds as they are applied to income testing in home care are shown at </w:t>
      </w:r>
      <w:r w:rsidR="0069205E">
        <w:fldChar w:fldCharType="begin"/>
      </w:r>
      <w:r w:rsidR="0069205E">
        <w:instrText xml:space="preserve"> REF _Ref524429925 \r \h </w:instrText>
      </w:r>
      <w:r w:rsidR="0069205E">
        <w:fldChar w:fldCharType="separate"/>
      </w:r>
      <w:r w:rsidR="0069205E">
        <w:t>Appendix E</w:t>
      </w:r>
      <w:r w:rsidR="0069205E">
        <w:fldChar w:fldCharType="end"/>
      </w:r>
      <w:r w:rsidR="0069205E">
        <w:t>.</w:t>
      </w:r>
    </w:p>
    <w:p w:rsidR="00D8721E" w:rsidRDefault="003950DB" w:rsidP="001865B8">
      <w:pPr>
        <w:rPr>
          <w:lang w:val="en-GB"/>
        </w:rPr>
      </w:pPr>
      <w:r w:rsidRPr="003950DB">
        <w:rPr>
          <w:lang w:val="en-GB"/>
        </w:rPr>
        <w:t xml:space="preserve">ACFA notes Recommendation 12(d) of the </w:t>
      </w:r>
      <w:r w:rsidR="00BF2447" w:rsidRPr="00596D01">
        <w:rPr>
          <w:rStyle w:val="Emphasis"/>
        </w:rPr>
        <w:t>Legislated Review of Aged Care</w:t>
      </w:r>
      <w:r w:rsidR="00A261F3" w:rsidRPr="00596D01">
        <w:rPr>
          <w:rStyle w:val="Emphasis"/>
        </w:rPr>
        <w:t> 201</w:t>
      </w:r>
      <w:r w:rsidR="00BF2447" w:rsidRPr="00596D01">
        <w:rPr>
          <w:rStyle w:val="Emphasis"/>
        </w:rPr>
        <w:t>7</w:t>
      </w:r>
      <w:r w:rsidRPr="003950DB">
        <w:rPr>
          <w:lang w:val="en-GB"/>
        </w:rPr>
        <w:t xml:space="preserve"> is to “make the value of the basic care fee proportionate to the value of the home care package, retaining an upper limit relating to the value of the single age pension.”</w:t>
      </w:r>
    </w:p>
    <w:p w:rsidR="00C2200A" w:rsidRPr="001865B8" w:rsidRDefault="00C2200A" w:rsidP="001865B8">
      <w:pPr>
        <w:pStyle w:val="TableTitle"/>
      </w:pPr>
      <w:bookmarkStart w:id="208" w:name="_Ref478736896"/>
      <w:bookmarkStart w:id="209" w:name="_Ref479585394"/>
      <w:r w:rsidRPr="001865B8">
        <w:t xml:space="preserve">Split of maximum consumer contribution (including </w:t>
      </w:r>
      <w:r w:rsidR="001576C9" w:rsidRPr="001865B8">
        <w:t>B</w:t>
      </w:r>
      <w:r w:rsidRPr="001865B8">
        <w:t xml:space="preserve">asic </w:t>
      </w:r>
      <w:r w:rsidR="001576C9" w:rsidRPr="001865B8">
        <w:t>D</w:t>
      </w:r>
      <w:r w:rsidRPr="001865B8">
        <w:t xml:space="preserve">aily </w:t>
      </w:r>
      <w:r w:rsidR="001576C9" w:rsidRPr="001865B8">
        <w:t>F</w:t>
      </w:r>
      <w:r w:rsidRPr="001865B8">
        <w:t xml:space="preserve">ee) and </w:t>
      </w:r>
      <w:r w:rsidR="009A16D9" w:rsidRPr="001865B8">
        <w:t>G</w:t>
      </w:r>
      <w:r w:rsidRPr="001865B8">
        <w:t xml:space="preserve">overnment subsidy, by home care package level </w:t>
      </w:r>
      <w:bookmarkEnd w:id="208"/>
      <w:r w:rsidR="002E2A4C" w:rsidRPr="001865B8">
        <w:t>(March</w:t>
      </w:r>
      <w:r w:rsidR="00A261F3" w:rsidRPr="001865B8">
        <w:t> 201</w:t>
      </w:r>
      <w:r w:rsidR="00F9751A" w:rsidRPr="001865B8">
        <w:t>8</w:t>
      </w:r>
      <w:r w:rsidRPr="001865B8">
        <w:t xml:space="preserve"> rates)</w:t>
      </w:r>
      <w:bookmarkEnd w:id="20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042"/>
        <w:gridCol w:w="1210"/>
        <w:gridCol w:w="1196"/>
        <w:gridCol w:w="602"/>
        <w:gridCol w:w="1143"/>
        <w:gridCol w:w="711"/>
        <w:gridCol w:w="1143"/>
        <w:gridCol w:w="719"/>
        <w:gridCol w:w="1143"/>
        <w:gridCol w:w="719"/>
      </w:tblGrid>
      <w:tr w:rsidR="00DC71DE" w:rsidRPr="001865B8" w:rsidTr="001865B8">
        <w:trPr>
          <w:cnfStyle w:val="100000000000" w:firstRow="1" w:lastRow="0" w:firstColumn="0" w:lastColumn="0" w:oddVBand="0" w:evenVBand="0" w:oddHBand="0" w:evenHBand="0" w:firstRowFirstColumn="0" w:firstRowLastColumn="0" w:lastRowFirstColumn="0" w:lastRowLastColumn="0"/>
          <w:trHeight w:val="330"/>
          <w:tblHeader/>
        </w:trPr>
        <w:tc>
          <w:tcPr>
            <w:tcW w:w="530" w:type="pct"/>
            <w:tcBorders>
              <w:right w:val="single" w:sz="4" w:space="0" w:color="FFFFFF" w:themeColor="background1"/>
            </w:tcBorders>
            <w:tcMar>
              <w:left w:w="57" w:type="dxa"/>
              <w:right w:w="57" w:type="dxa"/>
            </w:tcMar>
            <w:hideMark/>
          </w:tcPr>
          <w:p w:rsidR="00DC71DE" w:rsidRPr="001865B8" w:rsidRDefault="00DC71DE" w:rsidP="001865B8"/>
        </w:tc>
        <w:tc>
          <w:tcPr>
            <w:tcW w:w="611"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r w:rsidRPr="001865B8">
              <w:t xml:space="preserve">Source </w:t>
            </w:r>
          </w:p>
        </w:tc>
        <w:tc>
          <w:tcPr>
            <w:tcW w:w="957" w:type="pct"/>
            <w:gridSpan w:val="2"/>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center"/>
            </w:pPr>
            <w:r w:rsidRPr="001865B8">
              <w:t>Level 1</w:t>
            </w:r>
          </w:p>
        </w:tc>
        <w:tc>
          <w:tcPr>
            <w:tcW w:w="967" w:type="pct"/>
            <w:gridSpan w:val="2"/>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center"/>
            </w:pPr>
            <w:r w:rsidRPr="001865B8">
              <w:t>Level 2</w:t>
            </w:r>
          </w:p>
        </w:tc>
        <w:tc>
          <w:tcPr>
            <w:tcW w:w="967" w:type="pct"/>
            <w:gridSpan w:val="2"/>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center"/>
            </w:pPr>
            <w:r w:rsidRPr="001865B8">
              <w:t>Level 3</w:t>
            </w:r>
          </w:p>
        </w:tc>
        <w:tc>
          <w:tcPr>
            <w:tcW w:w="967" w:type="pct"/>
            <w:gridSpan w:val="2"/>
            <w:tcBorders>
              <w:left w:val="single" w:sz="4" w:space="0" w:color="FFFFFF" w:themeColor="background1"/>
            </w:tcBorders>
            <w:tcMar>
              <w:left w:w="57" w:type="dxa"/>
              <w:right w:w="57" w:type="dxa"/>
            </w:tcMar>
            <w:hideMark/>
          </w:tcPr>
          <w:p w:rsidR="00DC71DE" w:rsidRPr="001865B8" w:rsidRDefault="00DC71DE" w:rsidP="001865B8">
            <w:pPr>
              <w:jc w:val="center"/>
            </w:pPr>
            <w:r w:rsidRPr="001865B8">
              <w:t>Level 4</w:t>
            </w:r>
          </w:p>
        </w:tc>
      </w:tr>
      <w:tr w:rsidR="001865B8" w:rsidRPr="001865B8" w:rsidTr="001865B8">
        <w:trPr>
          <w:cnfStyle w:val="100000000000" w:firstRow="1" w:lastRow="0" w:firstColumn="0" w:lastColumn="0" w:oddVBand="0" w:evenVBand="0" w:oddHBand="0" w:evenHBand="0" w:firstRowFirstColumn="0" w:firstRowLastColumn="0" w:lastRowFirstColumn="0" w:lastRowLastColumn="0"/>
          <w:trHeight w:val="345"/>
          <w:tblHeader/>
        </w:trPr>
        <w:tc>
          <w:tcPr>
            <w:tcW w:w="530" w:type="pct"/>
            <w:tcBorders>
              <w:right w:val="single" w:sz="4" w:space="0" w:color="FFFFFF" w:themeColor="background1"/>
            </w:tcBorders>
            <w:tcMar>
              <w:left w:w="57" w:type="dxa"/>
              <w:right w:w="57" w:type="dxa"/>
            </w:tcMar>
            <w:hideMark/>
          </w:tcPr>
          <w:p w:rsidR="00DC71DE" w:rsidRPr="001865B8" w:rsidRDefault="00DC71DE" w:rsidP="001865B8"/>
        </w:tc>
        <w:tc>
          <w:tcPr>
            <w:tcW w:w="611"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r w:rsidRPr="001865B8">
              <w:t> </w:t>
            </w:r>
          </w:p>
        </w:tc>
        <w:tc>
          <w:tcPr>
            <w:tcW w:w="635"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322"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580"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387"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580"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387"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580" w:type="pct"/>
            <w:tcBorders>
              <w:left w:val="single" w:sz="4" w:space="0" w:color="FFFFFF" w:themeColor="background1"/>
              <w:right w:val="single" w:sz="4" w:space="0" w:color="FFFFFF" w:themeColor="background1"/>
            </w:tcBorders>
            <w:tcMar>
              <w:left w:w="57" w:type="dxa"/>
              <w:right w:w="57" w:type="dxa"/>
            </w:tcMar>
            <w:hideMark/>
          </w:tcPr>
          <w:p w:rsidR="00DC71DE" w:rsidRPr="001865B8" w:rsidRDefault="00DC71DE" w:rsidP="001865B8">
            <w:pPr>
              <w:jc w:val="right"/>
            </w:pPr>
            <w:r w:rsidRPr="001865B8">
              <w:t>$</w:t>
            </w:r>
          </w:p>
        </w:tc>
        <w:tc>
          <w:tcPr>
            <w:tcW w:w="387" w:type="pct"/>
            <w:tcBorders>
              <w:left w:val="single" w:sz="4" w:space="0" w:color="FFFFFF" w:themeColor="background1"/>
            </w:tcBorders>
            <w:tcMar>
              <w:left w:w="57" w:type="dxa"/>
              <w:right w:w="57" w:type="dxa"/>
            </w:tcMar>
            <w:hideMark/>
          </w:tcPr>
          <w:p w:rsidR="00DC71DE" w:rsidRPr="001865B8" w:rsidRDefault="00DC71DE" w:rsidP="001865B8">
            <w:pPr>
              <w:jc w:val="right"/>
            </w:pPr>
            <w:r w:rsidRPr="001865B8">
              <w:t>%</w:t>
            </w:r>
          </w:p>
        </w:tc>
      </w:tr>
      <w:tr w:rsidR="001865B8" w:rsidRPr="001865B8" w:rsidTr="001865B8">
        <w:trPr>
          <w:trHeight w:val="315"/>
        </w:trPr>
        <w:tc>
          <w:tcPr>
            <w:tcW w:w="530" w:type="pct"/>
            <w:vMerge w:val="restart"/>
            <w:tcMar>
              <w:left w:w="57" w:type="dxa"/>
              <w:right w:w="57" w:type="dxa"/>
            </w:tcMar>
            <w:hideMark/>
          </w:tcPr>
          <w:p w:rsidR="00DC71DE" w:rsidRPr="001865B8" w:rsidRDefault="00DC71DE" w:rsidP="001865B8">
            <w:pPr>
              <w:rPr>
                <w:rStyle w:val="Strong"/>
              </w:rPr>
            </w:pPr>
            <w:r w:rsidRPr="001865B8">
              <w:rPr>
                <w:rStyle w:val="Strong"/>
              </w:rPr>
              <w:t>Pensioner</w:t>
            </w:r>
          </w:p>
        </w:tc>
        <w:tc>
          <w:tcPr>
            <w:tcW w:w="611" w:type="pct"/>
            <w:tcMar>
              <w:left w:w="57" w:type="dxa"/>
              <w:right w:w="57" w:type="dxa"/>
            </w:tcMar>
            <w:hideMark/>
          </w:tcPr>
          <w:p w:rsidR="00DC71DE" w:rsidRPr="001865B8" w:rsidRDefault="00DC71DE" w:rsidP="001865B8">
            <w:r w:rsidRPr="001865B8">
              <w:t>Consumer</w:t>
            </w:r>
          </w:p>
        </w:tc>
        <w:tc>
          <w:tcPr>
            <w:tcW w:w="635" w:type="pct"/>
            <w:tcMar>
              <w:left w:w="57" w:type="dxa"/>
              <w:right w:w="57" w:type="dxa"/>
            </w:tcMar>
            <w:hideMark/>
          </w:tcPr>
          <w:p w:rsidR="00DC71DE" w:rsidRPr="001865B8" w:rsidRDefault="00DC71DE" w:rsidP="001865B8">
            <w:pPr>
              <w:jc w:val="right"/>
            </w:pPr>
            <w:r w:rsidRPr="001865B8">
              <w:t xml:space="preserve">$3,766.80 </w:t>
            </w:r>
          </w:p>
        </w:tc>
        <w:tc>
          <w:tcPr>
            <w:tcW w:w="322" w:type="pct"/>
            <w:tcMar>
              <w:left w:w="57" w:type="dxa"/>
              <w:right w:w="57" w:type="dxa"/>
            </w:tcMar>
            <w:hideMark/>
          </w:tcPr>
          <w:p w:rsidR="00DC71DE" w:rsidRPr="001865B8" w:rsidRDefault="00DC71DE" w:rsidP="001865B8">
            <w:pPr>
              <w:jc w:val="right"/>
            </w:pPr>
            <w:r w:rsidRPr="001865B8">
              <w:t>31%</w:t>
            </w:r>
          </w:p>
        </w:tc>
        <w:tc>
          <w:tcPr>
            <w:tcW w:w="580" w:type="pct"/>
            <w:tcMar>
              <w:left w:w="57" w:type="dxa"/>
              <w:right w:w="57" w:type="dxa"/>
            </w:tcMar>
            <w:hideMark/>
          </w:tcPr>
          <w:p w:rsidR="00DC71DE" w:rsidRPr="001865B8" w:rsidRDefault="00DC71DE" w:rsidP="001865B8">
            <w:pPr>
              <w:jc w:val="right"/>
            </w:pPr>
            <w:r w:rsidRPr="001865B8">
              <w:t xml:space="preserve">$3,766.80 </w:t>
            </w:r>
          </w:p>
        </w:tc>
        <w:tc>
          <w:tcPr>
            <w:tcW w:w="387" w:type="pct"/>
            <w:tcMar>
              <w:left w:w="57" w:type="dxa"/>
              <w:right w:w="57" w:type="dxa"/>
            </w:tcMar>
            <w:hideMark/>
          </w:tcPr>
          <w:p w:rsidR="00DC71DE" w:rsidRPr="001865B8" w:rsidRDefault="00DC71DE" w:rsidP="001865B8">
            <w:pPr>
              <w:jc w:val="right"/>
            </w:pPr>
            <w:r w:rsidRPr="001865B8">
              <w:t>20%</w:t>
            </w:r>
          </w:p>
        </w:tc>
        <w:tc>
          <w:tcPr>
            <w:tcW w:w="580" w:type="pct"/>
            <w:tcMar>
              <w:left w:w="57" w:type="dxa"/>
              <w:right w:w="57" w:type="dxa"/>
            </w:tcMar>
            <w:hideMark/>
          </w:tcPr>
          <w:p w:rsidR="00DC71DE" w:rsidRPr="001865B8" w:rsidRDefault="00DC71DE" w:rsidP="001865B8">
            <w:pPr>
              <w:jc w:val="right"/>
            </w:pPr>
            <w:r w:rsidRPr="001865B8">
              <w:t xml:space="preserve">$3,766.80 </w:t>
            </w:r>
          </w:p>
        </w:tc>
        <w:tc>
          <w:tcPr>
            <w:tcW w:w="387" w:type="pct"/>
            <w:tcMar>
              <w:left w:w="57" w:type="dxa"/>
              <w:right w:w="57" w:type="dxa"/>
            </w:tcMar>
            <w:hideMark/>
          </w:tcPr>
          <w:p w:rsidR="00DC71DE" w:rsidRPr="001865B8" w:rsidRDefault="00DC71DE" w:rsidP="001865B8">
            <w:pPr>
              <w:jc w:val="right"/>
            </w:pPr>
            <w:r w:rsidRPr="001865B8">
              <w:t>10%</w:t>
            </w:r>
          </w:p>
        </w:tc>
        <w:tc>
          <w:tcPr>
            <w:tcW w:w="580" w:type="pct"/>
            <w:tcMar>
              <w:left w:w="57" w:type="dxa"/>
              <w:right w:w="57" w:type="dxa"/>
            </w:tcMar>
            <w:hideMark/>
          </w:tcPr>
          <w:p w:rsidR="00DC71DE" w:rsidRPr="001865B8" w:rsidRDefault="00DC71DE" w:rsidP="001865B8">
            <w:pPr>
              <w:jc w:val="right"/>
            </w:pPr>
            <w:r w:rsidRPr="001865B8">
              <w:t xml:space="preserve">$3,766.80 </w:t>
            </w:r>
          </w:p>
        </w:tc>
        <w:tc>
          <w:tcPr>
            <w:tcW w:w="387" w:type="pct"/>
            <w:tcMar>
              <w:left w:w="57" w:type="dxa"/>
              <w:right w:w="57" w:type="dxa"/>
            </w:tcMar>
            <w:hideMark/>
          </w:tcPr>
          <w:p w:rsidR="00DC71DE" w:rsidRPr="001865B8" w:rsidRDefault="00DC71DE" w:rsidP="001865B8">
            <w:pPr>
              <w:jc w:val="right"/>
            </w:pPr>
            <w:r w:rsidRPr="001865B8">
              <w:t>7%</w:t>
            </w:r>
          </w:p>
        </w:tc>
      </w:tr>
      <w:tr w:rsidR="001865B8" w:rsidRPr="001865B8" w:rsidTr="001865B8">
        <w:trPr>
          <w:trHeight w:val="315"/>
        </w:trPr>
        <w:tc>
          <w:tcPr>
            <w:tcW w:w="530" w:type="pct"/>
            <w:vMerge/>
            <w:tcMar>
              <w:left w:w="57" w:type="dxa"/>
              <w:right w:w="57" w:type="dxa"/>
            </w:tcMar>
            <w:hideMark/>
          </w:tcPr>
          <w:p w:rsidR="00DC71DE" w:rsidRPr="001865B8" w:rsidRDefault="00DC71DE" w:rsidP="001865B8">
            <w:pPr>
              <w:rPr>
                <w:rStyle w:val="Strong"/>
              </w:rPr>
            </w:pPr>
          </w:p>
        </w:tc>
        <w:tc>
          <w:tcPr>
            <w:tcW w:w="611" w:type="pct"/>
            <w:tcMar>
              <w:left w:w="57" w:type="dxa"/>
              <w:right w:w="57" w:type="dxa"/>
            </w:tcMar>
            <w:hideMark/>
          </w:tcPr>
          <w:p w:rsidR="00DC71DE" w:rsidRPr="001865B8" w:rsidRDefault="00DC71DE" w:rsidP="001865B8">
            <w:r w:rsidRPr="001865B8">
              <w:t>Government</w:t>
            </w:r>
          </w:p>
        </w:tc>
        <w:tc>
          <w:tcPr>
            <w:tcW w:w="635" w:type="pct"/>
            <w:tcMar>
              <w:left w:w="57" w:type="dxa"/>
              <w:right w:w="57" w:type="dxa"/>
            </w:tcMar>
            <w:hideMark/>
          </w:tcPr>
          <w:p w:rsidR="00DC71DE" w:rsidRPr="001865B8" w:rsidRDefault="00DC71DE" w:rsidP="001865B8">
            <w:pPr>
              <w:jc w:val="right"/>
            </w:pPr>
            <w:r w:rsidRPr="001865B8">
              <w:t xml:space="preserve">$8,270.90 </w:t>
            </w:r>
          </w:p>
        </w:tc>
        <w:tc>
          <w:tcPr>
            <w:tcW w:w="322" w:type="pct"/>
            <w:tcMar>
              <w:left w:w="57" w:type="dxa"/>
              <w:right w:w="57" w:type="dxa"/>
            </w:tcMar>
            <w:hideMark/>
          </w:tcPr>
          <w:p w:rsidR="00DC71DE" w:rsidRPr="001865B8" w:rsidRDefault="00DC71DE" w:rsidP="001865B8">
            <w:pPr>
              <w:jc w:val="right"/>
            </w:pPr>
            <w:r w:rsidRPr="001865B8">
              <w:t>69%</w:t>
            </w:r>
          </w:p>
        </w:tc>
        <w:tc>
          <w:tcPr>
            <w:tcW w:w="580" w:type="pct"/>
            <w:tcMar>
              <w:left w:w="57" w:type="dxa"/>
              <w:right w:w="57" w:type="dxa"/>
            </w:tcMar>
            <w:hideMark/>
          </w:tcPr>
          <w:p w:rsidR="00DC71DE" w:rsidRPr="001865B8" w:rsidRDefault="00DC71DE" w:rsidP="001865B8">
            <w:pPr>
              <w:jc w:val="right"/>
            </w:pPr>
            <w:r w:rsidRPr="001865B8">
              <w:t xml:space="preserve">$15,045.30 </w:t>
            </w:r>
          </w:p>
        </w:tc>
        <w:tc>
          <w:tcPr>
            <w:tcW w:w="387" w:type="pct"/>
            <w:tcMar>
              <w:left w:w="57" w:type="dxa"/>
              <w:right w:w="57" w:type="dxa"/>
            </w:tcMar>
            <w:hideMark/>
          </w:tcPr>
          <w:p w:rsidR="00DC71DE" w:rsidRPr="001865B8" w:rsidRDefault="00DC71DE" w:rsidP="001865B8">
            <w:pPr>
              <w:jc w:val="right"/>
            </w:pPr>
            <w:r w:rsidRPr="001865B8">
              <w:t>80%</w:t>
            </w:r>
          </w:p>
        </w:tc>
        <w:tc>
          <w:tcPr>
            <w:tcW w:w="580" w:type="pct"/>
            <w:tcMar>
              <w:left w:w="57" w:type="dxa"/>
              <w:right w:w="57" w:type="dxa"/>
            </w:tcMar>
            <w:hideMark/>
          </w:tcPr>
          <w:p w:rsidR="00DC71DE" w:rsidRPr="001865B8" w:rsidRDefault="00DC71DE" w:rsidP="001865B8">
            <w:pPr>
              <w:jc w:val="right"/>
            </w:pPr>
            <w:r w:rsidRPr="001865B8">
              <w:t xml:space="preserve">$33,076.30 </w:t>
            </w:r>
          </w:p>
        </w:tc>
        <w:tc>
          <w:tcPr>
            <w:tcW w:w="387" w:type="pct"/>
            <w:tcMar>
              <w:left w:w="57" w:type="dxa"/>
              <w:right w:w="57" w:type="dxa"/>
            </w:tcMar>
            <w:hideMark/>
          </w:tcPr>
          <w:p w:rsidR="00DC71DE" w:rsidRPr="001865B8" w:rsidRDefault="00DC71DE" w:rsidP="001865B8">
            <w:pPr>
              <w:jc w:val="right"/>
            </w:pPr>
            <w:r w:rsidRPr="001865B8">
              <w:t>90%</w:t>
            </w:r>
          </w:p>
        </w:tc>
        <w:tc>
          <w:tcPr>
            <w:tcW w:w="580" w:type="pct"/>
            <w:tcMar>
              <w:left w:w="57" w:type="dxa"/>
              <w:right w:w="57" w:type="dxa"/>
            </w:tcMar>
            <w:hideMark/>
          </w:tcPr>
          <w:p w:rsidR="00DC71DE" w:rsidRPr="001865B8" w:rsidRDefault="00DC71DE" w:rsidP="001865B8">
            <w:pPr>
              <w:jc w:val="right"/>
            </w:pPr>
            <w:r w:rsidRPr="001865B8">
              <w:t xml:space="preserve">$50,286.05 </w:t>
            </w:r>
          </w:p>
        </w:tc>
        <w:tc>
          <w:tcPr>
            <w:tcW w:w="387" w:type="pct"/>
            <w:tcMar>
              <w:left w:w="57" w:type="dxa"/>
              <w:right w:w="57" w:type="dxa"/>
            </w:tcMar>
            <w:hideMark/>
          </w:tcPr>
          <w:p w:rsidR="00DC71DE" w:rsidRPr="001865B8" w:rsidRDefault="00DC71DE" w:rsidP="001865B8">
            <w:pPr>
              <w:jc w:val="right"/>
            </w:pPr>
            <w:r w:rsidRPr="001865B8">
              <w:t>93%</w:t>
            </w:r>
          </w:p>
        </w:tc>
      </w:tr>
      <w:tr w:rsidR="001865B8" w:rsidRPr="001865B8" w:rsidTr="001865B8">
        <w:trPr>
          <w:trHeight w:val="345"/>
        </w:trPr>
        <w:tc>
          <w:tcPr>
            <w:tcW w:w="530" w:type="pct"/>
            <w:tcMar>
              <w:left w:w="57" w:type="dxa"/>
              <w:right w:w="57" w:type="dxa"/>
            </w:tcMar>
            <w:hideMark/>
          </w:tcPr>
          <w:p w:rsidR="00DC71DE" w:rsidRPr="001865B8" w:rsidRDefault="00DC71DE" w:rsidP="001865B8">
            <w:pPr>
              <w:rPr>
                <w:rStyle w:val="Strong"/>
              </w:rPr>
            </w:pPr>
            <w:r w:rsidRPr="001865B8">
              <w:rPr>
                <w:rStyle w:val="Strong"/>
              </w:rPr>
              <w:t> </w:t>
            </w:r>
          </w:p>
        </w:tc>
        <w:tc>
          <w:tcPr>
            <w:tcW w:w="611" w:type="pct"/>
            <w:tcMar>
              <w:left w:w="57" w:type="dxa"/>
              <w:right w:w="57" w:type="dxa"/>
            </w:tcMar>
            <w:hideMark/>
          </w:tcPr>
          <w:p w:rsidR="00DC71DE" w:rsidRPr="001865B8" w:rsidRDefault="00DC71DE" w:rsidP="001865B8">
            <w:r w:rsidRPr="001865B8">
              <w:t> </w:t>
            </w:r>
          </w:p>
        </w:tc>
        <w:tc>
          <w:tcPr>
            <w:tcW w:w="635" w:type="pct"/>
            <w:tcMar>
              <w:left w:w="57" w:type="dxa"/>
              <w:right w:w="57" w:type="dxa"/>
            </w:tcMar>
            <w:hideMark/>
          </w:tcPr>
          <w:p w:rsidR="00DC71DE" w:rsidRPr="001865B8" w:rsidRDefault="00DC71DE" w:rsidP="001865B8">
            <w:pPr>
              <w:jc w:val="right"/>
            </w:pPr>
            <w:r w:rsidRPr="001865B8">
              <w:t> </w:t>
            </w:r>
          </w:p>
        </w:tc>
        <w:tc>
          <w:tcPr>
            <w:tcW w:w="322"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r>
      <w:tr w:rsidR="001865B8" w:rsidRPr="001865B8" w:rsidTr="001865B8">
        <w:trPr>
          <w:trHeight w:val="315"/>
        </w:trPr>
        <w:tc>
          <w:tcPr>
            <w:tcW w:w="530" w:type="pct"/>
            <w:vMerge w:val="restart"/>
            <w:tcMar>
              <w:left w:w="57" w:type="dxa"/>
              <w:right w:w="57" w:type="dxa"/>
            </w:tcMar>
            <w:hideMark/>
          </w:tcPr>
          <w:p w:rsidR="00DC71DE" w:rsidRPr="001865B8" w:rsidRDefault="00DC71DE" w:rsidP="001865B8">
            <w:pPr>
              <w:rPr>
                <w:rStyle w:val="Strong"/>
              </w:rPr>
            </w:pPr>
            <w:r w:rsidRPr="001865B8">
              <w:rPr>
                <w:rStyle w:val="Strong"/>
              </w:rPr>
              <w:t>Part Pensioner</w:t>
            </w:r>
          </w:p>
        </w:tc>
        <w:tc>
          <w:tcPr>
            <w:tcW w:w="611" w:type="pct"/>
            <w:tcMar>
              <w:left w:w="57" w:type="dxa"/>
              <w:right w:w="57" w:type="dxa"/>
            </w:tcMar>
            <w:hideMark/>
          </w:tcPr>
          <w:p w:rsidR="00DC71DE" w:rsidRPr="001865B8" w:rsidRDefault="00DC71DE" w:rsidP="001865B8">
            <w:r w:rsidRPr="001865B8">
              <w:t>Consumer</w:t>
            </w:r>
          </w:p>
        </w:tc>
        <w:tc>
          <w:tcPr>
            <w:tcW w:w="635" w:type="pct"/>
            <w:tcMar>
              <w:left w:w="57" w:type="dxa"/>
              <w:right w:w="57" w:type="dxa"/>
            </w:tcMar>
            <w:hideMark/>
          </w:tcPr>
          <w:p w:rsidR="00DC71DE" w:rsidRPr="001865B8" w:rsidRDefault="00DC71DE" w:rsidP="001865B8">
            <w:pPr>
              <w:jc w:val="right"/>
            </w:pPr>
            <w:r w:rsidRPr="001865B8">
              <w:t xml:space="preserve">$9,159.71 </w:t>
            </w:r>
          </w:p>
        </w:tc>
        <w:tc>
          <w:tcPr>
            <w:tcW w:w="322" w:type="pct"/>
            <w:tcMar>
              <w:left w:w="57" w:type="dxa"/>
              <w:right w:w="57" w:type="dxa"/>
            </w:tcMar>
            <w:hideMark/>
          </w:tcPr>
          <w:p w:rsidR="00DC71DE" w:rsidRPr="001865B8" w:rsidRDefault="00DC71DE" w:rsidP="001865B8">
            <w:pPr>
              <w:jc w:val="right"/>
            </w:pPr>
            <w:r w:rsidRPr="001865B8">
              <w:t>76%</w:t>
            </w:r>
          </w:p>
        </w:tc>
        <w:tc>
          <w:tcPr>
            <w:tcW w:w="580" w:type="pct"/>
            <w:tcMar>
              <w:left w:w="57" w:type="dxa"/>
              <w:right w:w="57" w:type="dxa"/>
            </w:tcMar>
            <w:hideMark/>
          </w:tcPr>
          <w:p w:rsidR="00DC71DE" w:rsidRPr="001865B8" w:rsidRDefault="00DC71DE" w:rsidP="001865B8">
            <w:pPr>
              <w:jc w:val="right"/>
            </w:pPr>
            <w:r w:rsidRPr="001865B8">
              <w:t xml:space="preserve">$9,159.71 </w:t>
            </w:r>
          </w:p>
        </w:tc>
        <w:tc>
          <w:tcPr>
            <w:tcW w:w="387" w:type="pct"/>
            <w:tcMar>
              <w:left w:w="57" w:type="dxa"/>
              <w:right w:w="57" w:type="dxa"/>
            </w:tcMar>
            <w:hideMark/>
          </w:tcPr>
          <w:p w:rsidR="00DC71DE" w:rsidRPr="001865B8" w:rsidRDefault="00DC71DE" w:rsidP="001865B8">
            <w:pPr>
              <w:jc w:val="right"/>
            </w:pPr>
            <w:r w:rsidRPr="001865B8">
              <w:t>49%</w:t>
            </w:r>
          </w:p>
        </w:tc>
        <w:tc>
          <w:tcPr>
            <w:tcW w:w="580" w:type="pct"/>
            <w:tcMar>
              <w:left w:w="57" w:type="dxa"/>
              <w:right w:w="57" w:type="dxa"/>
            </w:tcMar>
            <w:hideMark/>
          </w:tcPr>
          <w:p w:rsidR="00DC71DE" w:rsidRPr="001865B8" w:rsidRDefault="00DC71DE" w:rsidP="001865B8">
            <w:pPr>
              <w:jc w:val="right"/>
            </w:pPr>
            <w:r w:rsidRPr="001865B8">
              <w:t xml:space="preserve">$9,159.71 </w:t>
            </w:r>
          </w:p>
        </w:tc>
        <w:tc>
          <w:tcPr>
            <w:tcW w:w="387" w:type="pct"/>
            <w:tcMar>
              <w:left w:w="57" w:type="dxa"/>
              <w:right w:w="57" w:type="dxa"/>
            </w:tcMar>
            <w:hideMark/>
          </w:tcPr>
          <w:p w:rsidR="00DC71DE" w:rsidRPr="001865B8" w:rsidRDefault="00DC71DE" w:rsidP="001865B8">
            <w:pPr>
              <w:jc w:val="right"/>
            </w:pPr>
            <w:r w:rsidRPr="001865B8">
              <w:t>25%</w:t>
            </w:r>
          </w:p>
        </w:tc>
        <w:tc>
          <w:tcPr>
            <w:tcW w:w="580" w:type="pct"/>
            <w:tcMar>
              <w:left w:w="57" w:type="dxa"/>
              <w:right w:w="57" w:type="dxa"/>
            </w:tcMar>
            <w:hideMark/>
          </w:tcPr>
          <w:p w:rsidR="00DC71DE" w:rsidRPr="001865B8" w:rsidRDefault="00DC71DE" w:rsidP="001865B8">
            <w:pPr>
              <w:jc w:val="right"/>
            </w:pPr>
            <w:r w:rsidRPr="001865B8">
              <w:t xml:space="preserve">$9,159.71 </w:t>
            </w:r>
          </w:p>
        </w:tc>
        <w:tc>
          <w:tcPr>
            <w:tcW w:w="387" w:type="pct"/>
            <w:tcMar>
              <w:left w:w="57" w:type="dxa"/>
              <w:right w:w="57" w:type="dxa"/>
            </w:tcMar>
            <w:hideMark/>
          </w:tcPr>
          <w:p w:rsidR="00DC71DE" w:rsidRPr="001865B8" w:rsidRDefault="00DC71DE" w:rsidP="001865B8">
            <w:pPr>
              <w:jc w:val="right"/>
            </w:pPr>
            <w:r w:rsidRPr="001865B8">
              <w:t>17%</w:t>
            </w:r>
          </w:p>
        </w:tc>
      </w:tr>
      <w:tr w:rsidR="001865B8" w:rsidRPr="001865B8" w:rsidTr="001865B8">
        <w:trPr>
          <w:trHeight w:val="315"/>
        </w:trPr>
        <w:tc>
          <w:tcPr>
            <w:tcW w:w="530" w:type="pct"/>
            <w:vMerge/>
            <w:tcMar>
              <w:left w:w="57" w:type="dxa"/>
              <w:right w:w="57" w:type="dxa"/>
            </w:tcMar>
            <w:hideMark/>
          </w:tcPr>
          <w:p w:rsidR="00DC71DE" w:rsidRPr="001865B8" w:rsidRDefault="00DC71DE" w:rsidP="001865B8">
            <w:pPr>
              <w:rPr>
                <w:rStyle w:val="Strong"/>
              </w:rPr>
            </w:pPr>
          </w:p>
        </w:tc>
        <w:tc>
          <w:tcPr>
            <w:tcW w:w="611" w:type="pct"/>
            <w:tcMar>
              <w:left w:w="57" w:type="dxa"/>
              <w:right w:w="57" w:type="dxa"/>
            </w:tcMar>
            <w:hideMark/>
          </w:tcPr>
          <w:p w:rsidR="00DC71DE" w:rsidRPr="001865B8" w:rsidRDefault="00DC71DE" w:rsidP="001865B8">
            <w:r w:rsidRPr="001865B8">
              <w:t>Government</w:t>
            </w:r>
          </w:p>
        </w:tc>
        <w:tc>
          <w:tcPr>
            <w:tcW w:w="635" w:type="pct"/>
            <w:tcMar>
              <w:left w:w="57" w:type="dxa"/>
              <w:right w:w="57" w:type="dxa"/>
            </w:tcMar>
            <w:hideMark/>
          </w:tcPr>
          <w:p w:rsidR="00DC71DE" w:rsidRPr="001865B8" w:rsidRDefault="00DC71DE" w:rsidP="001865B8">
            <w:pPr>
              <w:jc w:val="right"/>
            </w:pPr>
            <w:r w:rsidRPr="001865B8">
              <w:t xml:space="preserve">$2,877.99 </w:t>
            </w:r>
          </w:p>
        </w:tc>
        <w:tc>
          <w:tcPr>
            <w:tcW w:w="322" w:type="pct"/>
            <w:tcMar>
              <w:left w:w="57" w:type="dxa"/>
              <w:right w:w="57" w:type="dxa"/>
            </w:tcMar>
            <w:hideMark/>
          </w:tcPr>
          <w:p w:rsidR="00DC71DE" w:rsidRPr="001865B8" w:rsidRDefault="00DC71DE" w:rsidP="001865B8">
            <w:pPr>
              <w:jc w:val="right"/>
            </w:pPr>
            <w:r w:rsidRPr="001865B8">
              <w:t>24%</w:t>
            </w:r>
          </w:p>
        </w:tc>
        <w:tc>
          <w:tcPr>
            <w:tcW w:w="580" w:type="pct"/>
            <w:tcMar>
              <w:left w:w="57" w:type="dxa"/>
              <w:right w:w="57" w:type="dxa"/>
            </w:tcMar>
            <w:hideMark/>
          </w:tcPr>
          <w:p w:rsidR="00DC71DE" w:rsidRPr="001865B8" w:rsidRDefault="00DC71DE" w:rsidP="001865B8">
            <w:pPr>
              <w:jc w:val="right"/>
            </w:pPr>
            <w:r w:rsidRPr="001865B8">
              <w:t xml:space="preserve">$9,652.39 </w:t>
            </w:r>
          </w:p>
        </w:tc>
        <w:tc>
          <w:tcPr>
            <w:tcW w:w="387" w:type="pct"/>
            <w:tcMar>
              <w:left w:w="57" w:type="dxa"/>
              <w:right w:w="57" w:type="dxa"/>
            </w:tcMar>
            <w:hideMark/>
          </w:tcPr>
          <w:p w:rsidR="00DC71DE" w:rsidRPr="001865B8" w:rsidRDefault="00DC71DE" w:rsidP="001865B8">
            <w:pPr>
              <w:jc w:val="right"/>
            </w:pPr>
            <w:r w:rsidRPr="001865B8">
              <w:t>51%</w:t>
            </w:r>
          </w:p>
        </w:tc>
        <w:tc>
          <w:tcPr>
            <w:tcW w:w="580" w:type="pct"/>
            <w:tcMar>
              <w:left w:w="57" w:type="dxa"/>
              <w:right w:w="57" w:type="dxa"/>
            </w:tcMar>
            <w:hideMark/>
          </w:tcPr>
          <w:p w:rsidR="00DC71DE" w:rsidRPr="001865B8" w:rsidRDefault="00DC71DE" w:rsidP="001865B8">
            <w:pPr>
              <w:jc w:val="right"/>
            </w:pPr>
            <w:r w:rsidRPr="001865B8">
              <w:t xml:space="preserve">$27,683.39 </w:t>
            </w:r>
          </w:p>
        </w:tc>
        <w:tc>
          <w:tcPr>
            <w:tcW w:w="387" w:type="pct"/>
            <w:tcMar>
              <w:left w:w="57" w:type="dxa"/>
              <w:right w:w="57" w:type="dxa"/>
            </w:tcMar>
            <w:hideMark/>
          </w:tcPr>
          <w:p w:rsidR="00DC71DE" w:rsidRPr="001865B8" w:rsidRDefault="00DC71DE" w:rsidP="001865B8">
            <w:pPr>
              <w:jc w:val="right"/>
            </w:pPr>
            <w:r w:rsidRPr="001865B8">
              <w:t>75%</w:t>
            </w:r>
          </w:p>
        </w:tc>
        <w:tc>
          <w:tcPr>
            <w:tcW w:w="580" w:type="pct"/>
            <w:tcMar>
              <w:left w:w="57" w:type="dxa"/>
              <w:right w:w="57" w:type="dxa"/>
            </w:tcMar>
            <w:hideMark/>
          </w:tcPr>
          <w:p w:rsidR="00DC71DE" w:rsidRPr="001865B8" w:rsidRDefault="00DC71DE" w:rsidP="001865B8">
            <w:pPr>
              <w:jc w:val="right"/>
            </w:pPr>
            <w:r w:rsidRPr="001865B8">
              <w:t xml:space="preserve">$44,893.14 </w:t>
            </w:r>
          </w:p>
        </w:tc>
        <w:tc>
          <w:tcPr>
            <w:tcW w:w="387" w:type="pct"/>
            <w:tcMar>
              <w:left w:w="57" w:type="dxa"/>
              <w:right w:w="57" w:type="dxa"/>
            </w:tcMar>
            <w:hideMark/>
          </w:tcPr>
          <w:p w:rsidR="00DC71DE" w:rsidRPr="001865B8" w:rsidRDefault="00DC71DE" w:rsidP="001865B8">
            <w:pPr>
              <w:jc w:val="right"/>
            </w:pPr>
            <w:r w:rsidRPr="001865B8">
              <w:t>83%</w:t>
            </w:r>
          </w:p>
        </w:tc>
      </w:tr>
      <w:tr w:rsidR="001865B8" w:rsidRPr="001865B8" w:rsidTr="001865B8">
        <w:trPr>
          <w:trHeight w:val="345"/>
        </w:trPr>
        <w:tc>
          <w:tcPr>
            <w:tcW w:w="530" w:type="pct"/>
            <w:tcMar>
              <w:left w:w="57" w:type="dxa"/>
              <w:right w:w="57" w:type="dxa"/>
            </w:tcMar>
            <w:hideMark/>
          </w:tcPr>
          <w:p w:rsidR="00DC71DE" w:rsidRPr="001865B8" w:rsidRDefault="00DC71DE" w:rsidP="001865B8">
            <w:pPr>
              <w:rPr>
                <w:rStyle w:val="Strong"/>
              </w:rPr>
            </w:pPr>
            <w:r w:rsidRPr="001865B8">
              <w:rPr>
                <w:rStyle w:val="Strong"/>
              </w:rPr>
              <w:t> </w:t>
            </w:r>
          </w:p>
        </w:tc>
        <w:tc>
          <w:tcPr>
            <w:tcW w:w="611" w:type="pct"/>
            <w:tcMar>
              <w:left w:w="57" w:type="dxa"/>
              <w:right w:w="57" w:type="dxa"/>
            </w:tcMar>
            <w:hideMark/>
          </w:tcPr>
          <w:p w:rsidR="00DC71DE" w:rsidRPr="001865B8" w:rsidRDefault="00DC71DE" w:rsidP="001865B8">
            <w:r w:rsidRPr="001865B8">
              <w:t> </w:t>
            </w:r>
          </w:p>
        </w:tc>
        <w:tc>
          <w:tcPr>
            <w:tcW w:w="635" w:type="pct"/>
            <w:tcMar>
              <w:left w:w="57" w:type="dxa"/>
              <w:right w:w="57" w:type="dxa"/>
            </w:tcMar>
            <w:hideMark/>
          </w:tcPr>
          <w:p w:rsidR="00DC71DE" w:rsidRPr="001865B8" w:rsidRDefault="00DC71DE" w:rsidP="001865B8">
            <w:pPr>
              <w:jc w:val="right"/>
            </w:pPr>
            <w:r w:rsidRPr="001865B8">
              <w:t> </w:t>
            </w:r>
          </w:p>
        </w:tc>
        <w:tc>
          <w:tcPr>
            <w:tcW w:w="322"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c>
          <w:tcPr>
            <w:tcW w:w="580" w:type="pct"/>
            <w:tcMar>
              <w:left w:w="57" w:type="dxa"/>
              <w:right w:w="57" w:type="dxa"/>
            </w:tcMar>
            <w:hideMark/>
          </w:tcPr>
          <w:p w:rsidR="00DC71DE" w:rsidRPr="001865B8" w:rsidRDefault="00DC71DE" w:rsidP="001865B8">
            <w:pPr>
              <w:jc w:val="right"/>
            </w:pPr>
            <w:r w:rsidRPr="001865B8">
              <w:t> </w:t>
            </w:r>
          </w:p>
        </w:tc>
        <w:tc>
          <w:tcPr>
            <w:tcW w:w="387" w:type="pct"/>
            <w:tcMar>
              <w:left w:w="57" w:type="dxa"/>
              <w:right w:w="57" w:type="dxa"/>
            </w:tcMar>
            <w:hideMark/>
          </w:tcPr>
          <w:p w:rsidR="00DC71DE" w:rsidRPr="001865B8" w:rsidRDefault="00DC71DE" w:rsidP="001865B8">
            <w:pPr>
              <w:jc w:val="right"/>
            </w:pPr>
            <w:r w:rsidRPr="001865B8">
              <w:t> </w:t>
            </w:r>
          </w:p>
        </w:tc>
      </w:tr>
      <w:tr w:rsidR="001865B8" w:rsidRPr="001865B8" w:rsidTr="001865B8">
        <w:trPr>
          <w:trHeight w:val="315"/>
        </w:trPr>
        <w:tc>
          <w:tcPr>
            <w:tcW w:w="530" w:type="pct"/>
            <w:vMerge w:val="restart"/>
            <w:tcMar>
              <w:left w:w="57" w:type="dxa"/>
              <w:right w:w="57" w:type="dxa"/>
            </w:tcMar>
            <w:hideMark/>
          </w:tcPr>
          <w:p w:rsidR="00DC71DE" w:rsidRPr="001865B8" w:rsidRDefault="00DC71DE" w:rsidP="001865B8">
            <w:pPr>
              <w:rPr>
                <w:rStyle w:val="Strong"/>
              </w:rPr>
            </w:pPr>
            <w:r w:rsidRPr="001865B8">
              <w:rPr>
                <w:rStyle w:val="Strong"/>
              </w:rPr>
              <w:lastRenderedPageBreak/>
              <w:t>Self-funded retiree</w:t>
            </w:r>
          </w:p>
        </w:tc>
        <w:tc>
          <w:tcPr>
            <w:tcW w:w="611" w:type="pct"/>
            <w:tcMar>
              <w:left w:w="57" w:type="dxa"/>
              <w:right w:w="57" w:type="dxa"/>
            </w:tcMar>
            <w:hideMark/>
          </w:tcPr>
          <w:p w:rsidR="00DC71DE" w:rsidRPr="001865B8" w:rsidRDefault="00DC71DE" w:rsidP="001865B8">
            <w:r w:rsidRPr="001865B8">
              <w:t>Consumer</w:t>
            </w:r>
          </w:p>
        </w:tc>
        <w:tc>
          <w:tcPr>
            <w:tcW w:w="635" w:type="pct"/>
            <w:tcMar>
              <w:left w:w="57" w:type="dxa"/>
              <w:right w:w="57" w:type="dxa"/>
            </w:tcMar>
            <w:hideMark/>
          </w:tcPr>
          <w:p w:rsidR="00DC71DE" w:rsidRPr="001865B8" w:rsidRDefault="00DC71DE" w:rsidP="001865B8">
            <w:pPr>
              <w:jc w:val="right"/>
            </w:pPr>
            <w:r w:rsidRPr="001865B8">
              <w:t xml:space="preserve">$12,037.70 </w:t>
            </w:r>
          </w:p>
        </w:tc>
        <w:tc>
          <w:tcPr>
            <w:tcW w:w="322" w:type="pct"/>
            <w:tcMar>
              <w:left w:w="57" w:type="dxa"/>
              <w:right w:w="57" w:type="dxa"/>
            </w:tcMar>
            <w:hideMark/>
          </w:tcPr>
          <w:p w:rsidR="00DC71DE" w:rsidRPr="001865B8" w:rsidRDefault="00DC71DE" w:rsidP="001865B8">
            <w:pPr>
              <w:jc w:val="right"/>
            </w:pPr>
            <w:r w:rsidRPr="001865B8">
              <w:t>100%</w:t>
            </w:r>
          </w:p>
        </w:tc>
        <w:tc>
          <w:tcPr>
            <w:tcW w:w="580" w:type="pct"/>
            <w:tcMar>
              <w:left w:w="57" w:type="dxa"/>
              <w:right w:w="57" w:type="dxa"/>
            </w:tcMar>
            <w:hideMark/>
          </w:tcPr>
          <w:p w:rsidR="00DC71DE" w:rsidRPr="001865B8" w:rsidRDefault="00DC71DE" w:rsidP="001865B8">
            <w:pPr>
              <w:jc w:val="right"/>
            </w:pPr>
            <w:r w:rsidRPr="001865B8">
              <w:t xml:space="preserve">$14,552.65 </w:t>
            </w:r>
          </w:p>
        </w:tc>
        <w:tc>
          <w:tcPr>
            <w:tcW w:w="387" w:type="pct"/>
            <w:tcMar>
              <w:left w:w="57" w:type="dxa"/>
              <w:right w:w="57" w:type="dxa"/>
            </w:tcMar>
            <w:hideMark/>
          </w:tcPr>
          <w:p w:rsidR="00DC71DE" w:rsidRPr="001865B8" w:rsidRDefault="00DC71DE" w:rsidP="001865B8">
            <w:pPr>
              <w:jc w:val="right"/>
            </w:pPr>
            <w:r w:rsidRPr="001865B8">
              <w:t>77%</w:t>
            </w:r>
          </w:p>
        </w:tc>
        <w:tc>
          <w:tcPr>
            <w:tcW w:w="580" w:type="pct"/>
            <w:tcMar>
              <w:left w:w="57" w:type="dxa"/>
              <w:right w:w="57" w:type="dxa"/>
            </w:tcMar>
            <w:hideMark/>
          </w:tcPr>
          <w:p w:rsidR="00DC71DE" w:rsidRPr="001865B8" w:rsidRDefault="00DC71DE" w:rsidP="001865B8">
            <w:pPr>
              <w:jc w:val="right"/>
            </w:pPr>
            <w:r w:rsidRPr="001865B8">
              <w:t xml:space="preserve">$14,552.65 </w:t>
            </w:r>
          </w:p>
        </w:tc>
        <w:tc>
          <w:tcPr>
            <w:tcW w:w="387" w:type="pct"/>
            <w:tcMar>
              <w:left w:w="57" w:type="dxa"/>
              <w:right w:w="57" w:type="dxa"/>
            </w:tcMar>
            <w:hideMark/>
          </w:tcPr>
          <w:p w:rsidR="00DC71DE" w:rsidRPr="001865B8" w:rsidRDefault="00DC71DE" w:rsidP="001865B8">
            <w:pPr>
              <w:jc w:val="right"/>
            </w:pPr>
            <w:r w:rsidRPr="001865B8">
              <w:t>39%</w:t>
            </w:r>
          </w:p>
        </w:tc>
        <w:tc>
          <w:tcPr>
            <w:tcW w:w="580" w:type="pct"/>
            <w:tcMar>
              <w:left w:w="57" w:type="dxa"/>
              <w:right w:w="57" w:type="dxa"/>
            </w:tcMar>
            <w:hideMark/>
          </w:tcPr>
          <w:p w:rsidR="00DC71DE" w:rsidRPr="001865B8" w:rsidRDefault="00DC71DE" w:rsidP="001865B8">
            <w:pPr>
              <w:jc w:val="right"/>
            </w:pPr>
            <w:r w:rsidRPr="001865B8">
              <w:t xml:space="preserve">$14,552.65 </w:t>
            </w:r>
          </w:p>
        </w:tc>
        <w:tc>
          <w:tcPr>
            <w:tcW w:w="387" w:type="pct"/>
            <w:tcMar>
              <w:left w:w="57" w:type="dxa"/>
              <w:right w:w="57" w:type="dxa"/>
            </w:tcMar>
            <w:hideMark/>
          </w:tcPr>
          <w:p w:rsidR="00DC71DE" w:rsidRPr="001865B8" w:rsidRDefault="00DC71DE" w:rsidP="001865B8">
            <w:pPr>
              <w:jc w:val="right"/>
            </w:pPr>
            <w:r w:rsidRPr="001865B8">
              <w:t>27%</w:t>
            </w:r>
          </w:p>
        </w:tc>
      </w:tr>
      <w:tr w:rsidR="001865B8" w:rsidRPr="001865B8" w:rsidTr="001865B8">
        <w:trPr>
          <w:trHeight w:val="315"/>
        </w:trPr>
        <w:tc>
          <w:tcPr>
            <w:tcW w:w="530" w:type="pct"/>
            <w:vMerge/>
            <w:tcMar>
              <w:left w:w="57" w:type="dxa"/>
              <w:right w:w="57" w:type="dxa"/>
            </w:tcMar>
            <w:hideMark/>
          </w:tcPr>
          <w:p w:rsidR="00DC71DE" w:rsidRPr="001865B8" w:rsidRDefault="00DC71DE" w:rsidP="001865B8"/>
        </w:tc>
        <w:tc>
          <w:tcPr>
            <w:tcW w:w="611" w:type="pct"/>
            <w:tcMar>
              <w:left w:w="57" w:type="dxa"/>
              <w:right w:w="57" w:type="dxa"/>
            </w:tcMar>
            <w:hideMark/>
          </w:tcPr>
          <w:p w:rsidR="00DC71DE" w:rsidRPr="001865B8" w:rsidRDefault="00DC71DE" w:rsidP="001865B8">
            <w:r w:rsidRPr="001865B8">
              <w:t>Government</w:t>
            </w:r>
          </w:p>
        </w:tc>
        <w:tc>
          <w:tcPr>
            <w:tcW w:w="635" w:type="pct"/>
            <w:tcMar>
              <w:left w:w="57" w:type="dxa"/>
              <w:right w:w="57" w:type="dxa"/>
            </w:tcMar>
            <w:hideMark/>
          </w:tcPr>
          <w:p w:rsidR="00DC71DE" w:rsidRPr="001865B8" w:rsidRDefault="00DC71DE" w:rsidP="001865B8">
            <w:pPr>
              <w:jc w:val="right"/>
            </w:pPr>
            <w:r w:rsidRPr="001865B8">
              <w:t xml:space="preserve">$0 </w:t>
            </w:r>
          </w:p>
        </w:tc>
        <w:tc>
          <w:tcPr>
            <w:tcW w:w="322" w:type="pct"/>
            <w:tcMar>
              <w:left w:w="57" w:type="dxa"/>
              <w:right w:w="57" w:type="dxa"/>
            </w:tcMar>
            <w:hideMark/>
          </w:tcPr>
          <w:p w:rsidR="00DC71DE" w:rsidRPr="001865B8" w:rsidRDefault="00DC71DE" w:rsidP="001865B8">
            <w:pPr>
              <w:jc w:val="right"/>
            </w:pPr>
            <w:r w:rsidRPr="001865B8">
              <w:t>0%</w:t>
            </w:r>
          </w:p>
        </w:tc>
        <w:tc>
          <w:tcPr>
            <w:tcW w:w="580" w:type="pct"/>
            <w:tcMar>
              <w:left w:w="57" w:type="dxa"/>
              <w:right w:w="57" w:type="dxa"/>
            </w:tcMar>
            <w:hideMark/>
          </w:tcPr>
          <w:p w:rsidR="00DC71DE" w:rsidRPr="001865B8" w:rsidRDefault="00DC71DE" w:rsidP="001865B8">
            <w:pPr>
              <w:jc w:val="right"/>
            </w:pPr>
            <w:r w:rsidRPr="001865B8">
              <w:t xml:space="preserve">$4,259.45 </w:t>
            </w:r>
          </w:p>
        </w:tc>
        <w:tc>
          <w:tcPr>
            <w:tcW w:w="387" w:type="pct"/>
            <w:tcMar>
              <w:left w:w="57" w:type="dxa"/>
              <w:right w:w="57" w:type="dxa"/>
            </w:tcMar>
            <w:hideMark/>
          </w:tcPr>
          <w:p w:rsidR="00DC71DE" w:rsidRPr="001865B8" w:rsidRDefault="00DC71DE" w:rsidP="001865B8">
            <w:pPr>
              <w:jc w:val="right"/>
            </w:pPr>
            <w:r w:rsidRPr="001865B8">
              <w:t>23%</w:t>
            </w:r>
          </w:p>
        </w:tc>
        <w:tc>
          <w:tcPr>
            <w:tcW w:w="580" w:type="pct"/>
            <w:tcMar>
              <w:left w:w="57" w:type="dxa"/>
              <w:right w:w="57" w:type="dxa"/>
            </w:tcMar>
            <w:hideMark/>
          </w:tcPr>
          <w:p w:rsidR="00DC71DE" w:rsidRPr="001865B8" w:rsidRDefault="00DC71DE" w:rsidP="001865B8">
            <w:pPr>
              <w:jc w:val="right"/>
            </w:pPr>
            <w:r w:rsidRPr="001865B8">
              <w:t xml:space="preserve">$22,290.45 </w:t>
            </w:r>
          </w:p>
        </w:tc>
        <w:tc>
          <w:tcPr>
            <w:tcW w:w="387" w:type="pct"/>
            <w:tcMar>
              <w:left w:w="57" w:type="dxa"/>
              <w:right w:w="57" w:type="dxa"/>
            </w:tcMar>
            <w:hideMark/>
          </w:tcPr>
          <w:p w:rsidR="00DC71DE" w:rsidRPr="001865B8" w:rsidRDefault="00DC71DE" w:rsidP="001865B8">
            <w:pPr>
              <w:jc w:val="right"/>
            </w:pPr>
            <w:r w:rsidRPr="001865B8">
              <w:t>61%</w:t>
            </w:r>
          </w:p>
        </w:tc>
        <w:tc>
          <w:tcPr>
            <w:tcW w:w="580" w:type="pct"/>
            <w:tcMar>
              <w:left w:w="57" w:type="dxa"/>
              <w:right w:w="57" w:type="dxa"/>
            </w:tcMar>
            <w:hideMark/>
          </w:tcPr>
          <w:p w:rsidR="00DC71DE" w:rsidRPr="001865B8" w:rsidRDefault="00DC71DE" w:rsidP="001865B8">
            <w:pPr>
              <w:jc w:val="right"/>
            </w:pPr>
            <w:r w:rsidRPr="001865B8">
              <w:t xml:space="preserve">$39,500.20 </w:t>
            </w:r>
          </w:p>
        </w:tc>
        <w:tc>
          <w:tcPr>
            <w:tcW w:w="387" w:type="pct"/>
            <w:tcMar>
              <w:left w:w="57" w:type="dxa"/>
              <w:right w:w="57" w:type="dxa"/>
            </w:tcMar>
            <w:hideMark/>
          </w:tcPr>
          <w:p w:rsidR="00DC71DE" w:rsidRPr="001865B8" w:rsidRDefault="00DC71DE" w:rsidP="001865B8">
            <w:pPr>
              <w:jc w:val="right"/>
            </w:pPr>
            <w:r w:rsidRPr="001865B8">
              <w:t>73%</w:t>
            </w:r>
          </w:p>
        </w:tc>
      </w:tr>
      <w:tr w:rsidR="001865B8" w:rsidRPr="001865B8" w:rsidTr="001865B8">
        <w:trPr>
          <w:trHeight w:val="856"/>
        </w:trPr>
        <w:tc>
          <w:tcPr>
            <w:tcW w:w="530" w:type="pct"/>
            <w:tcMar>
              <w:left w:w="57" w:type="dxa"/>
              <w:right w:w="57" w:type="dxa"/>
            </w:tcMar>
            <w:hideMark/>
          </w:tcPr>
          <w:p w:rsidR="00DC71DE" w:rsidRPr="001865B8" w:rsidRDefault="00DC71DE" w:rsidP="001865B8">
            <w:r w:rsidRPr="001865B8">
              <w:t> </w:t>
            </w:r>
          </w:p>
        </w:tc>
        <w:tc>
          <w:tcPr>
            <w:tcW w:w="611" w:type="pct"/>
            <w:tcMar>
              <w:left w:w="57" w:type="dxa"/>
              <w:right w:w="57" w:type="dxa"/>
            </w:tcMar>
            <w:hideMark/>
          </w:tcPr>
          <w:p w:rsidR="00DC71DE" w:rsidRPr="001865B8" w:rsidRDefault="00DC71DE" w:rsidP="001865B8">
            <w:r w:rsidRPr="001865B8">
              <w:rPr>
                <w:rStyle w:val="Strong"/>
              </w:rPr>
              <w:t>Total package value</w:t>
            </w:r>
          </w:p>
        </w:tc>
        <w:tc>
          <w:tcPr>
            <w:tcW w:w="635" w:type="pct"/>
            <w:tcMar>
              <w:left w:w="57" w:type="dxa"/>
              <w:right w:w="57" w:type="dxa"/>
            </w:tcMar>
            <w:hideMark/>
          </w:tcPr>
          <w:p w:rsidR="00DC71DE" w:rsidRPr="001865B8" w:rsidRDefault="00DC71DE" w:rsidP="001865B8">
            <w:pPr>
              <w:jc w:val="right"/>
            </w:pPr>
            <w:r w:rsidRPr="001865B8">
              <w:rPr>
                <w:rStyle w:val="Strong"/>
              </w:rPr>
              <w:t xml:space="preserve">$12,037.70 </w:t>
            </w:r>
          </w:p>
        </w:tc>
        <w:tc>
          <w:tcPr>
            <w:tcW w:w="322" w:type="pct"/>
            <w:tcMar>
              <w:left w:w="57" w:type="dxa"/>
              <w:right w:w="57" w:type="dxa"/>
            </w:tcMar>
            <w:hideMark/>
          </w:tcPr>
          <w:p w:rsidR="00DC71DE" w:rsidRPr="001865B8" w:rsidRDefault="00DC71DE" w:rsidP="001865B8">
            <w:pPr>
              <w:jc w:val="right"/>
            </w:pPr>
            <w:r w:rsidRPr="001865B8">
              <w:rPr>
                <w:rStyle w:val="Strong"/>
              </w:rPr>
              <w:t> </w:t>
            </w:r>
          </w:p>
        </w:tc>
        <w:tc>
          <w:tcPr>
            <w:tcW w:w="580" w:type="pct"/>
            <w:tcMar>
              <w:left w:w="57" w:type="dxa"/>
              <w:right w:w="57" w:type="dxa"/>
            </w:tcMar>
            <w:hideMark/>
          </w:tcPr>
          <w:p w:rsidR="00DC71DE" w:rsidRPr="001865B8" w:rsidRDefault="00DC71DE" w:rsidP="001865B8">
            <w:pPr>
              <w:jc w:val="right"/>
            </w:pPr>
            <w:r w:rsidRPr="001865B8">
              <w:rPr>
                <w:rStyle w:val="Strong"/>
              </w:rPr>
              <w:t xml:space="preserve">$18,812.10 </w:t>
            </w:r>
          </w:p>
        </w:tc>
        <w:tc>
          <w:tcPr>
            <w:tcW w:w="387" w:type="pct"/>
            <w:tcMar>
              <w:left w:w="57" w:type="dxa"/>
              <w:right w:w="57" w:type="dxa"/>
            </w:tcMar>
            <w:hideMark/>
          </w:tcPr>
          <w:p w:rsidR="00DC71DE" w:rsidRPr="001865B8" w:rsidRDefault="00DC71DE" w:rsidP="001865B8">
            <w:pPr>
              <w:jc w:val="right"/>
            </w:pPr>
            <w:r w:rsidRPr="001865B8">
              <w:rPr>
                <w:rStyle w:val="Strong"/>
              </w:rPr>
              <w:t> </w:t>
            </w:r>
          </w:p>
        </w:tc>
        <w:tc>
          <w:tcPr>
            <w:tcW w:w="580" w:type="pct"/>
            <w:tcMar>
              <w:left w:w="57" w:type="dxa"/>
              <w:right w:w="57" w:type="dxa"/>
            </w:tcMar>
            <w:hideMark/>
          </w:tcPr>
          <w:p w:rsidR="00DC71DE" w:rsidRPr="001865B8" w:rsidRDefault="00DC71DE" w:rsidP="001865B8">
            <w:pPr>
              <w:jc w:val="right"/>
            </w:pPr>
            <w:r w:rsidRPr="001865B8">
              <w:rPr>
                <w:rStyle w:val="Strong"/>
              </w:rPr>
              <w:t xml:space="preserve">$36,843.10 </w:t>
            </w:r>
          </w:p>
        </w:tc>
        <w:tc>
          <w:tcPr>
            <w:tcW w:w="387" w:type="pct"/>
            <w:tcMar>
              <w:left w:w="57" w:type="dxa"/>
              <w:right w:w="57" w:type="dxa"/>
            </w:tcMar>
            <w:hideMark/>
          </w:tcPr>
          <w:p w:rsidR="00DC71DE" w:rsidRPr="001865B8" w:rsidRDefault="00DC71DE" w:rsidP="001865B8">
            <w:pPr>
              <w:jc w:val="right"/>
            </w:pPr>
            <w:r w:rsidRPr="001865B8">
              <w:rPr>
                <w:rStyle w:val="Strong"/>
              </w:rPr>
              <w:t> </w:t>
            </w:r>
          </w:p>
        </w:tc>
        <w:tc>
          <w:tcPr>
            <w:tcW w:w="580" w:type="pct"/>
            <w:tcMar>
              <w:left w:w="57" w:type="dxa"/>
              <w:right w:w="57" w:type="dxa"/>
            </w:tcMar>
            <w:hideMark/>
          </w:tcPr>
          <w:p w:rsidR="00DC71DE" w:rsidRPr="001865B8" w:rsidRDefault="00DC71DE" w:rsidP="001865B8">
            <w:pPr>
              <w:jc w:val="right"/>
              <w:rPr>
                <w:rStyle w:val="Strong"/>
              </w:rPr>
            </w:pPr>
            <w:r w:rsidRPr="001865B8">
              <w:rPr>
                <w:rStyle w:val="Strong"/>
              </w:rPr>
              <w:t xml:space="preserve">$54,052.85 </w:t>
            </w:r>
          </w:p>
        </w:tc>
        <w:tc>
          <w:tcPr>
            <w:tcW w:w="387" w:type="pct"/>
            <w:tcMar>
              <w:left w:w="57" w:type="dxa"/>
              <w:right w:w="57" w:type="dxa"/>
            </w:tcMar>
            <w:hideMark/>
          </w:tcPr>
          <w:p w:rsidR="00DC71DE" w:rsidRPr="001865B8" w:rsidRDefault="00DC71DE" w:rsidP="001865B8">
            <w:pPr>
              <w:jc w:val="right"/>
            </w:pPr>
            <w:r w:rsidRPr="001865B8">
              <w:t> </w:t>
            </w:r>
          </w:p>
        </w:tc>
      </w:tr>
    </w:tbl>
    <w:p w:rsidR="00D8721E" w:rsidRDefault="0042743E" w:rsidP="001865B8">
      <w:pPr>
        <w:rPr>
          <w:lang w:val="en-GB"/>
        </w:rPr>
      </w:pPr>
      <w:r>
        <w:rPr>
          <w:lang w:val="en-GB"/>
        </w:rPr>
        <w:t>Consistent with the observation i</w:t>
      </w:r>
      <w:r w:rsidRPr="00FC1897">
        <w:rPr>
          <w:lang w:val="en-GB"/>
        </w:rPr>
        <w:t xml:space="preserve">n last year’s ACFA </w:t>
      </w:r>
      <w:r>
        <w:rPr>
          <w:lang w:val="en-GB"/>
        </w:rPr>
        <w:t>report, the</w:t>
      </w:r>
      <w:r w:rsidRPr="00FC1897">
        <w:rPr>
          <w:lang w:val="en-GB"/>
        </w:rPr>
        <w:t xml:space="preserve"> income-tested care fees are </w:t>
      </w:r>
      <w:r>
        <w:rPr>
          <w:lang w:val="en-GB"/>
        </w:rPr>
        <w:t xml:space="preserve">still </w:t>
      </w:r>
      <w:r w:rsidRPr="00FC1897">
        <w:rPr>
          <w:lang w:val="en-GB"/>
        </w:rPr>
        <w:t>not providing a significant improvement to fiscal sustainability from a Government</w:t>
      </w:r>
      <w:r w:rsidR="00BF2447">
        <w:rPr>
          <w:lang w:val="en-GB"/>
        </w:rPr>
        <w:t xml:space="preserve"> or taxpayer</w:t>
      </w:r>
      <w:r w:rsidRPr="00FC1897">
        <w:rPr>
          <w:lang w:val="en-GB"/>
        </w:rPr>
        <w:t xml:space="preserve"> perspective</w:t>
      </w:r>
      <w:r>
        <w:rPr>
          <w:lang w:val="en-GB"/>
        </w:rPr>
        <w:t xml:space="preserve">. </w:t>
      </w:r>
      <w:r w:rsidRPr="00FC1897">
        <w:rPr>
          <w:lang w:val="en-GB"/>
        </w:rPr>
        <w:t xml:space="preserve">This is because the vast majority of home care consumers </w:t>
      </w:r>
      <w:r>
        <w:rPr>
          <w:lang w:val="en-GB"/>
        </w:rPr>
        <w:t xml:space="preserve">continue to be </w:t>
      </w:r>
      <w:r w:rsidRPr="00FC1897">
        <w:rPr>
          <w:lang w:val="en-GB"/>
        </w:rPr>
        <w:t>full pensioners (7</w:t>
      </w:r>
      <w:r w:rsidR="00D00B54">
        <w:rPr>
          <w:lang w:val="en-GB"/>
        </w:rPr>
        <w:t>7</w:t>
      </w:r>
      <w:r w:rsidR="00A261F3">
        <w:rPr>
          <w:lang w:val="en-GB"/>
        </w:rPr>
        <w:t> per cent</w:t>
      </w:r>
      <w:r w:rsidRPr="00FC1897">
        <w:rPr>
          <w:lang w:val="en-GB"/>
        </w:rPr>
        <w:t xml:space="preserve"> during</w:t>
      </w:r>
      <w:r w:rsidR="00A261F3">
        <w:rPr>
          <w:lang w:val="en-GB"/>
        </w:rPr>
        <w:t> 201</w:t>
      </w:r>
      <w:r w:rsidRPr="00FC1897">
        <w:rPr>
          <w:lang w:val="en-GB"/>
        </w:rPr>
        <w:t>6</w:t>
      </w:r>
      <w:r w:rsidR="00D8721E">
        <w:rPr>
          <w:lang w:val="en-GB"/>
        </w:rPr>
        <w:t>–1</w:t>
      </w:r>
      <w:r w:rsidRPr="00FC1897">
        <w:rPr>
          <w:lang w:val="en-GB"/>
        </w:rPr>
        <w:t>7), who are not required to contribute any care fee, or part pensioners (1</w:t>
      </w:r>
      <w:r w:rsidR="00D00B54">
        <w:rPr>
          <w:lang w:val="en-GB"/>
        </w:rPr>
        <w:t>9</w:t>
      </w:r>
      <w:r w:rsidR="00A261F3">
        <w:rPr>
          <w:lang w:val="en-GB"/>
        </w:rPr>
        <w:t> per cent</w:t>
      </w:r>
      <w:r w:rsidRPr="00FC1897">
        <w:rPr>
          <w:lang w:val="en-GB"/>
        </w:rPr>
        <w:t xml:space="preserve"> during</w:t>
      </w:r>
      <w:r w:rsidR="00A261F3">
        <w:rPr>
          <w:lang w:val="en-GB"/>
        </w:rPr>
        <w:t> 201</w:t>
      </w:r>
      <w:r w:rsidRPr="00FC1897">
        <w:rPr>
          <w:lang w:val="en-GB"/>
        </w:rPr>
        <w:t>6</w:t>
      </w:r>
      <w:r w:rsidR="00D8721E">
        <w:rPr>
          <w:lang w:val="en-GB"/>
        </w:rPr>
        <w:t>–1</w:t>
      </w:r>
      <w:r w:rsidRPr="00FC1897">
        <w:rPr>
          <w:lang w:val="en-GB"/>
        </w:rPr>
        <w:t>7), who can be charged</w:t>
      </w:r>
      <w:r>
        <w:rPr>
          <w:lang w:val="en-GB"/>
        </w:rPr>
        <w:t xml:space="preserve"> only</w:t>
      </w:r>
      <w:r w:rsidRPr="00FC1897">
        <w:rPr>
          <w:lang w:val="en-GB"/>
        </w:rPr>
        <w:t xml:space="preserve"> a limited care fee.</w:t>
      </w:r>
    </w:p>
    <w:p w:rsidR="004E65B6" w:rsidRPr="00596D01" w:rsidRDefault="004E65B6" w:rsidP="001865B8">
      <w:pPr>
        <w:pStyle w:val="Heading3Numbered"/>
      </w:pPr>
      <w:bookmarkStart w:id="210" w:name="_Toc524424711"/>
      <w:r w:rsidRPr="00596D01">
        <w:t>Residential care</w:t>
      </w:r>
      <w:bookmarkEnd w:id="210"/>
    </w:p>
    <w:p w:rsidR="00D8721E" w:rsidRDefault="00532E00" w:rsidP="001865B8">
      <w:r>
        <w:t xml:space="preserve">The changes of </w:t>
      </w:r>
      <w:r w:rsidR="00EB039B">
        <w:t>1 July</w:t>
      </w:r>
      <w:r w:rsidR="00A261F3">
        <w:t> 201</w:t>
      </w:r>
      <w:r w:rsidR="00031ADB">
        <w:t>4</w:t>
      </w:r>
      <w:r>
        <w:t xml:space="preserve"> in residential care saw the previously separate income and asset tests</w:t>
      </w:r>
      <w:r w:rsidR="00446B62">
        <w:t>,</w:t>
      </w:r>
      <w:r>
        <w:t xml:space="preserve"> applied to care and accommodation contributions respectively</w:t>
      </w:r>
      <w:r w:rsidR="009A16D9">
        <w:t>,</w:t>
      </w:r>
      <w:r>
        <w:t xml:space="preserve"> combined into one means test</w:t>
      </w:r>
      <w:r w:rsidR="00552DFE">
        <w:t>. This was</w:t>
      </w:r>
      <w:r>
        <w:t xml:space="preserve"> to ensure consistency of assessment of wealth irrespective of whether it is in the form of assets or income. All residents can also be asked to pay a basic daily fee for their living expenses, which is set at</w:t>
      </w:r>
      <w:r w:rsidR="006767A6">
        <w:t xml:space="preserve"> a maximum of</w:t>
      </w:r>
      <w:r w:rsidR="00EE5B9D">
        <w:t xml:space="preserve"> 8</w:t>
      </w:r>
      <w:r w:rsidR="009C307B">
        <w:t>5</w:t>
      </w:r>
      <w:r w:rsidR="00A261F3">
        <w:t> per cent</w:t>
      </w:r>
      <w:r>
        <w:t xml:space="preserve"> o</w:t>
      </w:r>
      <w:r w:rsidR="006767A6">
        <w:t>f the bas</w:t>
      </w:r>
      <w:r w:rsidR="00EE5B9D">
        <w:t xml:space="preserve">ic single aged pension. </w:t>
      </w:r>
      <w:r w:rsidR="00EE5B9D" w:rsidRPr="00662B7D">
        <w:t xml:space="preserve">As at </w:t>
      </w:r>
      <w:r w:rsidR="00EB039B">
        <w:t>1 July</w:t>
      </w:r>
      <w:r w:rsidR="00A261F3">
        <w:t> 201</w:t>
      </w:r>
      <w:r w:rsidR="00520E79" w:rsidRPr="00662B7D">
        <w:t>8</w:t>
      </w:r>
      <w:r w:rsidR="00662B7D">
        <w:rPr>
          <w:rStyle w:val="FootnoteReference"/>
          <w:rFonts w:cs="Segoe UI"/>
        </w:rPr>
        <w:footnoteReference w:id="23"/>
      </w:r>
      <w:r w:rsidR="00552DFE" w:rsidRPr="00662B7D">
        <w:t>,</w:t>
      </w:r>
      <w:r w:rsidR="006767A6" w:rsidRPr="00662B7D">
        <w:t xml:space="preserve"> 8</w:t>
      </w:r>
      <w:r w:rsidR="009C307B">
        <w:t>5</w:t>
      </w:r>
      <w:r w:rsidR="00A261F3">
        <w:t> per cent</w:t>
      </w:r>
      <w:r w:rsidR="006767A6" w:rsidRPr="00662B7D">
        <w:t xml:space="preserve"> of the basic single </w:t>
      </w:r>
      <w:r w:rsidR="00EE5B9D" w:rsidRPr="00662B7D">
        <w:t>aged pension was</w:t>
      </w:r>
      <w:r w:rsidR="00662B7D">
        <w:t xml:space="preserve"> $50.16 per day ($18,308.40 annualised)</w:t>
      </w:r>
      <w:r w:rsidR="00D8721E">
        <w:t>.</w:t>
      </w:r>
    </w:p>
    <w:p w:rsidR="004E65B6" w:rsidRDefault="004E65B6" w:rsidP="001865B8">
      <w:r>
        <w:t>Whether a resident is required to contribute toward their acco</w:t>
      </w:r>
      <w:r w:rsidR="00BD15A1">
        <w:t>mmodation and/or care costs is</w:t>
      </w:r>
      <w:r>
        <w:t xml:space="preserve"> subject to </w:t>
      </w:r>
      <w:r w:rsidR="00315845">
        <w:t xml:space="preserve">the means test. </w:t>
      </w:r>
      <w:r w:rsidR="00552DFE">
        <w:t>T</w:t>
      </w:r>
      <w:r>
        <w:t>he income and asset thresholds a</w:t>
      </w:r>
      <w:r w:rsidR="0061278F">
        <w:t>s</w:t>
      </w:r>
      <w:r>
        <w:t xml:space="preserve"> they are applied to me</w:t>
      </w:r>
      <w:r w:rsidR="00BD0B84">
        <w:t>ans testing in residential care</w:t>
      </w:r>
      <w:r w:rsidR="00003DD9">
        <w:t xml:space="preserve"> are shown at </w:t>
      </w:r>
      <w:r w:rsidR="0069205E">
        <w:fldChar w:fldCharType="begin"/>
      </w:r>
      <w:r w:rsidR="0069205E">
        <w:instrText xml:space="preserve"> REF _Ref524429939 \r \h </w:instrText>
      </w:r>
      <w:r w:rsidR="0069205E">
        <w:fldChar w:fldCharType="separate"/>
      </w:r>
      <w:r w:rsidR="0069205E">
        <w:t>Appendix E</w:t>
      </w:r>
      <w:r w:rsidR="0069205E">
        <w:fldChar w:fldCharType="end"/>
      </w:r>
      <w:r w:rsidR="00BD0B84">
        <w:t>.</w:t>
      </w:r>
    </w:p>
    <w:p w:rsidR="00D8721E" w:rsidRDefault="00526B52" w:rsidP="001865B8">
      <w:r>
        <w:t>ACFA considers that the changes to means tested fees in residential care have generally improved the equity in the treatment of different forms of weal</w:t>
      </w:r>
      <w:r w:rsidR="00491B3A">
        <w:t>th among residents of aged care, but have made little difference to the sustainability of residential aged care services</w:t>
      </w:r>
      <w:r w:rsidR="00D8721E">
        <w:t>.</w:t>
      </w:r>
    </w:p>
    <w:p w:rsidR="00E63CD8" w:rsidRPr="00596D01" w:rsidRDefault="00677132" w:rsidP="001865B8">
      <w:pPr>
        <w:pStyle w:val="Heading2Numbered"/>
      </w:pPr>
      <w:bookmarkStart w:id="211" w:name="_Toc487702543"/>
      <w:bookmarkStart w:id="212" w:name="_Toc487702895"/>
      <w:bookmarkStart w:id="213" w:name="_Toc487703393"/>
      <w:bookmarkStart w:id="214" w:name="_Toc487703587"/>
      <w:bookmarkStart w:id="215" w:name="_Toc524424712"/>
      <w:r w:rsidRPr="00596D01">
        <w:t>The</w:t>
      </w:r>
      <w:r w:rsidR="00F8257D" w:rsidRPr="00596D01">
        <w:t xml:space="preserve"> higher accommodation supplement</w:t>
      </w:r>
      <w:bookmarkEnd w:id="211"/>
      <w:bookmarkEnd w:id="212"/>
      <w:bookmarkEnd w:id="213"/>
      <w:bookmarkEnd w:id="214"/>
      <w:bookmarkEnd w:id="215"/>
      <w:r w:rsidR="00E63CD8" w:rsidRPr="00596D01">
        <w:t xml:space="preserve"> </w:t>
      </w:r>
    </w:p>
    <w:p w:rsidR="00D70BA1" w:rsidRDefault="00D70BA1" w:rsidP="001865B8">
      <w:bookmarkStart w:id="216" w:name="_Toc452487250"/>
      <w:r>
        <w:t xml:space="preserve">A higher maximum accommodation supplement was introduced on </w:t>
      </w:r>
      <w:r w:rsidR="00EB039B">
        <w:t>1 July</w:t>
      </w:r>
      <w:r w:rsidR="00A261F3">
        <w:t> 201</w:t>
      </w:r>
      <w:r>
        <w:t>4 for significantly refurbished and new facilities to:</w:t>
      </w:r>
    </w:p>
    <w:p w:rsidR="00D70BA1" w:rsidRDefault="00D70BA1" w:rsidP="001865B8">
      <w:pPr>
        <w:pStyle w:val="Bullet1"/>
        <w:rPr>
          <w:lang w:eastAsia="en-US"/>
        </w:rPr>
      </w:pPr>
      <w:r>
        <w:rPr>
          <w:lang w:eastAsia="en-US"/>
        </w:rPr>
        <w:t>improve the quality and amenity of existing residential aged care accommodation; and</w:t>
      </w:r>
    </w:p>
    <w:p w:rsidR="00D8721E" w:rsidRDefault="00D70BA1" w:rsidP="001865B8">
      <w:pPr>
        <w:pStyle w:val="Bullet1"/>
        <w:rPr>
          <w:lang w:eastAsia="en-US"/>
        </w:rPr>
      </w:pPr>
      <w:r>
        <w:rPr>
          <w:lang w:eastAsia="en-US"/>
        </w:rPr>
        <w:t>encourage investment and thus increase the sector’s accommodation capacity</w:t>
      </w:r>
      <w:r w:rsidR="00D8721E">
        <w:rPr>
          <w:lang w:eastAsia="en-US"/>
        </w:rPr>
        <w:t>.</w:t>
      </w:r>
    </w:p>
    <w:p w:rsidR="00D8721E" w:rsidRDefault="00D70BA1" w:rsidP="001865B8">
      <w:r>
        <w:t xml:space="preserve">The higher accommodation supplement is available to </w:t>
      </w:r>
      <w:r w:rsidR="00D9792A">
        <w:t>facilities</w:t>
      </w:r>
      <w:r>
        <w:t xml:space="preserve"> that have been built or significantly refurbished since 20 April</w:t>
      </w:r>
      <w:r w:rsidR="00A261F3">
        <w:t> 201</w:t>
      </w:r>
      <w:r>
        <w:t xml:space="preserve">2. As at </w:t>
      </w:r>
      <w:r w:rsidR="00EB039B">
        <w:t>1 July</w:t>
      </w:r>
      <w:r w:rsidR="00A261F3">
        <w:t> 201</w:t>
      </w:r>
      <w:r>
        <w:t xml:space="preserve">8, the higher accommodation </w:t>
      </w:r>
      <w:r w:rsidRPr="00D9792A">
        <w:t>supplement was $56.14 </w:t>
      </w:r>
      <w:r>
        <w:t>per day compared with $36.59 for the standard accommodation supplement.</w:t>
      </w:r>
    </w:p>
    <w:p w:rsidR="00D70BA1" w:rsidRPr="00596D01" w:rsidRDefault="00D70BA1" w:rsidP="001865B8">
      <w:pPr>
        <w:pStyle w:val="Heading3Numbered"/>
      </w:pPr>
      <w:bookmarkStart w:id="217" w:name="_Toc524424713"/>
      <w:r w:rsidRPr="00596D01">
        <w:t>Uptake and</w:t>
      </w:r>
      <w:r w:rsidR="00AC519B" w:rsidRPr="00596D01">
        <w:t xml:space="preserve"> expenditure</w:t>
      </w:r>
      <w:bookmarkEnd w:id="217"/>
    </w:p>
    <w:p w:rsidR="00D70BA1" w:rsidRPr="00D9792A" w:rsidRDefault="00D70BA1" w:rsidP="001865B8">
      <w:r w:rsidRPr="00D9792A">
        <w:t>As at 31 December</w:t>
      </w:r>
      <w:r w:rsidR="00A261F3">
        <w:t> 201</w:t>
      </w:r>
      <w:r w:rsidRPr="00D9792A">
        <w:t xml:space="preserve">7, 986 </w:t>
      </w:r>
      <w:r w:rsidR="00D9792A">
        <w:t>facilities</w:t>
      </w:r>
      <w:r w:rsidRPr="00D9792A">
        <w:t xml:space="preserve"> (representing 34.</w:t>
      </w:r>
      <w:r w:rsidR="00D00B54">
        <w:t>8</w:t>
      </w:r>
      <w:r w:rsidR="00A261F3">
        <w:t> per cent</w:t>
      </w:r>
      <w:r w:rsidRPr="00D9792A">
        <w:t xml:space="preserve"> of all </w:t>
      </w:r>
      <w:r w:rsidR="00D9792A">
        <w:t>facilities</w:t>
      </w:r>
      <w:r w:rsidRPr="00D9792A">
        <w:t xml:space="preserve">) qualified for the higher accommodation supplement. Of these, 854 were significantly refurbished and 132 </w:t>
      </w:r>
      <w:r w:rsidR="00D9792A">
        <w:t xml:space="preserve">were </w:t>
      </w:r>
      <w:r w:rsidRPr="00D9792A">
        <w:t xml:space="preserve">newly built </w:t>
      </w:r>
      <w:r w:rsidR="00D9792A">
        <w:t>facilities</w:t>
      </w:r>
      <w:r w:rsidRPr="00D9792A">
        <w:t xml:space="preserve">. </w:t>
      </w:r>
      <w:r w:rsidR="00D9792A" w:rsidRPr="00D9792A">
        <w:t xml:space="preserve">This </w:t>
      </w:r>
      <w:r w:rsidR="00D9792A">
        <w:t xml:space="preserve">is a significant increase from </w:t>
      </w:r>
      <w:r w:rsidR="00D9792A" w:rsidRPr="00D9792A">
        <w:t>31 December</w:t>
      </w:r>
      <w:r w:rsidR="00A261F3">
        <w:t> 201</w:t>
      </w:r>
      <w:r w:rsidR="00D9792A" w:rsidRPr="00D9792A">
        <w:t>6 whe</w:t>
      </w:r>
      <w:r w:rsidR="008A2196">
        <w:t>n</w:t>
      </w:r>
      <w:r w:rsidR="00D9792A" w:rsidRPr="00D9792A">
        <w:t xml:space="preserve"> 686 facilities </w:t>
      </w:r>
      <w:r w:rsidR="00D9792A">
        <w:t>(25.</w:t>
      </w:r>
      <w:r w:rsidR="009C307B">
        <w:t>5</w:t>
      </w:r>
      <w:r w:rsidR="00A261F3">
        <w:t> per cent</w:t>
      </w:r>
      <w:r w:rsidR="00D9792A">
        <w:t>) were receiving the higher accommodation supplement.</w:t>
      </w:r>
    </w:p>
    <w:p w:rsidR="00D8721E" w:rsidRDefault="00497D1C" w:rsidP="001865B8">
      <w:r>
        <w:t>As at 31 December</w:t>
      </w:r>
      <w:r w:rsidR="00A261F3">
        <w:t> 201</w:t>
      </w:r>
      <w:r>
        <w:t>7, t</w:t>
      </w:r>
      <w:r w:rsidR="00D70BA1">
        <w:t xml:space="preserve">he </w:t>
      </w:r>
      <w:r w:rsidR="00D70BA1" w:rsidRPr="00D9792A">
        <w:t xml:space="preserve">estimated completed refurbishment </w:t>
      </w:r>
      <w:r w:rsidR="003C0CEC">
        <w:t>expenditure</w:t>
      </w:r>
      <w:r w:rsidR="00D70BA1" w:rsidRPr="00D9792A">
        <w:t xml:space="preserve"> per </w:t>
      </w:r>
      <w:r w:rsidR="003C0CEC">
        <w:t>facility</w:t>
      </w:r>
      <w:r w:rsidR="00E675E6">
        <w:t xml:space="preserve"> </w:t>
      </w:r>
      <w:r w:rsidR="00491B3A" w:rsidRPr="00D9792A">
        <w:t xml:space="preserve">averaged </w:t>
      </w:r>
      <w:r w:rsidR="00D70BA1" w:rsidRPr="00D9792A">
        <w:t>$3.</w:t>
      </w:r>
      <w:r w:rsidR="00AB6911">
        <w:t>4</w:t>
      </w:r>
      <w:r w:rsidR="00A261F3">
        <w:t> million</w:t>
      </w:r>
      <w:r w:rsidR="00D70BA1" w:rsidRPr="00D9792A">
        <w:t>, with a</w:t>
      </w:r>
      <w:r w:rsidR="00FD4F24" w:rsidRPr="00D9792A">
        <w:t xml:space="preserve"> median spend </w:t>
      </w:r>
      <w:r w:rsidR="00D70BA1" w:rsidRPr="00D9792A">
        <w:t>of $1</w:t>
      </w:r>
      <w:r w:rsidR="00A261F3">
        <w:t> million</w:t>
      </w:r>
      <w:r w:rsidR="00D70BA1" w:rsidRPr="00D9792A">
        <w:t xml:space="preserve"> and total expenditure of $3.</w:t>
      </w:r>
      <w:r w:rsidR="00271A36">
        <w:t>4</w:t>
      </w:r>
      <w:r w:rsidR="00A261F3">
        <w:t> billion</w:t>
      </w:r>
      <w:r w:rsidR="00D70BA1" w:rsidRPr="00D9792A">
        <w:t xml:space="preserve"> across the sector.</w:t>
      </w:r>
      <w:r w:rsidR="00491B3A" w:rsidRPr="00D9792A">
        <w:t xml:space="preserve"> This </w:t>
      </w:r>
      <w:r w:rsidR="00491B3A" w:rsidRPr="00D9792A">
        <w:lastRenderedPageBreak/>
        <w:t xml:space="preserve">compares with </w:t>
      </w:r>
      <w:r>
        <w:t>31 December</w:t>
      </w:r>
      <w:r w:rsidR="00A261F3">
        <w:t> 201</w:t>
      </w:r>
      <w:r>
        <w:t>6,</w:t>
      </w:r>
      <w:r w:rsidR="00491B3A" w:rsidRPr="00D9792A">
        <w:t xml:space="preserve"> where the average spent was $3.</w:t>
      </w:r>
      <w:r w:rsidR="00B97D56">
        <w:t>8</w:t>
      </w:r>
      <w:r w:rsidR="00A261F3">
        <w:t> million</w:t>
      </w:r>
      <w:r>
        <w:t xml:space="preserve"> per refurbishment</w:t>
      </w:r>
      <w:r w:rsidR="00491B3A" w:rsidRPr="00D9792A">
        <w:t>, median of $1.</w:t>
      </w:r>
      <w:r w:rsidR="00B97D56">
        <w:t>7</w:t>
      </w:r>
      <w:r w:rsidR="00A261F3">
        <w:t> million</w:t>
      </w:r>
      <w:r w:rsidR="00491B3A" w:rsidRPr="00D9792A">
        <w:t xml:space="preserve"> and total expenditure of $2.7</w:t>
      </w:r>
      <w:r w:rsidR="00A261F3">
        <w:t> billion</w:t>
      </w:r>
      <w:r w:rsidR="00D8721E">
        <w:t>.</w:t>
      </w:r>
    </w:p>
    <w:p w:rsidR="00A7058C" w:rsidRPr="00596D01" w:rsidRDefault="002902FA" w:rsidP="001865B8">
      <w:pPr>
        <w:pStyle w:val="Heading2Numbered"/>
      </w:pPr>
      <w:bookmarkStart w:id="218" w:name="_Toc487702544"/>
      <w:bookmarkStart w:id="219" w:name="_Toc487702896"/>
      <w:bookmarkStart w:id="220" w:name="_Toc487703394"/>
      <w:bookmarkStart w:id="221" w:name="_Toc487703588"/>
      <w:bookmarkStart w:id="222" w:name="_Toc524424714"/>
      <w:r w:rsidRPr="00596D01">
        <w:t>Extra service</w:t>
      </w:r>
      <w:bookmarkEnd w:id="218"/>
      <w:bookmarkEnd w:id="219"/>
      <w:bookmarkEnd w:id="220"/>
      <w:bookmarkEnd w:id="221"/>
      <w:bookmarkEnd w:id="222"/>
    </w:p>
    <w:p w:rsidR="00D8721E" w:rsidRDefault="00335718" w:rsidP="001865B8">
      <w:r w:rsidRPr="00D9792A">
        <w:t>Providers with extra service status are able to charge an extra service fee for residents occupying an extra service place for the duration of their stay</w:t>
      </w:r>
      <w:r w:rsidR="00EC7C5F" w:rsidRPr="00D9792A">
        <w:t>.</w:t>
      </w:r>
      <w:r w:rsidRPr="00D9792A">
        <w:t xml:space="preserve"> Extra service status involves the provision of a higher than average standard of services, including accommodation, range and quality of food, and non-care services such as recreational and personal interest activities</w:t>
      </w:r>
      <w:r w:rsidR="00D8721E">
        <w:t>.</w:t>
      </w:r>
    </w:p>
    <w:p w:rsidR="0005576E" w:rsidRDefault="00335718" w:rsidP="001865B8">
      <w:r w:rsidRPr="00D9792A">
        <w:t>To be eligible for extra service status, providers must first seek approval from the Department.</w:t>
      </w:r>
      <w:r w:rsidR="0005576E" w:rsidRPr="00D9792A">
        <w:t xml:space="preserve"> Providers that have been grant</w:t>
      </w:r>
      <w:r w:rsidR="00077ECD">
        <w:t>ed extra service status by the D</w:t>
      </w:r>
      <w:r w:rsidR="0005576E" w:rsidRPr="00D9792A">
        <w:t xml:space="preserve">epartment must apply to the Aged Care Pricing Commissioner for approval of proposed </w:t>
      </w:r>
      <w:r w:rsidR="006534FE">
        <w:t>e</w:t>
      </w:r>
      <w:r w:rsidR="0005576E" w:rsidRPr="00D9792A">
        <w:t xml:space="preserve">xtra </w:t>
      </w:r>
      <w:r w:rsidR="006534FE">
        <w:t>s</w:t>
      </w:r>
      <w:r w:rsidR="0005576E" w:rsidRPr="00D9792A">
        <w:t>ervice fees, including proposed increases to current Extra Service fees.</w:t>
      </w:r>
    </w:p>
    <w:p w:rsidR="00D8721E" w:rsidRDefault="00EC0D87" w:rsidP="001865B8">
      <w:pPr>
        <w:rPr>
          <w:color w:val="1F497D"/>
        </w:rPr>
      </w:pPr>
      <w:r w:rsidRPr="00EC0D87">
        <w:t>For extra service status places that are occupied by a resident who was in care prior to 1</w:t>
      </w:r>
      <w:r>
        <w:t> </w:t>
      </w:r>
      <w:r w:rsidRPr="00EC0D87">
        <w:t>July</w:t>
      </w:r>
      <w:r w:rsidR="00A261F3">
        <w:t> 201</w:t>
      </w:r>
      <w:r w:rsidRPr="00EC0D87">
        <w:t>4 and who is covered under the pre-reform fee arrangements, then the care subsidy is reduced by 25</w:t>
      </w:r>
      <w:r w:rsidR="00A261F3">
        <w:t> per cent</w:t>
      </w:r>
      <w:r w:rsidRPr="00EC0D87">
        <w:t xml:space="preserve"> of the approved extra service fee for that place. This is known as the Extra Service subsidy Reduction. The provider can charge a continuing care recipient an amount equal to the extra service fee plus the extra service reduction for receiving extra service. </w:t>
      </w:r>
      <w:r>
        <w:t>Extra service subsidy reduction does not apply to residents entering care on or after 1 July</w:t>
      </w:r>
      <w:r w:rsidR="00A261F3">
        <w:t> 201</w:t>
      </w:r>
      <w:r>
        <w:t>4</w:t>
      </w:r>
      <w:r w:rsidR="00D8721E">
        <w:rPr>
          <w:color w:val="1F497D"/>
        </w:rPr>
        <w:t>.</w:t>
      </w:r>
    </w:p>
    <w:p w:rsidR="00335718" w:rsidRPr="00D9792A" w:rsidRDefault="00335718" w:rsidP="001865B8">
      <w:r w:rsidRPr="00D9792A">
        <w:t>Since the reforms began in July</w:t>
      </w:r>
      <w:r w:rsidR="00A261F3">
        <w:t> 201</w:t>
      </w:r>
      <w:r w:rsidRPr="00D9792A">
        <w:t>4, there has been a significant decrease in the total number of places with extra service status (</w:t>
      </w:r>
      <w:r w:rsidR="00492BF8">
        <w:fldChar w:fldCharType="begin"/>
      </w:r>
      <w:r w:rsidR="00492BF8">
        <w:instrText xml:space="preserve"> REF _Ref524428011 \r \h </w:instrText>
      </w:r>
      <w:r w:rsidR="00492BF8">
        <w:fldChar w:fldCharType="separate"/>
      </w:r>
      <w:r w:rsidR="00492BF8">
        <w:t>Chart 4.6</w:t>
      </w:r>
      <w:r w:rsidR="00492BF8">
        <w:fldChar w:fldCharType="end"/>
      </w:r>
      <w:r w:rsidRPr="00D9792A">
        <w:t xml:space="preserve">). This is likely because changes made to accommodation pricing on </w:t>
      </w:r>
      <w:r w:rsidR="00EB039B">
        <w:t>1 July</w:t>
      </w:r>
      <w:r w:rsidR="00A261F3">
        <w:t> 201</w:t>
      </w:r>
      <w:r w:rsidRPr="00D9792A">
        <w:t>4 reduced the need and motivation for providers to have extra service status, partly because:</w:t>
      </w:r>
    </w:p>
    <w:p w:rsidR="00335718" w:rsidRPr="009E294D" w:rsidRDefault="00335718" w:rsidP="001865B8">
      <w:pPr>
        <w:pStyle w:val="Bullet1"/>
        <w:rPr>
          <w:color w:val="auto"/>
          <w:lang w:eastAsia="en-US"/>
        </w:rPr>
      </w:pPr>
      <w:r w:rsidRPr="00D9792A">
        <w:rPr>
          <w:lang w:eastAsia="en-US"/>
        </w:rPr>
        <w:t>lump sum accommodation payments can now be made for all care types – previously they were restricted to low care or high care with extra service</w:t>
      </w:r>
      <w:r w:rsidRPr="009E294D">
        <w:rPr>
          <w:color w:val="auto"/>
          <w:lang w:eastAsia="en-US"/>
        </w:rPr>
        <w:t>;</w:t>
      </w:r>
    </w:p>
    <w:p w:rsidR="00335718" w:rsidRPr="00D9792A" w:rsidRDefault="00335718" w:rsidP="001865B8">
      <w:pPr>
        <w:pStyle w:val="Bullet1"/>
        <w:rPr>
          <w:lang w:eastAsia="en-US"/>
        </w:rPr>
      </w:pPr>
      <w:r w:rsidRPr="00D9792A">
        <w:rPr>
          <w:lang w:eastAsia="en-US"/>
        </w:rPr>
        <w:t xml:space="preserve">market-based prices determined by the provider apply for all new non-supported residents; and </w:t>
      </w:r>
    </w:p>
    <w:p w:rsidR="00335718" w:rsidRPr="00D9792A" w:rsidRDefault="00335718" w:rsidP="001865B8">
      <w:pPr>
        <w:pStyle w:val="Bullet1"/>
        <w:rPr>
          <w:lang w:eastAsia="en-US"/>
        </w:rPr>
      </w:pPr>
      <w:r w:rsidRPr="00D9792A">
        <w:rPr>
          <w:lang w:eastAsia="en-US"/>
        </w:rPr>
        <w:t>providers can offer additional care and services for additional fees outside the extra service framework.</w:t>
      </w:r>
    </w:p>
    <w:p w:rsidR="00D8721E" w:rsidRDefault="00335718" w:rsidP="001865B8">
      <w:r w:rsidRPr="00D9792A">
        <w:t xml:space="preserve">This has led many providers to reconsider their extra service status, with many </w:t>
      </w:r>
      <w:r w:rsidR="007856B0">
        <w:t xml:space="preserve">offering </w:t>
      </w:r>
      <w:r w:rsidRPr="00D9792A">
        <w:t xml:space="preserve">residents </w:t>
      </w:r>
      <w:r w:rsidR="007856B0">
        <w:t>‘</w:t>
      </w:r>
      <w:r w:rsidRPr="00D9792A">
        <w:t>additional service’ arrangements (discussed in the next</w:t>
      </w:r>
      <w:r>
        <w:rPr>
          <w:color w:val="auto"/>
        </w:rPr>
        <w:t xml:space="preserve"> </w:t>
      </w:r>
      <w:r w:rsidR="007856B0">
        <w:t>section).</w:t>
      </w:r>
    </w:p>
    <w:p w:rsidR="0065501B" w:rsidRPr="00596D01" w:rsidRDefault="0065501B" w:rsidP="001865B8">
      <w:pPr>
        <w:pStyle w:val="ChartTitle"/>
      </w:pPr>
      <w:bookmarkStart w:id="223" w:name="_Ref524428011"/>
      <w:r w:rsidRPr="00596D01">
        <w:t>Number of active extra service places</w:t>
      </w:r>
      <w:r w:rsidR="006F7EE3" w:rsidRPr="00596D01">
        <w:t xml:space="preserve">, </w:t>
      </w:r>
      <w:r w:rsidR="00A261F3" w:rsidRPr="00596D01">
        <w:t>30 J</w:t>
      </w:r>
      <w:r w:rsidR="006F7EE3" w:rsidRPr="00596D01">
        <w:t>une</w:t>
      </w:r>
      <w:r w:rsidR="00A261F3" w:rsidRPr="00596D01">
        <w:t> 201</w:t>
      </w:r>
      <w:r w:rsidR="006F7EE3" w:rsidRPr="00596D01">
        <w:t>4 to</w:t>
      </w:r>
      <w:r w:rsidRPr="00596D01">
        <w:t xml:space="preserve"> </w:t>
      </w:r>
      <w:r w:rsidR="00A261F3" w:rsidRPr="00596D01">
        <w:t>30 J</w:t>
      </w:r>
      <w:r w:rsidR="007A3781" w:rsidRPr="00596D01">
        <w:t>une</w:t>
      </w:r>
      <w:r w:rsidR="00A261F3" w:rsidRPr="00596D01">
        <w:t> 201</w:t>
      </w:r>
      <w:r w:rsidR="007A3781" w:rsidRPr="00596D01">
        <w:t>7</w:t>
      </w:r>
      <w:bookmarkEnd w:id="223"/>
      <w:r w:rsidRPr="00596D01">
        <w:t xml:space="preserve"> </w:t>
      </w:r>
    </w:p>
    <w:p w:rsidR="00D8721E" w:rsidRDefault="00AE7260" w:rsidP="001865B8">
      <w:r>
        <w:rPr>
          <w:noProof/>
        </w:rPr>
        <w:drawing>
          <wp:inline distT="0" distB="0" distL="0" distR="0" wp14:anchorId="6FDF70A4" wp14:editId="69F12C8D">
            <wp:extent cx="6120000" cy="2319286"/>
            <wp:effectExtent l="0" t="0" r="0" b="5080"/>
            <wp:docPr id="302" name="Picture 302" descr="Chart 4.6 Number of active extra service places, 30 June 2014 to 30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s\zc0004\AppData\Local\Temp\1\7zO4D1351F5\Chart_4.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000" cy="2319286"/>
                    </a:xfrm>
                    <a:prstGeom prst="rect">
                      <a:avLst/>
                    </a:prstGeom>
                    <a:noFill/>
                    <a:ln>
                      <a:noFill/>
                    </a:ln>
                  </pic:spPr>
                </pic:pic>
              </a:graphicData>
            </a:graphic>
          </wp:inline>
        </w:drawing>
      </w:r>
    </w:p>
    <w:p w:rsidR="00FD4F24" w:rsidRPr="00596D01" w:rsidRDefault="00FD4F24" w:rsidP="001865B8">
      <w:pPr>
        <w:pStyle w:val="Heading2Numbered"/>
      </w:pPr>
      <w:bookmarkStart w:id="224" w:name="_Toc524424715"/>
      <w:bookmarkStart w:id="225" w:name="_Toc487702545"/>
      <w:bookmarkStart w:id="226" w:name="_Toc487702897"/>
      <w:bookmarkStart w:id="227" w:name="_Toc487703395"/>
      <w:bookmarkStart w:id="228" w:name="_Toc487703589"/>
      <w:r w:rsidRPr="00596D01">
        <w:t>Additional services</w:t>
      </w:r>
      <w:bookmarkEnd w:id="224"/>
    </w:p>
    <w:p w:rsidR="00335718" w:rsidRDefault="00335718" w:rsidP="001865B8">
      <w:r>
        <w:t xml:space="preserve">Providers operating places that do not have extra service status </w:t>
      </w:r>
      <w:r w:rsidRPr="004B29FE">
        <w:t>may also charge a resident for additional services (e.g. hairdressing</w:t>
      </w:r>
      <w:r>
        <w:t>, wine with dinner</w:t>
      </w:r>
      <w:r w:rsidRPr="004B29FE">
        <w:t xml:space="preserve">), which the resident has asked the provider to provide. The amount of any charge for additional services must be agreed with the resident before services are delivered, with an itemised account given to the resident once the service has been provided. </w:t>
      </w:r>
      <w:r w:rsidR="00CD129F" w:rsidRPr="00CD129F">
        <w:t>These additional charges may be deducted from a refundable deposit paid by the resident, if they request it and</w:t>
      </w:r>
      <w:r w:rsidR="00CD129F">
        <w:t xml:space="preserve"> if</w:t>
      </w:r>
      <w:r w:rsidR="00CD129F" w:rsidRPr="00CD129F">
        <w:t xml:space="preserve"> the provider agrees (unlike daily</w:t>
      </w:r>
      <w:r w:rsidR="00AE564A">
        <w:t xml:space="preserve"> accommodations </w:t>
      </w:r>
      <w:r w:rsidR="00CD129F" w:rsidRPr="00CD129F">
        <w:t>payments, which providers must deduct at the residents request).</w:t>
      </w:r>
    </w:p>
    <w:p w:rsidR="00CC3AA3" w:rsidRPr="00757FEF" w:rsidRDefault="00CC3AA3" w:rsidP="001865B8">
      <w:pPr>
        <w:rPr>
          <w:lang w:val="en-GB"/>
        </w:rPr>
      </w:pPr>
      <w:r w:rsidRPr="00757FEF">
        <w:rPr>
          <w:lang w:val="en-GB"/>
        </w:rPr>
        <w:lastRenderedPageBreak/>
        <w:t>Additional fees cannot be charged where:</w:t>
      </w:r>
    </w:p>
    <w:p w:rsidR="00CC3AA3" w:rsidRPr="00757FEF" w:rsidRDefault="00446B62" w:rsidP="001865B8">
      <w:pPr>
        <w:pStyle w:val="Bullet1"/>
        <w:rPr>
          <w:lang w:val="en-GB"/>
        </w:rPr>
      </w:pPr>
      <w:r>
        <w:rPr>
          <w:lang w:val="en-GB"/>
        </w:rPr>
        <w:t xml:space="preserve">they </w:t>
      </w:r>
      <w:r w:rsidR="00CC3AA3" w:rsidRPr="00757FEF">
        <w:rPr>
          <w:lang w:val="en-GB"/>
        </w:rPr>
        <w:t xml:space="preserve">do not provide a direct benefit to the individual; </w:t>
      </w:r>
    </w:p>
    <w:p w:rsidR="00CC3AA3" w:rsidRPr="00757FEF" w:rsidRDefault="00CC3AA3" w:rsidP="001865B8">
      <w:pPr>
        <w:pStyle w:val="Bullet1"/>
        <w:rPr>
          <w:lang w:val="en-GB"/>
        </w:rPr>
      </w:pPr>
      <w:r w:rsidRPr="00757FEF">
        <w:rPr>
          <w:lang w:val="en-GB"/>
        </w:rPr>
        <w:t xml:space="preserve">the resident cannot take up or make use of the services; or </w:t>
      </w:r>
    </w:p>
    <w:p w:rsidR="00CC3AA3" w:rsidRPr="00757FEF" w:rsidRDefault="00CC3AA3" w:rsidP="001865B8">
      <w:pPr>
        <w:pStyle w:val="Bullet1"/>
        <w:rPr>
          <w:lang w:val="en-GB"/>
        </w:rPr>
      </w:pPr>
      <w:r w:rsidRPr="00757FEF">
        <w:rPr>
          <w:lang w:val="en-GB"/>
        </w:rPr>
        <w:t xml:space="preserve">the activities or services subject to the fee are part of the normal operation of an aged care </w:t>
      </w:r>
      <w:r w:rsidR="00042CA7">
        <w:rPr>
          <w:lang w:val="en-GB"/>
        </w:rPr>
        <w:t>facility</w:t>
      </w:r>
      <w:r w:rsidRPr="00757FEF">
        <w:rPr>
          <w:lang w:val="en-GB"/>
        </w:rPr>
        <w:t xml:space="preserve"> and fall within the scope of specified care and services.</w:t>
      </w:r>
    </w:p>
    <w:p w:rsidR="004B29FE" w:rsidRPr="004B29FE" w:rsidRDefault="004B29FE" w:rsidP="001865B8">
      <w:r>
        <w:t xml:space="preserve">ACFA notes a recent </w:t>
      </w:r>
      <w:r w:rsidRPr="004B29FE">
        <w:t>Federal Court rul</w:t>
      </w:r>
      <w:r>
        <w:t>ing (</w:t>
      </w:r>
      <w:r w:rsidRPr="004B29FE">
        <w:t>March</w:t>
      </w:r>
      <w:r w:rsidR="00A261F3">
        <w:t> 201</w:t>
      </w:r>
      <w:r w:rsidRPr="004B29FE">
        <w:t>8</w:t>
      </w:r>
      <w:r>
        <w:t>)</w:t>
      </w:r>
      <w:r w:rsidRPr="004B29FE">
        <w:t xml:space="preserve"> confirming</w:t>
      </w:r>
      <w:r>
        <w:t xml:space="preserve"> previous advice from the Department </w:t>
      </w:r>
      <w:r w:rsidRPr="004B29FE">
        <w:t>that residential care providers cannot charge the additional service fees that are known variously as ‘asset replacement charges’ or ‘capital refurbishment fees’, or fees with another name but having the same nature.</w:t>
      </w:r>
    </w:p>
    <w:p w:rsidR="00D8721E" w:rsidRDefault="004B29FE" w:rsidP="001865B8">
      <w:r w:rsidRPr="004B29FE">
        <w:t xml:space="preserve">The decision was not appealed and all residents who were charged an ‘Asset Replacement Charge’ </w:t>
      </w:r>
      <w:r w:rsidR="006534FE">
        <w:t xml:space="preserve">or similar </w:t>
      </w:r>
      <w:r w:rsidRPr="004B29FE">
        <w:t xml:space="preserve">have received refunds. </w:t>
      </w:r>
      <w:r>
        <w:t>ACFA further notes that o</w:t>
      </w:r>
      <w:r w:rsidRPr="004B29FE">
        <w:t>ther providers have subsequently reviewed their fee arrangements</w:t>
      </w:r>
      <w:r w:rsidR="00264D41">
        <w:t>,</w:t>
      </w:r>
      <w:r w:rsidRPr="004B29FE">
        <w:t xml:space="preserve"> announcing that they will be refunding similar charges.</w:t>
      </w:r>
    </w:p>
    <w:p w:rsidR="00A07DC4" w:rsidRPr="00596D01" w:rsidRDefault="00FD4F24" w:rsidP="001865B8">
      <w:pPr>
        <w:pStyle w:val="Heading2Numbered"/>
      </w:pPr>
      <w:bookmarkStart w:id="229" w:name="_Toc524424716"/>
      <w:r w:rsidRPr="00596D01">
        <w:t>More choice in home car</w:t>
      </w:r>
      <w:bookmarkEnd w:id="225"/>
      <w:bookmarkEnd w:id="226"/>
      <w:bookmarkEnd w:id="227"/>
      <w:bookmarkEnd w:id="228"/>
      <w:r w:rsidRPr="00596D01">
        <w:t>e</w:t>
      </w:r>
      <w:bookmarkEnd w:id="229"/>
    </w:p>
    <w:p w:rsidR="00D8721E" w:rsidRDefault="00224FA3" w:rsidP="001865B8">
      <w:bookmarkStart w:id="230" w:name="_Toc487702546"/>
      <w:bookmarkStart w:id="231" w:name="_Toc487702898"/>
      <w:bookmarkStart w:id="232" w:name="_Toc487703396"/>
      <w:bookmarkStart w:id="233" w:name="_Toc487703590"/>
      <w:r w:rsidRPr="00A51E42">
        <w:t>Since February</w:t>
      </w:r>
      <w:r w:rsidR="00A261F3">
        <w:t> 201</w:t>
      </w:r>
      <w:r w:rsidRPr="00A51E42">
        <w:t>7, home care packages have been assigned directly to consumers rather than allocated to providers. This allows consumers to direct their package to the provider of their choice as well as change providers. Older Australians assessed as requiring home care are placed on the National Prioritisation Queue based on how long they have been waiting for care and their individual needs and circumstances, regardless of where they live</w:t>
      </w:r>
      <w:r w:rsidR="00D8721E">
        <w:t>.</w:t>
      </w:r>
    </w:p>
    <w:p w:rsidR="00224FA3" w:rsidRPr="00A51E42" w:rsidRDefault="00224FA3" w:rsidP="001865B8">
      <w:r w:rsidRPr="00A51E42">
        <w:t>Data from the Department shows that as at 31 March</w:t>
      </w:r>
      <w:r w:rsidR="00A261F3">
        <w:t> 201</w:t>
      </w:r>
      <w:r w:rsidRPr="00A51E42">
        <w:t>8 there were 108,463 people on the queue. ACFA notes that unmet demand for home care is long standing, but was</w:t>
      </w:r>
      <w:r w:rsidR="000C1C35">
        <w:t xml:space="preserve"> not able to </w:t>
      </w:r>
      <w:r w:rsidRPr="00A51E42">
        <w:t>be quantified until the implementation of the National Prioritisation Queue for assigning packages directly to consumers.</w:t>
      </w:r>
    </w:p>
    <w:p w:rsidR="000A4088" w:rsidRDefault="00224FA3" w:rsidP="001865B8">
      <w:r w:rsidRPr="00A51E42">
        <w:t>ACFA also notes that around half the people on the queue are in receipt of an interim lower level home care package pending the availability of a higher level package consistent with th</w:t>
      </w:r>
      <w:r w:rsidR="00757FEF">
        <w:t xml:space="preserve">eir assessed needs. </w:t>
      </w:r>
      <w:r w:rsidR="008A2196">
        <w:t>Additionally,</w:t>
      </w:r>
      <w:r w:rsidR="000A4088">
        <w:t xml:space="preserve"> the data shows that of those people not currently in a lower level interim package, around half are accessing services through the CHSP.</w:t>
      </w:r>
    </w:p>
    <w:p w:rsidR="00D8721E" w:rsidRDefault="00224FA3" w:rsidP="001865B8">
      <w:r w:rsidRPr="00A51E42">
        <w:t>While a large proportion of consumers in the queue are receiving some level of support, the availability of the queue data has made transparent for the first time that the distribution between lower level and higher level packages is not in line with assessed consumer care needs. Prior to the introduction of individual budgets, providers had some flexibility to use cross-subsidisation to direct care resources where they were most needed</w:t>
      </w:r>
      <w:r w:rsidR="00D8721E">
        <w:t>.</w:t>
      </w:r>
    </w:p>
    <w:p w:rsidR="00D8721E" w:rsidRDefault="00224FA3" w:rsidP="001865B8">
      <w:r w:rsidRPr="00A51E42">
        <w:t>As part of the</w:t>
      </w:r>
      <w:r w:rsidR="00A261F3">
        <w:t> 201</w:t>
      </w:r>
      <w:r w:rsidRPr="00A51E42">
        <w:t>8</w:t>
      </w:r>
      <w:r w:rsidR="00D8721E">
        <w:t>–1</w:t>
      </w:r>
      <w:r w:rsidRPr="00A51E42">
        <w:t>9 Budget</w:t>
      </w:r>
      <w:r w:rsidR="00264D41">
        <w:t>,</w:t>
      </w:r>
      <w:r w:rsidRPr="00A51E42">
        <w:t xml:space="preserve"> the Australian Government announced an additional 14,000 higher level home care packages, most of which will be released in</w:t>
      </w:r>
      <w:r w:rsidR="00A261F3">
        <w:t> 201</w:t>
      </w:r>
      <w:r w:rsidRPr="00A51E42">
        <w:t>8</w:t>
      </w:r>
      <w:r w:rsidR="00D8721E">
        <w:t>–1</w:t>
      </w:r>
      <w:r w:rsidRPr="00A51E42">
        <w:t>9 and</w:t>
      </w:r>
      <w:r w:rsidR="00A261F3">
        <w:t> 201</w:t>
      </w:r>
      <w:r w:rsidRPr="00A51E42">
        <w:t>9</w:t>
      </w:r>
      <w:r w:rsidR="00D8721E">
        <w:t>–2</w:t>
      </w:r>
      <w:r w:rsidRPr="00A51E42">
        <w:t xml:space="preserve">0. A further 6,000 higher level packages have </w:t>
      </w:r>
      <w:r w:rsidR="008A2196">
        <w:t xml:space="preserve">been </w:t>
      </w:r>
      <w:r w:rsidRPr="00A51E42">
        <w:t>released</w:t>
      </w:r>
      <w:r w:rsidR="003A122D">
        <w:t>,</w:t>
      </w:r>
      <w:r w:rsidRPr="00A51E42">
        <w:t xml:space="preserve"> </w:t>
      </w:r>
      <w:r w:rsidR="003A122D">
        <w:t>as part of the</w:t>
      </w:r>
      <w:r w:rsidR="00A261F3">
        <w:t> 201</w:t>
      </w:r>
      <w:r w:rsidR="003A122D">
        <w:t>7</w:t>
      </w:r>
      <w:r w:rsidR="00D8721E">
        <w:t>–1</w:t>
      </w:r>
      <w:r w:rsidR="003A122D">
        <w:t>8 Mid</w:t>
      </w:r>
      <w:r w:rsidR="003A122D">
        <w:noBreakHyphen/>
        <w:t xml:space="preserve">Year Economic and Fiscal Outlook (MYEFO), </w:t>
      </w:r>
      <w:r w:rsidRPr="00A51E42">
        <w:t>by converting lower level packages. Taken together with the growth in higher level packages that had already been budgeted for as part of increasing the home care provision ratio to 45 by</w:t>
      </w:r>
      <w:r w:rsidR="00A261F3">
        <w:t> 202</w:t>
      </w:r>
      <w:r w:rsidRPr="00A51E42">
        <w:t>1</w:t>
      </w:r>
      <w:r w:rsidR="00D8721E">
        <w:t>–2</w:t>
      </w:r>
      <w:r w:rsidRPr="00A51E42">
        <w:t>2, the proportion of higher level packages is estimated to comprise 50</w:t>
      </w:r>
      <w:r w:rsidR="00A261F3">
        <w:t> per cent</w:t>
      </w:r>
      <w:r w:rsidRPr="00A51E42">
        <w:t xml:space="preserve"> of total p</w:t>
      </w:r>
      <w:r w:rsidR="008A2196">
        <w:t>ackages</w:t>
      </w:r>
      <w:r w:rsidRPr="00A51E42">
        <w:t xml:space="preserve"> by</w:t>
      </w:r>
      <w:r w:rsidR="00A261F3">
        <w:t> 202</w:t>
      </w:r>
      <w:r w:rsidRPr="00A51E42">
        <w:t>1</w:t>
      </w:r>
      <w:r w:rsidR="00D8721E">
        <w:t>–2</w:t>
      </w:r>
      <w:r w:rsidRPr="00A51E42">
        <w:t>2</w:t>
      </w:r>
      <w:r w:rsidR="00D8721E">
        <w:t>.</w:t>
      </w:r>
    </w:p>
    <w:p w:rsidR="00D8721E" w:rsidRDefault="00224FA3" w:rsidP="001865B8">
      <w:pPr>
        <w:rPr>
          <w:color w:val="auto"/>
        </w:rPr>
      </w:pPr>
      <w:r>
        <w:t>The creation of a single budget item for home care packages and residential care places will also provide some flexibility to direct available funds to meet the emerging demand for home care packages.</w:t>
      </w:r>
    </w:p>
    <w:p w:rsidR="00224FA3" w:rsidRPr="00596D01" w:rsidRDefault="00224FA3" w:rsidP="001865B8">
      <w:pPr>
        <w:pStyle w:val="Heading3Numbered"/>
      </w:pPr>
      <w:bookmarkStart w:id="234" w:name="_Toc524424717"/>
      <w:r w:rsidRPr="00596D01">
        <w:t>Unspent funds</w:t>
      </w:r>
      <w:bookmarkEnd w:id="234"/>
    </w:p>
    <w:p w:rsidR="00D8721E" w:rsidRDefault="00224FA3" w:rsidP="001865B8">
      <w:r w:rsidRPr="00A51E42">
        <w:t>In last year’s report, ACFA discussed the significant amounts of unspent package funds held by providers on behalf of consumers of home care</w:t>
      </w:r>
      <w:r w:rsidR="00D8721E">
        <w:t>.</w:t>
      </w:r>
    </w:p>
    <w:p w:rsidR="00D8721E" w:rsidRDefault="00224FA3" w:rsidP="001865B8">
      <w:r w:rsidRPr="00A51E42">
        <w:t>Prior to the February</w:t>
      </w:r>
      <w:r w:rsidR="00A261F3">
        <w:t> 201</w:t>
      </w:r>
      <w:r w:rsidRPr="00A51E42">
        <w:t>7 changes, if a consumer ceased receiving a home care package from a provider, the provider retained the unspent funds. However, since the February</w:t>
      </w:r>
      <w:r w:rsidR="00A261F3">
        <w:t> 201</w:t>
      </w:r>
      <w:r w:rsidRPr="00A51E42">
        <w:t>7 changes, any unspent package funds (less any agreed exit amount) must be transferred to the new home care provider, or returned to the Commonwealth and the consumer (or their estate) according to their respective contributions</w:t>
      </w:r>
      <w:r w:rsidR="00D8721E">
        <w:t>.</w:t>
      </w:r>
    </w:p>
    <w:p w:rsidR="00D8721E" w:rsidRDefault="00224FA3" w:rsidP="001865B8">
      <w:r w:rsidRPr="00A51E42">
        <w:t xml:space="preserve">The </w:t>
      </w:r>
      <w:r w:rsidR="008A2196">
        <w:t xml:space="preserve">issue of </w:t>
      </w:r>
      <w:r w:rsidRPr="00A51E42">
        <w:t>unspent funds is discussed in Chapter 7.</w:t>
      </w:r>
    </w:p>
    <w:p w:rsidR="00297480" w:rsidRPr="00596D01" w:rsidRDefault="00224FA3" w:rsidP="001865B8">
      <w:pPr>
        <w:pStyle w:val="Heading2Numbered"/>
      </w:pPr>
      <w:bookmarkStart w:id="235" w:name="_Toc524424718"/>
      <w:bookmarkStart w:id="236" w:name="_Ref524427727"/>
      <w:r w:rsidRPr="00596D01">
        <w:lastRenderedPageBreak/>
        <w:t>Review of Alternative Residential Aged Care Funding Options</w:t>
      </w:r>
      <w:bookmarkEnd w:id="235"/>
      <w:bookmarkEnd w:id="236"/>
      <w:r w:rsidRPr="00596D01">
        <w:t xml:space="preserve"> </w:t>
      </w:r>
      <w:bookmarkEnd w:id="230"/>
      <w:bookmarkEnd w:id="231"/>
      <w:bookmarkEnd w:id="232"/>
      <w:bookmarkEnd w:id="233"/>
    </w:p>
    <w:p w:rsidR="00D8721E" w:rsidRDefault="00224FA3" w:rsidP="001865B8">
      <w:r w:rsidRPr="00A51E42">
        <w:t>As noted in ACFA’s</w:t>
      </w:r>
      <w:r w:rsidR="00A261F3">
        <w:t> 201</w:t>
      </w:r>
      <w:r w:rsidRPr="00A51E42">
        <w:t>6 annual report, the Government announced in the</w:t>
      </w:r>
      <w:r w:rsidR="00A261F3">
        <w:t> 201</w:t>
      </w:r>
      <w:r w:rsidRPr="00A51E42">
        <w:t xml:space="preserve">6–17 Budget that it would review alternative residential care funding options to ensure sustainability and to reduce the funding volatility experienced under ACFI, including </w:t>
      </w:r>
      <w:r w:rsidR="0061592B">
        <w:t xml:space="preserve">the possibility of </w:t>
      </w:r>
      <w:r w:rsidRPr="00A51E42">
        <w:t>using independent external assessment</w:t>
      </w:r>
      <w:r w:rsidR="00D8721E">
        <w:t>.</w:t>
      </w:r>
    </w:p>
    <w:p w:rsidR="00644452" w:rsidRDefault="00224FA3" w:rsidP="001865B8">
      <w:r w:rsidRPr="00A51E42">
        <w:t>In addition, pending the outcome of the review of funding options, the Government made changes to the ACFI in order to reduce the rate of growth of care claimed under ACFI. This included changes to some questions and weightings used in the Instrument, mainly targeting complex health care, and indexation pauses.</w:t>
      </w:r>
    </w:p>
    <w:p w:rsidR="00224FA3" w:rsidRPr="00271034" w:rsidRDefault="00224FA3" w:rsidP="001865B8">
      <w:pPr>
        <w:rPr>
          <w:color w:val="28A9DA" w:themeColor="accent5" w:themeShade="BF"/>
          <w:u w:val="single"/>
        </w:rPr>
      </w:pPr>
      <w:r w:rsidRPr="00A51E42">
        <w:t xml:space="preserve">As part of the </w:t>
      </w:r>
      <w:r w:rsidR="00A51E42" w:rsidRPr="00A51E42">
        <w:t>review,</w:t>
      </w:r>
      <w:r w:rsidRPr="00A51E42">
        <w:t xml:space="preserve"> the Department engaged the University of Wollongong to develop options and recommendations to help inform the design of future residential aged care funding models. The final report</w:t>
      </w:r>
      <w:r w:rsidR="00264D41">
        <w:t>,</w:t>
      </w:r>
      <w:r w:rsidRPr="00A51E42">
        <w:t xml:space="preserve"> ‘Alternative Aged Care Assessment, Classification System and Funding Models’</w:t>
      </w:r>
      <w:r w:rsidR="00264D41">
        <w:t>,</w:t>
      </w:r>
      <w:r w:rsidRPr="00A51E42">
        <w:t xml:space="preserve"> was released on 19 April</w:t>
      </w:r>
      <w:r w:rsidR="00A261F3">
        <w:t> 201</w:t>
      </w:r>
      <w:r w:rsidRPr="00A51E42">
        <w:t xml:space="preserve">7 and is available on the Department of Health’s website at </w:t>
      </w:r>
      <w:hyperlink r:id="rId29" w:tooltip="Aged Care website" w:history="1">
        <w:r w:rsidRPr="001865B8">
          <w:rPr>
            <w:rStyle w:val="Hyperlink"/>
          </w:rPr>
          <w:t>https://agedcare.health.gov.au/reform/residential-aged-care-reform</w:t>
        </w:r>
      </w:hyperlink>
      <w:r w:rsidRPr="001865B8">
        <w:rPr>
          <w:rStyle w:val="Hyperlink"/>
        </w:rPr>
        <w:t>.</w:t>
      </w:r>
    </w:p>
    <w:p w:rsidR="00D8721E" w:rsidRDefault="00224FA3" w:rsidP="001865B8">
      <w:r w:rsidRPr="00644984">
        <w:t xml:space="preserve">The Department also engaged Applied Aged Care Solutions (AACS) to examine how the ACFI can be strengthened </w:t>
      </w:r>
      <w:r>
        <w:t xml:space="preserve">further </w:t>
      </w:r>
      <w:r w:rsidRPr="00644984">
        <w:t xml:space="preserve">to reduce subjectivity, including an examination of the feasibility of external assessment </w:t>
      </w:r>
      <w:r>
        <w:t>of the ACFI</w:t>
      </w:r>
      <w:r w:rsidRPr="00644984">
        <w:t xml:space="preserve">. The final report </w:t>
      </w:r>
      <w:r w:rsidRPr="00596D01">
        <w:rPr>
          <w:rStyle w:val="Emphasis"/>
        </w:rPr>
        <w:t>Review of the Aged Care Funding Instrument Report</w:t>
      </w:r>
      <w:r w:rsidRPr="00644984">
        <w:t xml:space="preserve"> was released on 19 October</w:t>
      </w:r>
      <w:r w:rsidR="00A261F3">
        <w:t> 201</w:t>
      </w:r>
      <w:r w:rsidRPr="00644984">
        <w:t>7</w:t>
      </w:r>
      <w:r>
        <w:t>,</w:t>
      </w:r>
      <w:r w:rsidRPr="00644984">
        <w:t xml:space="preserve"> and is also available on </w:t>
      </w:r>
      <w:r w:rsidRPr="00A51E42">
        <w:t>the Department’s website</w:t>
      </w:r>
      <w:r w:rsidR="00D8721E">
        <w:t>.</w:t>
      </w:r>
    </w:p>
    <w:p w:rsidR="00224FA3" w:rsidRPr="00644984" w:rsidRDefault="00224FA3" w:rsidP="001865B8">
      <w:r w:rsidRPr="00A51E42">
        <w:t>Following the release of the University of Wollongong and AACS reports, the Department has</w:t>
      </w:r>
      <w:r w:rsidRPr="00644984">
        <w:t xml:space="preserve"> commissioned a residential care Resource Utilisation and Classification Study to inform consideration of reform options. The study will examine the characteristics of residents that drive residential care costs and how those costs are distributed within the scope of services currently funded by the Commonwealth</w:t>
      </w:r>
      <w:r>
        <w:t xml:space="preserve">. The study </w:t>
      </w:r>
      <w:r w:rsidRPr="00644984">
        <w:t>is expected to be completed in December</w:t>
      </w:r>
      <w:r w:rsidR="00A261F3">
        <w:t> 201</w:t>
      </w:r>
      <w:r w:rsidRPr="00644984">
        <w:t>8. This report will be the first systematic study of relative care costs in residential aged care since the 1990s.</w:t>
      </w:r>
    </w:p>
    <w:p w:rsidR="00D8721E" w:rsidRDefault="00224FA3" w:rsidP="001865B8">
      <w:r w:rsidRPr="00A51E42">
        <w:t>ACFA notes that no decisions have been made by the Government on the reform options, and any future changes will involve extensive consultation with the sector. However, the Government has announced that any new funding model would have to be funded from within existing Budget forward estimates</w:t>
      </w:r>
      <w:r w:rsidR="00D8721E">
        <w:t>.</w:t>
      </w:r>
    </w:p>
    <w:p w:rsidR="00C00036" w:rsidRPr="00596D01" w:rsidRDefault="00BF405E" w:rsidP="001865B8">
      <w:pPr>
        <w:pStyle w:val="Heading2Numbered"/>
      </w:pPr>
      <w:bookmarkStart w:id="237" w:name="_Toc524424719"/>
      <w:r w:rsidRPr="00596D01">
        <w:t>Review of National Aged Care Quality Regulatory Processes</w:t>
      </w:r>
      <w:bookmarkEnd w:id="237"/>
    </w:p>
    <w:p w:rsidR="00D8721E" w:rsidRDefault="00A51E42" w:rsidP="001865B8">
      <w:pPr>
        <w:rPr>
          <w:lang w:val="en-GB"/>
        </w:rPr>
      </w:pPr>
      <w:r w:rsidRPr="00A51E42">
        <w:rPr>
          <w:lang w:val="en-GB"/>
        </w:rPr>
        <w:t>In May</w:t>
      </w:r>
      <w:r w:rsidR="00A261F3">
        <w:rPr>
          <w:lang w:val="en-GB"/>
        </w:rPr>
        <w:t> 201</w:t>
      </w:r>
      <w:r w:rsidRPr="00A51E42">
        <w:rPr>
          <w:lang w:val="en-GB"/>
        </w:rPr>
        <w:t xml:space="preserve">7, the Australian Government announced an independent review to examine Commonwealth aged care accreditation, monitoring, review, investigation, complaints and compliance processes. The Review was led by </w:t>
      </w:r>
      <w:hyperlink r:id="rId30" w:anchor="kate" w:history="1">
        <w:r w:rsidR="00A261F3">
          <w:rPr>
            <w:lang w:val="en-GB"/>
          </w:rPr>
          <w:t>Ms </w:t>
        </w:r>
        <w:r w:rsidRPr="00A51E42">
          <w:rPr>
            <w:lang w:val="en-GB"/>
          </w:rPr>
          <w:t>Kate Carnell, AO</w:t>
        </w:r>
      </w:hyperlink>
      <w:r w:rsidRPr="00A51E42">
        <w:rPr>
          <w:lang w:val="en-GB"/>
        </w:rPr>
        <w:t xml:space="preserve">, and </w:t>
      </w:r>
      <w:hyperlink r:id="rId31" w:anchor="ron" w:history="1">
        <w:r w:rsidRPr="00A51E42">
          <w:rPr>
            <w:lang w:val="en-GB"/>
          </w:rPr>
          <w:t>Professor Ron Paterson, ONZM</w:t>
        </w:r>
      </w:hyperlink>
      <w:r w:rsidR="00D8721E">
        <w:rPr>
          <w:lang w:val="en-GB"/>
        </w:rPr>
        <w:t>.</w:t>
      </w:r>
    </w:p>
    <w:p w:rsidR="00D8721E" w:rsidRDefault="00A51E42" w:rsidP="001865B8">
      <w:pPr>
        <w:rPr>
          <w:lang w:val="en-GB"/>
        </w:rPr>
      </w:pPr>
      <w:r w:rsidRPr="00A51E42">
        <w:rPr>
          <w:lang w:val="en-GB"/>
        </w:rPr>
        <w:t>The report was released in October</w:t>
      </w:r>
      <w:r w:rsidR="00A261F3">
        <w:rPr>
          <w:lang w:val="en-GB"/>
        </w:rPr>
        <w:t> 201</w:t>
      </w:r>
      <w:r w:rsidRPr="00A51E42">
        <w:rPr>
          <w:lang w:val="en-GB"/>
        </w:rPr>
        <w:t>7 and made 10 recommendations. The Review found that the Commonwealth quality regulatory system in residential aged care generally works effectively, however there are improvements that could be made to address some shortcomings. The Government announced that it generally support</w:t>
      </w:r>
      <w:r w:rsidR="00DE6757">
        <w:rPr>
          <w:lang w:val="en-GB"/>
        </w:rPr>
        <w:t>ed</w:t>
      </w:r>
      <w:r w:rsidRPr="00A51E42">
        <w:rPr>
          <w:lang w:val="en-GB"/>
        </w:rPr>
        <w:t xml:space="preserve"> the broad direction of the report and subsequently has replaced announced re-accreditation site audits with unannounced site audits, effective from March</w:t>
      </w:r>
      <w:r w:rsidR="00A261F3">
        <w:rPr>
          <w:lang w:val="en-GB"/>
        </w:rPr>
        <w:t> 201</w:t>
      </w:r>
      <w:r w:rsidRPr="00A51E42">
        <w:rPr>
          <w:lang w:val="en-GB"/>
        </w:rPr>
        <w:t>8. The new arrangement applies to all re-accreditation applications made from 1 July</w:t>
      </w:r>
      <w:r w:rsidR="00A261F3">
        <w:rPr>
          <w:lang w:val="en-GB"/>
        </w:rPr>
        <w:t> 201</w:t>
      </w:r>
      <w:r w:rsidRPr="00A51E42">
        <w:rPr>
          <w:lang w:val="en-GB"/>
        </w:rPr>
        <w:t>8</w:t>
      </w:r>
      <w:r w:rsidR="00D8721E">
        <w:rPr>
          <w:lang w:val="en-GB"/>
        </w:rPr>
        <w:t>.</w:t>
      </w:r>
    </w:p>
    <w:p w:rsidR="00D8721E" w:rsidRDefault="00DE6757" w:rsidP="001865B8">
      <w:pPr>
        <w:rPr>
          <w:lang w:val="en-GB"/>
        </w:rPr>
      </w:pPr>
      <w:r>
        <w:rPr>
          <w:lang w:val="en-GB"/>
        </w:rPr>
        <w:t xml:space="preserve">In response to this Review, </w:t>
      </w:r>
      <w:r w:rsidR="00A51E42" w:rsidRPr="00A51E42">
        <w:rPr>
          <w:lang w:val="en-GB"/>
        </w:rPr>
        <w:t xml:space="preserve">the Government announced </w:t>
      </w:r>
      <w:r>
        <w:rPr>
          <w:lang w:val="en-GB"/>
        </w:rPr>
        <w:t>in April</w:t>
      </w:r>
      <w:r w:rsidR="00A261F3">
        <w:rPr>
          <w:lang w:val="en-GB"/>
        </w:rPr>
        <w:t> 201</w:t>
      </w:r>
      <w:r>
        <w:rPr>
          <w:lang w:val="en-GB"/>
        </w:rPr>
        <w:t xml:space="preserve">8 </w:t>
      </w:r>
      <w:r w:rsidR="00A51E42" w:rsidRPr="00A51E42">
        <w:rPr>
          <w:lang w:val="en-GB"/>
        </w:rPr>
        <w:t>that a new independent Aged Care Quality and Safety Commission will be established to oversee the approval, accreditation, assessment, monitoring, complaints handling and compliance of Commonwealth funded aged care providers. From 1 January</w:t>
      </w:r>
      <w:r w:rsidR="00A261F3">
        <w:rPr>
          <w:lang w:val="en-GB"/>
        </w:rPr>
        <w:t> 201</w:t>
      </w:r>
      <w:r w:rsidR="00A51E42" w:rsidRPr="00A51E42">
        <w:rPr>
          <w:lang w:val="en-GB"/>
        </w:rPr>
        <w:t>9, the functions of the Australian Aged Care Quality Agency and the Aged Care Complaints Commissioner will transition to the new Commission, with the regulatory functions currently undertaken by the Department</w:t>
      </w:r>
      <w:r w:rsidR="00644452">
        <w:rPr>
          <w:lang w:val="en-GB"/>
        </w:rPr>
        <w:t xml:space="preserve"> of Health transitioning from 1 </w:t>
      </w:r>
      <w:r w:rsidR="00A51E42" w:rsidRPr="00A51E42">
        <w:rPr>
          <w:lang w:val="en-GB"/>
        </w:rPr>
        <w:t>January</w:t>
      </w:r>
      <w:r w:rsidR="00A261F3">
        <w:rPr>
          <w:lang w:val="en-GB"/>
        </w:rPr>
        <w:t> 202</w:t>
      </w:r>
      <w:r w:rsidR="00A51E42" w:rsidRPr="00A51E42">
        <w:rPr>
          <w:lang w:val="en-GB"/>
        </w:rPr>
        <w:t>0</w:t>
      </w:r>
      <w:r w:rsidR="00D8721E">
        <w:rPr>
          <w:lang w:val="en-GB"/>
        </w:rPr>
        <w:t>.</w:t>
      </w:r>
    </w:p>
    <w:p w:rsidR="00D8721E" w:rsidRDefault="00DE6757" w:rsidP="001865B8">
      <w:pPr>
        <w:rPr>
          <w:lang w:val="en-GB"/>
        </w:rPr>
      </w:pPr>
      <w:r>
        <w:rPr>
          <w:lang w:val="en-GB"/>
        </w:rPr>
        <w:t>Additional initiatives were announced in the</w:t>
      </w:r>
      <w:r w:rsidR="00A261F3">
        <w:rPr>
          <w:lang w:val="en-GB"/>
        </w:rPr>
        <w:t> 201</w:t>
      </w:r>
      <w:r>
        <w:rPr>
          <w:lang w:val="en-GB"/>
        </w:rPr>
        <w:t>8</w:t>
      </w:r>
      <w:r w:rsidR="00D8721E">
        <w:rPr>
          <w:lang w:val="en-GB"/>
        </w:rPr>
        <w:t>–1</w:t>
      </w:r>
      <w:r>
        <w:rPr>
          <w:lang w:val="en-GB"/>
        </w:rPr>
        <w:t xml:space="preserve">9 Budget </w:t>
      </w:r>
      <w:r w:rsidRPr="00596D01">
        <w:rPr>
          <w:rStyle w:val="Emphasis"/>
        </w:rPr>
        <w:t xml:space="preserve">Better Quality of Care </w:t>
      </w:r>
      <w:r>
        <w:rPr>
          <w:lang w:val="en-GB"/>
        </w:rPr>
        <w:t>measures to support the new Commission and strengthen regulation of aged are.</w:t>
      </w:r>
    </w:p>
    <w:p w:rsidR="00392834" w:rsidRPr="00123BAB" w:rsidRDefault="00392834" w:rsidP="001865B8">
      <w:pPr>
        <w:pStyle w:val="Heading1Numbered"/>
      </w:pPr>
      <w:bookmarkStart w:id="238" w:name="_Access_to_aged"/>
      <w:bookmarkStart w:id="239" w:name="_Toc487702547"/>
      <w:bookmarkStart w:id="240" w:name="_Toc487702899"/>
      <w:bookmarkStart w:id="241" w:name="_Toc487703397"/>
      <w:bookmarkStart w:id="242" w:name="_Toc487703591"/>
      <w:bookmarkStart w:id="243" w:name="_Toc524424720"/>
      <w:bookmarkEnd w:id="238"/>
      <w:r>
        <w:lastRenderedPageBreak/>
        <w:t xml:space="preserve">Access </w:t>
      </w:r>
      <w:r w:rsidR="00484AA9">
        <w:t xml:space="preserve">to </w:t>
      </w:r>
      <w:r>
        <w:t>aged care</w:t>
      </w:r>
      <w:bookmarkEnd w:id="239"/>
      <w:bookmarkEnd w:id="240"/>
      <w:bookmarkEnd w:id="241"/>
      <w:bookmarkEnd w:id="242"/>
      <w:bookmarkEnd w:id="243"/>
      <w:r>
        <w:t xml:space="preserve"> </w:t>
      </w:r>
    </w:p>
    <w:p w:rsidR="001865B8" w:rsidRPr="00596D01" w:rsidRDefault="001865B8" w:rsidP="001865B8">
      <w:pPr>
        <w:pStyle w:val="Boxed1Heading"/>
      </w:pPr>
      <w:r w:rsidRPr="00596D01">
        <w:t>This chapter outlines access to subsidised aged care in Australia for older Australians.</w:t>
      </w:r>
    </w:p>
    <w:p w:rsidR="001865B8" w:rsidRPr="00596D01" w:rsidRDefault="001865B8" w:rsidP="001865B8">
      <w:pPr>
        <w:pStyle w:val="Boxed1Text"/>
        <w:rPr>
          <w:rStyle w:val="Strong"/>
        </w:rPr>
      </w:pPr>
      <w:r w:rsidRPr="00596D01">
        <w:rPr>
          <w:rStyle w:val="Strong"/>
        </w:rPr>
        <w:t>This chapter discusses:</w:t>
      </w:r>
    </w:p>
    <w:p w:rsidR="001865B8" w:rsidRPr="00AB67EB" w:rsidRDefault="001865B8" w:rsidP="001865B8">
      <w:pPr>
        <w:pStyle w:val="Boxed1Bullet"/>
        <w:rPr>
          <w:lang w:eastAsia="en-US"/>
        </w:rPr>
      </w:pPr>
      <w:r w:rsidRPr="00AB67EB">
        <w:rPr>
          <w:lang w:eastAsia="en-US"/>
        </w:rPr>
        <w:t>access to subsidised aged care for older Australians</w:t>
      </w:r>
    </w:p>
    <w:p w:rsidR="001865B8" w:rsidRPr="00AB67EB" w:rsidRDefault="001865B8" w:rsidP="001865B8">
      <w:pPr>
        <w:pStyle w:val="Boxed1Bullet"/>
        <w:rPr>
          <w:lang w:eastAsia="en-US"/>
        </w:rPr>
      </w:pPr>
      <w:r w:rsidRPr="00AB67EB">
        <w:rPr>
          <w:lang w:eastAsia="en-US"/>
        </w:rPr>
        <w:t>the supply of subsidised aged care</w:t>
      </w:r>
    </w:p>
    <w:p w:rsidR="001865B8" w:rsidRPr="00AB67EB" w:rsidRDefault="001865B8" w:rsidP="001865B8">
      <w:pPr>
        <w:pStyle w:val="Boxed1Bullet"/>
        <w:rPr>
          <w:lang w:eastAsia="en-US"/>
        </w:rPr>
      </w:pPr>
      <w:r w:rsidRPr="00AB67EB">
        <w:rPr>
          <w:lang w:eastAsia="en-US"/>
        </w:rPr>
        <w:t>usage of aged care and impacts of a changing population</w:t>
      </w:r>
    </w:p>
    <w:p w:rsidR="001865B8" w:rsidRDefault="001865B8" w:rsidP="001865B8">
      <w:pPr>
        <w:pStyle w:val="Boxed1Bullet"/>
        <w:rPr>
          <w:lang w:eastAsia="en-US"/>
        </w:rPr>
      </w:pPr>
      <w:r w:rsidRPr="00AB67EB">
        <w:rPr>
          <w:lang w:eastAsia="en-US"/>
        </w:rPr>
        <w:t>dem</w:t>
      </w:r>
      <w:r>
        <w:rPr>
          <w:lang w:eastAsia="en-US"/>
        </w:rPr>
        <w:t>and for aged care services</w:t>
      </w:r>
    </w:p>
    <w:p w:rsidR="001865B8" w:rsidRPr="00596D01" w:rsidRDefault="001865B8" w:rsidP="001865B8">
      <w:pPr>
        <w:pStyle w:val="Boxed1Text"/>
        <w:rPr>
          <w:rStyle w:val="Strong"/>
        </w:rPr>
      </w:pPr>
      <w:r w:rsidRPr="00596D01">
        <w:rPr>
          <w:rStyle w:val="Strong"/>
        </w:rPr>
        <w:t>This chapter reports that:</w:t>
      </w:r>
    </w:p>
    <w:p w:rsidR="001865B8" w:rsidRDefault="001865B8" w:rsidP="001865B8">
      <w:pPr>
        <w:pStyle w:val="Boxed1Bullet"/>
      </w:pPr>
      <w:r w:rsidRPr="00AB67EB">
        <w:t>average occupancy in residential care is down from 92.</w:t>
      </w:r>
      <w:r>
        <w:t>4 per cent</w:t>
      </w:r>
      <w:r w:rsidRPr="00AB67EB">
        <w:t xml:space="preserve"> in</w:t>
      </w:r>
      <w:r>
        <w:t> 201</w:t>
      </w:r>
      <w:r w:rsidRPr="00AB67EB">
        <w:t>5</w:t>
      </w:r>
      <w:r>
        <w:t>–1</w:t>
      </w:r>
      <w:r w:rsidRPr="00AB67EB">
        <w:t>6 to 91.</w:t>
      </w:r>
      <w:r>
        <w:t>8 per cent</w:t>
      </w:r>
      <w:r w:rsidRPr="00AB67EB">
        <w:t xml:space="preserve"> in</w:t>
      </w:r>
      <w:r>
        <w:t> 201</w:t>
      </w:r>
      <w:r w:rsidRPr="00AB67EB">
        <w:t>6</w:t>
      </w:r>
      <w:r>
        <w:t>–1</w:t>
      </w:r>
      <w:r w:rsidRPr="00AB67EB">
        <w:t>7</w:t>
      </w:r>
      <w:r>
        <w:t>, continuing a recent trend towards declining occupancy rates</w:t>
      </w:r>
      <w:r w:rsidRPr="00AB67EB">
        <w:t>;</w:t>
      </w:r>
    </w:p>
    <w:p w:rsidR="001865B8" w:rsidRPr="00AB67EB" w:rsidRDefault="001865B8" w:rsidP="001865B8">
      <w:pPr>
        <w:pStyle w:val="Boxed1Bullet"/>
      </w:pPr>
      <w:r>
        <w:t>the number of residents in residential care increased from 181,048 at 30 June 2016 to 184,077 at 30 June 2017, even though the provision ratio declined, as planned, from 79.7 at 30 June 2016 to 77.9 at 30 June 2017;</w:t>
      </w:r>
    </w:p>
    <w:p w:rsidR="001865B8" w:rsidRPr="00AB67EB" w:rsidRDefault="001865B8" w:rsidP="001865B8">
      <w:pPr>
        <w:pStyle w:val="Boxed1Bullet"/>
      </w:pPr>
      <w:r w:rsidRPr="00AB67EB">
        <w:t>the number of consumers of home care increased from 88,875 in</w:t>
      </w:r>
      <w:r>
        <w:t> 201</w:t>
      </w:r>
      <w:r w:rsidRPr="00AB67EB">
        <w:t>5</w:t>
      </w:r>
      <w:r>
        <w:t>–1</w:t>
      </w:r>
      <w:r w:rsidRPr="00AB67EB">
        <w:t>6 to 97,516 in</w:t>
      </w:r>
      <w:r>
        <w:t> 201</w:t>
      </w:r>
      <w:r w:rsidRPr="00AB67EB">
        <w:t>6</w:t>
      </w:r>
      <w:r>
        <w:t>–1</w:t>
      </w:r>
      <w:r w:rsidRPr="00AB67EB">
        <w:t>7</w:t>
      </w:r>
      <w:r>
        <w:t xml:space="preserve"> and will continue to rise as the Government seeks to reach the target of 151,500 packages assigned to consumers by 2021–22; </w:t>
      </w:r>
    </w:p>
    <w:p w:rsidR="001865B8" w:rsidRPr="00AB67EB" w:rsidRDefault="001865B8" w:rsidP="001865B8">
      <w:pPr>
        <w:pStyle w:val="Boxed1Bullet"/>
      </w:pPr>
      <w:r w:rsidRPr="00AB67EB">
        <w:t xml:space="preserve">a population that is continuing to age will see an increase in demand, as the proportion of people aged 85 and over is growing to nearly </w:t>
      </w:r>
      <w:r>
        <w:t>5 per cent</w:t>
      </w:r>
      <w:r w:rsidRPr="00AB67EB">
        <w:t xml:space="preserve"> of the population by 2055, compared with just over</w:t>
      </w:r>
      <w:r>
        <w:t xml:space="preserve"> 2 per cent today; and</w:t>
      </w:r>
    </w:p>
    <w:p w:rsidR="001865B8" w:rsidRPr="00AB67EB" w:rsidRDefault="001865B8" w:rsidP="001865B8">
      <w:pPr>
        <w:pStyle w:val="Boxed1Bullet"/>
      </w:pPr>
      <w:r>
        <w:t xml:space="preserve">The </w:t>
      </w:r>
      <w:r w:rsidRPr="00596D01">
        <w:rPr>
          <w:rStyle w:val="Emphasis"/>
        </w:rPr>
        <w:t>Legislated Review of Aged Care 2017</w:t>
      </w:r>
      <w:r>
        <w:t xml:space="preserve"> </w:t>
      </w:r>
      <w:r w:rsidRPr="00AB67EB">
        <w:t xml:space="preserve">notes that </w:t>
      </w:r>
      <w:r>
        <w:t>“</w:t>
      </w:r>
      <w:r w:rsidRPr="00AB67EB">
        <w:t>robust measures of unmet demand are still a way off, and there is still a degree of uncertainty around gauging unmet demand for aged care services into the future</w:t>
      </w:r>
      <w:r>
        <w:t>.”</w:t>
      </w:r>
    </w:p>
    <w:p w:rsidR="00E66FBF" w:rsidRPr="00596D01" w:rsidRDefault="00E66FBF" w:rsidP="001865B8">
      <w:pPr>
        <w:pStyle w:val="Heading2Numbered"/>
      </w:pPr>
      <w:bookmarkStart w:id="244" w:name="_Toc423697043"/>
      <w:bookmarkStart w:id="245" w:name="_Toc426120738"/>
      <w:bookmarkStart w:id="246" w:name="_Toc457549891"/>
      <w:bookmarkStart w:id="247" w:name="_Toc487702548"/>
      <w:bookmarkStart w:id="248" w:name="_Toc487702900"/>
      <w:bookmarkStart w:id="249" w:name="_Toc487703398"/>
      <w:bookmarkStart w:id="250" w:name="_Toc487703592"/>
      <w:bookmarkStart w:id="251" w:name="_Toc524424721"/>
      <w:r w:rsidRPr="00596D01">
        <w:t>Access to aged care</w:t>
      </w:r>
      <w:bookmarkEnd w:id="244"/>
      <w:bookmarkEnd w:id="245"/>
      <w:bookmarkEnd w:id="246"/>
      <w:bookmarkEnd w:id="247"/>
      <w:bookmarkEnd w:id="248"/>
      <w:bookmarkEnd w:id="249"/>
      <w:bookmarkEnd w:id="250"/>
      <w:bookmarkEnd w:id="251"/>
    </w:p>
    <w:p w:rsidR="00CC17A0" w:rsidRDefault="00652623" w:rsidP="001865B8">
      <w:r>
        <w:t xml:space="preserve">Ensuring access to appropriate quality care remains a fundamental policy objective for </w:t>
      </w:r>
      <w:r w:rsidR="004D3FBF">
        <w:t xml:space="preserve">the Australian </w:t>
      </w:r>
      <w:r>
        <w:t>Government in the fundi</w:t>
      </w:r>
      <w:r w:rsidR="004D3FBF">
        <w:t xml:space="preserve">ng and financing of aged care. </w:t>
      </w:r>
      <w:r w:rsidR="008C3869">
        <w:t xml:space="preserve">However, </w:t>
      </w:r>
      <w:r>
        <w:t xml:space="preserve">access to </w:t>
      </w:r>
      <w:r w:rsidR="00427205">
        <w:t>care needs to be balanced by</w:t>
      </w:r>
      <w:r>
        <w:t xml:space="preserve"> affordability f</w:t>
      </w:r>
      <w:r w:rsidR="00CC17A0">
        <w:t>or both consumers and taxpayer</w:t>
      </w:r>
      <w:r w:rsidR="00427205">
        <w:t>s</w:t>
      </w:r>
      <w:r w:rsidR="00CC17A0">
        <w:t>.</w:t>
      </w:r>
    </w:p>
    <w:p w:rsidR="00D8721E" w:rsidRDefault="00CC17A0" w:rsidP="001865B8">
      <w:r>
        <w:t>To this end, the Australian Government</w:t>
      </w:r>
      <w:r w:rsidR="00930EC3">
        <w:t xml:space="preserve"> applies population based </w:t>
      </w:r>
      <w:r w:rsidR="00166D0C">
        <w:t>target</w:t>
      </w:r>
      <w:r w:rsidR="00930EC3">
        <w:t xml:space="preserve"> </w:t>
      </w:r>
      <w:r>
        <w:t>provision ratios to control the number of older people accessing subsidised</w:t>
      </w:r>
      <w:r w:rsidR="00C0004A">
        <w:t xml:space="preserve"> home care and residential </w:t>
      </w:r>
      <w:r>
        <w:t>care, and requires contributions from consumers based on an asse</w:t>
      </w:r>
      <w:r w:rsidR="00930EC3">
        <w:t>ssment of their capacity to pay</w:t>
      </w:r>
      <w:r>
        <w:t>.</w:t>
      </w:r>
      <w:r w:rsidR="001C600A">
        <w:t xml:space="preserve"> </w:t>
      </w:r>
      <w:r w:rsidR="001C600A" w:rsidRPr="001C600A">
        <w:t>The Australian Governmen</w:t>
      </w:r>
      <w:r w:rsidR="00B450AB">
        <w:t xml:space="preserve">t also controls </w:t>
      </w:r>
      <w:r w:rsidR="000855CF">
        <w:t xml:space="preserve">the </w:t>
      </w:r>
      <w:r w:rsidR="00B450AB">
        <w:t xml:space="preserve">supply of </w:t>
      </w:r>
      <w:r w:rsidR="000E2F7C">
        <w:t>h</w:t>
      </w:r>
      <w:r w:rsidR="00B450AB">
        <w:t xml:space="preserve">ome </w:t>
      </w:r>
      <w:r w:rsidR="000E2F7C">
        <w:t>s</w:t>
      </w:r>
      <w:r w:rsidR="00B450AB">
        <w:t>upport</w:t>
      </w:r>
      <w:r w:rsidR="00A51E42">
        <w:t xml:space="preserve"> under the CHSP</w:t>
      </w:r>
      <w:r w:rsidR="001C600A" w:rsidRPr="001C600A">
        <w:t xml:space="preserve"> by applying a cap on annual funding.</w:t>
      </w:r>
    </w:p>
    <w:p w:rsidR="00CC17A0" w:rsidRPr="00596D01" w:rsidRDefault="00CC17A0" w:rsidP="001865B8">
      <w:pPr>
        <w:pStyle w:val="Heading3Numbered"/>
      </w:pPr>
      <w:bookmarkStart w:id="252" w:name="_Toc487702549"/>
      <w:bookmarkStart w:id="253" w:name="_Toc487702901"/>
      <w:bookmarkStart w:id="254" w:name="_Toc487703399"/>
      <w:bookmarkStart w:id="255" w:name="_Toc487703593"/>
      <w:bookmarkStart w:id="256" w:name="_Toc524424722"/>
      <w:r w:rsidRPr="00596D01">
        <w:t>Supply of aged care</w:t>
      </w:r>
      <w:bookmarkEnd w:id="252"/>
      <w:bookmarkEnd w:id="253"/>
      <w:bookmarkEnd w:id="254"/>
      <w:bookmarkEnd w:id="255"/>
      <w:bookmarkEnd w:id="256"/>
      <w:r w:rsidRPr="00596D01">
        <w:t xml:space="preserve"> </w:t>
      </w:r>
    </w:p>
    <w:p w:rsidR="00CC17A0" w:rsidRDefault="00CC17A0" w:rsidP="001865B8">
      <w:r>
        <w:t>An</w:t>
      </w:r>
      <w:r w:rsidRPr="0019029C">
        <w:t xml:space="preserve"> overall aged care</w:t>
      </w:r>
      <w:r w:rsidR="00EB20FE">
        <w:t xml:space="preserve"> target </w:t>
      </w:r>
      <w:r w:rsidRPr="0019029C">
        <w:t>provision ratio was first set in 1985 at 100</w:t>
      </w:r>
      <w:r>
        <w:t xml:space="preserve"> operational </w:t>
      </w:r>
      <w:r w:rsidR="00783823">
        <w:t xml:space="preserve">residential care </w:t>
      </w:r>
      <w:r>
        <w:t xml:space="preserve">places per 1,000 people aged 70 and over. </w:t>
      </w:r>
      <w:r w:rsidR="002A7B2D">
        <w:t xml:space="preserve">The overall provision ratio </w:t>
      </w:r>
      <w:r>
        <w:t>was increased to 108</w:t>
      </w:r>
      <w:r w:rsidR="00B450AB">
        <w:t xml:space="preserve"> in</w:t>
      </w:r>
      <w:r w:rsidR="00A261F3">
        <w:t> 200</w:t>
      </w:r>
      <w:r w:rsidR="00B450AB">
        <w:t>4</w:t>
      </w:r>
      <w:r w:rsidR="002A7B2D">
        <w:t xml:space="preserve">, </w:t>
      </w:r>
      <w:r w:rsidRPr="0019029C">
        <w:t>further increased to 113 in</w:t>
      </w:r>
      <w:r w:rsidR="00A261F3">
        <w:t> 200</w:t>
      </w:r>
      <w:r w:rsidRPr="0019029C">
        <w:t>7, and in</w:t>
      </w:r>
      <w:r w:rsidR="00A261F3">
        <w:t> 201</w:t>
      </w:r>
      <w:r w:rsidRPr="0019029C">
        <w:t xml:space="preserve">2 was adjusted to </w:t>
      </w:r>
      <w:r w:rsidR="00B450AB">
        <w:t>increase</w:t>
      </w:r>
      <w:r w:rsidR="000855CF">
        <w:t xml:space="preserve"> </w:t>
      </w:r>
      <w:r w:rsidR="000855CF" w:rsidRPr="0019029C">
        <w:t>progres</w:t>
      </w:r>
      <w:r w:rsidR="000855CF">
        <w:t>sively</w:t>
      </w:r>
      <w:r w:rsidR="00B450AB">
        <w:t xml:space="preserve"> to 125 by</w:t>
      </w:r>
      <w:r w:rsidR="00A261F3">
        <w:t> 202</w:t>
      </w:r>
      <w:r w:rsidRPr="0019029C">
        <w:t>2.</w:t>
      </w:r>
      <w:r>
        <w:t xml:space="preserve"> </w:t>
      </w:r>
      <w:r w:rsidR="00366F55" w:rsidRPr="00EF26C8">
        <w:t xml:space="preserve">Home care packages were first introduced into the ratio in the early 1990s and since then successive Governments have gradually increased </w:t>
      </w:r>
      <w:r w:rsidR="00EF26C8" w:rsidRPr="00EF26C8">
        <w:t xml:space="preserve">home care </w:t>
      </w:r>
      <w:r w:rsidR="00366F55" w:rsidRPr="00EF26C8">
        <w:t>as a proportion of the overall provision ratio.</w:t>
      </w:r>
    </w:p>
    <w:p w:rsidR="00D8721E" w:rsidRDefault="00B442BB" w:rsidP="001C335A">
      <w:r w:rsidRPr="0019029C">
        <w:t xml:space="preserve">This population-based </w:t>
      </w:r>
      <w:r w:rsidR="00166D0C">
        <w:t xml:space="preserve">target </w:t>
      </w:r>
      <w:r w:rsidRPr="0019029C">
        <w:t>provision formula</w:t>
      </w:r>
      <w:r w:rsidR="00052184">
        <w:t xml:space="preserve"> is designed to ensure</w:t>
      </w:r>
      <w:r w:rsidRPr="0019029C">
        <w:t xml:space="preserve"> that the </w:t>
      </w:r>
      <w:r w:rsidR="002A7B2D">
        <w:t>overall</w:t>
      </w:r>
      <w:r w:rsidR="00EF26C8">
        <w:t xml:space="preserve"> </w:t>
      </w:r>
      <w:r w:rsidRPr="0019029C">
        <w:t xml:space="preserve">supply of services increases in line with the ageing of the population, while also defining the total number of </w:t>
      </w:r>
      <w:r w:rsidRPr="00C476A8">
        <w:t>places</w:t>
      </w:r>
      <w:r w:rsidR="00821AB2">
        <w:t>/packages</w:t>
      </w:r>
      <w:r w:rsidR="00E47792">
        <w:t xml:space="preserve"> and</w:t>
      </w:r>
      <w:r w:rsidR="00C25542">
        <w:t>,</w:t>
      </w:r>
      <w:r w:rsidR="00CC17A0" w:rsidRPr="00C476A8">
        <w:t xml:space="preserve"> thereby</w:t>
      </w:r>
      <w:r w:rsidRPr="00C476A8">
        <w:t>, helping control the Commonwealth’s expenditure on aged care</w:t>
      </w:r>
      <w:r w:rsidR="00D8721E">
        <w:t>.</w:t>
      </w:r>
    </w:p>
    <w:p w:rsidR="00D8721E" w:rsidRDefault="00B442BB" w:rsidP="001C335A">
      <w:r w:rsidRPr="0019029C">
        <w:lastRenderedPageBreak/>
        <w:t>Within the current</w:t>
      </w:r>
      <w:r w:rsidR="00A51E42">
        <w:t xml:space="preserve"> overall</w:t>
      </w:r>
      <w:r w:rsidRPr="0019029C">
        <w:t xml:space="preserve"> target provision ratio of 125, the mix of home care and residential care is being significantly altered. </w:t>
      </w:r>
      <w:r w:rsidR="007B25E7">
        <w:t>Over the period</w:t>
      </w:r>
      <w:r w:rsidR="00A261F3">
        <w:t> 201</w:t>
      </w:r>
      <w:r w:rsidR="007B25E7">
        <w:t>2 to</w:t>
      </w:r>
      <w:r w:rsidR="00A261F3">
        <w:t> 202</w:t>
      </w:r>
      <w:r w:rsidR="007B25E7">
        <w:t xml:space="preserve">2 the target for home care </w:t>
      </w:r>
      <w:r w:rsidR="000972FD">
        <w:t>is increasing</w:t>
      </w:r>
      <w:r w:rsidR="007B25E7" w:rsidRPr="0019029C">
        <w:t xml:space="preserve"> from 27 to 45, while the residen</w:t>
      </w:r>
      <w:r w:rsidR="007B25E7">
        <w:t>tial care target is to reduce from 86</w:t>
      </w:r>
      <w:r w:rsidR="007B25E7" w:rsidRPr="0019029C">
        <w:t xml:space="preserve"> to 78. </w:t>
      </w:r>
      <w:r w:rsidR="007B25E7">
        <w:t xml:space="preserve">The remaining two places </w:t>
      </w:r>
      <w:r w:rsidR="000972FD">
        <w:t xml:space="preserve">are for the </w:t>
      </w:r>
      <w:r w:rsidR="007B25E7">
        <w:t>Short Term Restorative Care Programme</w:t>
      </w:r>
      <w:r w:rsidR="000E2F7C">
        <w:t xml:space="preserve"> (STRC)</w:t>
      </w:r>
      <w:r w:rsidR="00D8721E">
        <w:t>.</w:t>
      </w:r>
    </w:p>
    <w:p w:rsidR="00B442BB" w:rsidRPr="00C476A8" w:rsidRDefault="0069205E" w:rsidP="001C335A">
      <w:pPr>
        <w:rPr>
          <w:lang w:val="en-GB"/>
        </w:rPr>
      </w:pPr>
      <w:r>
        <w:rPr>
          <w:lang w:val="en-GB"/>
        </w:rPr>
        <w:fldChar w:fldCharType="begin"/>
      </w:r>
      <w:r>
        <w:rPr>
          <w:lang w:val="en-GB"/>
        </w:rPr>
        <w:instrText xml:space="preserve"> REF _Ref524429947 \r \h </w:instrText>
      </w:r>
      <w:r>
        <w:rPr>
          <w:lang w:val="en-GB"/>
        </w:rPr>
      </w:r>
      <w:r>
        <w:rPr>
          <w:lang w:val="en-GB"/>
        </w:rPr>
        <w:fldChar w:fldCharType="separate"/>
      </w:r>
      <w:r>
        <w:rPr>
          <w:lang w:val="en-GB"/>
        </w:rPr>
        <w:t>Appendix D</w:t>
      </w:r>
      <w:r>
        <w:rPr>
          <w:lang w:val="en-GB"/>
        </w:rPr>
        <w:fldChar w:fldCharType="end"/>
      </w:r>
      <w:r w:rsidR="007B25E7">
        <w:rPr>
          <w:lang w:val="en-GB"/>
        </w:rPr>
        <w:t xml:space="preserve"> </w:t>
      </w:r>
      <w:r w:rsidR="00C476A8" w:rsidRPr="0019029C">
        <w:rPr>
          <w:lang w:val="en-GB"/>
        </w:rPr>
        <w:t xml:space="preserve">details the </w:t>
      </w:r>
      <w:r w:rsidR="007B25E7">
        <w:rPr>
          <w:lang w:val="en-GB"/>
        </w:rPr>
        <w:t>total operational aged care places</w:t>
      </w:r>
      <w:r w:rsidR="008E0DDB">
        <w:rPr>
          <w:lang w:val="en-GB"/>
        </w:rPr>
        <w:t xml:space="preserve"> in residential care</w:t>
      </w:r>
      <w:r w:rsidR="007B25E7">
        <w:rPr>
          <w:lang w:val="en-GB"/>
        </w:rPr>
        <w:t xml:space="preserve"> and ratios achieved in each aged car</w:t>
      </w:r>
      <w:r w:rsidR="00EE5B9D">
        <w:rPr>
          <w:lang w:val="en-GB"/>
        </w:rPr>
        <w:t xml:space="preserve">e planning region as at </w:t>
      </w:r>
      <w:r w:rsidR="00A261F3">
        <w:rPr>
          <w:lang w:val="en-GB"/>
        </w:rPr>
        <w:t>30 J</w:t>
      </w:r>
      <w:r w:rsidR="00ED43AB">
        <w:rPr>
          <w:lang w:val="en-GB"/>
        </w:rPr>
        <w:t>une</w:t>
      </w:r>
      <w:r w:rsidR="00A261F3">
        <w:rPr>
          <w:lang w:val="en-GB"/>
        </w:rPr>
        <w:t> 201</w:t>
      </w:r>
      <w:r w:rsidR="000072EA">
        <w:rPr>
          <w:lang w:val="en-GB"/>
        </w:rPr>
        <w:t>7</w:t>
      </w:r>
      <w:r w:rsidR="007B25E7">
        <w:rPr>
          <w:lang w:val="en-GB"/>
        </w:rPr>
        <w:t>.</w:t>
      </w:r>
    </w:p>
    <w:p w:rsidR="00D8721E" w:rsidRDefault="00492BF8" w:rsidP="001C335A">
      <w:r>
        <w:fldChar w:fldCharType="begin"/>
      </w:r>
      <w:r>
        <w:instrText xml:space="preserve"> REF _Ref447870399 \r \h </w:instrText>
      </w:r>
      <w:r>
        <w:fldChar w:fldCharType="separate"/>
      </w:r>
      <w:r>
        <w:t>Chart 5.1</w:t>
      </w:r>
      <w:r>
        <w:fldChar w:fldCharType="end"/>
      </w:r>
      <w:r>
        <w:t xml:space="preserve"> </w:t>
      </w:r>
      <w:r w:rsidR="00B442BB" w:rsidRPr="0019029C">
        <w:t>show</w:t>
      </w:r>
      <w:r w:rsidR="005842B0">
        <w:t>s the changes in the target</w:t>
      </w:r>
      <w:r w:rsidR="00B442BB" w:rsidRPr="0019029C">
        <w:t xml:space="preserve"> ratio</w:t>
      </w:r>
      <w:r w:rsidR="005842B0">
        <w:t>s</w:t>
      </w:r>
      <w:r w:rsidR="00B442BB" w:rsidRPr="0019029C">
        <w:t xml:space="preserve"> since</w:t>
      </w:r>
      <w:r w:rsidR="00A261F3">
        <w:t> 200</w:t>
      </w:r>
      <w:r w:rsidR="00B442BB" w:rsidRPr="0019029C">
        <w:t>4 and the planned increase through to</w:t>
      </w:r>
      <w:r w:rsidR="00A261F3">
        <w:t> 202</w:t>
      </w:r>
      <w:r w:rsidR="00B442BB" w:rsidRPr="0019029C">
        <w:t>2</w:t>
      </w:r>
      <w:r w:rsidR="00D8721E">
        <w:t>.</w:t>
      </w:r>
    </w:p>
    <w:p w:rsidR="00B442BB" w:rsidRPr="00596D01" w:rsidRDefault="00B442BB" w:rsidP="001C335A">
      <w:pPr>
        <w:pStyle w:val="ChartTitle"/>
      </w:pPr>
      <w:bookmarkStart w:id="257" w:name="_Ref447870399"/>
      <w:bookmarkStart w:id="258" w:name="_Ref452528405"/>
      <w:r w:rsidRPr="00596D01">
        <w:t xml:space="preserve">Increase </w:t>
      </w:r>
      <w:r w:rsidR="00192907" w:rsidRPr="00596D01">
        <w:t>in target provision ratios, 1985</w:t>
      </w:r>
      <w:r w:rsidR="00D8721E" w:rsidRPr="00596D01">
        <w:t>–2</w:t>
      </w:r>
      <w:r w:rsidRPr="00596D01">
        <w:t>022</w:t>
      </w:r>
      <w:bookmarkEnd w:id="257"/>
      <w:bookmarkEnd w:id="258"/>
    </w:p>
    <w:p w:rsidR="00D8721E" w:rsidRDefault="003B4666" w:rsidP="001C335A">
      <w:r>
        <w:rPr>
          <w:noProof/>
        </w:rPr>
        <w:drawing>
          <wp:inline distT="0" distB="0" distL="0" distR="0" wp14:anchorId="6447097E" wp14:editId="144412AC">
            <wp:extent cx="6120000" cy="1700000"/>
            <wp:effectExtent l="0" t="0" r="0" b="0"/>
            <wp:docPr id="6" name="Picture 6" descr="Chart 5.1 Increase in target provision ratios, 1985–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000" cy="1700000"/>
                    </a:xfrm>
                    <a:prstGeom prst="rect">
                      <a:avLst/>
                    </a:prstGeom>
                    <a:noFill/>
                    <a:ln>
                      <a:noFill/>
                    </a:ln>
                  </pic:spPr>
                </pic:pic>
              </a:graphicData>
            </a:graphic>
          </wp:inline>
        </w:drawing>
      </w:r>
    </w:p>
    <w:p w:rsidR="00D8721E" w:rsidRDefault="00A51E42" w:rsidP="001C335A">
      <w:r w:rsidRPr="00181073">
        <w:t xml:space="preserve">Implementation of the current target provision ratio will achieve an overall increase in the supply of home </w:t>
      </w:r>
      <w:r w:rsidR="00166D0C">
        <w:t xml:space="preserve">care packages </w:t>
      </w:r>
      <w:r w:rsidRPr="00181073">
        <w:t>and residential care places. However, the changes see the proportion of home care p</w:t>
      </w:r>
      <w:r w:rsidR="00166D0C">
        <w:t>ackages</w:t>
      </w:r>
      <w:r w:rsidRPr="00181073">
        <w:t xml:space="preserve"> increasing at a faster rate than that of residential </w:t>
      </w:r>
      <w:r>
        <w:t xml:space="preserve">care </w:t>
      </w:r>
      <w:r w:rsidRPr="00181073">
        <w:t>places</w:t>
      </w:r>
      <w:r>
        <w:t>,</w:t>
      </w:r>
      <w:r w:rsidRPr="00181073">
        <w:t xml:space="preserve"> which reflects</w:t>
      </w:r>
      <w:r>
        <w:t xml:space="preserve"> the Government’s response to</w:t>
      </w:r>
      <w:r w:rsidRPr="00181073">
        <w:t xml:space="preserve"> the increasing number of consumers wishing to remain in their own homes</w:t>
      </w:r>
      <w:r w:rsidR="00D8721E">
        <w:t>.</w:t>
      </w:r>
    </w:p>
    <w:p w:rsidR="00D8721E" w:rsidRDefault="00A51E42" w:rsidP="001C335A">
      <w:pPr>
        <w:rPr>
          <w:lang w:val="en-GB"/>
        </w:rPr>
      </w:pPr>
      <w:r w:rsidRPr="00EF26C8">
        <w:rPr>
          <w:lang w:val="en-GB"/>
        </w:rPr>
        <w:t>In previous reports, ACFA has commented on the achieved ratio of operational places compared with the target operational ratio. While the calculation of this ratio is still possible for residential care (</w:t>
      </w:r>
      <w:r w:rsidR="00492BF8">
        <w:rPr>
          <w:lang w:val="en-GB"/>
        </w:rPr>
        <w:fldChar w:fldCharType="begin"/>
      </w:r>
      <w:r w:rsidR="00492BF8">
        <w:rPr>
          <w:lang w:val="en-GB"/>
        </w:rPr>
        <w:instrText xml:space="preserve"> REF _Ref453179152 \r \h </w:instrText>
      </w:r>
      <w:r w:rsidR="00492BF8">
        <w:rPr>
          <w:lang w:val="en-GB"/>
        </w:rPr>
      </w:r>
      <w:r w:rsidR="00492BF8">
        <w:rPr>
          <w:lang w:val="en-GB"/>
        </w:rPr>
        <w:fldChar w:fldCharType="separate"/>
      </w:r>
      <w:r w:rsidR="00492BF8">
        <w:rPr>
          <w:lang w:val="en-GB"/>
        </w:rPr>
        <w:t>Chart 5.2</w:t>
      </w:r>
      <w:r w:rsidR="00492BF8">
        <w:rPr>
          <w:lang w:val="en-GB"/>
        </w:rPr>
        <w:fldChar w:fldCharType="end"/>
      </w:r>
      <w:r w:rsidRPr="00EF26C8">
        <w:rPr>
          <w:lang w:val="en-GB"/>
        </w:rPr>
        <w:t>), since</w:t>
      </w:r>
      <w:r w:rsidR="00A261F3">
        <w:rPr>
          <w:lang w:val="en-GB"/>
        </w:rPr>
        <w:t> 201</w:t>
      </w:r>
      <w:r w:rsidRPr="00EF26C8">
        <w:rPr>
          <w:lang w:val="en-GB"/>
        </w:rPr>
        <w:t>6</w:t>
      </w:r>
      <w:r w:rsidR="00D8721E">
        <w:rPr>
          <w:lang w:val="en-GB"/>
        </w:rPr>
        <w:t>–1</w:t>
      </w:r>
      <w:r w:rsidRPr="00EF26C8">
        <w:rPr>
          <w:lang w:val="en-GB"/>
        </w:rPr>
        <w:t>7 an operational home care provision ratio can no longer be calculated in a way that is comparable with pre</w:t>
      </w:r>
      <w:r w:rsidR="00A261F3">
        <w:rPr>
          <w:lang w:val="en-GB"/>
        </w:rPr>
        <w:t> 201</w:t>
      </w:r>
      <w:r w:rsidRPr="00EF26C8">
        <w:rPr>
          <w:lang w:val="en-GB"/>
        </w:rPr>
        <w:t>6</w:t>
      </w:r>
      <w:r w:rsidR="00D8721E">
        <w:rPr>
          <w:lang w:val="en-GB"/>
        </w:rPr>
        <w:t>–1</w:t>
      </w:r>
      <w:r w:rsidRPr="00EF26C8">
        <w:rPr>
          <w:lang w:val="en-GB"/>
        </w:rPr>
        <w:t>7 ratios. This is because the calculation of operational places pre</w:t>
      </w:r>
      <w:r w:rsidR="00A261F3">
        <w:rPr>
          <w:lang w:val="en-GB"/>
        </w:rPr>
        <w:t> 201</w:t>
      </w:r>
      <w:r w:rsidRPr="00EF26C8">
        <w:rPr>
          <w:lang w:val="en-GB"/>
        </w:rPr>
        <w:t>6</w:t>
      </w:r>
      <w:r w:rsidR="00D8721E">
        <w:rPr>
          <w:lang w:val="en-GB"/>
        </w:rPr>
        <w:t>–1</w:t>
      </w:r>
      <w:r w:rsidRPr="00EF26C8">
        <w:rPr>
          <w:lang w:val="en-GB"/>
        </w:rPr>
        <w:t>7 includes places allocated to providers, and available to be used, that are not being used (i.e. vacant) whereas, since February</w:t>
      </w:r>
      <w:r w:rsidR="00A261F3">
        <w:rPr>
          <w:lang w:val="en-GB"/>
        </w:rPr>
        <w:t> 201</w:t>
      </w:r>
      <w:r w:rsidRPr="00EF26C8">
        <w:rPr>
          <w:lang w:val="en-GB"/>
        </w:rPr>
        <w:t xml:space="preserve">7, </w:t>
      </w:r>
      <w:r w:rsidR="002F2E79">
        <w:rPr>
          <w:lang w:val="en-GB"/>
        </w:rPr>
        <w:t xml:space="preserve">home care </w:t>
      </w:r>
      <w:r w:rsidRPr="00EF26C8">
        <w:rPr>
          <w:lang w:val="en-GB"/>
        </w:rPr>
        <w:t>packages are no longer allocated to providers but are instead assigned to consumers</w:t>
      </w:r>
      <w:r w:rsidR="00053D34">
        <w:rPr>
          <w:lang w:val="en-GB"/>
        </w:rPr>
        <w:t>,</w:t>
      </w:r>
      <w:r w:rsidRPr="00EF26C8">
        <w:rPr>
          <w:lang w:val="en-GB"/>
        </w:rPr>
        <w:t xml:space="preserve"> i.e. there is no vacancy factor for inclusion in the calculation of the ratio. Therefore a ratio using only occupied places would, in effect, be based on consumers, not on places available to be used, and would be a lower ratio</w:t>
      </w:r>
      <w:r w:rsidR="00D8721E">
        <w:rPr>
          <w:lang w:val="en-GB"/>
        </w:rPr>
        <w:t>.</w:t>
      </w:r>
    </w:p>
    <w:p w:rsidR="00D8721E" w:rsidRDefault="00492BF8" w:rsidP="001C335A">
      <w:r>
        <w:fldChar w:fldCharType="begin"/>
      </w:r>
      <w:r>
        <w:instrText xml:space="preserve"> REF _Ref453179152 \r \h </w:instrText>
      </w:r>
      <w:r>
        <w:fldChar w:fldCharType="separate"/>
      </w:r>
      <w:r>
        <w:t>Chart 5.2</w:t>
      </w:r>
      <w:r>
        <w:fldChar w:fldCharType="end"/>
      </w:r>
      <w:r>
        <w:t xml:space="preserve"> </w:t>
      </w:r>
      <w:r w:rsidR="00A51E42">
        <w:t>shows the achieved operational ratio of residential</w:t>
      </w:r>
      <w:r w:rsidR="00A51E42" w:rsidRPr="00D5646D">
        <w:t xml:space="preserve"> care </w:t>
      </w:r>
      <w:r w:rsidR="00A51E42">
        <w:t xml:space="preserve">places for the 10 years to </w:t>
      </w:r>
      <w:r w:rsidR="00A261F3">
        <w:t>30 J</w:t>
      </w:r>
      <w:r w:rsidR="00A51E42">
        <w:t>une</w:t>
      </w:r>
      <w:r w:rsidR="00A261F3">
        <w:t> 201</w:t>
      </w:r>
      <w:r w:rsidR="00A51E42">
        <w:t>7 and records the achieved operational ratio of home care until</w:t>
      </w:r>
      <w:r w:rsidR="00166D0C">
        <w:t xml:space="preserve"> </w:t>
      </w:r>
      <w:r w:rsidR="00A261F3">
        <w:t>30 J</w:t>
      </w:r>
      <w:r w:rsidR="00166D0C">
        <w:t>une</w:t>
      </w:r>
      <w:r w:rsidR="00A261F3">
        <w:t> 201</w:t>
      </w:r>
      <w:r w:rsidR="00A51E42">
        <w:t xml:space="preserve">6. ACFA notes that the achieved residential ratio of 77.9 as at </w:t>
      </w:r>
      <w:r w:rsidR="00A261F3">
        <w:t>30 J</w:t>
      </w:r>
      <w:r w:rsidR="00A51E42">
        <w:t>une</w:t>
      </w:r>
      <w:r w:rsidR="00A261F3">
        <w:t> 201</w:t>
      </w:r>
      <w:r w:rsidR="00A51E42">
        <w:t>7 has already reached the target for</w:t>
      </w:r>
      <w:r w:rsidR="00A261F3">
        <w:t> 202</w:t>
      </w:r>
      <w:r w:rsidR="00A51E42">
        <w:t>1</w:t>
      </w:r>
      <w:r w:rsidR="00D8721E">
        <w:t>–2</w:t>
      </w:r>
      <w:r w:rsidR="00A51E42">
        <w:t>2, which is 78 places per 1000 people aged 70 and over</w:t>
      </w:r>
      <w:r w:rsidR="00D8721E">
        <w:t>.</w:t>
      </w:r>
    </w:p>
    <w:p w:rsidR="00650120" w:rsidRPr="00596D01" w:rsidRDefault="00D77119" w:rsidP="001C335A">
      <w:pPr>
        <w:pStyle w:val="ChartTitle"/>
      </w:pPr>
      <w:bookmarkStart w:id="259" w:name="_Ref453179152"/>
      <w:r w:rsidRPr="00596D01">
        <w:lastRenderedPageBreak/>
        <w:t>Residential</w:t>
      </w:r>
      <w:r w:rsidR="00B442BB" w:rsidRPr="00596D01">
        <w:t xml:space="preserve"> </w:t>
      </w:r>
      <w:r w:rsidR="00F30788" w:rsidRPr="00596D01">
        <w:t>and home care achieved ratios,</w:t>
      </w:r>
      <w:r w:rsidR="00A261F3" w:rsidRPr="00596D01">
        <w:t> 200</w:t>
      </w:r>
      <w:r w:rsidR="00F30788" w:rsidRPr="00596D01">
        <w:t>7 –</w:t>
      </w:r>
      <w:r w:rsidR="00A261F3" w:rsidRPr="00596D01">
        <w:t> 201</w:t>
      </w:r>
      <w:r w:rsidR="00F30788" w:rsidRPr="00596D01">
        <w:t>6 and residential care achieved ratio,</w:t>
      </w:r>
      <w:r w:rsidR="00A261F3" w:rsidRPr="00596D01">
        <w:t> 201</w:t>
      </w:r>
      <w:r w:rsidRPr="00596D01">
        <w:t>7</w:t>
      </w:r>
      <w:bookmarkEnd w:id="259"/>
    </w:p>
    <w:p w:rsidR="00D8721E" w:rsidRDefault="0000630F" w:rsidP="001C335A">
      <w:r>
        <w:rPr>
          <w:noProof/>
        </w:rPr>
        <w:drawing>
          <wp:inline distT="0" distB="0" distL="0" distR="0" wp14:anchorId="128D198B" wp14:editId="4A19A0CB">
            <wp:extent cx="6120000" cy="2774698"/>
            <wp:effectExtent l="0" t="0" r="0" b="6985"/>
            <wp:docPr id="675" name="Picture 675" descr="Chart 5.2 Residential and home care achieved ratios, 2007 – 2016 and residential care achieved rati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5.2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000" cy="2774698"/>
                    </a:xfrm>
                    <a:prstGeom prst="rect">
                      <a:avLst/>
                    </a:prstGeom>
                    <a:noFill/>
                    <a:ln>
                      <a:noFill/>
                    </a:ln>
                  </pic:spPr>
                </pic:pic>
              </a:graphicData>
            </a:graphic>
          </wp:inline>
        </w:drawing>
      </w:r>
    </w:p>
    <w:p w:rsidR="00D8721E" w:rsidRDefault="00053049" w:rsidP="001C335A">
      <w:r>
        <w:t xml:space="preserve">ACFA notes that the home care target </w:t>
      </w:r>
      <w:r w:rsidR="002F2E79">
        <w:t>provision</w:t>
      </w:r>
      <w:r>
        <w:t xml:space="preserve"> </w:t>
      </w:r>
      <w:r w:rsidRPr="00724DA0">
        <w:t xml:space="preserve">ratio is </w:t>
      </w:r>
      <w:r>
        <w:t xml:space="preserve">now </w:t>
      </w:r>
      <w:r w:rsidRPr="00724DA0">
        <w:t>used by the</w:t>
      </w:r>
      <w:r>
        <w:t xml:space="preserve"> Government </w:t>
      </w:r>
      <w:r w:rsidRPr="00724DA0">
        <w:t>to work out the number of packages to be assigned to consumers</w:t>
      </w:r>
      <w:r>
        <w:t xml:space="preserve">. However, ACFA also notes that there is </w:t>
      </w:r>
      <w:r w:rsidR="00053D34">
        <w:t xml:space="preserve">currently </w:t>
      </w:r>
      <w:r>
        <w:t xml:space="preserve">no official way </w:t>
      </w:r>
      <w:r w:rsidR="00053D34">
        <w:t>of</w:t>
      </w:r>
      <w:r>
        <w:t xml:space="preserve"> measuring performance against the </w:t>
      </w:r>
      <w:r w:rsidR="002F2E79">
        <w:t>target</w:t>
      </w:r>
      <w:r>
        <w:t>.</w:t>
      </w:r>
      <w:r w:rsidRPr="00724DA0">
        <w:t xml:space="preserve"> </w:t>
      </w:r>
      <w:r>
        <w:t xml:space="preserve">ACFA considers that </w:t>
      </w:r>
      <w:r w:rsidR="00EB20FE">
        <w:t>target provision ratio</w:t>
      </w:r>
      <w:r>
        <w:t xml:space="preserve"> for the supply of </w:t>
      </w:r>
      <w:r w:rsidR="00166D0C">
        <w:t>home care packages</w:t>
      </w:r>
      <w:r>
        <w:t xml:space="preserve"> need</w:t>
      </w:r>
      <w:r w:rsidR="00166D0C">
        <w:t>s</w:t>
      </w:r>
      <w:r>
        <w:t xml:space="preserve"> to be re-calibrated in order to provide a basis for measuring performance. One option to measure relative supply in future is a population-based ratio using the number of consumers receiving care, instead of operational places</w:t>
      </w:r>
      <w:r w:rsidR="00D8721E">
        <w:t>.</w:t>
      </w:r>
    </w:p>
    <w:p w:rsidR="00D8721E" w:rsidRDefault="00053049" w:rsidP="001C335A">
      <w:r w:rsidRPr="00053049">
        <w:t xml:space="preserve">Because </w:t>
      </w:r>
      <w:r>
        <w:t>there is currently no</w:t>
      </w:r>
      <w:r w:rsidRPr="00053049">
        <w:t xml:space="preserve"> method to track progress against the target of 45 operational home care packages per 1000 people aged </w:t>
      </w:r>
      <w:r w:rsidR="00CD1340">
        <w:t>70 and over by</w:t>
      </w:r>
      <w:r w:rsidR="00A261F3">
        <w:t> 202</w:t>
      </w:r>
      <w:r w:rsidR="00CD1340">
        <w:t>1</w:t>
      </w:r>
      <w:r w:rsidR="00D8721E">
        <w:t>–2</w:t>
      </w:r>
      <w:r w:rsidR="00CD1340">
        <w:t xml:space="preserve">2, </w:t>
      </w:r>
      <w:r w:rsidR="00492BF8">
        <w:fldChar w:fldCharType="begin"/>
      </w:r>
      <w:r w:rsidR="00492BF8">
        <w:instrText xml:space="preserve"> REF _Ref524428072 \r \h </w:instrText>
      </w:r>
      <w:r w:rsidR="00492BF8">
        <w:fldChar w:fldCharType="separate"/>
      </w:r>
      <w:r w:rsidR="00492BF8">
        <w:t>Chart 5.3</w:t>
      </w:r>
      <w:r w:rsidR="00492BF8">
        <w:fldChar w:fldCharType="end"/>
      </w:r>
      <w:r w:rsidR="00492BF8">
        <w:t xml:space="preserve"> </w:t>
      </w:r>
      <w:r w:rsidRPr="00053049">
        <w:t xml:space="preserve">has been prepared as an interim measure. </w:t>
      </w:r>
      <w:r w:rsidR="00492BF8">
        <w:fldChar w:fldCharType="begin"/>
      </w:r>
      <w:r w:rsidR="00492BF8">
        <w:instrText xml:space="preserve"> REF _Ref524428072 \r \h </w:instrText>
      </w:r>
      <w:r w:rsidR="00492BF8">
        <w:fldChar w:fldCharType="separate"/>
      </w:r>
      <w:r w:rsidR="00492BF8">
        <w:t>Chart 5.3</w:t>
      </w:r>
      <w:r w:rsidR="00492BF8">
        <w:fldChar w:fldCharType="end"/>
      </w:r>
      <w:r w:rsidR="00492BF8">
        <w:t xml:space="preserve"> </w:t>
      </w:r>
      <w:r w:rsidRPr="00053049">
        <w:t xml:space="preserve">shows the number of consumers of home care in a package as at </w:t>
      </w:r>
      <w:r w:rsidR="00A261F3">
        <w:t>30 J</w:t>
      </w:r>
      <w:r w:rsidRPr="00053049">
        <w:t>une for each of the previous five years, as well as the target number of allocated packages published in the Department</w:t>
      </w:r>
      <w:r w:rsidR="00F65443">
        <w:t xml:space="preserve"> of Health</w:t>
      </w:r>
      <w:r w:rsidRPr="00053049">
        <w:t>’s</w:t>
      </w:r>
      <w:r w:rsidR="00A261F3">
        <w:t> 201</w:t>
      </w:r>
      <w:r w:rsidRPr="00053049">
        <w:t>8</w:t>
      </w:r>
      <w:r w:rsidR="00D8721E">
        <w:t>–1</w:t>
      </w:r>
      <w:r w:rsidRPr="00053049">
        <w:t>9 Portfolio Budget Statement. While the historical and forward estimates numbers are not comparable, the chart gives some indication of the increase in home care packages that is planned to be released</w:t>
      </w:r>
      <w:r w:rsidR="00D8721E">
        <w:t>.</w:t>
      </w:r>
    </w:p>
    <w:p w:rsidR="00AB410C" w:rsidRPr="00596D01" w:rsidRDefault="00821AB2" w:rsidP="001C335A">
      <w:pPr>
        <w:pStyle w:val="ChartTitle"/>
      </w:pPr>
      <w:bookmarkStart w:id="260" w:name="_Ref524428072"/>
      <w:r w:rsidRPr="00596D01">
        <w:t>Home care consumers and published</w:t>
      </w:r>
      <w:r w:rsidR="00EB0AFB" w:rsidRPr="00596D01">
        <w:t xml:space="preserve"> target packages to be released</w:t>
      </w:r>
      <w:bookmarkEnd w:id="260"/>
    </w:p>
    <w:p w:rsidR="00D8721E" w:rsidRDefault="00EB0AFB" w:rsidP="001C335A">
      <w:r>
        <w:rPr>
          <w:noProof/>
        </w:rPr>
        <w:drawing>
          <wp:inline distT="0" distB="0" distL="0" distR="0" wp14:anchorId="543A6788" wp14:editId="5FA2B9CD">
            <wp:extent cx="6120000" cy="3163636"/>
            <wp:effectExtent l="0" t="0" r="0" b="0"/>
            <wp:docPr id="696" name="Picture 696" descr="Chart 5.3 Home care consumers and published target packages to be 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cb0036\AppData\Local\Microsoft\Windows\Temporary Internet Files\Content.Outlook\GKEAYA79\Chart_X.X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000" cy="3163636"/>
                    </a:xfrm>
                    <a:prstGeom prst="rect">
                      <a:avLst/>
                    </a:prstGeom>
                    <a:noFill/>
                    <a:ln>
                      <a:noFill/>
                    </a:ln>
                  </pic:spPr>
                </pic:pic>
              </a:graphicData>
            </a:graphic>
          </wp:inline>
        </w:drawing>
      </w:r>
    </w:p>
    <w:p w:rsidR="00D8721E" w:rsidRDefault="00053049" w:rsidP="001C335A">
      <w:r w:rsidRPr="000D5A5E">
        <w:lastRenderedPageBreak/>
        <w:t xml:space="preserve">The target ratio </w:t>
      </w:r>
      <w:r>
        <w:t xml:space="preserve">approach </w:t>
      </w:r>
      <w:r w:rsidRPr="000D5A5E">
        <w:t>applied to home care</w:t>
      </w:r>
      <w:r w:rsidR="00166D0C">
        <w:t xml:space="preserve"> packages</w:t>
      </w:r>
      <w:r w:rsidRPr="000D5A5E">
        <w:t xml:space="preserve"> and residential care places does not apply to the supply of care through the Commonwealth Home Support Programme (CHSP). Instead</w:t>
      </w:r>
      <w:r>
        <w:t>,</w:t>
      </w:r>
      <w:r w:rsidRPr="000D5A5E">
        <w:t xml:space="preserve"> </w:t>
      </w:r>
      <w:r>
        <w:t xml:space="preserve">CHSP funding is subject to an annual capped funding allocation, and CHSP </w:t>
      </w:r>
      <w:r w:rsidRPr="000D5A5E">
        <w:t xml:space="preserve">providers </w:t>
      </w:r>
      <w:r>
        <w:t xml:space="preserve">are </w:t>
      </w:r>
      <w:r w:rsidR="00F65443">
        <w:t xml:space="preserve">grant </w:t>
      </w:r>
      <w:r>
        <w:t xml:space="preserve">funded to provide contracted home support services. </w:t>
      </w:r>
      <w:r w:rsidRPr="000D5A5E">
        <w:t xml:space="preserve">Consumers who are assessed as eligible through their Regional Assessment Service (RAS) </w:t>
      </w:r>
      <w:r>
        <w:t xml:space="preserve">to receive CHSP services </w:t>
      </w:r>
      <w:r w:rsidRPr="000D5A5E">
        <w:t>can then access</w:t>
      </w:r>
      <w:r w:rsidR="00F65443">
        <w:t xml:space="preserve"> those </w:t>
      </w:r>
      <w:r w:rsidRPr="000D5A5E">
        <w:t xml:space="preserve">services through a provider </w:t>
      </w:r>
      <w:r w:rsidR="002F2E79">
        <w:t xml:space="preserve">that is </w:t>
      </w:r>
      <w:r w:rsidRPr="000D5A5E">
        <w:t>funded under the CHSP</w:t>
      </w:r>
      <w:r>
        <w:t xml:space="preserve"> who provides the services for which they have been assessed</w:t>
      </w:r>
      <w:r w:rsidR="00D8721E">
        <w:t>.</w:t>
      </w:r>
    </w:p>
    <w:p w:rsidR="00053049" w:rsidRDefault="00053049" w:rsidP="001C335A">
      <w:r w:rsidRPr="000D5A5E">
        <w:t>The CHSP is discussed in Chapter 6</w:t>
      </w:r>
      <w:r>
        <w:t>.</w:t>
      </w:r>
    </w:p>
    <w:p w:rsidR="00D8721E" w:rsidRDefault="00053049" w:rsidP="001C335A">
      <w:r w:rsidRPr="00C94111">
        <w:t>Australia is a large, sparsely populated country</w:t>
      </w:r>
      <w:r>
        <w:t xml:space="preserve"> </w:t>
      </w:r>
      <w:r w:rsidRPr="00C94111">
        <w:t xml:space="preserve">so providing services where people want them (that is, near their home or family) can be challenging. </w:t>
      </w:r>
      <w:r>
        <w:t>Rural and remote</w:t>
      </w:r>
      <w:r w:rsidRPr="00C94111">
        <w:t xml:space="preserve"> areas will always be challenged by smaller population and workforce catchments, whereas urban areas </w:t>
      </w:r>
      <w:r>
        <w:t>are</w:t>
      </w:r>
      <w:r w:rsidRPr="00C94111">
        <w:t xml:space="preserve"> often challenged by the lack of available and appropriate sites in areas where older Australians live</w:t>
      </w:r>
      <w:r w:rsidR="00D8721E">
        <w:t>.</w:t>
      </w:r>
    </w:p>
    <w:p w:rsidR="00D8721E" w:rsidRDefault="00053049" w:rsidP="001C335A">
      <w:r w:rsidRPr="00C94111">
        <w:t>It is important to ensure that aged care</w:t>
      </w:r>
      <w:r>
        <w:t xml:space="preserve"> services are distributed appropriately </w:t>
      </w:r>
      <w:r w:rsidRPr="00C94111">
        <w:t>across th</w:t>
      </w:r>
      <w:r>
        <w:t>e country in order to achieve equitable access</w:t>
      </w:r>
      <w:r w:rsidRPr="00C94111">
        <w:t>.</w:t>
      </w:r>
      <w:r>
        <w:t xml:space="preserve"> Some aged care facilities specialise in services for </w:t>
      </w:r>
      <w:r w:rsidRPr="00C94111">
        <w:t>special needs groups including C</w:t>
      </w:r>
      <w:r>
        <w:t xml:space="preserve">ultural and </w:t>
      </w:r>
      <w:r w:rsidRPr="00C94111">
        <w:t>L</w:t>
      </w:r>
      <w:r>
        <w:t xml:space="preserve">inguistically </w:t>
      </w:r>
      <w:r w:rsidRPr="00C94111">
        <w:t>D</w:t>
      </w:r>
      <w:r>
        <w:t>iverse</w:t>
      </w:r>
      <w:r w:rsidRPr="00C94111">
        <w:t>, Aboriginal and Torres Strait Islander people, people living with dementia and the homeless</w:t>
      </w:r>
      <w:r w:rsidR="00D8721E">
        <w:t>.</w:t>
      </w:r>
    </w:p>
    <w:p w:rsidR="0025210D" w:rsidRPr="00596D01" w:rsidRDefault="00B960D5" w:rsidP="001C335A">
      <w:pPr>
        <w:pStyle w:val="Heading3Numbered"/>
      </w:pPr>
      <w:bookmarkStart w:id="261" w:name="_Toc487702550"/>
      <w:bookmarkStart w:id="262" w:name="_Toc487702902"/>
      <w:bookmarkStart w:id="263" w:name="_Toc487703400"/>
      <w:bookmarkStart w:id="264" w:name="_Toc487703594"/>
      <w:bookmarkStart w:id="265" w:name="_Toc524424723"/>
      <w:r w:rsidRPr="00596D01">
        <w:t>Affordability for consumers</w:t>
      </w:r>
      <w:bookmarkEnd w:id="261"/>
      <w:bookmarkEnd w:id="262"/>
      <w:bookmarkEnd w:id="263"/>
      <w:bookmarkEnd w:id="264"/>
      <w:bookmarkEnd w:id="265"/>
      <w:r w:rsidRPr="00596D01">
        <w:t xml:space="preserve"> </w:t>
      </w:r>
    </w:p>
    <w:p w:rsidR="00D8721E" w:rsidRDefault="00E66FBF" w:rsidP="001C335A">
      <w:r w:rsidRPr="00C94111">
        <w:t>For the consumer, c</w:t>
      </w:r>
      <w:r w:rsidR="003D7DE9">
        <w:t xml:space="preserve">ost alone </w:t>
      </w:r>
      <w:r w:rsidR="00CC4752">
        <w:t xml:space="preserve">should not </w:t>
      </w:r>
      <w:r w:rsidR="003D7DE9">
        <w:t>be a</w:t>
      </w:r>
      <w:r w:rsidRPr="00C94111">
        <w:t xml:space="preserve"> barrier to access</w:t>
      </w:r>
      <w:r w:rsidR="00166D0C">
        <w:t xml:space="preserve"> to aged care services</w:t>
      </w:r>
      <w:r w:rsidRPr="00C94111">
        <w:t xml:space="preserve"> because the Australian Government subsidises services for those who cannot afford to pay the full price. The </w:t>
      </w:r>
      <w:r>
        <w:t>Commonwealth</w:t>
      </w:r>
      <w:r w:rsidRPr="00C94111">
        <w:t xml:space="preserve"> takes capacity to pay into account when formulating fee policies and applies annual and lifetime caps on care contributions in </w:t>
      </w:r>
      <w:r w:rsidR="00166D0C">
        <w:t xml:space="preserve">home care and </w:t>
      </w:r>
      <w:r>
        <w:t>r</w:t>
      </w:r>
      <w:r w:rsidRPr="00C94111">
        <w:t xml:space="preserve">esidential </w:t>
      </w:r>
      <w:r>
        <w:t>c</w:t>
      </w:r>
      <w:r w:rsidRPr="00C94111">
        <w:t>are</w:t>
      </w:r>
      <w:r w:rsidR="00D8721E">
        <w:t>.</w:t>
      </w:r>
    </w:p>
    <w:p w:rsidR="00D8721E" w:rsidRDefault="00E66FBF" w:rsidP="001C335A">
      <w:r>
        <w:t xml:space="preserve">However, there can be service gaps if the funding does not meet enough of the cost of care to attract investment in services to meet the needs of </w:t>
      </w:r>
      <w:r w:rsidR="003D7DE9">
        <w:t>certain segments of the public</w:t>
      </w:r>
      <w:r>
        <w:t>, or</w:t>
      </w:r>
      <w:r w:rsidR="00502531">
        <w:t xml:space="preserve"> consumers</w:t>
      </w:r>
      <w:r>
        <w:t xml:space="preserve"> in some locations.</w:t>
      </w:r>
    </w:p>
    <w:p w:rsidR="00E64A9E" w:rsidRPr="00596D01" w:rsidRDefault="00705878" w:rsidP="001C335A">
      <w:pPr>
        <w:pStyle w:val="Heading2Numbered"/>
      </w:pPr>
      <w:bookmarkStart w:id="266" w:name="_Toc487702551"/>
      <w:bookmarkStart w:id="267" w:name="_Toc487702903"/>
      <w:bookmarkStart w:id="268" w:name="_Toc487703401"/>
      <w:bookmarkStart w:id="269" w:name="_Toc487703595"/>
      <w:bookmarkStart w:id="270" w:name="_Toc524424724"/>
      <w:r w:rsidRPr="00596D01">
        <w:t>Age profile</w:t>
      </w:r>
      <w:r w:rsidR="00E64A9E" w:rsidRPr="00596D01">
        <w:t xml:space="preserve"> across care types</w:t>
      </w:r>
      <w:bookmarkEnd w:id="266"/>
      <w:bookmarkEnd w:id="267"/>
      <w:bookmarkEnd w:id="268"/>
      <w:bookmarkEnd w:id="269"/>
      <w:bookmarkEnd w:id="270"/>
    </w:p>
    <w:p w:rsidR="00F81255" w:rsidRPr="00067562" w:rsidRDefault="00CC4752" w:rsidP="001C335A">
      <w:pPr>
        <w:rPr>
          <w:lang w:val="en-GB"/>
        </w:rPr>
      </w:pPr>
      <w:r>
        <w:rPr>
          <w:lang w:val="en-GB"/>
        </w:rPr>
        <w:t>As consumers of aged care get older, the types of care they access changes</w:t>
      </w:r>
      <w:r w:rsidR="00F81255">
        <w:rPr>
          <w:lang w:val="en-GB"/>
        </w:rPr>
        <w:t xml:space="preserve">. </w:t>
      </w:r>
      <w:r w:rsidR="00492BF8">
        <w:rPr>
          <w:lang w:val="en-GB"/>
        </w:rPr>
        <w:fldChar w:fldCharType="begin"/>
      </w:r>
      <w:r w:rsidR="00492BF8">
        <w:rPr>
          <w:lang w:val="en-GB"/>
        </w:rPr>
        <w:instrText xml:space="preserve"> REF _Ref524428093 \r \h </w:instrText>
      </w:r>
      <w:r w:rsidR="00492BF8">
        <w:rPr>
          <w:lang w:val="en-GB"/>
        </w:rPr>
      </w:r>
      <w:r w:rsidR="00492BF8">
        <w:rPr>
          <w:lang w:val="en-GB"/>
        </w:rPr>
        <w:fldChar w:fldCharType="separate"/>
      </w:r>
      <w:r w:rsidR="00492BF8">
        <w:rPr>
          <w:lang w:val="en-GB"/>
        </w:rPr>
        <w:t>Chart 5.4</w:t>
      </w:r>
      <w:r w:rsidR="00492BF8">
        <w:rPr>
          <w:lang w:val="en-GB"/>
        </w:rPr>
        <w:fldChar w:fldCharType="end"/>
      </w:r>
      <w:r w:rsidR="00492BF8">
        <w:rPr>
          <w:lang w:val="en-GB"/>
        </w:rPr>
        <w:t xml:space="preserve"> </w:t>
      </w:r>
      <w:r w:rsidR="00F81255" w:rsidRPr="00067562">
        <w:rPr>
          <w:lang w:val="en-GB"/>
        </w:rPr>
        <w:t xml:space="preserve">shows the proportion of older Australians in home </w:t>
      </w:r>
      <w:r w:rsidR="00F81255">
        <w:rPr>
          <w:lang w:val="en-GB"/>
        </w:rPr>
        <w:t xml:space="preserve">support, home care and residential care as at </w:t>
      </w:r>
      <w:r w:rsidR="00A261F3">
        <w:rPr>
          <w:lang w:val="en-GB"/>
        </w:rPr>
        <w:t>30 J</w:t>
      </w:r>
      <w:r w:rsidR="00ED43AB">
        <w:rPr>
          <w:lang w:val="en-GB"/>
        </w:rPr>
        <w:t>une</w:t>
      </w:r>
      <w:r w:rsidR="00A261F3">
        <w:rPr>
          <w:lang w:val="en-GB"/>
        </w:rPr>
        <w:t> 201</w:t>
      </w:r>
      <w:r w:rsidR="00F81255">
        <w:rPr>
          <w:lang w:val="en-GB"/>
        </w:rPr>
        <w:t>7</w:t>
      </w:r>
      <w:r w:rsidR="00F81255" w:rsidRPr="00067562">
        <w:rPr>
          <w:lang w:val="en-GB"/>
        </w:rPr>
        <w:t xml:space="preserve">. It shows that the proportion </w:t>
      </w:r>
      <w:r w:rsidR="00F81255">
        <w:rPr>
          <w:lang w:val="en-GB"/>
        </w:rPr>
        <w:t xml:space="preserve">of the population accessing aged care services </w:t>
      </w:r>
      <w:r w:rsidR="00F81255" w:rsidRPr="00067562">
        <w:rPr>
          <w:lang w:val="en-GB"/>
        </w:rPr>
        <w:t xml:space="preserve">increases as people get older. </w:t>
      </w:r>
      <w:r w:rsidR="00F81255">
        <w:rPr>
          <w:lang w:val="en-GB"/>
        </w:rPr>
        <w:t>The proportion using home</w:t>
      </w:r>
      <w:r w:rsidR="00C25542">
        <w:rPr>
          <w:lang w:val="en-GB"/>
        </w:rPr>
        <w:t xml:space="preserve"> care</w:t>
      </w:r>
      <w:r w:rsidR="00F81255">
        <w:rPr>
          <w:lang w:val="en-GB"/>
        </w:rPr>
        <w:t xml:space="preserve"> and residential care</w:t>
      </w:r>
      <w:r w:rsidR="00C25542">
        <w:rPr>
          <w:lang w:val="en-GB"/>
        </w:rPr>
        <w:t>,</w:t>
      </w:r>
      <w:r w:rsidR="00F81255">
        <w:rPr>
          <w:lang w:val="en-GB"/>
        </w:rPr>
        <w:t xml:space="preserve"> increase</w:t>
      </w:r>
      <w:r w:rsidR="00F65443">
        <w:rPr>
          <w:lang w:val="en-GB"/>
        </w:rPr>
        <w:t>s</w:t>
      </w:r>
      <w:r w:rsidR="00F81255">
        <w:rPr>
          <w:lang w:val="en-GB"/>
        </w:rPr>
        <w:t xml:space="preserve"> </w:t>
      </w:r>
      <w:r w:rsidR="00E504D0">
        <w:rPr>
          <w:lang w:val="en-GB"/>
        </w:rPr>
        <w:t>more than</w:t>
      </w:r>
      <w:r w:rsidR="00F81255">
        <w:rPr>
          <w:lang w:val="en-GB"/>
        </w:rPr>
        <w:t xml:space="preserve"> three-fold in the 85 and over bracket compared with those aged 70 and over.</w:t>
      </w:r>
    </w:p>
    <w:p w:rsidR="00D8721E" w:rsidRDefault="00F81255" w:rsidP="001C335A">
      <w:pPr>
        <w:rPr>
          <w:lang w:val="en-GB"/>
        </w:rPr>
      </w:pPr>
      <w:r w:rsidRPr="007A312D">
        <w:rPr>
          <w:lang w:val="en-GB"/>
        </w:rPr>
        <w:t>In home care</w:t>
      </w:r>
      <w:r>
        <w:rPr>
          <w:lang w:val="en-GB"/>
        </w:rPr>
        <w:t>,</w:t>
      </w:r>
      <w:r w:rsidRPr="007A312D">
        <w:rPr>
          <w:lang w:val="en-GB"/>
        </w:rPr>
        <w:t xml:space="preserve"> the average age of consumers was 81.6 years</w:t>
      </w:r>
      <w:r>
        <w:rPr>
          <w:lang w:val="en-GB"/>
        </w:rPr>
        <w:t>,</w:t>
      </w:r>
      <w:r w:rsidRPr="007A312D">
        <w:rPr>
          <w:lang w:val="en-GB"/>
        </w:rPr>
        <w:t xml:space="preserve"> compared with 84.6 years in residential care</w:t>
      </w:r>
      <w:r>
        <w:rPr>
          <w:lang w:val="en-GB"/>
        </w:rPr>
        <w:t>. T</w:t>
      </w:r>
      <w:r w:rsidRPr="007A312D">
        <w:rPr>
          <w:lang w:val="en-GB"/>
        </w:rPr>
        <w:t>he proportion of people aged 85 and over in residential care was 5</w:t>
      </w:r>
      <w:r w:rsidR="00D00B54">
        <w:rPr>
          <w:lang w:val="en-GB"/>
        </w:rPr>
        <w:t>9</w:t>
      </w:r>
      <w:r w:rsidR="00A261F3">
        <w:rPr>
          <w:lang w:val="en-GB"/>
        </w:rPr>
        <w:t> per cent</w:t>
      </w:r>
      <w:r w:rsidRPr="007A312D">
        <w:rPr>
          <w:lang w:val="en-GB"/>
        </w:rPr>
        <w:t xml:space="preserve"> compared with 4</w:t>
      </w:r>
      <w:r w:rsidR="00341DAB">
        <w:rPr>
          <w:lang w:val="en-GB"/>
        </w:rPr>
        <w:t>2</w:t>
      </w:r>
      <w:r w:rsidR="00A261F3">
        <w:rPr>
          <w:lang w:val="en-GB"/>
        </w:rPr>
        <w:t> per cent</w:t>
      </w:r>
      <w:r w:rsidRPr="007A312D">
        <w:rPr>
          <w:lang w:val="en-GB"/>
        </w:rPr>
        <w:t xml:space="preserve"> </w:t>
      </w:r>
      <w:r>
        <w:rPr>
          <w:lang w:val="en-GB"/>
        </w:rPr>
        <w:t xml:space="preserve">using </w:t>
      </w:r>
      <w:r w:rsidRPr="007A312D">
        <w:rPr>
          <w:lang w:val="en-GB"/>
        </w:rPr>
        <w:t>home care</w:t>
      </w:r>
      <w:r w:rsidR="00D8721E">
        <w:rPr>
          <w:lang w:val="en-GB"/>
        </w:rPr>
        <w:t>.</w:t>
      </w:r>
    </w:p>
    <w:p w:rsidR="00E64A9E" w:rsidRPr="00596D01" w:rsidRDefault="00E64A9E" w:rsidP="001C335A">
      <w:pPr>
        <w:pStyle w:val="ChartTitle"/>
      </w:pPr>
      <w:bookmarkStart w:id="271" w:name="_Ref449526254"/>
      <w:bookmarkStart w:id="272" w:name="_Ref524428093"/>
      <w:r w:rsidRPr="00596D01">
        <w:t xml:space="preserve">Proportion </w:t>
      </w:r>
      <w:r w:rsidR="00F81255" w:rsidRPr="00596D01">
        <w:t>of the population</w:t>
      </w:r>
      <w:r w:rsidRPr="00596D01">
        <w:t xml:space="preserve"> 70+ and 85+</w:t>
      </w:r>
      <w:r w:rsidR="003A4A84" w:rsidRPr="00596D01">
        <w:t xml:space="preserve"> accessing aged care</w:t>
      </w:r>
      <w:r w:rsidR="007357E7" w:rsidRPr="00596D01">
        <w:t>,</w:t>
      </w:r>
      <w:r w:rsidR="003A4A84" w:rsidRPr="00596D01">
        <w:t xml:space="preserve"> at</w:t>
      </w:r>
      <w:bookmarkEnd w:id="271"/>
      <w:r w:rsidR="00294ED4" w:rsidRPr="00596D01">
        <w:t> </w:t>
      </w:r>
      <w:r w:rsidR="00A261F3" w:rsidRPr="00596D01">
        <w:t>30 J</w:t>
      </w:r>
      <w:r w:rsidR="00BE77ED" w:rsidRPr="00596D01">
        <w:t>une</w:t>
      </w:r>
      <w:r w:rsidR="00A261F3" w:rsidRPr="00596D01">
        <w:t> 201</w:t>
      </w:r>
      <w:r w:rsidR="00BE77ED" w:rsidRPr="00596D01">
        <w:t>7</w:t>
      </w:r>
      <w:bookmarkEnd w:id="272"/>
    </w:p>
    <w:p w:rsidR="00D8721E" w:rsidRDefault="006568CF" w:rsidP="001C335A">
      <w:r>
        <w:rPr>
          <w:noProof/>
        </w:rPr>
        <w:drawing>
          <wp:inline distT="0" distB="0" distL="0" distR="0" wp14:anchorId="00BECECF" wp14:editId="33108CCE">
            <wp:extent cx="6120000" cy="2399795"/>
            <wp:effectExtent l="0" t="0" r="0" b="635"/>
            <wp:docPr id="291" name="Picture 291" descr="Chart 5.4 Proportion of the population 70+ and 85+ accessing aged care, at 30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zc0004\AppData\Local\Microsoft\Windows\Temporary Internet Files\Content.Outlook\6DIYYC82\Chart_5.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000" cy="2399795"/>
                    </a:xfrm>
                    <a:prstGeom prst="rect">
                      <a:avLst/>
                    </a:prstGeom>
                    <a:noFill/>
                    <a:ln>
                      <a:noFill/>
                    </a:ln>
                  </pic:spPr>
                </pic:pic>
              </a:graphicData>
            </a:graphic>
          </wp:inline>
        </w:drawing>
      </w:r>
    </w:p>
    <w:p w:rsidR="00D8721E" w:rsidRDefault="00492BF8" w:rsidP="001C335A">
      <w:pPr>
        <w:rPr>
          <w:lang w:val="en-GB"/>
        </w:rPr>
      </w:pPr>
      <w:r>
        <w:rPr>
          <w:lang w:val="en-GB"/>
        </w:rPr>
        <w:lastRenderedPageBreak/>
        <w:fldChar w:fldCharType="begin"/>
      </w:r>
      <w:r>
        <w:rPr>
          <w:lang w:val="en-GB"/>
        </w:rPr>
        <w:instrText xml:space="preserve"> REF _Ref524428102 \r \h </w:instrText>
      </w:r>
      <w:r>
        <w:rPr>
          <w:lang w:val="en-GB"/>
        </w:rPr>
      </w:r>
      <w:r>
        <w:rPr>
          <w:lang w:val="en-GB"/>
        </w:rPr>
        <w:fldChar w:fldCharType="separate"/>
      </w:r>
      <w:r>
        <w:rPr>
          <w:lang w:val="en-GB"/>
        </w:rPr>
        <w:t>Chart 5.5</w:t>
      </w:r>
      <w:r>
        <w:rPr>
          <w:lang w:val="en-GB"/>
        </w:rPr>
        <w:fldChar w:fldCharType="end"/>
      </w:r>
      <w:r>
        <w:rPr>
          <w:lang w:val="en-GB"/>
        </w:rPr>
        <w:t xml:space="preserve"> </w:t>
      </w:r>
      <w:r w:rsidR="00B62275" w:rsidRPr="00B62275">
        <w:rPr>
          <w:lang w:val="en-GB"/>
        </w:rPr>
        <w:t xml:space="preserve">shows the age profile for consumers of home care over the five years to </w:t>
      </w:r>
      <w:r w:rsidR="00A261F3">
        <w:rPr>
          <w:lang w:val="en-GB"/>
        </w:rPr>
        <w:t>30 J</w:t>
      </w:r>
      <w:r w:rsidR="00ED43AB">
        <w:rPr>
          <w:lang w:val="en-GB"/>
        </w:rPr>
        <w:t>une</w:t>
      </w:r>
      <w:r w:rsidR="00A261F3">
        <w:rPr>
          <w:lang w:val="en-GB"/>
        </w:rPr>
        <w:t> 201</w:t>
      </w:r>
      <w:r w:rsidR="00B62275" w:rsidRPr="00B62275">
        <w:rPr>
          <w:lang w:val="en-GB"/>
        </w:rPr>
        <w:t>7. The proportion of consumers aged 65</w:t>
      </w:r>
      <w:r w:rsidR="00D8721E">
        <w:rPr>
          <w:lang w:val="en-GB"/>
        </w:rPr>
        <w:t>–7</w:t>
      </w:r>
      <w:r w:rsidR="00B62275" w:rsidRPr="00B62275">
        <w:rPr>
          <w:lang w:val="en-GB"/>
        </w:rPr>
        <w:t>4 has increased over this time while the 75</w:t>
      </w:r>
      <w:r w:rsidR="00D8721E">
        <w:rPr>
          <w:lang w:val="en-GB"/>
        </w:rPr>
        <w:t>–8</w:t>
      </w:r>
      <w:r w:rsidR="00B62275" w:rsidRPr="00B62275">
        <w:rPr>
          <w:lang w:val="en-GB"/>
        </w:rPr>
        <w:t>4 age bracket was generally</w:t>
      </w:r>
      <w:r w:rsidR="00F81255">
        <w:rPr>
          <w:lang w:val="en-GB"/>
        </w:rPr>
        <w:t xml:space="preserve"> decreasing, until</w:t>
      </w:r>
      <w:r w:rsidR="00A261F3">
        <w:rPr>
          <w:lang w:val="en-GB"/>
        </w:rPr>
        <w:t> 201</w:t>
      </w:r>
      <w:r w:rsidR="00F81255">
        <w:rPr>
          <w:lang w:val="en-GB"/>
        </w:rPr>
        <w:t>6</w:t>
      </w:r>
      <w:r w:rsidR="00D8721E">
        <w:rPr>
          <w:lang w:val="en-GB"/>
        </w:rPr>
        <w:t>–1</w:t>
      </w:r>
      <w:r w:rsidR="00F81255">
        <w:rPr>
          <w:lang w:val="en-GB"/>
        </w:rPr>
        <w:t>7 when</w:t>
      </w:r>
      <w:r w:rsidR="00B62275" w:rsidRPr="00B62275">
        <w:rPr>
          <w:lang w:val="en-GB"/>
        </w:rPr>
        <w:t xml:space="preserve"> it increased again. The proportion of those aged 85 and over decreased in</w:t>
      </w:r>
      <w:r w:rsidR="00A261F3">
        <w:rPr>
          <w:lang w:val="en-GB"/>
        </w:rPr>
        <w:t> 201</w:t>
      </w:r>
      <w:r w:rsidR="00B62275" w:rsidRPr="00B62275">
        <w:rPr>
          <w:lang w:val="en-GB"/>
        </w:rPr>
        <w:t>6</w:t>
      </w:r>
      <w:r w:rsidR="00D8721E">
        <w:rPr>
          <w:lang w:val="en-GB"/>
        </w:rPr>
        <w:t>–1</w:t>
      </w:r>
      <w:r w:rsidR="00B62275" w:rsidRPr="00B62275">
        <w:rPr>
          <w:lang w:val="en-GB"/>
        </w:rPr>
        <w:t>7, as it also did in</w:t>
      </w:r>
      <w:r w:rsidR="00A261F3">
        <w:rPr>
          <w:lang w:val="en-GB"/>
        </w:rPr>
        <w:t> 201</w:t>
      </w:r>
      <w:r w:rsidR="00B62275" w:rsidRPr="00B62275">
        <w:rPr>
          <w:lang w:val="en-GB"/>
        </w:rPr>
        <w:t>5</w:t>
      </w:r>
      <w:r w:rsidR="00D8721E">
        <w:rPr>
          <w:lang w:val="en-GB"/>
        </w:rPr>
        <w:t>–1</w:t>
      </w:r>
      <w:r w:rsidR="00B62275" w:rsidRPr="00B62275">
        <w:rPr>
          <w:lang w:val="en-GB"/>
        </w:rPr>
        <w:t>6</w:t>
      </w:r>
      <w:r w:rsidR="00D8721E">
        <w:rPr>
          <w:lang w:val="en-GB"/>
        </w:rPr>
        <w:t>.</w:t>
      </w:r>
    </w:p>
    <w:p w:rsidR="00E64A9E" w:rsidRPr="00596D01" w:rsidRDefault="00E64A9E" w:rsidP="001C335A">
      <w:pPr>
        <w:pStyle w:val="ChartTitle"/>
      </w:pPr>
      <w:bookmarkStart w:id="273" w:name="_Ref524428102"/>
      <w:r w:rsidRPr="00596D01">
        <w:t>Age pro</w:t>
      </w:r>
      <w:r w:rsidR="004A68A7" w:rsidRPr="00596D01">
        <w:t xml:space="preserve">file of people in </w:t>
      </w:r>
      <w:r w:rsidR="004B0F82" w:rsidRPr="00596D01">
        <w:t>home care</w:t>
      </w:r>
      <w:r w:rsidR="007357E7" w:rsidRPr="00596D01">
        <w:t>,</w:t>
      </w:r>
      <w:r w:rsidR="004B0F82" w:rsidRPr="00596D01">
        <w:t xml:space="preserve"> </w:t>
      </w:r>
      <w:r w:rsidR="00A261F3" w:rsidRPr="00596D01">
        <w:t>30 J</w:t>
      </w:r>
      <w:r w:rsidR="004B0F82" w:rsidRPr="00596D01">
        <w:t>une</w:t>
      </w:r>
      <w:r w:rsidR="00A261F3" w:rsidRPr="00596D01">
        <w:t> 201</w:t>
      </w:r>
      <w:r w:rsidR="00BE77ED" w:rsidRPr="00596D01">
        <w:t>3</w:t>
      </w:r>
      <w:r w:rsidR="004B0F82" w:rsidRPr="00596D01">
        <w:t xml:space="preserve"> to</w:t>
      </w:r>
      <w:r w:rsidRPr="00596D01">
        <w:t xml:space="preserve"> </w:t>
      </w:r>
      <w:r w:rsidR="00A261F3" w:rsidRPr="00596D01">
        <w:t>30 J</w:t>
      </w:r>
      <w:r w:rsidR="00BE77ED" w:rsidRPr="00596D01">
        <w:t>une</w:t>
      </w:r>
      <w:r w:rsidR="00A261F3" w:rsidRPr="00596D01">
        <w:t> 201</w:t>
      </w:r>
      <w:r w:rsidR="00BE77ED" w:rsidRPr="00596D01">
        <w:t>7</w:t>
      </w:r>
      <w:bookmarkEnd w:id="273"/>
      <w:r w:rsidR="00D8721E" w:rsidRPr="00596D01">
        <w:t xml:space="preserve"> </w:t>
      </w:r>
    </w:p>
    <w:p w:rsidR="00D8721E" w:rsidRDefault="00FC76E2" w:rsidP="001C335A">
      <w:r>
        <w:rPr>
          <w:noProof/>
        </w:rPr>
        <w:drawing>
          <wp:inline distT="0" distB="0" distL="0" distR="0" wp14:anchorId="1CF677C2" wp14:editId="365CFFF1">
            <wp:extent cx="6120000" cy="2450301"/>
            <wp:effectExtent l="0" t="0" r="0" b="7620"/>
            <wp:docPr id="32" name="Picture 32" descr="Chart 5.5 Age profile of people in home care, 30 June 2013 to 30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5.5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000" cy="2450301"/>
                    </a:xfrm>
                    <a:prstGeom prst="rect">
                      <a:avLst/>
                    </a:prstGeom>
                    <a:noFill/>
                    <a:ln>
                      <a:noFill/>
                    </a:ln>
                  </pic:spPr>
                </pic:pic>
              </a:graphicData>
            </a:graphic>
          </wp:inline>
        </w:drawing>
      </w:r>
    </w:p>
    <w:p w:rsidR="00D8721E" w:rsidRDefault="00492BF8" w:rsidP="001C335A">
      <w:r>
        <w:fldChar w:fldCharType="begin"/>
      </w:r>
      <w:r>
        <w:instrText xml:space="preserve"> REF _Ref524428110 \r \h </w:instrText>
      </w:r>
      <w:r>
        <w:fldChar w:fldCharType="separate"/>
      </w:r>
      <w:r>
        <w:t>Chart 5.6</w:t>
      </w:r>
      <w:r>
        <w:fldChar w:fldCharType="end"/>
      </w:r>
      <w:r>
        <w:t xml:space="preserve"> </w:t>
      </w:r>
      <w:r w:rsidR="00B62275" w:rsidRPr="00B62275">
        <w:t xml:space="preserve">shows the age profile of consumers of residential care for the five years to </w:t>
      </w:r>
      <w:r w:rsidR="00A261F3">
        <w:t>30 J</w:t>
      </w:r>
      <w:r w:rsidR="00ED43AB">
        <w:t>une</w:t>
      </w:r>
      <w:r w:rsidR="00A261F3">
        <w:t> 201</w:t>
      </w:r>
      <w:r w:rsidR="00B62275" w:rsidRPr="00B62275">
        <w:t>7. The proportion of people aged 65</w:t>
      </w:r>
      <w:r w:rsidR="00D8721E">
        <w:t>–7</w:t>
      </w:r>
      <w:r w:rsidR="00B62275" w:rsidRPr="00B62275">
        <w:t>4 in residential care has slowly increased over the five years while the proportion of those aged 75</w:t>
      </w:r>
      <w:r w:rsidR="00D8721E">
        <w:t>–8</w:t>
      </w:r>
      <w:r w:rsidR="00B62275" w:rsidRPr="00B62275">
        <w:t xml:space="preserve">4 has dropped. </w:t>
      </w:r>
      <w:r w:rsidR="005F2247">
        <w:t>The proportion of t</w:t>
      </w:r>
      <w:r w:rsidR="00B62275" w:rsidRPr="00B62275">
        <w:t>hose aged 95 and over has increased every year over the five years but those aged 85</w:t>
      </w:r>
      <w:r w:rsidR="00D8721E">
        <w:t>–9</w:t>
      </w:r>
      <w:r w:rsidR="00B62275" w:rsidRPr="00B62275">
        <w:t>4 has dropped in the last three years.</w:t>
      </w:r>
    </w:p>
    <w:p w:rsidR="0017564E" w:rsidRPr="00596D01" w:rsidRDefault="004A68A7" w:rsidP="001C335A">
      <w:pPr>
        <w:pStyle w:val="ChartTitle"/>
      </w:pPr>
      <w:bookmarkStart w:id="274" w:name="_Ref524428110"/>
      <w:r w:rsidRPr="00596D01">
        <w:t>Age profile of people in</w:t>
      </w:r>
      <w:r w:rsidR="00766539" w:rsidRPr="00596D01">
        <w:t xml:space="preserve"> residential care</w:t>
      </w:r>
      <w:r w:rsidR="007357E7" w:rsidRPr="00596D01">
        <w:t>,</w:t>
      </w:r>
      <w:r w:rsidR="00BE77ED" w:rsidRPr="00596D01">
        <w:t xml:space="preserve"> </w:t>
      </w:r>
      <w:r w:rsidR="00A261F3" w:rsidRPr="00596D01">
        <w:t>30 J</w:t>
      </w:r>
      <w:r w:rsidR="00BE77ED" w:rsidRPr="00596D01">
        <w:t>une</w:t>
      </w:r>
      <w:r w:rsidR="00A261F3" w:rsidRPr="00596D01">
        <w:t> 201</w:t>
      </w:r>
      <w:r w:rsidR="00BE77ED" w:rsidRPr="00596D01">
        <w:t>3</w:t>
      </w:r>
      <w:r w:rsidR="00766539" w:rsidRPr="00596D01">
        <w:t xml:space="preserve"> to</w:t>
      </w:r>
      <w:r w:rsidRPr="00596D01">
        <w:t xml:space="preserve"> </w:t>
      </w:r>
      <w:r w:rsidR="00A261F3" w:rsidRPr="00596D01">
        <w:t>30 J</w:t>
      </w:r>
      <w:r w:rsidR="00BE77ED" w:rsidRPr="00596D01">
        <w:t>une</w:t>
      </w:r>
      <w:r w:rsidR="00A261F3" w:rsidRPr="00596D01">
        <w:t> 201</w:t>
      </w:r>
      <w:r w:rsidR="00BE77ED" w:rsidRPr="00596D01">
        <w:t>7</w:t>
      </w:r>
      <w:bookmarkEnd w:id="274"/>
      <w:r w:rsidR="00F1675A" w:rsidRPr="00596D01">
        <w:t xml:space="preserve"> </w:t>
      </w:r>
    </w:p>
    <w:p w:rsidR="00D8721E" w:rsidRPr="00596D01" w:rsidRDefault="00FC76E2" w:rsidP="001C335A">
      <w:r w:rsidRPr="00596D01">
        <w:rPr>
          <w:noProof/>
        </w:rPr>
        <w:drawing>
          <wp:inline distT="0" distB="0" distL="0" distR="0" wp14:anchorId="28D3940F" wp14:editId="57E3DAF7">
            <wp:extent cx="6120000" cy="2724964"/>
            <wp:effectExtent l="0" t="0" r="0" b="0"/>
            <wp:docPr id="17" name="Picture 17" descr="Chart 5.6 Age profile of people in residential care, 30 June 2013 to 30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5.6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000" cy="2724964"/>
                    </a:xfrm>
                    <a:prstGeom prst="rect">
                      <a:avLst/>
                    </a:prstGeom>
                    <a:noFill/>
                    <a:ln>
                      <a:noFill/>
                    </a:ln>
                  </pic:spPr>
                </pic:pic>
              </a:graphicData>
            </a:graphic>
          </wp:inline>
        </w:drawing>
      </w:r>
    </w:p>
    <w:p w:rsidR="002D61DC" w:rsidRPr="002D61DC" w:rsidRDefault="002D61DC" w:rsidP="001C335A">
      <w:bookmarkStart w:id="275" w:name="_Toc487702552"/>
      <w:bookmarkStart w:id="276" w:name="_Toc487702904"/>
      <w:bookmarkStart w:id="277" w:name="_Toc487703402"/>
      <w:bookmarkStart w:id="278" w:name="_Toc487703596"/>
      <w:r w:rsidRPr="002D61DC">
        <w:t>Detailed data regarding the age of consumers in CHSP is not readily available for the same level of analysis as it is for home and residential care. However the overall average age of consumers in CHSP is 79.6 years.</w:t>
      </w:r>
    </w:p>
    <w:p w:rsidR="005A5043" w:rsidRPr="00596D01" w:rsidRDefault="005A5043" w:rsidP="001C335A">
      <w:pPr>
        <w:pStyle w:val="Heading2Numbered"/>
      </w:pPr>
      <w:bookmarkStart w:id="279" w:name="_Toc524424725"/>
      <w:r w:rsidRPr="00596D01">
        <w:lastRenderedPageBreak/>
        <w:t>Access by Culturally and Linguistically Diverse and Indigenous</w:t>
      </w:r>
      <w:r w:rsidR="001C335A">
        <w:t> </w:t>
      </w:r>
      <w:r w:rsidRPr="00596D01">
        <w:t>Australians</w:t>
      </w:r>
      <w:bookmarkEnd w:id="275"/>
      <w:bookmarkEnd w:id="276"/>
      <w:bookmarkEnd w:id="277"/>
      <w:bookmarkEnd w:id="278"/>
      <w:bookmarkEnd w:id="279"/>
    </w:p>
    <w:p w:rsidR="00C409DF" w:rsidRPr="00596D01" w:rsidRDefault="00C409DF" w:rsidP="001C335A">
      <w:pPr>
        <w:pStyle w:val="Heading3Numbered"/>
      </w:pPr>
      <w:bookmarkStart w:id="280" w:name="_Toc487702553"/>
      <w:bookmarkStart w:id="281" w:name="_Toc487702905"/>
      <w:bookmarkStart w:id="282" w:name="_Toc487703403"/>
      <w:bookmarkStart w:id="283" w:name="_Toc487703597"/>
      <w:bookmarkStart w:id="284" w:name="_Toc524424726"/>
      <w:r w:rsidRPr="00596D01">
        <w:t>Culturally and Linguistically Diverse Australians</w:t>
      </w:r>
      <w:bookmarkEnd w:id="280"/>
      <w:bookmarkEnd w:id="281"/>
      <w:bookmarkEnd w:id="282"/>
      <w:bookmarkEnd w:id="283"/>
      <w:bookmarkEnd w:id="284"/>
    </w:p>
    <w:p w:rsidR="00D8721E" w:rsidRDefault="00C409DF" w:rsidP="001C335A">
      <w:r w:rsidRPr="0019329C">
        <w:t>There is significant cultural diversity among Australians and many people from culturally and linguistically diverse (CALD)</w:t>
      </w:r>
      <w:r w:rsidR="00703637">
        <w:rPr>
          <w:rStyle w:val="FootnoteReference"/>
          <w:rFonts w:cs="Segoe UI"/>
          <w:color w:val="313131"/>
        </w:rPr>
        <w:footnoteReference w:id="24"/>
      </w:r>
      <w:r w:rsidRPr="0019329C">
        <w:t xml:space="preserve"> backgrounds are seeking culturally appropriate aged care. While many of these people have come from European countries, recent years have seen larger numbers of people from a number of Asian countries. This is an area where aged care is changing and will continue to change as providers respond to the cultural needs of consumers</w:t>
      </w:r>
      <w:r w:rsidR="00D8721E">
        <w:t>.</w:t>
      </w:r>
    </w:p>
    <w:p w:rsidR="00D8721E" w:rsidRDefault="00C409DF" w:rsidP="001C335A">
      <w:r w:rsidRPr="0019329C">
        <w:t>To assist this, the Australian Government provides aged care website information for people who do not speak English, or for whom English is a second language. The My Aged Care website provides translated mate</w:t>
      </w:r>
      <w:r w:rsidR="00C250C7">
        <w:t>rial in 18 languages. In</w:t>
      </w:r>
      <w:r w:rsidR="00A261F3">
        <w:t> 201</w:t>
      </w:r>
      <w:r w:rsidR="00C250C7">
        <w:t>6</w:t>
      </w:r>
      <w:r w:rsidR="00D8721E">
        <w:t>–1</w:t>
      </w:r>
      <w:r w:rsidR="00C250C7">
        <w:t xml:space="preserve">7, there were </w:t>
      </w:r>
      <w:r w:rsidR="00CF2125" w:rsidRPr="00701051">
        <w:t>19,248</w:t>
      </w:r>
      <w:r w:rsidR="00CF2125">
        <w:rPr>
          <w:color w:val="1F497D"/>
        </w:rPr>
        <w:t xml:space="preserve"> </w:t>
      </w:r>
      <w:r w:rsidRPr="0019329C">
        <w:t>visits to the translation pages</w:t>
      </w:r>
      <w:r w:rsidR="00D8721E">
        <w:t>.</w:t>
      </w:r>
    </w:p>
    <w:p w:rsidR="00D8721E" w:rsidRDefault="00697546" w:rsidP="001C335A">
      <w:r>
        <w:t>Throughout</w:t>
      </w:r>
      <w:r w:rsidR="00A261F3">
        <w:t> 201</w:t>
      </w:r>
      <w:r>
        <w:t>6</w:t>
      </w:r>
      <w:r w:rsidR="00D8721E">
        <w:t>–1</w:t>
      </w:r>
      <w:r>
        <w:t>7</w:t>
      </w:r>
      <w:r w:rsidR="00C409DF" w:rsidRPr="001D0680">
        <w:t xml:space="preserve">, older people from CALD backgrounds could also access </w:t>
      </w:r>
      <w:r w:rsidR="003B5B66">
        <w:t xml:space="preserve">home support </w:t>
      </w:r>
      <w:r w:rsidR="00C409DF" w:rsidRPr="001D0680">
        <w:t xml:space="preserve">services funded through the </w:t>
      </w:r>
      <w:r w:rsidR="00C409DF">
        <w:t>CHSP</w:t>
      </w:r>
      <w:r>
        <w:t xml:space="preserve"> and the WA H</w:t>
      </w:r>
      <w:r w:rsidR="00700F47">
        <w:t>ACC p</w:t>
      </w:r>
      <w:r w:rsidR="00C409DF" w:rsidRPr="001D0680">
        <w:t>rogram</w:t>
      </w:r>
      <w:r w:rsidR="00D8721E">
        <w:t>.</w:t>
      </w:r>
    </w:p>
    <w:p w:rsidR="00D8721E" w:rsidRDefault="00697546" w:rsidP="001C335A">
      <w:r>
        <w:t>There were 17,641</w:t>
      </w:r>
      <w:r w:rsidR="00641690" w:rsidRPr="00DE7592">
        <w:t xml:space="preserve"> older Australians from CALD backgrounds in a </w:t>
      </w:r>
      <w:r w:rsidR="00641690">
        <w:t>h</w:t>
      </w:r>
      <w:r w:rsidR="00641690" w:rsidRPr="00DE7592">
        <w:t xml:space="preserve">ome </w:t>
      </w:r>
      <w:r w:rsidR="00641690">
        <w:t>c</w:t>
      </w:r>
      <w:r w:rsidR="00641690" w:rsidRPr="00DE7592">
        <w:t xml:space="preserve">are package as at </w:t>
      </w:r>
      <w:r w:rsidR="00A261F3">
        <w:t>30 J</w:t>
      </w:r>
      <w:r w:rsidR="00ED43AB">
        <w:t>une</w:t>
      </w:r>
      <w:r w:rsidR="00A261F3">
        <w:t> 201</w:t>
      </w:r>
      <w:r w:rsidR="00B852AB">
        <w:t>7</w:t>
      </w:r>
      <w:r w:rsidR="00641690">
        <w:t>, repres</w:t>
      </w:r>
      <w:r w:rsidR="00281F7A">
        <w:t xml:space="preserve">enting almost </w:t>
      </w:r>
      <w:r w:rsidR="008E0DDB">
        <w:t>2</w:t>
      </w:r>
      <w:r w:rsidR="009C307B">
        <w:t>5</w:t>
      </w:r>
      <w:r w:rsidR="00A261F3">
        <w:t> per cent</w:t>
      </w:r>
      <w:r w:rsidR="00281F7A">
        <w:t xml:space="preserve"> of</w:t>
      </w:r>
      <w:r w:rsidR="00641690">
        <w:t xml:space="preserve"> total home c</w:t>
      </w:r>
      <w:r w:rsidR="00641690" w:rsidRPr="00DE7592">
        <w:t>a</w:t>
      </w:r>
      <w:r w:rsidR="00641690">
        <w:t xml:space="preserve">re </w:t>
      </w:r>
      <w:r w:rsidR="00281F7A">
        <w:t>consumers</w:t>
      </w:r>
      <w:r w:rsidR="00641690">
        <w:t xml:space="preserve">. </w:t>
      </w:r>
      <w:r w:rsidR="00D67277">
        <w:t>This is</w:t>
      </w:r>
      <w:r w:rsidR="008E0DDB">
        <w:t xml:space="preserve"> stable from </w:t>
      </w:r>
      <w:r w:rsidR="00A261F3">
        <w:t>30 J</w:t>
      </w:r>
      <w:r w:rsidR="00ED43AB">
        <w:t>une</w:t>
      </w:r>
      <w:r w:rsidR="00A261F3">
        <w:t> 201</w:t>
      </w:r>
      <w:r w:rsidRPr="008E0DDB">
        <w:t>6</w:t>
      </w:r>
      <w:r w:rsidR="00D8721E">
        <w:t>.</w:t>
      </w:r>
    </w:p>
    <w:p w:rsidR="00D8721E" w:rsidRDefault="00492BF8" w:rsidP="001C335A">
      <w:r>
        <w:fldChar w:fldCharType="begin"/>
      </w:r>
      <w:r>
        <w:instrText xml:space="preserve"> REF _Ref524429184 \r \h </w:instrText>
      </w:r>
      <w:r>
        <w:fldChar w:fldCharType="separate"/>
      </w:r>
      <w:r>
        <w:t>Table 5.1</w:t>
      </w:r>
      <w:r>
        <w:fldChar w:fldCharType="end"/>
      </w:r>
      <w:r>
        <w:t xml:space="preserve"> </w:t>
      </w:r>
      <w:r w:rsidR="00641690">
        <w:t>shows the number of CALD Australians accessing home care over the last five years.</w:t>
      </w:r>
    </w:p>
    <w:p w:rsidR="00E2759C" w:rsidRPr="00596D01" w:rsidRDefault="00641690" w:rsidP="001C335A">
      <w:pPr>
        <w:pStyle w:val="TableTitle"/>
        <w:rPr>
          <w:rStyle w:val="Strong"/>
        </w:rPr>
      </w:pPr>
      <w:bookmarkStart w:id="285" w:name="_Ref524429184"/>
      <w:r w:rsidRPr="00596D01">
        <w:t>CALD consumers in home care, by state and territory,</w:t>
      </w:r>
      <w:r w:rsidR="00CB5138" w:rsidRPr="00596D01">
        <w:t xml:space="preserve"> </w:t>
      </w:r>
      <w:r w:rsidR="00E504D0" w:rsidRPr="00596D01">
        <w:br/>
      </w:r>
      <w:r w:rsidR="00A261F3" w:rsidRPr="00596D01">
        <w:t>30 J</w:t>
      </w:r>
      <w:r w:rsidRPr="00596D01">
        <w:t>une</w:t>
      </w:r>
      <w:r w:rsidR="00A261F3" w:rsidRPr="00596D01">
        <w:t> 201</w:t>
      </w:r>
      <w:r w:rsidR="00DD743E" w:rsidRPr="00596D01">
        <w:t>3</w:t>
      </w:r>
      <w:r w:rsidRPr="00596D01">
        <w:t xml:space="preserve"> to </w:t>
      </w:r>
      <w:r w:rsidR="00A261F3" w:rsidRPr="00596D01">
        <w:t>30 J</w:t>
      </w:r>
      <w:r w:rsidR="00DD743E" w:rsidRPr="00596D01">
        <w:t>une</w:t>
      </w:r>
      <w:r w:rsidR="00A261F3" w:rsidRPr="00596D01">
        <w:t> 201</w:t>
      </w:r>
      <w:r w:rsidR="00DD743E" w:rsidRPr="00596D01">
        <w:t>7</w:t>
      </w:r>
      <w:bookmarkEnd w:id="285"/>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04"/>
        <w:gridCol w:w="1606"/>
        <w:gridCol w:w="1606"/>
        <w:gridCol w:w="1604"/>
        <w:gridCol w:w="1606"/>
        <w:gridCol w:w="1602"/>
      </w:tblGrid>
      <w:tr w:rsidR="0064169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833" w:type="pct"/>
          </w:tcPr>
          <w:p w:rsidR="00641690" w:rsidRPr="00805F7E" w:rsidRDefault="00641690" w:rsidP="001C335A">
            <w:pPr>
              <w:rPr>
                <w:rFonts w:ascii="Segoe UI" w:hAnsi="Segoe UI" w:cs="Segoe UI"/>
              </w:rPr>
            </w:pPr>
            <w:r w:rsidRPr="00596D01">
              <w:t>State/territory</w:t>
            </w:r>
          </w:p>
        </w:tc>
        <w:tc>
          <w:tcPr>
            <w:tcW w:w="834" w:type="pct"/>
          </w:tcPr>
          <w:p w:rsidR="00641690" w:rsidRDefault="00A261F3" w:rsidP="001C335A">
            <w:pPr>
              <w:jc w:val="right"/>
              <w:rPr>
                <w:rFonts w:ascii="Segoe UI" w:hAnsi="Segoe UI" w:cs="Segoe UI"/>
              </w:rPr>
            </w:pPr>
            <w:r w:rsidRPr="00596D01">
              <w:t>30 J</w:t>
            </w:r>
            <w:r w:rsidR="00DD743E" w:rsidRPr="00596D01">
              <w:t>une</w:t>
            </w:r>
            <w:r w:rsidRPr="00596D01">
              <w:t> 201</w:t>
            </w:r>
            <w:r w:rsidR="00DD743E" w:rsidRPr="00596D01">
              <w:t>3</w:t>
            </w:r>
          </w:p>
        </w:tc>
        <w:tc>
          <w:tcPr>
            <w:tcW w:w="834" w:type="pct"/>
          </w:tcPr>
          <w:p w:rsidR="00641690" w:rsidRDefault="00A261F3" w:rsidP="001C335A">
            <w:pPr>
              <w:jc w:val="right"/>
              <w:rPr>
                <w:rFonts w:ascii="Segoe UI" w:hAnsi="Segoe UI" w:cs="Segoe UI"/>
              </w:rPr>
            </w:pPr>
            <w:r w:rsidRPr="00596D01">
              <w:t>30 J</w:t>
            </w:r>
            <w:r w:rsidR="00DD743E" w:rsidRPr="00596D01">
              <w:t>une</w:t>
            </w:r>
            <w:r w:rsidRPr="00596D01">
              <w:t> 201</w:t>
            </w:r>
            <w:r w:rsidR="00DD743E" w:rsidRPr="00596D01">
              <w:t>4</w:t>
            </w:r>
          </w:p>
        </w:tc>
        <w:tc>
          <w:tcPr>
            <w:tcW w:w="833" w:type="pct"/>
          </w:tcPr>
          <w:p w:rsidR="00641690" w:rsidRDefault="00A261F3" w:rsidP="001C335A">
            <w:pPr>
              <w:jc w:val="right"/>
              <w:rPr>
                <w:rFonts w:ascii="Segoe UI" w:hAnsi="Segoe UI" w:cs="Segoe UI"/>
              </w:rPr>
            </w:pPr>
            <w:r w:rsidRPr="00596D01">
              <w:t>30 J</w:t>
            </w:r>
            <w:r w:rsidR="00DD743E" w:rsidRPr="00596D01">
              <w:t>une</w:t>
            </w:r>
            <w:r w:rsidRPr="00596D01">
              <w:t> 201</w:t>
            </w:r>
            <w:r w:rsidR="00DD743E" w:rsidRPr="00596D01">
              <w:t>5</w:t>
            </w:r>
          </w:p>
        </w:tc>
        <w:tc>
          <w:tcPr>
            <w:tcW w:w="834" w:type="pct"/>
          </w:tcPr>
          <w:p w:rsidR="00641690" w:rsidRDefault="00A261F3" w:rsidP="001C335A">
            <w:pPr>
              <w:jc w:val="right"/>
              <w:rPr>
                <w:rFonts w:ascii="Segoe UI" w:hAnsi="Segoe UI" w:cs="Segoe UI"/>
              </w:rPr>
            </w:pPr>
            <w:r w:rsidRPr="00596D01">
              <w:t>30 J</w:t>
            </w:r>
            <w:r w:rsidR="00DD743E" w:rsidRPr="00596D01">
              <w:t>une 2016</w:t>
            </w:r>
          </w:p>
        </w:tc>
        <w:tc>
          <w:tcPr>
            <w:tcW w:w="834" w:type="pct"/>
          </w:tcPr>
          <w:p w:rsidR="00DD743E" w:rsidRPr="00596D01" w:rsidRDefault="00A261F3" w:rsidP="001C335A">
            <w:pPr>
              <w:jc w:val="right"/>
            </w:pPr>
            <w:r w:rsidRPr="00596D01">
              <w:t>30 J</w:t>
            </w:r>
            <w:r w:rsidR="00DD743E" w:rsidRPr="00596D01">
              <w:t>une</w:t>
            </w:r>
            <w:r w:rsidR="001C335A">
              <w:t> </w:t>
            </w:r>
            <w:r w:rsidR="00DD743E" w:rsidRPr="00596D01">
              <w:t>2017</w:t>
            </w:r>
          </w:p>
        </w:tc>
      </w:tr>
      <w:tr w:rsidR="00DD743E" w:rsidTr="001C335A">
        <w:trPr>
          <w:trHeight w:val="113"/>
        </w:trPr>
        <w:tc>
          <w:tcPr>
            <w:tcW w:w="833" w:type="pct"/>
          </w:tcPr>
          <w:p w:rsidR="00DD743E" w:rsidRPr="00F61D7E" w:rsidRDefault="00DD743E" w:rsidP="001C335A">
            <w:pPr>
              <w:rPr>
                <w:rFonts w:ascii="Segoe UI" w:hAnsi="Segoe UI" w:cs="Segoe UI"/>
              </w:rPr>
            </w:pPr>
            <w:r>
              <w:rPr>
                <w:rFonts w:ascii="Segoe UI" w:hAnsi="Segoe UI" w:cs="Segoe UI"/>
              </w:rPr>
              <w:t>NSW</w:t>
            </w:r>
          </w:p>
        </w:tc>
        <w:tc>
          <w:tcPr>
            <w:tcW w:w="834" w:type="pct"/>
          </w:tcPr>
          <w:p w:rsidR="00DD743E" w:rsidRPr="00EA4A39" w:rsidRDefault="00DD743E" w:rsidP="001C335A">
            <w:pPr>
              <w:jc w:val="right"/>
              <w:rPr>
                <w:rFonts w:ascii="Segoe UI" w:hAnsi="Segoe UI" w:cs="Segoe UI"/>
                <w:color w:val="000000"/>
              </w:rPr>
            </w:pPr>
            <w:r w:rsidRPr="00EA4A39">
              <w:rPr>
                <w:rFonts w:ascii="Segoe UI" w:hAnsi="Segoe UI" w:cs="Segoe UI"/>
                <w:color w:val="000000"/>
              </w:rPr>
              <w:t>4,436</w:t>
            </w:r>
          </w:p>
        </w:tc>
        <w:tc>
          <w:tcPr>
            <w:tcW w:w="834" w:type="pct"/>
          </w:tcPr>
          <w:p w:rsidR="00DD743E" w:rsidRPr="00F85B73" w:rsidRDefault="00DD743E" w:rsidP="001C335A">
            <w:pPr>
              <w:jc w:val="right"/>
              <w:rPr>
                <w:rFonts w:ascii="Segoe UI" w:hAnsi="Segoe UI" w:cs="Segoe UI"/>
                <w:color w:val="000000"/>
              </w:rPr>
            </w:pPr>
            <w:r w:rsidRPr="00F85B73">
              <w:rPr>
                <w:rFonts w:ascii="Segoe UI" w:hAnsi="Segoe UI" w:cs="Segoe UI"/>
                <w:color w:val="000000"/>
              </w:rPr>
              <w:t>4,804</w:t>
            </w:r>
          </w:p>
        </w:tc>
        <w:tc>
          <w:tcPr>
            <w:tcW w:w="833" w:type="pct"/>
          </w:tcPr>
          <w:p w:rsidR="00DD743E" w:rsidRPr="00E32373" w:rsidRDefault="00DD743E" w:rsidP="001C335A">
            <w:pPr>
              <w:jc w:val="right"/>
              <w:rPr>
                <w:rFonts w:ascii="Segoe UI" w:hAnsi="Segoe UI" w:cs="Segoe UI"/>
              </w:rPr>
            </w:pPr>
            <w:r w:rsidRPr="00E32373">
              <w:rPr>
                <w:rFonts w:ascii="Segoe UI" w:hAnsi="Segoe UI" w:cs="Segoe UI"/>
              </w:rPr>
              <w:t>5,118</w:t>
            </w:r>
          </w:p>
        </w:tc>
        <w:tc>
          <w:tcPr>
            <w:tcW w:w="834" w:type="pct"/>
          </w:tcPr>
          <w:p w:rsidR="00DD743E" w:rsidRDefault="00DD743E" w:rsidP="001C335A">
            <w:pPr>
              <w:jc w:val="right"/>
              <w:rPr>
                <w:rFonts w:ascii="Segoe UI" w:hAnsi="Segoe UI" w:cs="Segoe UI"/>
                <w:color w:val="000000"/>
              </w:rPr>
            </w:pPr>
            <w:r>
              <w:rPr>
                <w:rFonts w:ascii="Segoe UI" w:hAnsi="Segoe UI" w:cs="Segoe UI"/>
                <w:color w:val="000000"/>
              </w:rPr>
              <w:t>5,416</w:t>
            </w:r>
          </w:p>
        </w:tc>
        <w:tc>
          <w:tcPr>
            <w:tcW w:w="834" w:type="pct"/>
          </w:tcPr>
          <w:p w:rsidR="00DD743E" w:rsidRPr="00A07FF5" w:rsidRDefault="00A138E3" w:rsidP="001C335A">
            <w:pPr>
              <w:jc w:val="right"/>
              <w:rPr>
                <w:rFonts w:ascii="Segoe UI" w:hAnsi="Segoe UI" w:cs="Segoe UI"/>
                <w:color w:val="000000"/>
              </w:rPr>
            </w:pPr>
            <w:r w:rsidRPr="00A07FF5">
              <w:rPr>
                <w:rFonts w:ascii="Segoe UI" w:hAnsi="Segoe UI" w:cs="Segoe UI"/>
                <w:color w:val="000000"/>
              </w:rPr>
              <w:t>5</w:t>
            </w:r>
            <w:r w:rsidR="00C30F9A">
              <w:rPr>
                <w:rFonts w:ascii="Segoe UI" w:hAnsi="Segoe UI" w:cs="Segoe UI"/>
                <w:color w:val="000000"/>
              </w:rPr>
              <w:t>,</w:t>
            </w:r>
            <w:r w:rsidRPr="00A07FF5">
              <w:rPr>
                <w:rFonts w:ascii="Segoe UI" w:hAnsi="Segoe UI" w:cs="Segoe UI"/>
                <w:color w:val="000000"/>
              </w:rPr>
              <w:t>926</w:t>
            </w:r>
          </w:p>
        </w:tc>
      </w:tr>
      <w:tr w:rsidR="00DD743E" w:rsidTr="001C335A">
        <w:trPr>
          <w:trHeight w:val="113"/>
        </w:trPr>
        <w:tc>
          <w:tcPr>
            <w:tcW w:w="833" w:type="pct"/>
          </w:tcPr>
          <w:p w:rsidR="00DD743E" w:rsidRPr="00805F7E" w:rsidRDefault="00DD743E" w:rsidP="001C335A">
            <w:pPr>
              <w:rPr>
                <w:rFonts w:ascii="Segoe UI" w:hAnsi="Segoe UI" w:cs="Segoe UI"/>
              </w:rPr>
            </w:pPr>
            <w:r>
              <w:rPr>
                <w:rFonts w:ascii="Segoe UI" w:hAnsi="Segoe UI" w:cs="Segoe UI"/>
              </w:rPr>
              <w:t>Vic</w:t>
            </w:r>
          </w:p>
        </w:tc>
        <w:tc>
          <w:tcPr>
            <w:tcW w:w="834" w:type="pct"/>
          </w:tcPr>
          <w:p w:rsidR="00DD743E" w:rsidRPr="00EA4A39" w:rsidRDefault="00DD743E" w:rsidP="001C335A">
            <w:pPr>
              <w:jc w:val="right"/>
              <w:rPr>
                <w:rFonts w:ascii="Segoe UI" w:hAnsi="Segoe UI" w:cs="Segoe UI"/>
                <w:color w:val="000000"/>
              </w:rPr>
            </w:pPr>
            <w:r w:rsidRPr="00EA4A39">
              <w:rPr>
                <w:rFonts w:ascii="Segoe UI" w:hAnsi="Segoe UI" w:cs="Segoe UI"/>
                <w:color w:val="000000"/>
              </w:rPr>
              <w:t>4,439</w:t>
            </w:r>
          </w:p>
        </w:tc>
        <w:tc>
          <w:tcPr>
            <w:tcW w:w="834" w:type="pct"/>
          </w:tcPr>
          <w:p w:rsidR="00DD743E" w:rsidRPr="00F85B73" w:rsidRDefault="00DD743E" w:rsidP="001C335A">
            <w:pPr>
              <w:jc w:val="right"/>
              <w:rPr>
                <w:rFonts w:ascii="Segoe UI" w:hAnsi="Segoe UI" w:cs="Segoe UI"/>
                <w:color w:val="000000"/>
              </w:rPr>
            </w:pPr>
            <w:r w:rsidRPr="00F85B73">
              <w:rPr>
                <w:rFonts w:ascii="Segoe UI" w:hAnsi="Segoe UI" w:cs="Segoe UI"/>
                <w:color w:val="000000"/>
              </w:rPr>
              <w:t>4,967</w:t>
            </w:r>
          </w:p>
        </w:tc>
        <w:tc>
          <w:tcPr>
            <w:tcW w:w="833" w:type="pct"/>
          </w:tcPr>
          <w:p w:rsidR="00DD743E" w:rsidRPr="00E32373" w:rsidRDefault="00DD743E" w:rsidP="001C335A">
            <w:pPr>
              <w:jc w:val="right"/>
              <w:rPr>
                <w:rFonts w:ascii="Segoe UI" w:hAnsi="Segoe UI" w:cs="Segoe UI"/>
              </w:rPr>
            </w:pPr>
            <w:r w:rsidRPr="00E32373">
              <w:rPr>
                <w:rFonts w:ascii="Segoe UI" w:hAnsi="Segoe UI" w:cs="Segoe UI"/>
              </w:rPr>
              <w:t>5,460</w:t>
            </w:r>
          </w:p>
        </w:tc>
        <w:tc>
          <w:tcPr>
            <w:tcW w:w="834" w:type="pct"/>
          </w:tcPr>
          <w:p w:rsidR="00DD743E" w:rsidRDefault="00DD743E" w:rsidP="001C335A">
            <w:pPr>
              <w:jc w:val="right"/>
              <w:rPr>
                <w:rFonts w:ascii="Segoe UI" w:hAnsi="Segoe UI" w:cs="Segoe UI"/>
                <w:color w:val="000000"/>
              </w:rPr>
            </w:pPr>
            <w:r>
              <w:rPr>
                <w:rFonts w:ascii="Segoe UI" w:hAnsi="Segoe UI" w:cs="Segoe UI"/>
                <w:color w:val="000000"/>
              </w:rPr>
              <w:t>5,905</w:t>
            </w:r>
          </w:p>
        </w:tc>
        <w:tc>
          <w:tcPr>
            <w:tcW w:w="834" w:type="pct"/>
          </w:tcPr>
          <w:p w:rsidR="00DD743E" w:rsidRPr="00A07FF5" w:rsidRDefault="00A138E3" w:rsidP="001C335A">
            <w:pPr>
              <w:jc w:val="right"/>
              <w:rPr>
                <w:rFonts w:ascii="Segoe UI" w:hAnsi="Segoe UI" w:cs="Segoe UI"/>
                <w:color w:val="000000"/>
              </w:rPr>
            </w:pPr>
            <w:r w:rsidRPr="00A07FF5">
              <w:rPr>
                <w:rFonts w:ascii="Segoe UI" w:hAnsi="Segoe UI" w:cs="Segoe UI"/>
                <w:color w:val="000000"/>
              </w:rPr>
              <w:t>6,594</w:t>
            </w:r>
          </w:p>
        </w:tc>
      </w:tr>
      <w:tr w:rsidR="00DD743E" w:rsidTr="001C335A">
        <w:trPr>
          <w:trHeight w:val="113"/>
        </w:trPr>
        <w:tc>
          <w:tcPr>
            <w:tcW w:w="833" w:type="pct"/>
          </w:tcPr>
          <w:p w:rsidR="00DD743E" w:rsidRPr="00F61D7E" w:rsidRDefault="00DD743E" w:rsidP="001C335A">
            <w:pPr>
              <w:rPr>
                <w:rFonts w:ascii="Segoe UI" w:hAnsi="Segoe UI" w:cs="Segoe UI"/>
              </w:rPr>
            </w:pPr>
            <w:r>
              <w:rPr>
                <w:rFonts w:ascii="Segoe UI" w:hAnsi="Segoe UI" w:cs="Segoe UI"/>
              </w:rPr>
              <w:t>Qld</w:t>
            </w:r>
          </w:p>
        </w:tc>
        <w:tc>
          <w:tcPr>
            <w:tcW w:w="834" w:type="pct"/>
          </w:tcPr>
          <w:p w:rsidR="00DD743E" w:rsidRPr="00EA4A39" w:rsidRDefault="00DD743E" w:rsidP="001C335A">
            <w:pPr>
              <w:jc w:val="right"/>
              <w:rPr>
                <w:rFonts w:ascii="Segoe UI" w:hAnsi="Segoe UI" w:cs="Segoe UI"/>
                <w:color w:val="000000"/>
              </w:rPr>
            </w:pPr>
            <w:r w:rsidRPr="00EA4A39">
              <w:rPr>
                <w:rFonts w:ascii="Segoe UI" w:hAnsi="Segoe UI" w:cs="Segoe UI"/>
                <w:color w:val="000000"/>
              </w:rPr>
              <w:t>1,443</w:t>
            </w:r>
          </w:p>
        </w:tc>
        <w:tc>
          <w:tcPr>
            <w:tcW w:w="834" w:type="pct"/>
          </w:tcPr>
          <w:p w:rsidR="00DD743E" w:rsidRPr="00F85B73" w:rsidRDefault="00DD743E" w:rsidP="001C335A">
            <w:pPr>
              <w:jc w:val="right"/>
              <w:rPr>
                <w:rFonts w:ascii="Segoe UI" w:hAnsi="Segoe UI" w:cs="Segoe UI"/>
                <w:color w:val="000000"/>
              </w:rPr>
            </w:pPr>
            <w:r w:rsidRPr="00F85B73">
              <w:rPr>
                <w:rFonts w:ascii="Segoe UI" w:hAnsi="Segoe UI" w:cs="Segoe UI"/>
                <w:color w:val="000000"/>
              </w:rPr>
              <w:t>1,534</w:t>
            </w:r>
          </w:p>
        </w:tc>
        <w:tc>
          <w:tcPr>
            <w:tcW w:w="833" w:type="pct"/>
          </w:tcPr>
          <w:p w:rsidR="00DD743E" w:rsidRPr="00E32373" w:rsidRDefault="00DD743E" w:rsidP="001C335A">
            <w:pPr>
              <w:jc w:val="right"/>
              <w:rPr>
                <w:rFonts w:ascii="Segoe UI" w:hAnsi="Segoe UI" w:cs="Segoe UI"/>
              </w:rPr>
            </w:pPr>
            <w:r w:rsidRPr="00E32373">
              <w:rPr>
                <w:rFonts w:ascii="Segoe UI" w:hAnsi="Segoe UI" w:cs="Segoe UI"/>
              </w:rPr>
              <w:t>1,574</w:t>
            </w:r>
          </w:p>
        </w:tc>
        <w:tc>
          <w:tcPr>
            <w:tcW w:w="834" w:type="pct"/>
          </w:tcPr>
          <w:p w:rsidR="00DD743E" w:rsidRDefault="00DD743E" w:rsidP="001C335A">
            <w:pPr>
              <w:jc w:val="right"/>
              <w:rPr>
                <w:rFonts w:ascii="Segoe UI" w:hAnsi="Segoe UI" w:cs="Segoe UI"/>
                <w:color w:val="000000"/>
              </w:rPr>
            </w:pPr>
            <w:r>
              <w:rPr>
                <w:rFonts w:ascii="Segoe UI" w:hAnsi="Segoe UI" w:cs="Segoe UI"/>
                <w:color w:val="000000"/>
              </w:rPr>
              <w:t>1,557</w:t>
            </w:r>
          </w:p>
        </w:tc>
        <w:tc>
          <w:tcPr>
            <w:tcW w:w="834" w:type="pct"/>
          </w:tcPr>
          <w:p w:rsidR="00DD743E" w:rsidRPr="00A07FF5" w:rsidRDefault="00A138E3" w:rsidP="001C335A">
            <w:pPr>
              <w:jc w:val="right"/>
              <w:rPr>
                <w:rFonts w:ascii="Segoe UI" w:hAnsi="Segoe UI" w:cs="Segoe UI"/>
                <w:color w:val="000000"/>
              </w:rPr>
            </w:pPr>
            <w:r w:rsidRPr="00A07FF5">
              <w:rPr>
                <w:rFonts w:ascii="Segoe UI" w:hAnsi="Segoe UI" w:cs="Segoe UI"/>
                <w:color w:val="000000"/>
              </w:rPr>
              <w:t>1,784</w:t>
            </w:r>
          </w:p>
        </w:tc>
      </w:tr>
      <w:tr w:rsidR="00A138E3" w:rsidTr="001C335A">
        <w:trPr>
          <w:trHeight w:val="113"/>
        </w:trPr>
        <w:tc>
          <w:tcPr>
            <w:tcW w:w="833" w:type="pct"/>
          </w:tcPr>
          <w:p w:rsidR="00A138E3" w:rsidRPr="00F61D7E" w:rsidRDefault="00A138E3" w:rsidP="001C335A">
            <w:pPr>
              <w:rPr>
                <w:rFonts w:ascii="Segoe UI" w:hAnsi="Segoe UI" w:cs="Segoe UI"/>
              </w:rPr>
            </w:pPr>
            <w:r>
              <w:rPr>
                <w:rFonts w:ascii="Segoe UI" w:hAnsi="Segoe UI" w:cs="Segoe UI"/>
              </w:rPr>
              <w:t>WA</w:t>
            </w:r>
          </w:p>
        </w:tc>
        <w:tc>
          <w:tcPr>
            <w:tcW w:w="834" w:type="pct"/>
          </w:tcPr>
          <w:p w:rsidR="00A138E3" w:rsidRPr="00EA4A39" w:rsidRDefault="00A138E3" w:rsidP="001C335A">
            <w:pPr>
              <w:jc w:val="right"/>
              <w:rPr>
                <w:rFonts w:ascii="Segoe UI" w:hAnsi="Segoe UI" w:cs="Segoe UI"/>
                <w:color w:val="000000"/>
              </w:rPr>
            </w:pPr>
            <w:r w:rsidRPr="00EA4A39">
              <w:rPr>
                <w:rFonts w:ascii="Segoe UI" w:hAnsi="Segoe UI" w:cs="Segoe UI"/>
                <w:color w:val="000000"/>
              </w:rPr>
              <w:t>1,486</w:t>
            </w:r>
          </w:p>
        </w:tc>
        <w:tc>
          <w:tcPr>
            <w:tcW w:w="834" w:type="pct"/>
          </w:tcPr>
          <w:p w:rsidR="00A138E3" w:rsidRPr="00F85B73" w:rsidRDefault="00A138E3" w:rsidP="001C335A">
            <w:pPr>
              <w:jc w:val="right"/>
              <w:rPr>
                <w:rFonts w:ascii="Segoe UI" w:hAnsi="Segoe UI" w:cs="Segoe UI"/>
                <w:color w:val="000000"/>
              </w:rPr>
            </w:pPr>
            <w:r w:rsidRPr="00F85B73">
              <w:rPr>
                <w:rFonts w:ascii="Segoe UI" w:hAnsi="Segoe UI" w:cs="Segoe UI"/>
                <w:color w:val="000000"/>
              </w:rPr>
              <w:t>1,515</w:t>
            </w:r>
          </w:p>
        </w:tc>
        <w:tc>
          <w:tcPr>
            <w:tcW w:w="833" w:type="pct"/>
          </w:tcPr>
          <w:p w:rsidR="00A138E3" w:rsidRPr="00E32373" w:rsidRDefault="00A138E3" w:rsidP="001C335A">
            <w:pPr>
              <w:jc w:val="right"/>
              <w:rPr>
                <w:rFonts w:ascii="Segoe UI" w:hAnsi="Segoe UI" w:cs="Segoe UI"/>
              </w:rPr>
            </w:pPr>
            <w:r w:rsidRPr="00E32373">
              <w:rPr>
                <w:rFonts w:ascii="Segoe UI" w:hAnsi="Segoe UI" w:cs="Segoe UI"/>
              </w:rPr>
              <w:t>1,485</w:t>
            </w:r>
          </w:p>
        </w:tc>
        <w:tc>
          <w:tcPr>
            <w:tcW w:w="834" w:type="pct"/>
          </w:tcPr>
          <w:p w:rsidR="00A138E3" w:rsidRDefault="00A138E3" w:rsidP="001C335A">
            <w:pPr>
              <w:jc w:val="right"/>
              <w:rPr>
                <w:rFonts w:ascii="Segoe UI" w:hAnsi="Segoe UI" w:cs="Segoe UI"/>
                <w:color w:val="000000"/>
              </w:rPr>
            </w:pPr>
            <w:r>
              <w:rPr>
                <w:rFonts w:ascii="Segoe UI" w:hAnsi="Segoe UI" w:cs="Segoe UI"/>
                <w:color w:val="000000"/>
              </w:rPr>
              <w:t>1,497</w:t>
            </w:r>
          </w:p>
        </w:tc>
        <w:tc>
          <w:tcPr>
            <w:tcW w:w="834" w:type="pct"/>
          </w:tcPr>
          <w:p w:rsidR="00A138E3" w:rsidRPr="00A07FF5" w:rsidRDefault="00A138E3" w:rsidP="001C335A">
            <w:pPr>
              <w:jc w:val="right"/>
              <w:rPr>
                <w:rFonts w:ascii="Segoe UI" w:hAnsi="Segoe UI" w:cs="Segoe UI"/>
                <w:color w:val="000000"/>
              </w:rPr>
            </w:pPr>
            <w:r w:rsidRPr="00A07FF5">
              <w:rPr>
                <w:rFonts w:ascii="Segoe UI" w:hAnsi="Segoe UI" w:cs="Segoe UI"/>
                <w:color w:val="000000"/>
              </w:rPr>
              <w:t>1,646</w:t>
            </w:r>
          </w:p>
        </w:tc>
      </w:tr>
      <w:tr w:rsidR="00A138E3" w:rsidTr="001C335A">
        <w:trPr>
          <w:trHeight w:val="113"/>
        </w:trPr>
        <w:tc>
          <w:tcPr>
            <w:tcW w:w="833" w:type="pct"/>
          </w:tcPr>
          <w:p w:rsidR="00A138E3" w:rsidRDefault="00A138E3" w:rsidP="001C335A">
            <w:pPr>
              <w:rPr>
                <w:rFonts w:ascii="Segoe UI" w:hAnsi="Segoe UI" w:cs="Segoe UI"/>
              </w:rPr>
            </w:pPr>
            <w:r>
              <w:rPr>
                <w:rFonts w:ascii="Segoe UI" w:hAnsi="Segoe UI" w:cs="Segoe UI"/>
              </w:rPr>
              <w:t>SA</w:t>
            </w:r>
          </w:p>
        </w:tc>
        <w:tc>
          <w:tcPr>
            <w:tcW w:w="834" w:type="pct"/>
          </w:tcPr>
          <w:p w:rsidR="00A138E3" w:rsidRPr="00EA4A39" w:rsidRDefault="00A138E3" w:rsidP="001C335A">
            <w:pPr>
              <w:jc w:val="right"/>
              <w:rPr>
                <w:rFonts w:ascii="Segoe UI" w:hAnsi="Segoe UI" w:cs="Segoe UI"/>
                <w:color w:val="000000"/>
              </w:rPr>
            </w:pPr>
            <w:r w:rsidRPr="00EA4A39">
              <w:rPr>
                <w:rFonts w:ascii="Segoe UI" w:hAnsi="Segoe UI" w:cs="Segoe UI"/>
                <w:color w:val="000000"/>
              </w:rPr>
              <w:t>947</w:t>
            </w:r>
          </w:p>
        </w:tc>
        <w:tc>
          <w:tcPr>
            <w:tcW w:w="834" w:type="pct"/>
          </w:tcPr>
          <w:p w:rsidR="00A138E3" w:rsidRPr="00F85B73" w:rsidRDefault="00A138E3" w:rsidP="001C335A">
            <w:pPr>
              <w:jc w:val="right"/>
              <w:rPr>
                <w:rFonts w:ascii="Segoe UI" w:hAnsi="Segoe UI" w:cs="Segoe UI"/>
                <w:color w:val="000000"/>
              </w:rPr>
            </w:pPr>
            <w:r w:rsidRPr="00F85B73">
              <w:rPr>
                <w:rFonts w:ascii="Segoe UI" w:hAnsi="Segoe UI" w:cs="Segoe UI"/>
                <w:color w:val="000000"/>
              </w:rPr>
              <w:t>951</w:t>
            </w:r>
          </w:p>
        </w:tc>
        <w:tc>
          <w:tcPr>
            <w:tcW w:w="833" w:type="pct"/>
          </w:tcPr>
          <w:p w:rsidR="00A138E3" w:rsidRPr="00E32373" w:rsidRDefault="00A138E3" w:rsidP="001C335A">
            <w:pPr>
              <w:jc w:val="right"/>
              <w:rPr>
                <w:rFonts w:ascii="Segoe UI" w:hAnsi="Segoe UI" w:cs="Segoe UI"/>
              </w:rPr>
            </w:pPr>
            <w:r w:rsidRPr="00E32373">
              <w:rPr>
                <w:rFonts w:ascii="Segoe UI" w:hAnsi="Segoe UI" w:cs="Segoe UI"/>
              </w:rPr>
              <w:t>994</w:t>
            </w:r>
          </w:p>
        </w:tc>
        <w:tc>
          <w:tcPr>
            <w:tcW w:w="834" w:type="pct"/>
          </w:tcPr>
          <w:p w:rsidR="00A138E3" w:rsidRDefault="00A138E3" w:rsidP="001C335A">
            <w:pPr>
              <w:jc w:val="right"/>
              <w:rPr>
                <w:rFonts w:ascii="Segoe UI" w:hAnsi="Segoe UI" w:cs="Segoe UI"/>
                <w:color w:val="000000"/>
              </w:rPr>
            </w:pPr>
            <w:r>
              <w:rPr>
                <w:rFonts w:ascii="Segoe UI" w:hAnsi="Segoe UI" w:cs="Segoe UI"/>
                <w:color w:val="000000"/>
              </w:rPr>
              <w:t>1,042</w:t>
            </w:r>
          </w:p>
        </w:tc>
        <w:tc>
          <w:tcPr>
            <w:tcW w:w="834" w:type="pct"/>
          </w:tcPr>
          <w:p w:rsidR="00A138E3" w:rsidRPr="00A07FF5" w:rsidRDefault="00A138E3" w:rsidP="001C335A">
            <w:pPr>
              <w:jc w:val="right"/>
              <w:rPr>
                <w:rFonts w:ascii="Segoe UI" w:hAnsi="Segoe UI" w:cs="Segoe UI"/>
                <w:color w:val="000000"/>
              </w:rPr>
            </w:pPr>
            <w:r w:rsidRPr="00A07FF5">
              <w:rPr>
                <w:rFonts w:ascii="Segoe UI" w:hAnsi="Segoe UI" w:cs="Segoe UI"/>
                <w:color w:val="000000"/>
              </w:rPr>
              <w:t>1,116</w:t>
            </w:r>
          </w:p>
        </w:tc>
      </w:tr>
      <w:tr w:rsidR="00A138E3" w:rsidTr="001C335A">
        <w:trPr>
          <w:trHeight w:val="113"/>
        </w:trPr>
        <w:tc>
          <w:tcPr>
            <w:tcW w:w="833" w:type="pct"/>
          </w:tcPr>
          <w:p w:rsidR="00A138E3" w:rsidRDefault="00A138E3" w:rsidP="001C335A">
            <w:pPr>
              <w:rPr>
                <w:rFonts w:ascii="Segoe UI" w:hAnsi="Segoe UI" w:cs="Segoe UI"/>
              </w:rPr>
            </w:pPr>
            <w:proofErr w:type="spellStart"/>
            <w:r>
              <w:rPr>
                <w:rFonts w:ascii="Segoe UI" w:hAnsi="Segoe UI" w:cs="Segoe UI"/>
              </w:rPr>
              <w:t>Tas</w:t>
            </w:r>
            <w:proofErr w:type="spellEnd"/>
          </w:p>
        </w:tc>
        <w:tc>
          <w:tcPr>
            <w:tcW w:w="834" w:type="pct"/>
          </w:tcPr>
          <w:p w:rsidR="00A138E3" w:rsidRPr="00EA4A39" w:rsidRDefault="00A138E3" w:rsidP="001C335A">
            <w:pPr>
              <w:jc w:val="right"/>
              <w:rPr>
                <w:rFonts w:ascii="Segoe UI" w:hAnsi="Segoe UI" w:cs="Segoe UI"/>
                <w:color w:val="000000"/>
              </w:rPr>
            </w:pPr>
            <w:r w:rsidRPr="00EA4A39">
              <w:rPr>
                <w:rFonts w:ascii="Segoe UI" w:hAnsi="Segoe UI" w:cs="Segoe UI"/>
                <w:color w:val="000000"/>
              </w:rPr>
              <w:t>161</w:t>
            </w:r>
          </w:p>
        </w:tc>
        <w:tc>
          <w:tcPr>
            <w:tcW w:w="834" w:type="pct"/>
          </w:tcPr>
          <w:p w:rsidR="00A138E3" w:rsidRPr="00F85B73" w:rsidRDefault="00A138E3" w:rsidP="001C335A">
            <w:pPr>
              <w:jc w:val="right"/>
              <w:rPr>
                <w:rFonts w:ascii="Segoe UI" w:hAnsi="Segoe UI" w:cs="Segoe UI"/>
                <w:color w:val="000000"/>
              </w:rPr>
            </w:pPr>
            <w:r w:rsidRPr="00F85B73">
              <w:rPr>
                <w:rFonts w:ascii="Segoe UI" w:hAnsi="Segoe UI" w:cs="Segoe UI"/>
                <w:color w:val="000000"/>
              </w:rPr>
              <w:t>162</w:t>
            </w:r>
          </w:p>
        </w:tc>
        <w:tc>
          <w:tcPr>
            <w:tcW w:w="833" w:type="pct"/>
          </w:tcPr>
          <w:p w:rsidR="00A138E3" w:rsidRPr="00E32373" w:rsidRDefault="00A138E3" w:rsidP="001C335A">
            <w:pPr>
              <w:jc w:val="right"/>
              <w:rPr>
                <w:rFonts w:ascii="Segoe UI" w:hAnsi="Segoe UI" w:cs="Segoe UI"/>
              </w:rPr>
            </w:pPr>
            <w:r w:rsidRPr="00E32373">
              <w:rPr>
                <w:rFonts w:ascii="Segoe UI" w:hAnsi="Segoe UI" w:cs="Segoe UI"/>
              </w:rPr>
              <w:t>194</w:t>
            </w:r>
          </w:p>
        </w:tc>
        <w:tc>
          <w:tcPr>
            <w:tcW w:w="834" w:type="pct"/>
          </w:tcPr>
          <w:p w:rsidR="00A138E3" w:rsidRDefault="00A138E3" w:rsidP="001C335A">
            <w:pPr>
              <w:jc w:val="right"/>
              <w:rPr>
                <w:rFonts w:ascii="Segoe UI" w:hAnsi="Segoe UI" w:cs="Segoe UI"/>
                <w:color w:val="000000"/>
              </w:rPr>
            </w:pPr>
            <w:r>
              <w:rPr>
                <w:rFonts w:ascii="Segoe UI" w:hAnsi="Segoe UI" w:cs="Segoe UI"/>
                <w:color w:val="000000"/>
              </w:rPr>
              <w:t>211</w:t>
            </w:r>
          </w:p>
        </w:tc>
        <w:tc>
          <w:tcPr>
            <w:tcW w:w="834" w:type="pct"/>
          </w:tcPr>
          <w:p w:rsidR="00A138E3" w:rsidRPr="00A07FF5" w:rsidRDefault="00A138E3" w:rsidP="001C335A">
            <w:pPr>
              <w:jc w:val="right"/>
              <w:rPr>
                <w:rFonts w:ascii="Segoe UI" w:hAnsi="Segoe UI" w:cs="Segoe UI"/>
                <w:color w:val="000000"/>
              </w:rPr>
            </w:pPr>
            <w:r w:rsidRPr="00A07FF5">
              <w:rPr>
                <w:rFonts w:ascii="Segoe UI" w:hAnsi="Segoe UI" w:cs="Segoe UI"/>
                <w:color w:val="000000"/>
              </w:rPr>
              <w:t>213</w:t>
            </w:r>
          </w:p>
        </w:tc>
      </w:tr>
      <w:tr w:rsidR="00A138E3" w:rsidTr="001C335A">
        <w:trPr>
          <w:trHeight w:val="113"/>
        </w:trPr>
        <w:tc>
          <w:tcPr>
            <w:tcW w:w="833" w:type="pct"/>
          </w:tcPr>
          <w:p w:rsidR="00A138E3" w:rsidRDefault="00A138E3" w:rsidP="001C335A">
            <w:pPr>
              <w:rPr>
                <w:rFonts w:ascii="Segoe UI" w:hAnsi="Segoe UI" w:cs="Segoe UI"/>
              </w:rPr>
            </w:pPr>
            <w:r>
              <w:rPr>
                <w:rFonts w:ascii="Segoe UI" w:hAnsi="Segoe UI" w:cs="Segoe UI"/>
              </w:rPr>
              <w:t>ACT</w:t>
            </w:r>
          </w:p>
        </w:tc>
        <w:tc>
          <w:tcPr>
            <w:tcW w:w="834" w:type="pct"/>
          </w:tcPr>
          <w:p w:rsidR="00A138E3" w:rsidRPr="008C64E4" w:rsidRDefault="00A138E3" w:rsidP="001C335A">
            <w:pPr>
              <w:jc w:val="right"/>
              <w:rPr>
                <w:rFonts w:ascii="Segoe UI" w:hAnsi="Segoe UI" w:cs="Segoe UI"/>
              </w:rPr>
            </w:pPr>
            <w:r w:rsidRPr="008C64E4">
              <w:rPr>
                <w:rFonts w:ascii="Segoe UI" w:hAnsi="Segoe UI" w:cs="Segoe UI"/>
              </w:rPr>
              <w:t>220</w:t>
            </w:r>
          </w:p>
        </w:tc>
        <w:tc>
          <w:tcPr>
            <w:tcW w:w="834" w:type="pct"/>
          </w:tcPr>
          <w:p w:rsidR="00A138E3" w:rsidRPr="008C64E4" w:rsidRDefault="00A138E3" w:rsidP="001C335A">
            <w:pPr>
              <w:jc w:val="right"/>
              <w:rPr>
                <w:rFonts w:ascii="Segoe UI" w:hAnsi="Segoe UI" w:cs="Segoe UI"/>
              </w:rPr>
            </w:pPr>
            <w:r w:rsidRPr="008C64E4">
              <w:rPr>
                <w:rFonts w:ascii="Segoe UI" w:hAnsi="Segoe UI" w:cs="Segoe UI"/>
              </w:rPr>
              <w:t>240</w:t>
            </w:r>
          </w:p>
        </w:tc>
        <w:tc>
          <w:tcPr>
            <w:tcW w:w="833" w:type="pct"/>
          </w:tcPr>
          <w:p w:rsidR="00A138E3" w:rsidRPr="00E32373" w:rsidRDefault="00A138E3" w:rsidP="001C335A">
            <w:pPr>
              <w:jc w:val="right"/>
              <w:rPr>
                <w:rFonts w:ascii="Segoe UI" w:hAnsi="Segoe UI" w:cs="Segoe UI"/>
              </w:rPr>
            </w:pPr>
            <w:r w:rsidRPr="00E32373">
              <w:rPr>
                <w:rFonts w:ascii="Segoe UI" w:hAnsi="Segoe UI" w:cs="Segoe UI"/>
              </w:rPr>
              <w:t>248</w:t>
            </w:r>
          </w:p>
        </w:tc>
        <w:tc>
          <w:tcPr>
            <w:tcW w:w="834" w:type="pct"/>
          </w:tcPr>
          <w:p w:rsidR="00A138E3" w:rsidRPr="008C64E4" w:rsidRDefault="00A138E3" w:rsidP="001C335A">
            <w:pPr>
              <w:jc w:val="right"/>
              <w:rPr>
                <w:rFonts w:ascii="Segoe UI" w:hAnsi="Segoe UI" w:cs="Segoe UI"/>
              </w:rPr>
            </w:pPr>
            <w:r w:rsidRPr="008C64E4">
              <w:rPr>
                <w:rFonts w:ascii="Segoe UI" w:hAnsi="Segoe UI" w:cs="Segoe UI"/>
              </w:rPr>
              <w:t>229</w:t>
            </w:r>
          </w:p>
        </w:tc>
        <w:tc>
          <w:tcPr>
            <w:tcW w:w="834" w:type="pct"/>
          </w:tcPr>
          <w:p w:rsidR="00A138E3" w:rsidRPr="00A07FF5" w:rsidRDefault="00A138E3" w:rsidP="001C335A">
            <w:pPr>
              <w:jc w:val="right"/>
              <w:rPr>
                <w:rFonts w:ascii="Segoe UI" w:hAnsi="Segoe UI" w:cs="Segoe UI"/>
                <w:color w:val="000000"/>
              </w:rPr>
            </w:pPr>
            <w:r w:rsidRPr="00A07FF5">
              <w:rPr>
                <w:rFonts w:ascii="Segoe UI" w:hAnsi="Segoe UI" w:cs="Segoe UI"/>
                <w:color w:val="000000"/>
              </w:rPr>
              <w:t>275</w:t>
            </w:r>
          </w:p>
        </w:tc>
      </w:tr>
      <w:tr w:rsidR="00A138E3" w:rsidTr="001C335A">
        <w:trPr>
          <w:trHeight w:val="113"/>
        </w:trPr>
        <w:tc>
          <w:tcPr>
            <w:tcW w:w="833" w:type="pct"/>
          </w:tcPr>
          <w:p w:rsidR="00A138E3" w:rsidRDefault="00A138E3" w:rsidP="001C335A">
            <w:pPr>
              <w:rPr>
                <w:rFonts w:ascii="Segoe UI" w:hAnsi="Segoe UI" w:cs="Segoe UI"/>
              </w:rPr>
            </w:pPr>
            <w:r>
              <w:rPr>
                <w:rFonts w:ascii="Segoe UI" w:hAnsi="Segoe UI" w:cs="Segoe UI"/>
              </w:rPr>
              <w:t>NT</w:t>
            </w:r>
          </w:p>
        </w:tc>
        <w:tc>
          <w:tcPr>
            <w:tcW w:w="834" w:type="pct"/>
          </w:tcPr>
          <w:p w:rsidR="00A138E3" w:rsidRPr="00EA4A39" w:rsidRDefault="00A138E3" w:rsidP="001C335A">
            <w:pPr>
              <w:jc w:val="right"/>
              <w:rPr>
                <w:rFonts w:ascii="Segoe UI" w:hAnsi="Segoe UI" w:cs="Segoe UI"/>
                <w:color w:val="000000"/>
              </w:rPr>
            </w:pPr>
            <w:r w:rsidRPr="00EA4A39">
              <w:rPr>
                <w:rFonts w:ascii="Segoe UI" w:hAnsi="Segoe UI" w:cs="Segoe UI"/>
                <w:color w:val="000000"/>
              </w:rPr>
              <w:t>90</w:t>
            </w:r>
          </w:p>
        </w:tc>
        <w:tc>
          <w:tcPr>
            <w:tcW w:w="834" w:type="pct"/>
          </w:tcPr>
          <w:p w:rsidR="00A138E3" w:rsidRPr="00F85B73" w:rsidRDefault="00A138E3" w:rsidP="001C335A">
            <w:pPr>
              <w:jc w:val="right"/>
              <w:rPr>
                <w:rFonts w:ascii="Segoe UI" w:hAnsi="Segoe UI" w:cs="Segoe UI"/>
                <w:color w:val="000000"/>
              </w:rPr>
            </w:pPr>
            <w:r w:rsidRPr="00F85B73">
              <w:rPr>
                <w:rFonts w:ascii="Segoe UI" w:hAnsi="Segoe UI" w:cs="Segoe UI"/>
                <w:color w:val="000000"/>
              </w:rPr>
              <w:t>88</w:t>
            </w:r>
          </w:p>
        </w:tc>
        <w:tc>
          <w:tcPr>
            <w:tcW w:w="833" w:type="pct"/>
          </w:tcPr>
          <w:p w:rsidR="00A138E3" w:rsidRPr="00E32373" w:rsidRDefault="00A138E3" w:rsidP="001C335A">
            <w:pPr>
              <w:jc w:val="right"/>
              <w:rPr>
                <w:rFonts w:ascii="Segoe UI" w:hAnsi="Segoe UI" w:cs="Segoe UI"/>
              </w:rPr>
            </w:pPr>
            <w:r w:rsidRPr="00E32373">
              <w:rPr>
                <w:rFonts w:ascii="Segoe UI" w:hAnsi="Segoe UI" w:cs="Segoe UI"/>
              </w:rPr>
              <w:t>131</w:t>
            </w:r>
          </w:p>
        </w:tc>
        <w:tc>
          <w:tcPr>
            <w:tcW w:w="834" w:type="pct"/>
          </w:tcPr>
          <w:p w:rsidR="00A138E3" w:rsidRDefault="00A138E3" w:rsidP="001C335A">
            <w:pPr>
              <w:jc w:val="right"/>
              <w:rPr>
                <w:rFonts w:ascii="Segoe UI" w:hAnsi="Segoe UI" w:cs="Segoe UI"/>
                <w:color w:val="000000"/>
              </w:rPr>
            </w:pPr>
            <w:r>
              <w:rPr>
                <w:rFonts w:ascii="Segoe UI" w:hAnsi="Segoe UI" w:cs="Segoe UI"/>
                <w:color w:val="000000"/>
              </w:rPr>
              <w:t>85</w:t>
            </w:r>
          </w:p>
        </w:tc>
        <w:tc>
          <w:tcPr>
            <w:tcW w:w="834" w:type="pct"/>
          </w:tcPr>
          <w:p w:rsidR="00A138E3" w:rsidRPr="00A07FF5" w:rsidRDefault="00E504D0" w:rsidP="001C335A">
            <w:pPr>
              <w:jc w:val="right"/>
              <w:rPr>
                <w:rFonts w:ascii="Segoe UI" w:hAnsi="Segoe UI" w:cs="Segoe UI"/>
                <w:color w:val="000000"/>
              </w:rPr>
            </w:pPr>
            <w:r>
              <w:rPr>
                <w:rFonts w:ascii="Segoe UI" w:hAnsi="Segoe UI" w:cs="Segoe UI"/>
                <w:color w:val="000000"/>
              </w:rPr>
              <w:t>87</w:t>
            </w:r>
          </w:p>
        </w:tc>
      </w:tr>
      <w:tr w:rsidR="00DD743E" w:rsidTr="001C335A">
        <w:trPr>
          <w:trHeight w:val="113"/>
        </w:trPr>
        <w:tc>
          <w:tcPr>
            <w:tcW w:w="833" w:type="pct"/>
          </w:tcPr>
          <w:p w:rsidR="00DD743E" w:rsidRPr="00085862" w:rsidRDefault="00DD743E" w:rsidP="001C335A">
            <w:pPr>
              <w:rPr>
                <w:rFonts w:ascii="Segoe UI" w:hAnsi="Segoe UI" w:cs="Segoe UI"/>
              </w:rPr>
            </w:pPr>
            <w:r w:rsidRPr="00596D01">
              <w:rPr>
                <w:rStyle w:val="Strong"/>
              </w:rPr>
              <w:t>Total</w:t>
            </w:r>
          </w:p>
        </w:tc>
        <w:tc>
          <w:tcPr>
            <w:tcW w:w="834" w:type="pct"/>
          </w:tcPr>
          <w:p w:rsidR="00DD743E" w:rsidRPr="00336FDE" w:rsidRDefault="00DD743E" w:rsidP="001C335A">
            <w:pPr>
              <w:jc w:val="right"/>
            </w:pPr>
            <w:r w:rsidRPr="00596D01">
              <w:rPr>
                <w:rStyle w:val="Strong"/>
              </w:rPr>
              <w:t>13,222</w:t>
            </w:r>
          </w:p>
        </w:tc>
        <w:tc>
          <w:tcPr>
            <w:tcW w:w="834" w:type="pct"/>
          </w:tcPr>
          <w:p w:rsidR="00DD743E" w:rsidRDefault="00DD743E" w:rsidP="001C335A">
            <w:pPr>
              <w:jc w:val="right"/>
              <w:rPr>
                <w:rFonts w:ascii="Calibri" w:hAnsi="Calibri"/>
              </w:rPr>
            </w:pPr>
            <w:r w:rsidRPr="00596D01">
              <w:rPr>
                <w:rStyle w:val="Strong"/>
              </w:rPr>
              <w:t>14,261</w:t>
            </w:r>
          </w:p>
        </w:tc>
        <w:tc>
          <w:tcPr>
            <w:tcW w:w="833" w:type="pct"/>
          </w:tcPr>
          <w:p w:rsidR="00DD743E" w:rsidRDefault="00DD743E" w:rsidP="001C335A">
            <w:pPr>
              <w:jc w:val="right"/>
              <w:rPr>
                <w:rFonts w:ascii="Segoe UI" w:hAnsi="Segoe UI" w:cs="Segoe UI"/>
                <w:color w:val="000000"/>
              </w:rPr>
            </w:pPr>
            <w:r w:rsidRPr="00596D01">
              <w:rPr>
                <w:rStyle w:val="Strong"/>
              </w:rPr>
              <w:t>15,204</w:t>
            </w:r>
          </w:p>
        </w:tc>
        <w:tc>
          <w:tcPr>
            <w:tcW w:w="834" w:type="pct"/>
          </w:tcPr>
          <w:p w:rsidR="00DD743E" w:rsidRDefault="00DD743E" w:rsidP="001C335A">
            <w:pPr>
              <w:jc w:val="right"/>
              <w:rPr>
                <w:rFonts w:ascii="Segoe UI" w:hAnsi="Segoe UI" w:cs="Segoe UI"/>
                <w:color w:val="000000"/>
              </w:rPr>
            </w:pPr>
            <w:r w:rsidRPr="00596D01">
              <w:rPr>
                <w:rStyle w:val="Strong"/>
              </w:rPr>
              <w:t>15,94</w:t>
            </w:r>
            <w:r w:rsidR="00D62A64" w:rsidRPr="00596D01">
              <w:rPr>
                <w:rStyle w:val="Strong"/>
              </w:rPr>
              <w:t>2</w:t>
            </w:r>
          </w:p>
        </w:tc>
        <w:tc>
          <w:tcPr>
            <w:tcW w:w="834" w:type="pct"/>
          </w:tcPr>
          <w:p w:rsidR="00DD743E" w:rsidRPr="00596D01" w:rsidRDefault="00765039" w:rsidP="001C335A">
            <w:pPr>
              <w:jc w:val="right"/>
              <w:rPr>
                <w:rStyle w:val="Strong"/>
              </w:rPr>
            </w:pPr>
            <w:r w:rsidRPr="00596D01">
              <w:rPr>
                <w:rStyle w:val="Strong"/>
              </w:rPr>
              <w:t>17,641</w:t>
            </w:r>
          </w:p>
        </w:tc>
      </w:tr>
    </w:tbl>
    <w:p w:rsidR="00D8721E" w:rsidRDefault="005E3992" w:rsidP="001C335A">
      <w:r>
        <w:t>In residential care</w:t>
      </w:r>
      <w:r w:rsidR="00166D0C">
        <w:t>,</w:t>
      </w:r>
      <w:r>
        <w:t xml:space="preserve"> as at </w:t>
      </w:r>
      <w:r w:rsidR="00A261F3">
        <w:t>30 J</w:t>
      </w:r>
      <w:r w:rsidR="00ED43AB">
        <w:t>une</w:t>
      </w:r>
      <w:r w:rsidR="00A261F3">
        <w:t> 201</w:t>
      </w:r>
      <w:r>
        <w:t>7</w:t>
      </w:r>
      <w:r w:rsidR="00166D0C">
        <w:t>,</w:t>
      </w:r>
      <w:r>
        <w:t xml:space="preserve"> there were 34,808 older Australians from CALD backgrounds in permanent or respite care, which represents around 1</w:t>
      </w:r>
      <w:r w:rsidR="00D00B54">
        <w:t>9</w:t>
      </w:r>
      <w:r w:rsidR="00A261F3">
        <w:t> per cent</w:t>
      </w:r>
      <w:r>
        <w:t xml:space="preserve"> of all residents. This is the same proportion as at </w:t>
      </w:r>
      <w:r w:rsidR="00A261F3">
        <w:t>30 J</w:t>
      </w:r>
      <w:r w:rsidR="00ED43AB">
        <w:t>une</w:t>
      </w:r>
      <w:r w:rsidR="00A261F3">
        <w:t> 201</w:t>
      </w:r>
      <w:r>
        <w:t>6. The proportion of CALD people in residential care has generally increased over the last 10 years from 1</w:t>
      </w:r>
      <w:r w:rsidR="009C307B">
        <w:t>5</w:t>
      </w:r>
      <w:r w:rsidR="00A261F3">
        <w:t> per cent</w:t>
      </w:r>
      <w:r>
        <w:t xml:space="preserve"> in</w:t>
      </w:r>
      <w:r w:rsidR="00A261F3">
        <w:t> 200</w:t>
      </w:r>
      <w:r>
        <w:t xml:space="preserve">7. Of the overall population of Australians aged 65 and over, as at </w:t>
      </w:r>
      <w:r w:rsidR="00A261F3">
        <w:t>30 J</w:t>
      </w:r>
      <w:r w:rsidR="00ED43AB">
        <w:t>une</w:t>
      </w:r>
      <w:r w:rsidR="00A261F3">
        <w:t> 201</w:t>
      </w:r>
      <w:r>
        <w:t>7 around 20</w:t>
      </w:r>
      <w:r w:rsidR="00A261F3">
        <w:t> per cent</w:t>
      </w:r>
      <w:r>
        <w:t xml:space="preserve"> are from a CALD background</w:t>
      </w:r>
      <w:r w:rsidR="00D8721E">
        <w:t>.</w:t>
      </w:r>
    </w:p>
    <w:p w:rsidR="00D8721E" w:rsidRDefault="005E3992" w:rsidP="001C335A">
      <w:r>
        <w:lastRenderedPageBreak/>
        <w:t>The proportion of CALD people accessing residential care as at June</w:t>
      </w:r>
      <w:r w:rsidR="00A261F3">
        <w:t> 201</w:t>
      </w:r>
      <w:r>
        <w:t>7</w:t>
      </w:r>
      <w:r>
        <w:rPr>
          <w:rStyle w:val="CommentReference"/>
        </w:rPr>
        <w:t> </w:t>
      </w:r>
      <w:r>
        <w:t>was significantly less than home care (1</w:t>
      </w:r>
      <w:r w:rsidR="00D00B54">
        <w:t>9</w:t>
      </w:r>
      <w:r w:rsidR="00A261F3">
        <w:t> per cent</w:t>
      </w:r>
      <w:r>
        <w:t xml:space="preserve"> compared with 2</w:t>
      </w:r>
      <w:r w:rsidR="009C307B">
        <w:t>5</w:t>
      </w:r>
      <w:r w:rsidR="00A261F3">
        <w:t> per cent</w:t>
      </w:r>
      <w:r>
        <w:t>)</w:t>
      </w:r>
      <w:r w:rsidR="00D8721E">
        <w:t>.</w:t>
      </w:r>
    </w:p>
    <w:p w:rsidR="00D8721E" w:rsidRDefault="00492BF8" w:rsidP="001C335A">
      <w:r>
        <w:fldChar w:fldCharType="begin"/>
      </w:r>
      <w:r>
        <w:instrText xml:space="preserve"> REF _Ref524429193 \r \h </w:instrText>
      </w:r>
      <w:r>
        <w:fldChar w:fldCharType="separate"/>
      </w:r>
      <w:r>
        <w:t>Table 5.2</w:t>
      </w:r>
      <w:r>
        <w:fldChar w:fldCharType="end"/>
      </w:r>
      <w:r>
        <w:t xml:space="preserve"> </w:t>
      </w:r>
      <w:r w:rsidR="005E3992">
        <w:t>shows the number of CALD consumers in residential aged care over the last five years.</w:t>
      </w:r>
    </w:p>
    <w:p w:rsidR="000C53D6" w:rsidRPr="00596D01" w:rsidRDefault="00501DC3" w:rsidP="001C335A">
      <w:pPr>
        <w:pStyle w:val="TableTitle"/>
        <w:rPr>
          <w:rStyle w:val="Strong"/>
        </w:rPr>
      </w:pPr>
      <w:bookmarkStart w:id="286" w:name="_Ref524429193"/>
      <w:r w:rsidRPr="00596D01">
        <w:t xml:space="preserve">CALD consumers in residential aged care, </w:t>
      </w:r>
      <w:r w:rsidR="00CB5138" w:rsidRPr="00596D01">
        <w:t>by s</w:t>
      </w:r>
      <w:r w:rsidR="00BE77ED" w:rsidRPr="00596D01">
        <w:t xml:space="preserve">tate and territory, </w:t>
      </w:r>
      <w:r w:rsidR="00A261F3" w:rsidRPr="00596D01">
        <w:t>30 J</w:t>
      </w:r>
      <w:r w:rsidR="00BE77ED" w:rsidRPr="00596D01">
        <w:t>une</w:t>
      </w:r>
      <w:r w:rsidR="00A261F3" w:rsidRPr="00596D01">
        <w:t> 201</w:t>
      </w:r>
      <w:r w:rsidR="00BE77ED" w:rsidRPr="00596D01">
        <w:t>3</w:t>
      </w:r>
      <w:r w:rsidR="00E06F14" w:rsidRPr="00596D01">
        <w:t> </w:t>
      </w:r>
      <w:r w:rsidRPr="00596D01">
        <w:t>to</w:t>
      </w:r>
      <w:r w:rsidR="00E06F14" w:rsidRPr="00596D01">
        <w:t> </w:t>
      </w:r>
      <w:r w:rsidR="00A261F3" w:rsidRPr="00596D01">
        <w:t>30 J</w:t>
      </w:r>
      <w:r w:rsidR="00BE77ED" w:rsidRPr="00596D01">
        <w:t>une</w:t>
      </w:r>
      <w:r w:rsidR="00A261F3" w:rsidRPr="00596D01">
        <w:t> 201</w:t>
      </w:r>
      <w:r w:rsidR="00BE77ED" w:rsidRPr="00596D01">
        <w:rPr>
          <w:rStyle w:val="Strong"/>
        </w:rPr>
        <w:t>7</w:t>
      </w:r>
      <w:bookmarkEnd w:id="286"/>
      <w:r w:rsidRPr="000C53D6">
        <w:rPr>
          <w:color w:val="000000"/>
          <w:highlight w:val="green"/>
        </w:rPr>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04"/>
        <w:gridCol w:w="1606"/>
        <w:gridCol w:w="1606"/>
        <w:gridCol w:w="1604"/>
        <w:gridCol w:w="1606"/>
        <w:gridCol w:w="1602"/>
      </w:tblGrid>
      <w:tr w:rsidR="00966BAF"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833" w:type="pct"/>
          </w:tcPr>
          <w:p w:rsidR="00585D32" w:rsidRPr="00805F7E" w:rsidRDefault="00585D32" w:rsidP="001C335A">
            <w:pPr>
              <w:rPr>
                <w:rFonts w:ascii="Segoe UI" w:hAnsi="Segoe UI" w:cs="Segoe UI"/>
              </w:rPr>
            </w:pPr>
            <w:r w:rsidRPr="00596D01">
              <w:t>State/territory</w:t>
            </w:r>
          </w:p>
        </w:tc>
        <w:tc>
          <w:tcPr>
            <w:tcW w:w="834" w:type="pct"/>
          </w:tcPr>
          <w:p w:rsidR="00585D32" w:rsidRDefault="00A261F3" w:rsidP="001C335A">
            <w:pPr>
              <w:jc w:val="right"/>
              <w:rPr>
                <w:rFonts w:ascii="Segoe UI" w:hAnsi="Segoe UI" w:cs="Segoe UI"/>
              </w:rPr>
            </w:pPr>
            <w:r w:rsidRPr="00596D01">
              <w:t>30 J</w:t>
            </w:r>
            <w:r w:rsidR="00C10AE1" w:rsidRPr="00596D01">
              <w:t>une 2013</w:t>
            </w:r>
          </w:p>
        </w:tc>
        <w:tc>
          <w:tcPr>
            <w:tcW w:w="834" w:type="pct"/>
          </w:tcPr>
          <w:p w:rsidR="00585D32" w:rsidRDefault="00A261F3" w:rsidP="001C335A">
            <w:pPr>
              <w:jc w:val="right"/>
              <w:rPr>
                <w:rFonts w:ascii="Segoe UI" w:hAnsi="Segoe UI" w:cs="Segoe UI"/>
              </w:rPr>
            </w:pPr>
            <w:r w:rsidRPr="00596D01">
              <w:t>30 J</w:t>
            </w:r>
            <w:r w:rsidR="00C10AE1" w:rsidRPr="00596D01">
              <w:t>une 2014</w:t>
            </w:r>
          </w:p>
        </w:tc>
        <w:tc>
          <w:tcPr>
            <w:tcW w:w="833" w:type="pct"/>
          </w:tcPr>
          <w:p w:rsidR="00585D32" w:rsidRDefault="00A261F3" w:rsidP="001C335A">
            <w:pPr>
              <w:jc w:val="right"/>
              <w:rPr>
                <w:rFonts w:ascii="Segoe UI" w:hAnsi="Segoe UI" w:cs="Segoe UI"/>
              </w:rPr>
            </w:pPr>
            <w:r w:rsidRPr="00596D01">
              <w:t>30 J</w:t>
            </w:r>
            <w:r w:rsidR="00C10AE1" w:rsidRPr="00596D01">
              <w:t>une 2015</w:t>
            </w:r>
          </w:p>
        </w:tc>
        <w:tc>
          <w:tcPr>
            <w:tcW w:w="834" w:type="pct"/>
          </w:tcPr>
          <w:p w:rsidR="00585D32" w:rsidRDefault="00A261F3" w:rsidP="001C335A">
            <w:pPr>
              <w:jc w:val="right"/>
              <w:rPr>
                <w:rFonts w:ascii="Segoe UI" w:hAnsi="Segoe UI" w:cs="Segoe UI"/>
              </w:rPr>
            </w:pPr>
            <w:r w:rsidRPr="00596D01">
              <w:t>30 J</w:t>
            </w:r>
            <w:r w:rsidR="00C10AE1" w:rsidRPr="00596D01">
              <w:t>une 2016</w:t>
            </w:r>
          </w:p>
        </w:tc>
        <w:tc>
          <w:tcPr>
            <w:tcW w:w="834" w:type="pct"/>
          </w:tcPr>
          <w:p w:rsidR="00C10AE1" w:rsidRPr="00596D01" w:rsidRDefault="00A261F3" w:rsidP="001C335A">
            <w:pPr>
              <w:jc w:val="right"/>
            </w:pPr>
            <w:r w:rsidRPr="00596D01">
              <w:t>30 J</w:t>
            </w:r>
            <w:r w:rsidR="00C10AE1" w:rsidRPr="00596D01">
              <w:t>une 2017</w:t>
            </w:r>
          </w:p>
        </w:tc>
      </w:tr>
      <w:tr w:rsidR="00765039" w:rsidTr="001C335A">
        <w:trPr>
          <w:trHeight w:val="113"/>
        </w:trPr>
        <w:tc>
          <w:tcPr>
            <w:tcW w:w="833" w:type="pct"/>
          </w:tcPr>
          <w:p w:rsidR="00765039" w:rsidRPr="00F61D7E" w:rsidRDefault="00765039" w:rsidP="001C335A">
            <w:pPr>
              <w:rPr>
                <w:rFonts w:ascii="Segoe UI" w:hAnsi="Segoe UI" w:cs="Segoe UI"/>
              </w:rPr>
            </w:pPr>
            <w:r>
              <w:rPr>
                <w:rFonts w:ascii="Segoe UI" w:hAnsi="Segoe UI" w:cs="Segoe UI"/>
              </w:rPr>
              <w:t>NSW</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10,942</w:t>
            </w:r>
          </w:p>
        </w:tc>
        <w:tc>
          <w:tcPr>
            <w:tcW w:w="834" w:type="pct"/>
          </w:tcPr>
          <w:p w:rsidR="00765039" w:rsidRDefault="00765039" w:rsidP="001C335A">
            <w:pPr>
              <w:jc w:val="right"/>
              <w:rPr>
                <w:rFonts w:ascii="Segoe UI" w:hAnsi="Segoe UI" w:cs="Segoe UI"/>
              </w:rPr>
            </w:pPr>
            <w:r>
              <w:rPr>
                <w:rFonts w:ascii="Segoe UI" w:hAnsi="Segoe UI" w:cs="Segoe UI"/>
              </w:rPr>
              <w:t>11,592</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11,971</w:t>
            </w:r>
          </w:p>
        </w:tc>
        <w:tc>
          <w:tcPr>
            <w:tcW w:w="834" w:type="pct"/>
          </w:tcPr>
          <w:p w:rsidR="00765039" w:rsidRPr="00E32373" w:rsidRDefault="00765039" w:rsidP="001C335A">
            <w:pPr>
              <w:jc w:val="right"/>
              <w:rPr>
                <w:rFonts w:ascii="Segoe UI" w:hAnsi="Segoe UI" w:cs="Segoe UI"/>
              </w:rPr>
            </w:pPr>
            <w:r>
              <w:rPr>
                <w:rFonts w:ascii="Segoe UI" w:hAnsi="Segoe UI" w:cs="Segoe UI"/>
              </w:rPr>
              <w:t>12,466</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12,939</w:t>
            </w:r>
          </w:p>
        </w:tc>
      </w:tr>
      <w:tr w:rsidR="00765039" w:rsidTr="001C335A">
        <w:trPr>
          <w:trHeight w:val="113"/>
        </w:trPr>
        <w:tc>
          <w:tcPr>
            <w:tcW w:w="833" w:type="pct"/>
          </w:tcPr>
          <w:p w:rsidR="00765039" w:rsidRPr="00805F7E" w:rsidRDefault="00765039" w:rsidP="001C335A">
            <w:pPr>
              <w:rPr>
                <w:rFonts w:ascii="Segoe UI" w:hAnsi="Segoe UI" w:cs="Segoe UI"/>
              </w:rPr>
            </w:pPr>
            <w:r>
              <w:rPr>
                <w:rFonts w:ascii="Segoe UI" w:hAnsi="Segoe UI" w:cs="Segoe UI"/>
              </w:rPr>
              <w:t>Vic</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10,142</w:t>
            </w:r>
          </w:p>
        </w:tc>
        <w:tc>
          <w:tcPr>
            <w:tcW w:w="834" w:type="pct"/>
          </w:tcPr>
          <w:p w:rsidR="00765039" w:rsidRDefault="00765039" w:rsidP="001C335A">
            <w:pPr>
              <w:jc w:val="right"/>
              <w:rPr>
                <w:rFonts w:ascii="Segoe UI" w:hAnsi="Segoe UI" w:cs="Segoe UI"/>
              </w:rPr>
            </w:pPr>
            <w:r>
              <w:rPr>
                <w:rFonts w:ascii="Segoe UI" w:hAnsi="Segoe UI" w:cs="Segoe UI"/>
              </w:rPr>
              <w:t>10,650</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11,049</w:t>
            </w:r>
          </w:p>
        </w:tc>
        <w:tc>
          <w:tcPr>
            <w:tcW w:w="834" w:type="pct"/>
          </w:tcPr>
          <w:p w:rsidR="00765039" w:rsidRPr="00E32373" w:rsidRDefault="00765039" w:rsidP="001C335A">
            <w:pPr>
              <w:jc w:val="right"/>
              <w:rPr>
                <w:rFonts w:ascii="Segoe UI" w:hAnsi="Segoe UI" w:cs="Segoe UI"/>
              </w:rPr>
            </w:pPr>
            <w:r>
              <w:rPr>
                <w:rFonts w:ascii="Segoe UI" w:hAnsi="Segoe UI" w:cs="Segoe UI"/>
              </w:rPr>
              <w:t>11,634</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11,953</w:t>
            </w:r>
          </w:p>
        </w:tc>
      </w:tr>
      <w:tr w:rsidR="00765039" w:rsidTr="001C335A">
        <w:trPr>
          <w:trHeight w:val="113"/>
        </w:trPr>
        <w:tc>
          <w:tcPr>
            <w:tcW w:w="833" w:type="pct"/>
          </w:tcPr>
          <w:p w:rsidR="00765039" w:rsidRPr="00F61D7E" w:rsidRDefault="00765039" w:rsidP="001C335A">
            <w:pPr>
              <w:rPr>
                <w:rFonts w:ascii="Segoe UI" w:hAnsi="Segoe UI" w:cs="Segoe UI"/>
              </w:rPr>
            </w:pPr>
            <w:r>
              <w:rPr>
                <w:rFonts w:ascii="Segoe UI" w:hAnsi="Segoe UI" w:cs="Segoe UI"/>
              </w:rPr>
              <w:t>Qld</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2,969</w:t>
            </w:r>
          </w:p>
        </w:tc>
        <w:tc>
          <w:tcPr>
            <w:tcW w:w="834" w:type="pct"/>
          </w:tcPr>
          <w:p w:rsidR="00765039" w:rsidRDefault="00765039" w:rsidP="001C335A">
            <w:pPr>
              <w:jc w:val="right"/>
              <w:rPr>
                <w:rFonts w:ascii="Segoe UI" w:hAnsi="Segoe UI" w:cs="Segoe UI"/>
              </w:rPr>
            </w:pPr>
            <w:r>
              <w:rPr>
                <w:rFonts w:ascii="Segoe UI" w:hAnsi="Segoe UI" w:cs="Segoe UI"/>
              </w:rPr>
              <w:t>3,108</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3,162</w:t>
            </w:r>
          </w:p>
        </w:tc>
        <w:tc>
          <w:tcPr>
            <w:tcW w:w="834" w:type="pct"/>
          </w:tcPr>
          <w:p w:rsidR="00765039" w:rsidRPr="00E32373" w:rsidRDefault="00765039" w:rsidP="001C335A">
            <w:pPr>
              <w:jc w:val="right"/>
              <w:rPr>
                <w:rFonts w:ascii="Segoe UI" w:hAnsi="Segoe UI" w:cs="Segoe UI"/>
              </w:rPr>
            </w:pPr>
            <w:r>
              <w:rPr>
                <w:rFonts w:ascii="Segoe UI" w:hAnsi="Segoe UI" w:cs="Segoe UI"/>
              </w:rPr>
              <w:t>3,326</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3,451</w:t>
            </w:r>
          </w:p>
        </w:tc>
      </w:tr>
      <w:tr w:rsidR="00765039" w:rsidTr="001C335A">
        <w:trPr>
          <w:trHeight w:val="113"/>
        </w:trPr>
        <w:tc>
          <w:tcPr>
            <w:tcW w:w="833" w:type="pct"/>
          </w:tcPr>
          <w:p w:rsidR="00765039" w:rsidRPr="00F61D7E" w:rsidRDefault="00765039" w:rsidP="001C335A">
            <w:pPr>
              <w:rPr>
                <w:rFonts w:ascii="Segoe UI" w:hAnsi="Segoe UI" w:cs="Segoe UI"/>
              </w:rPr>
            </w:pPr>
            <w:r>
              <w:rPr>
                <w:rFonts w:ascii="Segoe UI" w:hAnsi="Segoe UI" w:cs="Segoe UI"/>
              </w:rPr>
              <w:t>WA</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2,566</w:t>
            </w:r>
          </w:p>
        </w:tc>
        <w:tc>
          <w:tcPr>
            <w:tcW w:w="834" w:type="pct"/>
          </w:tcPr>
          <w:p w:rsidR="00765039" w:rsidRDefault="00765039" w:rsidP="001C335A">
            <w:pPr>
              <w:jc w:val="right"/>
              <w:rPr>
                <w:rFonts w:ascii="Segoe UI" w:hAnsi="Segoe UI" w:cs="Segoe UI"/>
              </w:rPr>
            </w:pPr>
            <w:r>
              <w:rPr>
                <w:rFonts w:ascii="Segoe UI" w:hAnsi="Segoe UI" w:cs="Segoe UI"/>
              </w:rPr>
              <w:t>2,676</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2,696</w:t>
            </w:r>
          </w:p>
        </w:tc>
        <w:tc>
          <w:tcPr>
            <w:tcW w:w="834" w:type="pct"/>
          </w:tcPr>
          <w:p w:rsidR="00765039" w:rsidRPr="00E32373" w:rsidRDefault="00765039" w:rsidP="001C335A">
            <w:pPr>
              <w:jc w:val="right"/>
              <w:rPr>
                <w:rFonts w:ascii="Segoe UI" w:hAnsi="Segoe UI" w:cs="Segoe UI"/>
              </w:rPr>
            </w:pPr>
            <w:r>
              <w:rPr>
                <w:rFonts w:ascii="Segoe UI" w:hAnsi="Segoe UI" w:cs="Segoe UI"/>
              </w:rPr>
              <w:t>2,683</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2,692</w:t>
            </w:r>
          </w:p>
        </w:tc>
      </w:tr>
      <w:tr w:rsidR="00765039" w:rsidTr="001C335A">
        <w:trPr>
          <w:trHeight w:val="113"/>
        </w:trPr>
        <w:tc>
          <w:tcPr>
            <w:tcW w:w="833" w:type="pct"/>
          </w:tcPr>
          <w:p w:rsidR="00765039" w:rsidRDefault="00765039" w:rsidP="001C335A">
            <w:pPr>
              <w:rPr>
                <w:rFonts w:ascii="Segoe UI" w:hAnsi="Segoe UI" w:cs="Segoe UI"/>
              </w:rPr>
            </w:pPr>
            <w:r>
              <w:rPr>
                <w:rFonts w:ascii="Segoe UI" w:hAnsi="Segoe UI" w:cs="Segoe UI"/>
              </w:rPr>
              <w:t>SA</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2,713</w:t>
            </w:r>
          </w:p>
        </w:tc>
        <w:tc>
          <w:tcPr>
            <w:tcW w:w="834" w:type="pct"/>
          </w:tcPr>
          <w:p w:rsidR="00765039" w:rsidRDefault="00765039" w:rsidP="001C335A">
            <w:pPr>
              <w:jc w:val="right"/>
              <w:rPr>
                <w:rFonts w:ascii="Segoe UI" w:hAnsi="Segoe UI" w:cs="Segoe UI"/>
              </w:rPr>
            </w:pPr>
            <w:r>
              <w:rPr>
                <w:rFonts w:ascii="Segoe UI" w:hAnsi="Segoe UI" w:cs="Segoe UI"/>
              </w:rPr>
              <w:t>2,836</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2,833</w:t>
            </w:r>
          </w:p>
        </w:tc>
        <w:tc>
          <w:tcPr>
            <w:tcW w:w="834" w:type="pct"/>
          </w:tcPr>
          <w:p w:rsidR="00765039" w:rsidRPr="00E32373" w:rsidRDefault="00765039" w:rsidP="001C335A">
            <w:pPr>
              <w:jc w:val="right"/>
              <w:rPr>
                <w:rFonts w:ascii="Segoe UI" w:hAnsi="Segoe UI" w:cs="Segoe UI"/>
              </w:rPr>
            </w:pPr>
            <w:r>
              <w:rPr>
                <w:rFonts w:ascii="Segoe UI" w:hAnsi="Segoe UI" w:cs="Segoe UI"/>
              </w:rPr>
              <w:t>2,886</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2,904</w:t>
            </w:r>
          </w:p>
        </w:tc>
      </w:tr>
      <w:tr w:rsidR="00765039" w:rsidTr="001C335A">
        <w:trPr>
          <w:trHeight w:val="113"/>
        </w:trPr>
        <w:tc>
          <w:tcPr>
            <w:tcW w:w="833" w:type="pct"/>
          </w:tcPr>
          <w:p w:rsidR="00765039" w:rsidRDefault="00765039" w:rsidP="001C335A">
            <w:pPr>
              <w:rPr>
                <w:rFonts w:ascii="Segoe UI" w:hAnsi="Segoe UI" w:cs="Segoe UI"/>
              </w:rPr>
            </w:pPr>
            <w:proofErr w:type="spellStart"/>
            <w:r>
              <w:rPr>
                <w:rFonts w:ascii="Segoe UI" w:hAnsi="Segoe UI" w:cs="Segoe UI"/>
              </w:rPr>
              <w:t>Tas</w:t>
            </w:r>
            <w:proofErr w:type="spellEnd"/>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290</w:t>
            </w:r>
          </w:p>
        </w:tc>
        <w:tc>
          <w:tcPr>
            <w:tcW w:w="834" w:type="pct"/>
          </w:tcPr>
          <w:p w:rsidR="00765039" w:rsidRDefault="00765039" w:rsidP="001C335A">
            <w:pPr>
              <w:jc w:val="right"/>
              <w:rPr>
                <w:rFonts w:ascii="Segoe UI" w:hAnsi="Segoe UI" w:cs="Segoe UI"/>
              </w:rPr>
            </w:pPr>
            <w:r>
              <w:rPr>
                <w:rFonts w:ascii="Segoe UI" w:hAnsi="Segoe UI" w:cs="Segoe UI"/>
              </w:rPr>
              <w:t>281</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309</w:t>
            </w:r>
          </w:p>
        </w:tc>
        <w:tc>
          <w:tcPr>
            <w:tcW w:w="834" w:type="pct"/>
          </w:tcPr>
          <w:p w:rsidR="00765039" w:rsidRPr="00E32373" w:rsidRDefault="00765039" w:rsidP="001C335A">
            <w:pPr>
              <w:jc w:val="right"/>
              <w:rPr>
                <w:rFonts w:ascii="Segoe UI" w:hAnsi="Segoe UI" w:cs="Segoe UI"/>
              </w:rPr>
            </w:pPr>
            <w:r>
              <w:rPr>
                <w:rFonts w:ascii="Segoe UI" w:hAnsi="Segoe UI" w:cs="Segoe UI"/>
              </w:rPr>
              <w:t>291</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306</w:t>
            </w:r>
          </w:p>
        </w:tc>
      </w:tr>
      <w:tr w:rsidR="00765039" w:rsidTr="001C335A">
        <w:trPr>
          <w:trHeight w:val="113"/>
        </w:trPr>
        <w:tc>
          <w:tcPr>
            <w:tcW w:w="833" w:type="pct"/>
          </w:tcPr>
          <w:p w:rsidR="00765039" w:rsidRDefault="00765039" w:rsidP="001C335A">
            <w:pPr>
              <w:rPr>
                <w:rFonts w:ascii="Segoe UI" w:hAnsi="Segoe UI" w:cs="Segoe UI"/>
              </w:rPr>
            </w:pPr>
            <w:r>
              <w:rPr>
                <w:rFonts w:ascii="Segoe UI" w:hAnsi="Segoe UI" w:cs="Segoe UI"/>
              </w:rPr>
              <w:t>ACT</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390</w:t>
            </w:r>
          </w:p>
        </w:tc>
        <w:tc>
          <w:tcPr>
            <w:tcW w:w="834" w:type="pct"/>
          </w:tcPr>
          <w:p w:rsidR="00765039" w:rsidRDefault="00765039" w:rsidP="001C335A">
            <w:pPr>
              <w:jc w:val="right"/>
              <w:rPr>
                <w:rFonts w:ascii="Segoe UI" w:hAnsi="Segoe UI" w:cs="Segoe UI"/>
              </w:rPr>
            </w:pPr>
            <w:r>
              <w:rPr>
                <w:rFonts w:ascii="Segoe UI" w:hAnsi="Segoe UI" w:cs="Segoe UI"/>
              </w:rPr>
              <w:t>380</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406</w:t>
            </w:r>
          </w:p>
        </w:tc>
        <w:tc>
          <w:tcPr>
            <w:tcW w:w="834" w:type="pct"/>
          </w:tcPr>
          <w:p w:rsidR="00765039" w:rsidRPr="00E32373" w:rsidRDefault="00765039" w:rsidP="001C335A">
            <w:pPr>
              <w:jc w:val="right"/>
              <w:rPr>
                <w:rFonts w:ascii="Segoe UI" w:hAnsi="Segoe UI" w:cs="Segoe UI"/>
              </w:rPr>
            </w:pPr>
            <w:r>
              <w:rPr>
                <w:rFonts w:ascii="Segoe UI" w:hAnsi="Segoe UI" w:cs="Segoe UI"/>
              </w:rPr>
              <w:t>475</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504</w:t>
            </w:r>
          </w:p>
        </w:tc>
      </w:tr>
      <w:tr w:rsidR="00765039" w:rsidTr="001C335A">
        <w:trPr>
          <w:trHeight w:val="113"/>
        </w:trPr>
        <w:tc>
          <w:tcPr>
            <w:tcW w:w="833" w:type="pct"/>
          </w:tcPr>
          <w:p w:rsidR="00765039" w:rsidRDefault="00765039" w:rsidP="001C335A">
            <w:pPr>
              <w:rPr>
                <w:rFonts w:ascii="Segoe UI" w:hAnsi="Segoe UI" w:cs="Segoe UI"/>
              </w:rPr>
            </w:pPr>
            <w:r>
              <w:rPr>
                <w:rFonts w:ascii="Segoe UI" w:hAnsi="Segoe UI" w:cs="Segoe UI"/>
              </w:rPr>
              <w:t>NT</w:t>
            </w:r>
          </w:p>
        </w:tc>
        <w:tc>
          <w:tcPr>
            <w:tcW w:w="834" w:type="pct"/>
          </w:tcPr>
          <w:p w:rsidR="00765039" w:rsidRPr="00336FDE" w:rsidRDefault="00765039" w:rsidP="001C335A">
            <w:pPr>
              <w:jc w:val="right"/>
              <w:rPr>
                <w:rFonts w:ascii="Segoe UI" w:hAnsi="Segoe UI" w:cs="Segoe UI"/>
              </w:rPr>
            </w:pPr>
            <w:r w:rsidRPr="00336FDE">
              <w:rPr>
                <w:rFonts w:ascii="Segoe UI" w:hAnsi="Segoe UI" w:cs="Segoe UI"/>
              </w:rPr>
              <w:t>61</w:t>
            </w:r>
          </w:p>
        </w:tc>
        <w:tc>
          <w:tcPr>
            <w:tcW w:w="834" w:type="pct"/>
          </w:tcPr>
          <w:p w:rsidR="00765039" w:rsidRDefault="00765039" w:rsidP="001C335A">
            <w:pPr>
              <w:jc w:val="right"/>
              <w:rPr>
                <w:rFonts w:ascii="Segoe UI" w:hAnsi="Segoe UI" w:cs="Segoe UI"/>
              </w:rPr>
            </w:pPr>
            <w:r>
              <w:rPr>
                <w:rFonts w:ascii="Segoe UI" w:hAnsi="Segoe UI" w:cs="Segoe UI"/>
              </w:rPr>
              <w:t>59</w:t>
            </w:r>
          </w:p>
        </w:tc>
        <w:tc>
          <w:tcPr>
            <w:tcW w:w="833" w:type="pct"/>
          </w:tcPr>
          <w:p w:rsidR="00765039" w:rsidRPr="00E32373" w:rsidRDefault="00765039" w:rsidP="001C335A">
            <w:pPr>
              <w:jc w:val="right"/>
              <w:rPr>
                <w:rFonts w:ascii="Segoe UI" w:hAnsi="Segoe UI" w:cs="Segoe UI"/>
              </w:rPr>
            </w:pPr>
            <w:r w:rsidRPr="00E32373">
              <w:rPr>
                <w:rFonts w:ascii="Segoe UI" w:hAnsi="Segoe UI" w:cs="Segoe UI"/>
              </w:rPr>
              <w:t>57</w:t>
            </w:r>
          </w:p>
        </w:tc>
        <w:tc>
          <w:tcPr>
            <w:tcW w:w="834" w:type="pct"/>
          </w:tcPr>
          <w:p w:rsidR="00765039" w:rsidRPr="00E32373" w:rsidRDefault="00765039" w:rsidP="001C335A">
            <w:pPr>
              <w:jc w:val="right"/>
              <w:rPr>
                <w:rFonts w:ascii="Segoe UI" w:hAnsi="Segoe UI" w:cs="Segoe UI"/>
              </w:rPr>
            </w:pPr>
            <w:r>
              <w:rPr>
                <w:rFonts w:ascii="Segoe UI" w:hAnsi="Segoe UI" w:cs="Segoe UI"/>
              </w:rPr>
              <w:t>61</w:t>
            </w:r>
          </w:p>
        </w:tc>
        <w:tc>
          <w:tcPr>
            <w:tcW w:w="834" w:type="pct"/>
          </w:tcPr>
          <w:p w:rsidR="00765039" w:rsidRPr="00F97424" w:rsidRDefault="00765039" w:rsidP="001C335A">
            <w:pPr>
              <w:jc w:val="right"/>
              <w:rPr>
                <w:rFonts w:ascii="Segoe UI" w:hAnsi="Segoe UI" w:cs="Segoe UI"/>
              </w:rPr>
            </w:pPr>
            <w:r w:rsidRPr="00F97424">
              <w:rPr>
                <w:rFonts w:ascii="Segoe UI" w:hAnsi="Segoe UI" w:cs="Segoe UI"/>
              </w:rPr>
              <w:t>59</w:t>
            </w:r>
          </w:p>
        </w:tc>
      </w:tr>
      <w:tr w:rsidR="00765039" w:rsidTr="001C335A">
        <w:trPr>
          <w:trHeight w:val="113"/>
        </w:trPr>
        <w:tc>
          <w:tcPr>
            <w:tcW w:w="833" w:type="pct"/>
          </w:tcPr>
          <w:p w:rsidR="00765039" w:rsidRPr="006C4C8D" w:rsidRDefault="00765039" w:rsidP="001C335A">
            <w:pPr>
              <w:rPr>
                <w:rFonts w:ascii="Segoe UI" w:hAnsi="Segoe UI" w:cs="Segoe UI"/>
              </w:rPr>
            </w:pPr>
            <w:r w:rsidRPr="00596D01">
              <w:rPr>
                <w:rStyle w:val="Strong"/>
              </w:rPr>
              <w:t>Total</w:t>
            </w:r>
          </w:p>
        </w:tc>
        <w:tc>
          <w:tcPr>
            <w:tcW w:w="834" w:type="pct"/>
          </w:tcPr>
          <w:p w:rsidR="00765039" w:rsidRPr="00336FDE" w:rsidRDefault="00765039" w:rsidP="001C335A">
            <w:pPr>
              <w:jc w:val="right"/>
              <w:rPr>
                <w:rFonts w:ascii="Segoe UI" w:hAnsi="Segoe UI" w:cs="Segoe UI"/>
              </w:rPr>
            </w:pPr>
            <w:r w:rsidRPr="00596D01">
              <w:rPr>
                <w:rStyle w:val="Strong"/>
              </w:rPr>
              <w:t>30,073</w:t>
            </w:r>
          </w:p>
        </w:tc>
        <w:tc>
          <w:tcPr>
            <w:tcW w:w="834" w:type="pct"/>
          </w:tcPr>
          <w:p w:rsidR="00765039" w:rsidRDefault="00765039" w:rsidP="001C335A">
            <w:pPr>
              <w:jc w:val="right"/>
              <w:rPr>
                <w:rFonts w:ascii="Segoe UI" w:hAnsi="Segoe UI" w:cs="Segoe UI"/>
              </w:rPr>
            </w:pPr>
            <w:r w:rsidRPr="00596D01">
              <w:rPr>
                <w:rStyle w:val="Strong"/>
              </w:rPr>
              <w:t>31,582</w:t>
            </w:r>
          </w:p>
        </w:tc>
        <w:tc>
          <w:tcPr>
            <w:tcW w:w="833" w:type="pct"/>
          </w:tcPr>
          <w:p w:rsidR="00765039" w:rsidRPr="00E32373" w:rsidRDefault="00765039" w:rsidP="001C335A">
            <w:pPr>
              <w:jc w:val="right"/>
              <w:rPr>
                <w:rFonts w:ascii="Segoe UI" w:hAnsi="Segoe UI" w:cs="Segoe UI"/>
              </w:rPr>
            </w:pPr>
            <w:r w:rsidRPr="00596D01">
              <w:rPr>
                <w:rStyle w:val="Strong"/>
              </w:rPr>
              <w:t>32,483</w:t>
            </w:r>
          </w:p>
        </w:tc>
        <w:tc>
          <w:tcPr>
            <w:tcW w:w="834" w:type="pct"/>
          </w:tcPr>
          <w:p w:rsidR="00765039" w:rsidRPr="00E32373" w:rsidRDefault="00765039" w:rsidP="001C335A">
            <w:pPr>
              <w:jc w:val="right"/>
              <w:rPr>
                <w:rFonts w:ascii="Segoe UI" w:hAnsi="Segoe UI" w:cs="Segoe UI"/>
              </w:rPr>
            </w:pPr>
            <w:r w:rsidRPr="00596D01">
              <w:rPr>
                <w:rStyle w:val="Strong"/>
              </w:rPr>
              <w:t>33,822</w:t>
            </w:r>
          </w:p>
        </w:tc>
        <w:tc>
          <w:tcPr>
            <w:tcW w:w="834" w:type="pct"/>
          </w:tcPr>
          <w:p w:rsidR="00765039" w:rsidRPr="00596D01" w:rsidRDefault="00765039" w:rsidP="001C335A">
            <w:pPr>
              <w:jc w:val="right"/>
              <w:rPr>
                <w:rStyle w:val="Strong"/>
              </w:rPr>
            </w:pPr>
            <w:r w:rsidRPr="00596D01">
              <w:rPr>
                <w:rStyle w:val="Strong"/>
              </w:rPr>
              <w:t>34,808</w:t>
            </w:r>
          </w:p>
        </w:tc>
      </w:tr>
    </w:tbl>
    <w:p w:rsidR="00D8721E" w:rsidRDefault="00D62A64" w:rsidP="001C335A">
      <w:r w:rsidRPr="00D62A64">
        <w:t>In</w:t>
      </w:r>
      <w:r w:rsidR="00A261F3">
        <w:t> 201</w:t>
      </w:r>
      <w:r w:rsidRPr="00D62A64">
        <w:t>6</w:t>
      </w:r>
      <w:r w:rsidR="00D8721E">
        <w:t>–1</w:t>
      </w:r>
      <w:r w:rsidRPr="00D62A64">
        <w:t>7, 146,571 consumers from a CALD background accessed CHSP (</w:t>
      </w:r>
      <w:r w:rsidR="00492BF8">
        <w:fldChar w:fldCharType="begin"/>
      </w:r>
      <w:r w:rsidR="00492BF8">
        <w:instrText xml:space="preserve"> REF _Ref524428120 \r \h </w:instrText>
      </w:r>
      <w:r w:rsidR="00492BF8">
        <w:fldChar w:fldCharType="separate"/>
      </w:r>
      <w:r w:rsidR="00492BF8">
        <w:t>Chart 5.7</w:t>
      </w:r>
      <w:r w:rsidR="00492BF8">
        <w:fldChar w:fldCharType="end"/>
      </w:r>
      <w:r w:rsidRPr="00D62A64">
        <w:t>). Data for previous years is not available</w:t>
      </w:r>
      <w:r w:rsidR="00D8721E">
        <w:t>.</w:t>
      </w:r>
    </w:p>
    <w:p w:rsidR="002D0959" w:rsidRPr="00596D01" w:rsidRDefault="002D0959" w:rsidP="001C335A">
      <w:pPr>
        <w:pStyle w:val="ChartTitle"/>
      </w:pPr>
      <w:bookmarkStart w:id="287" w:name="_Ref524428120"/>
      <w:r w:rsidRPr="00596D01">
        <w:t>CALD consumers in the Commonwealth Home Support Programme, by state and territory,</w:t>
      </w:r>
      <w:r w:rsidR="00A261F3" w:rsidRPr="00596D01">
        <w:t> 201</w:t>
      </w:r>
      <w:r w:rsidRPr="00596D01">
        <w:t>6</w:t>
      </w:r>
      <w:r w:rsidR="00D8721E" w:rsidRPr="00596D01">
        <w:t>–1</w:t>
      </w:r>
      <w:r w:rsidRPr="00596D01">
        <w:t>7</w:t>
      </w:r>
      <w:bookmarkEnd w:id="287"/>
      <w:r w:rsidR="00D8721E" w:rsidRPr="00596D01">
        <w:t xml:space="preserve"> </w:t>
      </w:r>
    </w:p>
    <w:p w:rsidR="00D8721E" w:rsidRDefault="00CF7D2A" w:rsidP="0064148F">
      <w:pPr>
        <w:rPr>
          <w:rFonts w:ascii="Calibri" w:eastAsiaTheme="minorHAnsi" w:hAnsi="Calibri"/>
          <w:color w:val="1F497D"/>
          <w:sz w:val="22"/>
          <w:szCs w:val="22"/>
        </w:rPr>
      </w:pPr>
      <w:r>
        <w:rPr>
          <w:rFonts w:ascii="Calibri" w:eastAsiaTheme="minorHAnsi" w:hAnsi="Calibri"/>
          <w:noProof/>
          <w:color w:val="1F497D"/>
          <w:sz w:val="22"/>
          <w:szCs w:val="22"/>
        </w:rPr>
        <w:drawing>
          <wp:inline distT="0" distB="0" distL="0" distR="0" wp14:anchorId="5B541590" wp14:editId="43CC1B5D">
            <wp:extent cx="6120000" cy="2317080"/>
            <wp:effectExtent l="0" t="0" r="0" b="7620"/>
            <wp:docPr id="19" name="Picture 19" descr="Chart 5.7 CALD consumers in the Commonwealth Home Support Programme, by state and territory,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X.Xa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000" cy="2317080"/>
                    </a:xfrm>
                    <a:prstGeom prst="rect">
                      <a:avLst/>
                    </a:prstGeom>
                    <a:noFill/>
                    <a:ln>
                      <a:noFill/>
                    </a:ln>
                  </pic:spPr>
                </pic:pic>
              </a:graphicData>
            </a:graphic>
          </wp:inline>
        </w:drawing>
      </w:r>
    </w:p>
    <w:p w:rsidR="00501DC3" w:rsidRPr="00596D01" w:rsidRDefault="00501DC3" w:rsidP="001C335A">
      <w:pPr>
        <w:pStyle w:val="Heading3Numbered"/>
      </w:pPr>
      <w:bookmarkStart w:id="288" w:name="_Toc524424727"/>
      <w:r w:rsidRPr="00596D01">
        <w:lastRenderedPageBreak/>
        <w:t>Indigenous Australians</w:t>
      </w:r>
      <w:bookmarkEnd w:id="288"/>
    </w:p>
    <w:p w:rsidR="00D8721E" w:rsidRDefault="00B8794A" w:rsidP="001C335A">
      <w:r>
        <w:t xml:space="preserve">As at </w:t>
      </w:r>
      <w:r w:rsidR="00A261F3">
        <w:t>30 J</w:t>
      </w:r>
      <w:r w:rsidR="00ED43AB">
        <w:t>une</w:t>
      </w:r>
      <w:r w:rsidR="00A261F3">
        <w:t> 201</w:t>
      </w:r>
      <w:r w:rsidR="00697546">
        <w:t>7</w:t>
      </w:r>
      <w:r>
        <w:t>,</w:t>
      </w:r>
      <w:r w:rsidR="00697546">
        <w:t xml:space="preserve"> 2,020</w:t>
      </w:r>
      <w:r w:rsidR="00501DC3">
        <w:t xml:space="preserve"> Indigenous Australians</w:t>
      </w:r>
      <w:r w:rsidR="00703637">
        <w:rPr>
          <w:rStyle w:val="FootnoteReference"/>
          <w:rFonts w:cs="Segoe UI"/>
        </w:rPr>
        <w:footnoteReference w:id="25"/>
      </w:r>
      <w:r w:rsidR="00697546">
        <w:t xml:space="preserve"> were accessing home care. </w:t>
      </w:r>
      <w:r w:rsidR="00501DC3">
        <w:t xml:space="preserve">This is </w:t>
      </w:r>
      <w:r w:rsidR="00697546">
        <w:t>up</w:t>
      </w:r>
      <w:r w:rsidR="00501DC3" w:rsidRPr="002C3AFD">
        <w:t xml:space="preserve"> </w:t>
      </w:r>
      <w:r w:rsidR="00697546">
        <w:t>from 1,705</w:t>
      </w:r>
      <w:r w:rsidR="008B1FF4">
        <w:t xml:space="preserve"> at </w:t>
      </w:r>
      <w:r w:rsidR="00A261F3">
        <w:t>30 J</w:t>
      </w:r>
      <w:r w:rsidR="00ED43AB">
        <w:t>une</w:t>
      </w:r>
      <w:r w:rsidR="00A261F3">
        <w:t> 201</w:t>
      </w:r>
      <w:r w:rsidR="00697546">
        <w:t>6</w:t>
      </w:r>
      <w:r w:rsidR="00501DC3">
        <w:t xml:space="preserve">. </w:t>
      </w:r>
      <w:r w:rsidR="00492BF8">
        <w:fldChar w:fldCharType="begin"/>
      </w:r>
      <w:r w:rsidR="00492BF8">
        <w:instrText xml:space="preserve"> REF _Ref524429204 \r \h </w:instrText>
      </w:r>
      <w:r w:rsidR="00492BF8">
        <w:fldChar w:fldCharType="separate"/>
      </w:r>
      <w:r w:rsidR="00492BF8">
        <w:t>Table 5.3</w:t>
      </w:r>
      <w:r w:rsidR="00492BF8">
        <w:fldChar w:fldCharType="end"/>
      </w:r>
      <w:r w:rsidR="00492BF8">
        <w:t xml:space="preserve"> </w:t>
      </w:r>
      <w:r w:rsidR="00501DC3">
        <w:t>shows the number of Indigenous Australians accessing home care over the last five years.</w:t>
      </w:r>
    </w:p>
    <w:p w:rsidR="00E2759C" w:rsidRPr="00596D01" w:rsidRDefault="00501DC3" w:rsidP="001C335A">
      <w:pPr>
        <w:pStyle w:val="TableTitle"/>
        <w:rPr>
          <w:rStyle w:val="Strong"/>
        </w:rPr>
      </w:pPr>
      <w:bookmarkStart w:id="289" w:name="_Ref453180702"/>
      <w:bookmarkStart w:id="290" w:name="_Ref524429204"/>
      <w:r w:rsidRPr="00596D01">
        <w:t xml:space="preserve">Indigenous Australians in home care, by state and territory, </w:t>
      </w:r>
      <w:bookmarkEnd w:id="289"/>
      <w:r w:rsidR="00A261F3" w:rsidRPr="00596D01">
        <w:t>30 J</w:t>
      </w:r>
      <w:r w:rsidRPr="00596D01">
        <w:t>une</w:t>
      </w:r>
      <w:r w:rsidR="00A261F3" w:rsidRPr="00596D01">
        <w:t> 201</w:t>
      </w:r>
      <w:r w:rsidR="00C10AE1" w:rsidRPr="00596D01">
        <w:t>3</w:t>
      </w:r>
      <w:r w:rsidR="00095836" w:rsidRPr="00596D01">
        <w:t> </w:t>
      </w:r>
      <w:r w:rsidR="00EE2043" w:rsidRPr="00596D01">
        <w:t>to</w:t>
      </w:r>
      <w:r w:rsidR="00095836" w:rsidRPr="00596D01">
        <w:t> </w:t>
      </w:r>
      <w:r w:rsidR="00A261F3" w:rsidRPr="00596D01">
        <w:t>30 J</w:t>
      </w:r>
      <w:r w:rsidR="00031ADB" w:rsidRPr="00596D01">
        <w:t>une</w:t>
      </w:r>
      <w:r w:rsidR="00A261F3" w:rsidRPr="00596D01">
        <w:t> 201</w:t>
      </w:r>
      <w:r w:rsidR="00C10AE1" w:rsidRPr="00596D01">
        <w:t>7</w:t>
      </w:r>
      <w:bookmarkEnd w:id="290"/>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04"/>
        <w:gridCol w:w="1606"/>
        <w:gridCol w:w="1606"/>
        <w:gridCol w:w="1604"/>
        <w:gridCol w:w="1606"/>
        <w:gridCol w:w="1602"/>
      </w:tblGrid>
      <w:tr w:rsidR="00966BAF" w:rsidRPr="00DC71DE" w:rsidTr="001C335A">
        <w:trPr>
          <w:cnfStyle w:val="100000000000" w:firstRow="1" w:lastRow="0" w:firstColumn="0" w:lastColumn="0" w:oddVBand="0" w:evenVBand="0" w:oddHBand="0" w:evenHBand="0" w:firstRowFirstColumn="0" w:firstRowLastColumn="0" w:lastRowFirstColumn="0" w:lastRowLastColumn="0"/>
          <w:trHeight w:val="113"/>
          <w:tblHeader/>
        </w:trPr>
        <w:tc>
          <w:tcPr>
            <w:tcW w:w="833" w:type="pct"/>
          </w:tcPr>
          <w:p w:rsidR="006E0827" w:rsidRPr="00DC71DE" w:rsidRDefault="006E0827" w:rsidP="001C335A">
            <w:pPr>
              <w:rPr>
                <w:rFonts w:ascii="Segoe UI" w:hAnsi="Segoe UI" w:cs="Segoe UI"/>
                <w:color w:val="auto"/>
                <w:szCs w:val="24"/>
              </w:rPr>
            </w:pPr>
            <w:r w:rsidRPr="00596D01">
              <w:t>State/territory</w:t>
            </w:r>
          </w:p>
        </w:tc>
        <w:tc>
          <w:tcPr>
            <w:tcW w:w="834" w:type="pct"/>
          </w:tcPr>
          <w:p w:rsidR="006E0827" w:rsidRPr="00DC71DE" w:rsidRDefault="00A261F3" w:rsidP="001C335A">
            <w:pPr>
              <w:jc w:val="right"/>
              <w:rPr>
                <w:rFonts w:ascii="Segoe UI" w:hAnsi="Segoe UI" w:cs="Segoe UI"/>
                <w:color w:val="auto"/>
                <w:szCs w:val="24"/>
              </w:rPr>
            </w:pPr>
            <w:r w:rsidRPr="00596D01">
              <w:t>30 J</w:t>
            </w:r>
            <w:r w:rsidR="00262250" w:rsidRPr="00596D01">
              <w:t>une</w:t>
            </w:r>
            <w:r w:rsidRPr="00596D01">
              <w:t> 201</w:t>
            </w:r>
            <w:r w:rsidR="00262250" w:rsidRPr="00596D01">
              <w:t>3</w:t>
            </w:r>
          </w:p>
        </w:tc>
        <w:tc>
          <w:tcPr>
            <w:tcW w:w="834" w:type="pct"/>
          </w:tcPr>
          <w:p w:rsidR="006E0827" w:rsidRPr="00DC71DE" w:rsidRDefault="00A261F3" w:rsidP="001C335A">
            <w:pPr>
              <w:jc w:val="right"/>
              <w:rPr>
                <w:rFonts w:ascii="Segoe UI" w:hAnsi="Segoe UI" w:cs="Segoe UI"/>
                <w:color w:val="auto"/>
                <w:szCs w:val="24"/>
              </w:rPr>
            </w:pPr>
            <w:r w:rsidRPr="00596D01">
              <w:t>30 J</w:t>
            </w:r>
            <w:r w:rsidR="00262250" w:rsidRPr="00596D01">
              <w:t>une</w:t>
            </w:r>
            <w:r w:rsidRPr="00596D01">
              <w:t> 201</w:t>
            </w:r>
            <w:r w:rsidR="00262250" w:rsidRPr="00596D01">
              <w:t>4</w:t>
            </w:r>
          </w:p>
        </w:tc>
        <w:tc>
          <w:tcPr>
            <w:tcW w:w="833" w:type="pct"/>
          </w:tcPr>
          <w:p w:rsidR="006E0827" w:rsidRPr="00DC71DE" w:rsidRDefault="00A261F3" w:rsidP="001C335A">
            <w:pPr>
              <w:jc w:val="right"/>
              <w:rPr>
                <w:rFonts w:ascii="Segoe UI" w:hAnsi="Segoe UI" w:cs="Segoe UI"/>
                <w:color w:val="auto"/>
                <w:szCs w:val="24"/>
              </w:rPr>
            </w:pPr>
            <w:r w:rsidRPr="00596D01">
              <w:t>30 J</w:t>
            </w:r>
            <w:r w:rsidR="00262250" w:rsidRPr="00596D01">
              <w:t>une</w:t>
            </w:r>
            <w:r w:rsidRPr="00596D01">
              <w:t> 201</w:t>
            </w:r>
            <w:r w:rsidR="00262250" w:rsidRPr="00596D01">
              <w:t>5</w:t>
            </w:r>
          </w:p>
        </w:tc>
        <w:tc>
          <w:tcPr>
            <w:tcW w:w="834" w:type="pct"/>
          </w:tcPr>
          <w:p w:rsidR="006E0827" w:rsidRPr="00DC71DE" w:rsidRDefault="00A261F3" w:rsidP="001C335A">
            <w:pPr>
              <w:jc w:val="right"/>
              <w:rPr>
                <w:rFonts w:ascii="Segoe UI" w:hAnsi="Segoe UI" w:cs="Segoe UI"/>
                <w:color w:val="auto"/>
                <w:szCs w:val="24"/>
              </w:rPr>
            </w:pPr>
            <w:r w:rsidRPr="00596D01">
              <w:t>30 J</w:t>
            </w:r>
            <w:r w:rsidR="00262250" w:rsidRPr="00596D01">
              <w:t>une</w:t>
            </w:r>
            <w:r w:rsidRPr="00596D01">
              <w:t> 201</w:t>
            </w:r>
            <w:r w:rsidR="00262250" w:rsidRPr="00596D01">
              <w:t>6</w:t>
            </w:r>
          </w:p>
        </w:tc>
        <w:tc>
          <w:tcPr>
            <w:tcW w:w="834" w:type="pct"/>
          </w:tcPr>
          <w:p w:rsidR="007653A7" w:rsidRPr="00596D01" w:rsidRDefault="007653A7" w:rsidP="001C335A">
            <w:pPr>
              <w:jc w:val="right"/>
            </w:pPr>
            <w:r w:rsidRPr="00596D01">
              <w:t>June 2017</w:t>
            </w:r>
          </w:p>
        </w:tc>
      </w:tr>
      <w:tr w:rsidR="00262250" w:rsidRPr="00DC71DE" w:rsidTr="001C335A">
        <w:trPr>
          <w:trHeight w:val="113"/>
        </w:trPr>
        <w:tc>
          <w:tcPr>
            <w:tcW w:w="833" w:type="pct"/>
          </w:tcPr>
          <w:p w:rsidR="00262250" w:rsidRPr="00F61D7E" w:rsidRDefault="00262250" w:rsidP="001C335A">
            <w:pPr>
              <w:rPr>
                <w:rFonts w:ascii="Segoe UI" w:hAnsi="Segoe UI" w:cs="Segoe UI"/>
              </w:rPr>
            </w:pPr>
            <w:r>
              <w:rPr>
                <w:rFonts w:ascii="Segoe UI" w:hAnsi="Segoe UI" w:cs="Segoe UI"/>
              </w:rPr>
              <w:t>NSW</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497</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506</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443</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431</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611</w:t>
            </w:r>
          </w:p>
        </w:tc>
      </w:tr>
      <w:tr w:rsidR="00262250" w:rsidRPr="00DC71DE" w:rsidTr="001C335A">
        <w:trPr>
          <w:trHeight w:val="113"/>
        </w:trPr>
        <w:tc>
          <w:tcPr>
            <w:tcW w:w="833" w:type="pct"/>
          </w:tcPr>
          <w:p w:rsidR="00262250" w:rsidRPr="00805F7E" w:rsidRDefault="00262250" w:rsidP="001C335A">
            <w:pPr>
              <w:rPr>
                <w:rFonts w:ascii="Segoe UI" w:hAnsi="Segoe UI" w:cs="Segoe UI"/>
              </w:rPr>
            </w:pPr>
            <w:r>
              <w:rPr>
                <w:rFonts w:ascii="Segoe UI" w:hAnsi="Segoe UI" w:cs="Segoe UI"/>
              </w:rPr>
              <w:t>Vic</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390</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393</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385</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372</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373</w:t>
            </w:r>
          </w:p>
        </w:tc>
      </w:tr>
      <w:tr w:rsidR="00262250" w:rsidRPr="00DC71DE" w:rsidTr="001C335A">
        <w:trPr>
          <w:trHeight w:val="113"/>
        </w:trPr>
        <w:tc>
          <w:tcPr>
            <w:tcW w:w="833" w:type="pct"/>
          </w:tcPr>
          <w:p w:rsidR="00262250" w:rsidRPr="00F61D7E" w:rsidRDefault="00262250" w:rsidP="001C335A">
            <w:pPr>
              <w:rPr>
                <w:rFonts w:ascii="Segoe UI" w:hAnsi="Segoe UI" w:cs="Segoe UI"/>
              </w:rPr>
            </w:pPr>
            <w:r>
              <w:rPr>
                <w:rFonts w:ascii="Segoe UI" w:hAnsi="Segoe UI" w:cs="Segoe UI"/>
              </w:rPr>
              <w:t>Qld</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344</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332</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320</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303</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385</w:t>
            </w:r>
          </w:p>
        </w:tc>
      </w:tr>
      <w:tr w:rsidR="00262250" w:rsidRPr="00DC71DE" w:rsidTr="001C335A">
        <w:trPr>
          <w:trHeight w:val="113"/>
        </w:trPr>
        <w:tc>
          <w:tcPr>
            <w:tcW w:w="833" w:type="pct"/>
          </w:tcPr>
          <w:p w:rsidR="00262250" w:rsidRPr="00F61D7E" w:rsidRDefault="00262250" w:rsidP="001C335A">
            <w:pPr>
              <w:rPr>
                <w:rFonts w:ascii="Segoe UI" w:hAnsi="Segoe UI" w:cs="Segoe UI"/>
              </w:rPr>
            </w:pPr>
            <w:r>
              <w:rPr>
                <w:rFonts w:ascii="Segoe UI" w:hAnsi="Segoe UI" w:cs="Segoe UI"/>
              </w:rPr>
              <w:t>WA</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224</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206</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171</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170</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189</w:t>
            </w:r>
          </w:p>
        </w:tc>
      </w:tr>
      <w:tr w:rsidR="00262250" w:rsidRPr="00DC71DE" w:rsidTr="001C335A">
        <w:trPr>
          <w:trHeight w:val="113"/>
        </w:trPr>
        <w:tc>
          <w:tcPr>
            <w:tcW w:w="833" w:type="pct"/>
          </w:tcPr>
          <w:p w:rsidR="00262250" w:rsidRDefault="00262250" w:rsidP="001C335A">
            <w:pPr>
              <w:rPr>
                <w:rFonts w:ascii="Segoe UI" w:hAnsi="Segoe UI" w:cs="Segoe UI"/>
              </w:rPr>
            </w:pPr>
            <w:r>
              <w:rPr>
                <w:rFonts w:ascii="Segoe UI" w:hAnsi="Segoe UI" w:cs="Segoe UI"/>
              </w:rPr>
              <w:t>SA</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81</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77</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72</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65</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94</w:t>
            </w:r>
          </w:p>
        </w:tc>
      </w:tr>
      <w:tr w:rsidR="00262250" w:rsidRPr="00DC71DE" w:rsidTr="001C335A">
        <w:trPr>
          <w:trHeight w:val="113"/>
        </w:trPr>
        <w:tc>
          <w:tcPr>
            <w:tcW w:w="833" w:type="pct"/>
          </w:tcPr>
          <w:p w:rsidR="00262250" w:rsidRDefault="00262250" w:rsidP="001C335A">
            <w:pPr>
              <w:rPr>
                <w:rFonts w:ascii="Segoe UI" w:hAnsi="Segoe UI" w:cs="Segoe UI"/>
              </w:rPr>
            </w:pPr>
            <w:proofErr w:type="spellStart"/>
            <w:r>
              <w:rPr>
                <w:rFonts w:ascii="Segoe UI" w:hAnsi="Segoe UI" w:cs="Segoe UI"/>
              </w:rPr>
              <w:t>Tas</w:t>
            </w:r>
            <w:proofErr w:type="spellEnd"/>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26</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22</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23</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21</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27</w:t>
            </w:r>
          </w:p>
        </w:tc>
      </w:tr>
      <w:tr w:rsidR="00262250" w:rsidRPr="00DC71DE" w:rsidTr="001C335A">
        <w:trPr>
          <w:trHeight w:val="113"/>
        </w:trPr>
        <w:tc>
          <w:tcPr>
            <w:tcW w:w="833" w:type="pct"/>
          </w:tcPr>
          <w:p w:rsidR="00262250" w:rsidRDefault="00262250" w:rsidP="001C335A">
            <w:pPr>
              <w:rPr>
                <w:rFonts w:ascii="Segoe UI" w:hAnsi="Segoe UI" w:cs="Segoe UI"/>
              </w:rPr>
            </w:pPr>
            <w:r>
              <w:rPr>
                <w:rFonts w:ascii="Segoe UI" w:hAnsi="Segoe UI" w:cs="Segoe UI"/>
              </w:rPr>
              <w:t>ACT</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48</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43</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29</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27</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40</w:t>
            </w:r>
          </w:p>
        </w:tc>
      </w:tr>
      <w:tr w:rsidR="00262250" w:rsidRPr="00DC71DE" w:rsidTr="001C335A">
        <w:trPr>
          <w:trHeight w:val="113"/>
        </w:trPr>
        <w:tc>
          <w:tcPr>
            <w:tcW w:w="833" w:type="pct"/>
          </w:tcPr>
          <w:p w:rsidR="00262250" w:rsidRDefault="00262250" w:rsidP="001C335A">
            <w:pPr>
              <w:rPr>
                <w:rFonts w:ascii="Segoe UI" w:hAnsi="Segoe UI" w:cs="Segoe UI"/>
              </w:rPr>
            </w:pPr>
            <w:r>
              <w:rPr>
                <w:rFonts w:ascii="Segoe UI" w:hAnsi="Segoe UI" w:cs="Segoe UI"/>
              </w:rPr>
              <w:t>NT</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425</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384</w:t>
            </w:r>
          </w:p>
        </w:tc>
        <w:tc>
          <w:tcPr>
            <w:tcW w:w="833" w:type="pct"/>
          </w:tcPr>
          <w:p w:rsidR="00262250" w:rsidRPr="00DC71DE" w:rsidRDefault="00262250" w:rsidP="001C335A">
            <w:pPr>
              <w:jc w:val="right"/>
              <w:rPr>
                <w:rFonts w:ascii="Segoe UI" w:hAnsi="Segoe UI" w:cs="Segoe UI"/>
              </w:rPr>
            </w:pPr>
            <w:r w:rsidRPr="00DC71DE">
              <w:rPr>
                <w:rFonts w:ascii="Segoe UI" w:hAnsi="Segoe UI" w:cs="Segoe UI"/>
              </w:rPr>
              <w:t>353</w:t>
            </w:r>
          </w:p>
        </w:tc>
        <w:tc>
          <w:tcPr>
            <w:tcW w:w="834" w:type="pct"/>
          </w:tcPr>
          <w:p w:rsidR="00262250" w:rsidRPr="00DC71DE" w:rsidRDefault="00262250" w:rsidP="001C335A">
            <w:pPr>
              <w:jc w:val="right"/>
              <w:rPr>
                <w:rFonts w:ascii="Segoe UI" w:hAnsi="Segoe UI" w:cs="Segoe UI"/>
              </w:rPr>
            </w:pPr>
            <w:r w:rsidRPr="00DC71DE">
              <w:rPr>
                <w:rFonts w:ascii="Segoe UI" w:hAnsi="Segoe UI" w:cs="Segoe UI"/>
              </w:rPr>
              <w:t>316</w:t>
            </w:r>
          </w:p>
        </w:tc>
        <w:tc>
          <w:tcPr>
            <w:tcW w:w="834" w:type="pct"/>
          </w:tcPr>
          <w:p w:rsidR="00262250" w:rsidRPr="00DC71DE" w:rsidRDefault="004F3C0D" w:rsidP="001C335A">
            <w:pPr>
              <w:jc w:val="right"/>
              <w:rPr>
                <w:rFonts w:ascii="Segoe UI" w:hAnsi="Segoe UI" w:cs="Segoe UI"/>
              </w:rPr>
            </w:pPr>
            <w:r w:rsidRPr="00DC71DE">
              <w:rPr>
                <w:rFonts w:ascii="Segoe UI" w:hAnsi="Segoe UI" w:cs="Segoe UI"/>
              </w:rPr>
              <w:t>301</w:t>
            </w:r>
          </w:p>
        </w:tc>
      </w:tr>
      <w:tr w:rsidR="00262250" w:rsidRPr="001B56E0" w:rsidTr="001C335A">
        <w:trPr>
          <w:trHeight w:val="113"/>
        </w:trPr>
        <w:tc>
          <w:tcPr>
            <w:tcW w:w="833" w:type="pct"/>
          </w:tcPr>
          <w:p w:rsidR="00262250" w:rsidRPr="001B56E0" w:rsidRDefault="00262250" w:rsidP="001C335A">
            <w:pPr>
              <w:rPr>
                <w:rFonts w:ascii="Segoe UI" w:hAnsi="Segoe UI" w:cs="Segoe UI"/>
                <w:b/>
              </w:rPr>
            </w:pPr>
            <w:r w:rsidRPr="00596D01">
              <w:rPr>
                <w:rStyle w:val="Strong"/>
              </w:rPr>
              <w:t>Total</w:t>
            </w:r>
          </w:p>
        </w:tc>
        <w:tc>
          <w:tcPr>
            <w:tcW w:w="834" w:type="pct"/>
          </w:tcPr>
          <w:p w:rsidR="00262250" w:rsidRPr="001B56E0" w:rsidRDefault="00262250" w:rsidP="001C335A">
            <w:pPr>
              <w:jc w:val="right"/>
              <w:rPr>
                <w:rFonts w:ascii="Segoe UI" w:hAnsi="Segoe UI" w:cs="Segoe UI"/>
                <w:b/>
              </w:rPr>
            </w:pPr>
            <w:r w:rsidRPr="00596D01">
              <w:rPr>
                <w:rStyle w:val="Strong"/>
              </w:rPr>
              <w:t>2,035</w:t>
            </w:r>
          </w:p>
        </w:tc>
        <w:tc>
          <w:tcPr>
            <w:tcW w:w="834" w:type="pct"/>
          </w:tcPr>
          <w:p w:rsidR="00262250" w:rsidRPr="001B56E0" w:rsidRDefault="00262250" w:rsidP="001C335A">
            <w:pPr>
              <w:jc w:val="right"/>
              <w:rPr>
                <w:rFonts w:ascii="Segoe UI" w:hAnsi="Segoe UI" w:cs="Segoe UI"/>
                <w:b/>
              </w:rPr>
            </w:pPr>
            <w:r w:rsidRPr="00596D01">
              <w:rPr>
                <w:rStyle w:val="Strong"/>
              </w:rPr>
              <w:t>1,963</w:t>
            </w:r>
          </w:p>
        </w:tc>
        <w:tc>
          <w:tcPr>
            <w:tcW w:w="833" w:type="pct"/>
          </w:tcPr>
          <w:p w:rsidR="00262250" w:rsidRPr="001B56E0" w:rsidRDefault="00262250" w:rsidP="001C335A">
            <w:pPr>
              <w:jc w:val="right"/>
              <w:rPr>
                <w:rFonts w:ascii="Segoe UI" w:hAnsi="Segoe UI" w:cs="Segoe UI"/>
                <w:b/>
              </w:rPr>
            </w:pPr>
            <w:r w:rsidRPr="00596D01">
              <w:rPr>
                <w:rStyle w:val="Strong"/>
              </w:rPr>
              <w:t>1,796</w:t>
            </w:r>
          </w:p>
        </w:tc>
        <w:tc>
          <w:tcPr>
            <w:tcW w:w="834" w:type="pct"/>
          </w:tcPr>
          <w:p w:rsidR="00262250" w:rsidRPr="001B56E0" w:rsidRDefault="00262250" w:rsidP="001C335A">
            <w:pPr>
              <w:jc w:val="right"/>
              <w:rPr>
                <w:rFonts w:ascii="Segoe UI" w:hAnsi="Segoe UI" w:cs="Segoe UI"/>
                <w:b/>
              </w:rPr>
            </w:pPr>
            <w:r w:rsidRPr="00596D01">
              <w:rPr>
                <w:rStyle w:val="Strong"/>
              </w:rPr>
              <w:t>1,705</w:t>
            </w:r>
          </w:p>
        </w:tc>
        <w:tc>
          <w:tcPr>
            <w:tcW w:w="834" w:type="pct"/>
          </w:tcPr>
          <w:p w:rsidR="00262250" w:rsidRPr="00596D01" w:rsidRDefault="004F3C0D" w:rsidP="001C335A">
            <w:pPr>
              <w:jc w:val="right"/>
              <w:rPr>
                <w:rStyle w:val="Strong"/>
              </w:rPr>
            </w:pPr>
            <w:r w:rsidRPr="00596D01">
              <w:rPr>
                <w:rStyle w:val="Strong"/>
              </w:rPr>
              <w:t>2,020</w:t>
            </w:r>
          </w:p>
        </w:tc>
      </w:tr>
    </w:tbl>
    <w:p w:rsidR="00D8721E" w:rsidRDefault="00501DC3" w:rsidP="001C335A">
      <w:pPr>
        <w:rPr>
          <w:lang w:val="en-GB"/>
        </w:rPr>
      </w:pPr>
      <w:r w:rsidRPr="00697546">
        <w:rPr>
          <w:lang w:val="en-GB"/>
        </w:rPr>
        <w:t xml:space="preserve">As at </w:t>
      </w:r>
      <w:r w:rsidR="00A261F3">
        <w:rPr>
          <w:lang w:val="en-GB"/>
        </w:rPr>
        <w:t>30 J</w:t>
      </w:r>
      <w:r w:rsidR="000C6EE6">
        <w:rPr>
          <w:lang w:val="en-GB"/>
        </w:rPr>
        <w:t>une</w:t>
      </w:r>
      <w:r w:rsidR="00A261F3">
        <w:rPr>
          <w:lang w:val="en-GB"/>
        </w:rPr>
        <w:t> 201</w:t>
      </w:r>
      <w:r w:rsidR="000C6EE6">
        <w:rPr>
          <w:lang w:val="en-GB"/>
        </w:rPr>
        <w:t>7</w:t>
      </w:r>
      <w:r w:rsidR="00836A04" w:rsidRPr="00697546">
        <w:rPr>
          <w:lang w:val="en-GB"/>
        </w:rPr>
        <w:t>,</w:t>
      </w:r>
      <w:r w:rsidR="000C6EE6">
        <w:rPr>
          <w:lang w:val="en-GB"/>
        </w:rPr>
        <w:t xml:space="preserve"> there were 1,743</w:t>
      </w:r>
      <w:r w:rsidRPr="00697546">
        <w:rPr>
          <w:lang w:val="en-GB"/>
        </w:rPr>
        <w:t xml:space="preserve"> Indigenous Australians in residential care (permanent and respite) compared wi</w:t>
      </w:r>
      <w:r w:rsidR="000C6EE6">
        <w:rPr>
          <w:lang w:val="en-GB"/>
        </w:rPr>
        <w:t xml:space="preserve">th 1,602 at </w:t>
      </w:r>
      <w:r w:rsidR="00A261F3">
        <w:rPr>
          <w:lang w:val="en-GB"/>
        </w:rPr>
        <w:t>30 J</w:t>
      </w:r>
      <w:r w:rsidR="000C6EE6">
        <w:rPr>
          <w:lang w:val="en-GB"/>
        </w:rPr>
        <w:t>une</w:t>
      </w:r>
      <w:r w:rsidR="00A261F3">
        <w:rPr>
          <w:lang w:val="en-GB"/>
        </w:rPr>
        <w:t> 201</w:t>
      </w:r>
      <w:r w:rsidR="000C6EE6">
        <w:rPr>
          <w:lang w:val="en-GB"/>
        </w:rPr>
        <w:t>6</w:t>
      </w:r>
      <w:r w:rsidR="00D62A64">
        <w:rPr>
          <w:lang w:val="en-GB"/>
        </w:rPr>
        <w:t xml:space="preserve">. </w:t>
      </w:r>
      <w:r w:rsidR="00492BF8">
        <w:rPr>
          <w:lang w:val="en-GB"/>
        </w:rPr>
        <w:fldChar w:fldCharType="begin"/>
      </w:r>
      <w:r w:rsidR="00492BF8">
        <w:rPr>
          <w:lang w:val="en-GB"/>
        </w:rPr>
        <w:instrText xml:space="preserve"> REF _Ref524429216 \r \h </w:instrText>
      </w:r>
      <w:r w:rsidR="00492BF8">
        <w:rPr>
          <w:lang w:val="en-GB"/>
        </w:rPr>
      </w:r>
      <w:r w:rsidR="00492BF8">
        <w:rPr>
          <w:lang w:val="en-GB"/>
        </w:rPr>
        <w:fldChar w:fldCharType="separate"/>
      </w:r>
      <w:r w:rsidR="00492BF8">
        <w:rPr>
          <w:lang w:val="en-GB"/>
        </w:rPr>
        <w:t>Table 5.4</w:t>
      </w:r>
      <w:r w:rsidR="00492BF8">
        <w:rPr>
          <w:lang w:val="en-GB"/>
        </w:rPr>
        <w:fldChar w:fldCharType="end"/>
      </w:r>
      <w:r w:rsidR="00492BF8">
        <w:rPr>
          <w:lang w:val="en-GB"/>
        </w:rPr>
        <w:t xml:space="preserve"> </w:t>
      </w:r>
      <w:r w:rsidRPr="00697546">
        <w:rPr>
          <w:lang w:val="en-GB"/>
        </w:rPr>
        <w:t>shows the number of Indigenous Australians in residential care since</w:t>
      </w:r>
      <w:r w:rsidR="00A261F3">
        <w:rPr>
          <w:lang w:val="en-GB"/>
        </w:rPr>
        <w:t> 201</w:t>
      </w:r>
      <w:r w:rsidR="00D62A64">
        <w:rPr>
          <w:lang w:val="en-GB"/>
        </w:rPr>
        <w:t>3</w:t>
      </w:r>
      <w:r w:rsidR="00D8721E">
        <w:rPr>
          <w:lang w:val="en-GB"/>
        </w:rPr>
        <w:t>.</w:t>
      </w:r>
    </w:p>
    <w:p w:rsidR="00501DC3" w:rsidRPr="00596D01" w:rsidRDefault="00501DC3" w:rsidP="001C335A">
      <w:pPr>
        <w:pStyle w:val="TableTitle"/>
        <w:rPr>
          <w:rStyle w:val="Strong"/>
        </w:rPr>
      </w:pPr>
      <w:bookmarkStart w:id="291" w:name="_Ref453181673"/>
      <w:bookmarkStart w:id="292" w:name="_Ref524429216"/>
      <w:r w:rsidRPr="00596D01">
        <w:t>Indigenous Australians in residential care</w:t>
      </w:r>
      <w:r w:rsidR="00BB24CC" w:rsidRPr="00596D01">
        <w:t>,</w:t>
      </w:r>
      <w:r w:rsidRPr="00596D01">
        <w:t xml:space="preserve"> </w:t>
      </w:r>
      <w:bookmarkEnd w:id="291"/>
      <w:r w:rsidR="00BB24CC" w:rsidRPr="00596D01">
        <w:t xml:space="preserve">by state and territory, </w:t>
      </w:r>
      <w:r w:rsidR="00A261F3" w:rsidRPr="00596D01">
        <w:t>30 J</w:t>
      </w:r>
      <w:r w:rsidR="00BB24CC" w:rsidRPr="00596D01">
        <w:t>une</w:t>
      </w:r>
      <w:r w:rsidR="00A261F3" w:rsidRPr="00596D01">
        <w:t> 201</w:t>
      </w:r>
      <w:r w:rsidR="00F75591" w:rsidRPr="00596D01">
        <w:t>3</w:t>
      </w:r>
      <w:r w:rsidR="00095836" w:rsidRPr="00596D01">
        <w:t> </w:t>
      </w:r>
      <w:r w:rsidR="00BB24CC" w:rsidRPr="00596D01">
        <w:t xml:space="preserve">to </w:t>
      </w:r>
      <w:r w:rsidR="00A261F3" w:rsidRPr="00596D01">
        <w:t>30 J</w:t>
      </w:r>
      <w:r w:rsidR="00031ADB" w:rsidRPr="00596D01">
        <w:t>une</w:t>
      </w:r>
      <w:r w:rsidR="00A261F3" w:rsidRPr="00596D01">
        <w:t> 201</w:t>
      </w:r>
      <w:r w:rsidR="00F75591" w:rsidRPr="00596D01">
        <w:t>7</w:t>
      </w:r>
      <w:bookmarkEnd w:id="29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04"/>
        <w:gridCol w:w="1606"/>
        <w:gridCol w:w="1606"/>
        <w:gridCol w:w="1604"/>
        <w:gridCol w:w="1606"/>
        <w:gridCol w:w="1602"/>
      </w:tblGrid>
      <w:tr w:rsidR="00966BAF" w:rsidTr="001C335A">
        <w:trPr>
          <w:cnfStyle w:val="100000000000" w:firstRow="1" w:lastRow="0" w:firstColumn="0" w:lastColumn="0" w:oddVBand="0" w:evenVBand="0" w:oddHBand="0" w:evenHBand="0" w:firstRowFirstColumn="0" w:firstRowLastColumn="0" w:lastRowFirstColumn="0" w:lastRowLastColumn="0"/>
          <w:trHeight w:val="113"/>
          <w:tblHeader/>
        </w:trPr>
        <w:tc>
          <w:tcPr>
            <w:tcW w:w="833" w:type="pct"/>
          </w:tcPr>
          <w:p w:rsidR="000C289A" w:rsidRPr="00805F7E" w:rsidRDefault="000C289A" w:rsidP="001C335A">
            <w:pPr>
              <w:rPr>
                <w:rFonts w:ascii="Segoe UI" w:hAnsi="Segoe UI" w:cs="Segoe UI"/>
              </w:rPr>
            </w:pPr>
            <w:r w:rsidRPr="00596D01">
              <w:t>State/territory</w:t>
            </w:r>
          </w:p>
        </w:tc>
        <w:tc>
          <w:tcPr>
            <w:tcW w:w="834" w:type="pct"/>
          </w:tcPr>
          <w:p w:rsidR="000C289A" w:rsidRDefault="00A261F3" w:rsidP="001C335A">
            <w:pPr>
              <w:jc w:val="right"/>
              <w:rPr>
                <w:rFonts w:ascii="Segoe UI" w:hAnsi="Segoe UI" w:cs="Segoe UI"/>
              </w:rPr>
            </w:pPr>
            <w:r w:rsidRPr="00596D01">
              <w:t>30 J</w:t>
            </w:r>
            <w:r w:rsidR="00F75591" w:rsidRPr="00596D01">
              <w:t>une 2013</w:t>
            </w:r>
          </w:p>
        </w:tc>
        <w:tc>
          <w:tcPr>
            <w:tcW w:w="834" w:type="pct"/>
          </w:tcPr>
          <w:p w:rsidR="000C289A" w:rsidRDefault="00A261F3" w:rsidP="001C335A">
            <w:pPr>
              <w:jc w:val="right"/>
              <w:rPr>
                <w:rFonts w:ascii="Segoe UI" w:hAnsi="Segoe UI" w:cs="Segoe UI"/>
              </w:rPr>
            </w:pPr>
            <w:r w:rsidRPr="00596D01">
              <w:t>30 J</w:t>
            </w:r>
            <w:r w:rsidR="00F75591" w:rsidRPr="00596D01">
              <w:t>une 2014</w:t>
            </w:r>
          </w:p>
        </w:tc>
        <w:tc>
          <w:tcPr>
            <w:tcW w:w="833" w:type="pct"/>
          </w:tcPr>
          <w:p w:rsidR="000C289A" w:rsidRDefault="00A261F3" w:rsidP="001C335A">
            <w:pPr>
              <w:jc w:val="right"/>
              <w:rPr>
                <w:rFonts w:ascii="Segoe UI" w:hAnsi="Segoe UI" w:cs="Segoe UI"/>
              </w:rPr>
            </w:pPr>
            <w:r w:rsidRPr="00596D01">
              <w:t>30 J</w:t>
            </w:r>
            <w:r w:rsidR="00F75591" w:rsidRPr="00596D01">
              <w:t>une 2015</w:t>
            </w:r>
          </w:p>
        </w:tc>
        <w:tc>
          <w:tcPr>
            <w:tcW w:w="834" w:type="pct"/>
          </w:tcPr>
          <w:p w:rsidR="000C289A" w:rsidRDefault="00A261F3" w:rsidP="001C335A">
            <w:pPr>
              <w:jc w:val="right"/>
              <w:rPr>
                <w:rFonts w:ascii="Segoe UI" w:hAnsi="Segoe UI" w:cs="Segoe UI"/>
              </w:rPr>
            </w:pPr>
            <w:r w:rsidRPr="00596D01">
              <w:t>30 J</w:t>
            </w:r>
            <w:r w:rsidR="00F75591" w:rsidRPr="00596D01">
              <w:t>une 2016</w:t>
            </w:r>
          </w:p>
        </w:tc>
        <w:tc>
          <w:tcPr>
            <w:tcW w:w="834" w:type="pct"/>
          </w:tcPr>
          <w:p w:rsidR="00F75591" w:rsidRPr="00596D01" w:rsidRDefault="00A261F3" w:rsidP="001C335A">
            <w:pPr>
              <w:jc w:val="right"/>
            </w:pPr>
            <w:r w:rsidRPr="00596D01">
              <w:t>30 J</w:t>
            </w:r>
            <w:r w:rsidR="00F75591" w:rsidRPr="00596D01">
              <w:t>une 2017</w:t>
            </w:r>
          </w:p>
        </w:tc>
      </w:tr>
      <w:tr w:rsidR="00F75591" w:rsidTr="001C335A">
        <w:trPr>
          <w:trHeight w:val="113"/>
        </w:trPr>
        <w:tc>
          <w:tcPr>
            <w:tcW w:w="833" w:type="pct"/>
          </w:tcPr>
          <w:p w:rsidR="00F75591" w:rsidRPr="00F61D7E" w:rsidRDefault="00F75591" w:rsidP="001C335A">
            <w:pPr>
              <w:rPr>
                <w:rFonts w:ascii="Segoe UI" w:hAnsi="Segoe UI" w:cs="Segoe UI"/>
              </w:rPr>
            </w:pPr>
            <w:r>
              <w:rPr>
                <w:rFonts w:ascii="Segoe UI" w:hAnsi="Segoe UI" w:cs="Segoe UI"/>
              </w:rPr>
              <w:t>NSW</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324</w:t>
            </w:r>
          </w:p>
        </w:tc>
        <w:tc>
          <w:tcPr>
            <w:tcW w:w="834" w:type="pct"/>
          </w:tcPr>
          <w:p w:rsidR="00F75591" w:rsidRPr="00873C79" w:rsidRDefault="00F75591" w:rsidP="001C335A">
            <w:pPr>
              <w:jc w:val="right"/>
              <w:rPr>
                <w:rFonts w:ascii="Segoe UI" w:hAnsi="Segoe UI" w:cs="Segoe UI"/>
              </w:rPr>
            </w:pPr>
            <w:r>
              <w:rPr>
                <w:rFonts w:ascii="Segoe UI" w:hAnsi="Segoe UI" w:cs="Segoe UI"/>
              </w:rPr>
              <w:t>376</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420</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445</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513</w:t>
            </w:r>
          </w:p>
        </w:tc>
      </w:tr>
      <w:tr w:rsidR="00F75591" w:rsidTr="001C335A">
        <w:trPr>
          <w:trHeight w:val="113"/>
        </w:trPr>
        <w:tc>
          <w:tcPr>
            <w:tcW w:w="833" w:type="pct"/>
          </w:tcPr>
          <w:p w:rsidR="00F75591" w:rsidRPr="00805F7E" w:rsidRDefault="00F75591" w:rsidP="001C335A">
            <w:pPr>
              <w:rPr>
                <w:rFonts w:ascii="Segoe UI" w:hAnsi="Segoe UI" w:cs="Segoe UI"/>
              </w:rPr>
            </w:pPr>
            <w:r>
              <w:rPr>
                <w:rFonts w:ascii="Segoe UI" w:hAnsi="Segoe UI" w:cs="Segoe UI"/>
              </w:rPr>
              <w:t>Vic</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106</w:t>
            </w:r>
          </w:p>
        </w:tc>
        <w:tc>
          <w:tcPr>
            <w:tcW w:w="834" w:type="pct"/>
          </w:tcPr>
          <w:p w:rsidR="00F75591" w:rsidRPr="00873C79" w:rsidRDefault="00F75591" w:rsidP="001C335A">
            <w:pPr>
              <w:jc w:val="right"/>
              <w:rPr>
                <w:rFonts w:ascii="Segoe UI" w:hAnsi="Segoe UI" w:cs="Segoe UI"/>
              </w:rPr>
            </w:pPr>
            <w:r>
              <w:rPr>
                <w:rFonts w:ascii="Segoe UI" w:hAnsi="Segoe UI" w:cs="Segoe UI"/>
              </w:rPr>
              <w:t>109</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102</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110</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124</w:t>
            </w:r>
          </w:p>
        </w:tc>
      </w:tr>
      <w:tr w:rsidR="00F75591" w:rsidTr="001C335A">
        <w:trPr>
          <w:trHeight w:val="113"/>
        </w:trPr>
        <w:tc>
          <w:tcPr>
            <w:tcW w:w="833" w:type="pct"/>
          </w:tcPr>
          <w:p w:rsidR="00F75591" w:rsidRPr="00F61D7E" w:rsidRDefault="00F75591" w:rsidP="001C335A">
            <w:pPr>
              <w:rPr>
                <w:rFonts w:ascii="Segoe UI" w:hAnsi="Segoe UI" w:cs="Segoe UI"/>
              </w:rPr>
            </w:pPr>
            <w:r>
              <w:rPr>
                <w:rFonts w:ascii="Segoe UI" w:hAnsi="Segoe UI" w:cs="Segoe UI"/>
              </w:rPr>
              <w:t>Qld</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384</w:t>
            </w:r>
          </w:p>
        </w:tc>
        <w:tc>
          <w:tcPr>
            <w:tcW w:w="834" w:type="pct"/>
          </w:tcPr>
          <w:p w:rsidR="00F75591" w:rsidRPr="00873C79" w:rsidRDefault="00F75591" w:rsidP="001C335A">
            <w:pPr>
              <w:jc w:val="right"/>
              <w:rPr>
                <w:rFonts w:ascii="Segoe UI" w:hAnsi="Segoe UI" w:cs="Segoe UI"/>
              </w:rPr>
            </w:pPr>
            <w:r>
              <w:rPr>
                <w:rFonts w:ascii="Segoe UI" w:hAnsi="Segoe UI" w:cs="Segoe UI"/>
              </w:rPr>
              <w:t>423</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456</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482</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520</w:t>
            </w:r>
          </w:p>
        </w:tc>
      </w:tr>
      <w:tr w:rsidR="00F75591" w:rsidTr="001C335A">
        <w:trPr>
          <w:trHeight w:val="113"/>
        </w:trPr>
        <w:tc>
          <w:tcPr>
            <w:tcW w:w="833" w:type="pct"/>
          </w:tcPr>
          <w:p w:rsidR="00F75591" w:rsidRPr="00F61D7E" w:rsidRDefault="00F75591" w:rsidP="001C335A">
            <w:pPr>
              <w:rPr>
                <w:rFonts w:ascii="Segoe UI" w:hAnsi="Segoe UI" w:cs="Segoe UI"/>
              </w:rPr>
            </w:pPr>
            <w:r>
              <w:rPr>
                <w:rFonts w:ascii="Segoe UI" w:hAnsi="Segoe UI" w:cs="Segoe UI"/>
              </w:rPr>
              <w:t>WA</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277</w:t>
            </w:r>
          </w:p>
        </w:tc>
        <w:tc>
          <w:tcPr>
            <w:tcW w:w="834" w:type="pct"/>
          </w:tcPr>
          <w:p w:rsidR="00F75591" w:rsidRPr="00873C79" w:rsidRDefault="00F75591" w:rsidP="001C335A">
            <w:pPr>
              <w:jc w:val="right"/>
              <w:rPr>
                <w:rFonts w:ascii="Segoe UI" w:hAnsi="Segoe UI" w:cs="Segoe UI"/>
              </w:rPr>
            </w:pPr>
            <w:r>
              <w:rPr>
                <w:rFonts w:ascii="Segoe UI" w:hAnsi="Segoe UI" w:cs="Segoe UI"/>
              </w:rPr>
              <w:t>282</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289</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271</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287</w:t>
            </w:r>
          </w:p>
        </w:tc>
      </w:tr>
      <w:tr w:rsidR="00F75591" w:rsidTr="001C335A">
        <w:trPr>
          <w:trHeight w:val="113"/>
        </w:trPr>
        <w:tc>
          <w:tcPr>
            <w:tcW w:w="833" w:type="pct"/>
          </w:tcPr>
          <w:p w:rsidR="00F75591" w:rsidRDefault="00F75591" w:rsidP="001C335A">
            <w:pPr>
              <w:rPr>
                <w:rFonts w:ascii="Segoe UI" w:hAnsi="Segoe UI" w:cs="Segoe UI"/>
              </w:rPr>
            </w:pPr>
            <w:r>
              <w:rPr>
                <w:rFonts w:ascii="Segoe UI" w:hAnsi="Segoe UI" w:cs="Segoe UI"/>
              </w:rPr>
              <w:t>SA</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66</w:t>
            </w:r>
          </w:p>
        </w:tc>
        <w:tc>
          <w:tcPr>
            <w:tcW w:w="834" w:type="pct"/>
          </w:tcPr>
          <w:p w:rsidR="00F75591" w:rsidRPr="00873C79" w:rsidRDefault="00F75591" w:rsidP="001C335A">
            <w:pPr>
              <w:jc w:val="right"/>
              <w:rPr>
                <w:rFonts w:ascii="Segoe UI" w:hAnsi="Segoe UI" w:cs="Segoe UI"/>
              </w:rPr>
            </w:pPr>
            <w:r>
              <w:rPr>
                <w:rFonts w:ascii="Segoe UI" w:hAnsi="Segoe UI" w:cs="Segoe UI"/>
              </w:rPr>
              <w:t>71</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74</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76</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78</w:t>
            </w:r>
          </w:p>
        </w:tc>
      </w:tr>
      <w:tr w:rsidR="00F75591" w:rsidTr="001C335A">
        <w:trPr>
          <w:trHeight w:val="113"/>
        </w:trPr>
        <w:tc>
          <w:tcPr>
            <w:tcW w:w="833" w:type="pct"/>
          </w:tcPr>
          <w:p w:rsidR="00F75591" w:rsidRDefault="00F75591" w:rsidP="001C335A">
            <w:pPr>
              <w:rPr>
                <w:rFonts w:ascii="Segoe UI" w:hAnsi="Segoe UI" w:cs="Segoe UI"/>
              </w:rPr>
            </w:pPr>
            <w:proofErr w:type="spellStart"/>
            <w:r>
              <w:rPr>
                <w:rFonts w:ascii="Segoe UI" w:hAnsi="Segoe UI" w:cs="Segoe UI"/>
              </w:rPr>
              <w:t>Tas</w:t>
            </w:r>
            <w:proofErr w:type="spellEnd"/>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26</w:t>
            </w:r>
          </w:p>
        </w:tc>
        <w:tc>
          <w:tcPr>
            <w:tcW w:w="834" w:type="pct"/>
          </w:tcPr>
          <w:p w:rsidR="00F75591" w:rsidRPr="00873C79" w:rsidRDefault="00F75591" w:rsidP="001C335A">
            <w:pPr>
              <w:jc w:val="right"/>
              <w:rPr>
                <w:rFonts w:ascii="Segoe UI" w:hAnsi="Segoe UI" w:cs="Segoe UI"/>
              </w:rPr>
            </w:pPr>
            <w:r>
              <w:rPr>
                <w:rFonts w:ascii="Segoe UI" w:hAnsi="Segoe UI" w:cs="Segoe UI"/>
              </w:rPr>
              <w:t>23</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26</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25</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30</w:t>
            </w:r>
          </w:p>
        </w:tc>
      </w:tr>
      <w:tr w:rsidR="00F75591" w:rsidTr="001C335A">
        <w:trPr>
          <w:trHeight w:val="113"/>
        </w:trPr>
        <w:tc>
          <w:tcPr>
            <w:tcW w:w="833" w:type="pct"/>
          </w:tcPr>
          <w:p w:rsidR="00F75591" w:rsidRDefault="00F75591" w:rsidP="001C335A">
            <w:pPr>
              <w:rPr>
                <w:rFonts w:ascii="Segoe UI" w:hAnsi="Segoe UI" w:cs="Segoe UI"/>
              </w:rPr>
            </w:pPr>
            <w:r>
              <w:rPr>
                <w:rFonts w:ascii="Segoe UI" w:hAnsi="Segoe UI" w:cs="Segoe UI"/>
              </w:rPr>
              <w:lastRenderedPageBreak/>
              <w:t>ACT</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3</w:t>
            </w:r>
          </w:p>
        </w:tc>
        <w:tc>
          <w:tcPr>
            <w:tcW w:w="834" w:type="pct"/>
          </w:tcPr>
          <w:p w:rsidR="00F75591" w:rsidRPr="00873C79" w:rsidRDefault="00F75591" w:rsidP="001C335A">
            <w:pPr>
              <w:jc w:val="right"/>
              <w:rPr>
                <w:rFonts w:ascii="Segoe UI" w:hAnsi="Segoe UI" w:cs="Segoe UI"/>
              </w:rPr>
            </w:pPr>
            <w:r>
              <w:rPr>
                <w:rFonts w:ascii="Segoe UI" w:hAnsi="Segoe UI" w:cs="Segoe UI"/>
              </w:rPr>
              <w:t>4</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7</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11</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8</w:t>
            </w:r>
          </w:p>
        </w:tc>
      </w:tr>
      <w:tr w:rsidR="00F75591" w:rsidTr="001C335A">
        <w:trPr>
          <w:trHeight w:val="113"/>
        </w:trPr>
        <w:tc>
          <w:tcPr>
            <w:tcW w:w="833" w:type="pct"/>
          </w:tcPr>
          <w:p w:rsidR="00F75591" w:rsidRDefault="00F75591" w:rsidP="001C335A">
            <w:pPr>
              <w:rPr>
                <w:rFonts w:ascii="Segoe UI" w:hAnsi="Segoe UI" w:cs="Segoe UI"/>
              </w:rPr>
            </w:pPr>
            <w:r>
              <w:rPr>
                <w:rFonts w:ascii="Segoe UI" w:hAnsi="Segoe UI" w:cs="Segoe UI"/>
              </w:rPr>
              <w:t>NT</w:t>
            </w:r>
          </w:p>
        </w:tc>
        <w:tc>
          <w:tcPr>
            <w:tcW w:w="834" w:type="pct"/>
          </w:tcPr>
          <w:p w:rsidR="00F75591" w:rsidRPr="00336FDE" w:rsidRDefault="00F75591" w:rsidP="001C335A">
            <w:pPr>
              <w:jc w:val="right"/>
              <w:rPr>
                <w:rFonts w:ascii="Segoe UI" w:hAnsi="Segoe UI" w:cs="Segoe UI"/>
              </w:rPr>
            </w:pPr>
            <w:r w:rsidRPr="00336FDE">
              <w:rPr>
                <w:rFonts w:ascii="Segoe UI" w:hAnsi="Segoe UI" w:cs="Segoe UI"/>
              </w:rPr>
              <w:t>161</w:t>
            </w:r>
          </w:p>
        </w:tc>
        <w:tc>
          <w:tcPr>
            <w:tcW w:w="834" w:type="pct"/>
          </w:tcPr>
          <w:p w:rsidR="00F75591" w:rsidRPr="00873C79" w:rsidRDefault="00F75591" w:rsidP="001C335A">
            <w:pPr>
              <w:jc w:val="right"/>
              <w:rPr>
                <w:rFonts w:ascii="Segoe UI" w:hAnsi="Segoe UI" w:cs="Segoe UI"/>
              </w:rPr>
            </w:pPr>
            <w:r>
              <w:rPr>
                <w:rFonts w:ascii="Segoe UI" w:hAnsi="Segoe UI" w:cs="Segoe UI"/>
              </w:rPr>
              <w:t>164</w:t>
            </w:r>
          </w:p>
        </w:tc>
        <w:tc>
          <w:tcPr>
            <w:tcW w:w="833" w:type="pct"/>
          </w:tcPr>
          <w:p w:rsidR="00F75591" w:rsidRPr="00F61D7E" w:rsidRDefault="00F75591" w:rsidP="001C335A">
            <w:pPr>
              <w:jc w:val="right"/>
              <w:rPr>
                <w:rFonts w:ascii="Segoe UI" w:hAnsi="Segoe UI" w:cs="Segoe UI"/>
                <w:color w:val="000000"/>
              </w:rPr>
            </w:pPr>
            <w:r>
              <w:rPr>
                <w:rFonts w:ascii="Segoe UI" w:hAnsi="Segoe UI" w:cs="Segoe UI"/>
                <w:color w:val="000000"/>
              </w:rPr>
              <w:t>161</w:t>
            </w:r>
          </w:p>
        </w:tc>
        <w:tc>
          <w:tcPr>
            <w:tcW w:w="834" w:type="pct"/>
          </w:tcPr>
          <w:p w:rsidR="00F75591" w:rsidRPr="00F61D7E" w:rsidRDefault="00F75591" w:rsidP="001C335A">
            <w:pPr>
              <w:jc w:val="right"/>
              <w:rPr>
                <w:rFonts w:ascii="Segoe UI" w:hAnsi="Segoe UI" w:cs="Segoe UI"/>
                <w:color w:val="000000"/>
              </w:rPr>
            </w:pPr>
            <w:r>
              <w:rPr>
                <w:rFonts w:ascii="Segoe UI" w:hAnsi="Segoe UI" w:cs="Segoe UI"/>
                <w:color w:val="000000"/>
              </w:rPr>
              <w:t>182</w:t>
            </w:r>
          </w:p>
        </w:tc>
        <w:tc>
          <w:tcPr>
            <w:tcW w:w="834" w:type="pct"/>
          </w:tcPr>
          <w:p w:rsidR="00F75591" w:rsidRPr="00A07FF5" w:rsidRDefault="0059570A" w:rsidP="001C335A">
            <w:pPr>
              <w:jc w:val="right"/>
              <w:rPr>
                <w:rFonts w:ascii="Segoe UI" w:hAnsi="Segoe UI" w:cs="Segoe UI"/>
              </w:rPr>
            </w:pPr>
            <w:r w:rsidRPr="00A07FF5">
              <w:rPr>
                <w:rFonts w:ascii="Segoe UI" w:hAnsi="Segoe UI" w:cs="Segoe UI"/>
              </w:rPr>
              <w:t>183</w:t>
            </w:r>
          </w:p>
        </w:tc>
      </w:tr>
      <w:tr w:rsidR="00F75591" w:rsidTr="001C335A">
        <w:trPr>
          <w:trHeight w:val="113"/>
        </w:trPr>
        <w:tc>
          <w:tcPr>
            <w:tcW w:w="833" w:type="pct"/>
          </w:tcPr>
          <w:p w:rsidR="00F75591" w:rsidRPr="006C4C8D" w:rsidRDefault="00F75591" w:rsidP="001C335A">
            <w:pPr>
              <w:rPr>
                <w:rFonts w:ascii="Segoe UI" w:hAnsi="Segoe UI" w:cs="Segoe UI"/>
                <w:b/>
              </w:rPr>
            </w:pPr>
            <w:r w:rsidRPr="00596D01">
              <w:rPr>
                <w:rStyle w:val="Strong"/>
              </w:rPr>
              <w:t>Total</w:t>
            </w:r>
          </w:p>
        </w:tc>
        <w:tc>
          <w:tcPr>
            <w:tcW w:w="834" w:type="pct"/>
          </w:tcPr>
          <w:p w:rsidR="00F75591" w:rsidRPr="00336FDE" w:rsidRDefault="00F75591" w:rsidP="001C335A">
            <w:pPr>
              <w:jc w:val="right"/>
              <w:rPr>
                <w:rFonts w:ascii="Segoe UI" w:hAnsi="Segoe UI" w:cs="Segoe UI"/>
                <w:b/>
              </w:rPr>
            </w:pPr>
            <w:r w:rsidRPr="00596D01">
              <w:rPr>
                <w:rStyle w:val="Strong"/>
              </w:rPr>
              <w:t>1,347</w:t>
            </w:r>
          </w:p>
        </w:tc>
        <w:tc>
          <w:tcPr>
            <w:tcW w:w="834" w:type="pct"/>
          </w:tcPr>
          <w:p w:rsidR="00F75591" w:rsidRPr="00873C79" w:rsidRDefault="00F75591" w:rsidP="001C335A">
            <w:pPr>
              <w:jc w:val="right"/>
              <w:rPr>
                <w:rFonts w:ascii="Segoe UI" w:hAnsi="Segoe UI" w:cs="Segoe UI"/>
                <w:b/>
              </w:rPr>
            </w:pPr>
            <w:r w:rsidRPr="00596D01">
              <w:rPr>
                <w:rStyle w:val="Strong"/>
              </w:rPr>
              <w:t>1,452</w:t>
            </w:r>
          </w:p>
        </w:tc>
        <w:tc>
          <w:tcPr>
            <w:tcW w:w="833" w:type="pct"/>
          </w:tcPr>
          <w:p w:rsidR="00F75591" w:rsidRPr="00796B5A" w:rsidRDefault="00F75591" w:rsidP="001C335A">
            <w:pPr>
              <w:jc w:val="right"/>
              <w:rPr>
                <w:rFonts w:ascii="Segoe UI" w:hAnsi="Segoe UI" w:cs="Segoe UI"/>
                <w:b/>
              </w:rPr>
            </w:pPr>
            <w:r w:rsidRPr="00596D01">
              <w:rPr>
                <w:rStyle w:val="Strong"/>
              </w:rPr>
              <w:t>1,535</w:t>
            </w:r>
          </w:p>
        </w:tc>
        <w:tc>
          <w:tcPr>
            <w:tcW w:w="834" w:type="pct"/>
          </w:tcPr>
          <w:p w:rsidR="00F75591" w:rsidRPr="006C4C8D" w:rsidRDefault="00F75591" w:rsidP="001C335A">
            <w:pPr>
              <w:jc w:val="right"/>
              <w:rPr>
                <w:rFonts w:ascii="Segoe UI" w:hAnsi="Segoe UI" w:cs="Segoe UI"/>
                <w:b/>
                <w:color w:val="000000"/>
              </w:rPr>
            </w:pPr>
            <w:r w:rsidRPr="00596D01">
              <w:rPr>
                <w:rStyle w:val="Strong"/>
              </w:rPr>
              <w:t>1,602</w:t>
            </w:r>
          </w:p>
        </w:tc>
        <w:tc>
          <w:tcPr>
            <w:tcW w:w="834" w:type="pct"/>
          </w:tcPr>
          <w:p w:rsidR="00F75591" w:rsidRPr="00596D01" w:rsidRDefault="0059570A" w:rsidP="001C335A">
            <w:pPr>
              <w:jc w:val="right"/>
              <w:rPr>
                <w:rStyle w:val="Strong"/>
              </w:rPr>
            </w:pPr>
            <w:r w:rsidRPr="00596D01">
              <w:rPr>
                <w:rStyle w:val="Strong"/>
              </w:rPr>
              <w:t>1,743</w:t>
            </w:r>
          </w:p>
        </w:tc>
      </w:tr>
    </w:tbl>
    <w:p w:rsidR="00D8721E" w:rsidRDefault="00D62A64" w:rsidP="001C335A">
      <w:r w:rsidRPr="00D62A64">
        <w:t>In</w:t>
      </w:r>
      <w:r w:rsidR="00A261F3">
        <w:t> 201</w:t>
      </w:r>
      <w:r w:rsidRPr="00D62A64">
        <w:t>6</w:t>
      </w:r>
      <w:r w:rsidR="00D8721E">
        <w:t>–1</w:t>
      </w:r>
      <w:r w:rsidRPr="00D62A64">
        <w:t xml:space="preserve">7, </w:t>
      </w:r>
      <w:r>
        <w:t>21,246</w:t>
      </w:r>
      <w:r w:rsidRPr="00D62A64">
        <w:t xml:space="preserve"> </w:t>
      </w:r>
      <w:r>
        <w:t xml:space="preserve">Indigenous Australians </w:t>
      </w:r>
      <w:r w:rsidRPr="00D62A64">
        <w:t>accessed CHSP</w:t>
      </w:r>
      <w:r w:rsidR="00D342C3">
        <w:t xml:space="preserve"> (</w:t>
      </w:r>
      <w:r w:rsidR="00492BF8">
        <w:fldChar w:fldCharType="begin"/>
      </w:r>
      <w:r w:rsidR="00492BF8">
        <w:instrText xml:space="preserve"> REF _Ref524428129 \r \h </w:instrText>
      </w:r>
      <w:r w:rsidR="00492BF8">
        <w:fldChar w:fldCharType="separate"/>
      </w:r>
      <w:r w:rsidR="00492BF8">
        <w:t>Chart 5.8</w:t>
      </w:r>
      <w:r w:rsidR="00492BF8">
        <w:fldChar w:fldCharType="end"/>
      </w:r>
      <w:r w:rsidRPr="00D62A64">
        <w:t>). Data for previous years is not available</w:t>
      </w:r>
      <w:r w:rsidR="00D8721E">
        <w:t>.</w:t>
      </w:r>
    </w:p>
    <w:p w:rsidR="00095836" w:rsidRPr="00596D01" w:rsidRDefault="00095836" w:rsidP="001C335A">
      <w:pPr>
        <w:pStyle w:val="ChartTitle"/>
      </w:pPr>
      <w:bookmarkStart w:id="293" w:name="_Ref524428129"/>
      <w:r w:rsidRPr="00596D01">
        <w:t>Indigenous Australians in the Commonwealth Home Support Programme, by state and territory,</w:t>
      </w:r>
      <w:r w:rsidR="00A261F3" w:rsidRPr="00596D01">
        <w:t> 201</w:t>
      </w:r>
      <w:r w:rsidRPr="00596D01">
        <w:t>6</w:t>
      </w:r>
      <w:r w:rsidR="00D8721E" w:rsidRPr="00596D01">
        <w:t>–1</w:t>
      </w:r>
      <w:r w:rsidRPr="00596D01">
        <w:t>7</w:t>
      </w:r>
      <w:bookmarkEnd w:id="293"/>
      <w:r w:rsidR="00D8721E" w:rsidRPr="00596D01">
        <w:t xml:space="preserve"> </w:t>
      </w:r>
    </w:p>
    <w:p w:rsidR="00D8721E" w:rsidRPr="00596D01" w:rsidRDefault="00D22E31" w:rsidP="001C335A">
      <w:bookmarkStart w:id="294" w:name="_Toc517359724"/>
      <w:bookmarkStart w:id="295" w:name="_Toc519066723"/>
      <w:bookmarkStart w:id="296" w:name="_Toc519069083"/>
      <w:bookmarkStart w:id="297" w:name="_Toc520897504"/>
      <w:r w:rsidRPr="00596D01">
        <w:rPr>
          <w:noProof/>
        </w:rPr>
        <w:drawing>
          <wp:inline distT="0" distB="0" distL="0" distR="0" wp14:anchorId="0842A7C3" wp14:editId="002AA9AD">
            <wp:extent cx="6120000" cy="2545671"/>
            <wp:effectExtent l="0" t="0" r="0" b="7620"/>
            <wp:docPr id="26" name="Picture 26" descr="Chart 5.8 Indigenous Australians in the Commonwealth Home Support Programme, by state and territory,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zc0004\AppData\Local\Microsoft\Windows\Temporary Internet Files\Content.Outlook\6DIYYC82\Chart_X.Xb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2545671"/>
                    </a:xfrm>
                    <a:prstGeom prst="rect">
                      <a:avLst/>
                    </a:prstGeom>
                    <a:noFill/>
                    <a:ln>
                      <a:noFill/>
                    </a:ln>
                  </pic:spPr>
                </pic:pic>
              </a:graphicData>
            </a:graphic>
          </wp:inline>
        </w:drawing>
      </w:r>
      <w:bookmarkEnd w:id="294"/>
      <w:bookmarkEnd w:id="295"/>
      <w:bookmarkEnd w:id="296"/>
      <w:bookmarkEnd w:id="297"/>
    </w:p>
    <w:p w:rsidR="00641690" w:rsidRPr="00596D01" w:rsidRDefault="00192ABA" w:rsidP="001C335A">
      <w:pPr>
        <w:pStyle w:val="Heading2Numbered"/>
      </w:pPr>
      <w:bookmarkStart w:id="298" w:name="_Toc524424728"/>
      <w:r w:rsidRPr="00596D01">
        <w:t>Access to home care</w:t>
      </w:r>
      <w:bookmarkEnd w:id="298"/>
    </w:p>
    <w:p w:rsidR="00F97424" w:rsidRPr="00596D01" w:rsidRDefault="00F97424" w:rsidP="001C335A">
      <w:pPr>
        <w:pStyle w:val="Heading3Numbered"/>
      </w:pPr>
      <w:bookmarkStart w:id="299" w:name="_Toc524424729"/>
      <w:r w:rsidRPr="00596D01">
        <w:t>Consumers</w:t>
      </w:r>
      <w:bookmarkEnd w:id="299"/>
    </w:p>
    <w:p w:rsidR="00D8721E" w:rsidRDefault="00CF1524" w:rsidP="001C335A">
      <w:r w:rsidRPr="00B43111">
        <w:t xml:space="preserve">The number of older Australians who received </w:t>
      </w:r>
      <w:r>
        <w:t>home</w:t>
      </w:r>
      <w:r w:rsidRPr="00B43111">
        <w:t xml:space="preserve"> care during</w:t>
      </w:r>
      <w:r w:rsidR="00A261F3">
        <w:t> 201</w:t>
      </w:r>
      <w:r w:rsidRPr="00B43111">
        <w:t>6</w:t>
      </w:r>
      <w:r w:rsidR="00D8721E">
        <w:t>–1</w:t>
      </w:r>
      <w:r w:rsidRPr="00B43111">
        <w:t>7</w:t>
      </w:r>
      <w:r w:rsidRPr="00A82F97">
        <w:t xml:space="preserve"> was 9</w:t>
      </w:r>
      <w:r w:rsidR="003C1CC8" w:rsidRPr="00A82F97">
        <w:t>7</w:t>
      </w:r>
      <w:r w:rsidRPr="00A82F97">
        <w:t>,516, an increase of 9.</w:t>
      </w:r>
      <w:r w:rsidR="00D00B54">
        <w:t>7</w:t>
      </w:r>
      <w:r w:rsidR="00A261F3">
        <w:t> per cent</w:t>
      </w:r>
      <w:r w:rsidRPr="00A82F97">
        <w:t xml:space="preserve"> from 88,875 in</w:t>
      </w:r>
      <w:r w:rsidR="00A261F3">
        <w:t> 201</w:t>
      </w:r>
      <w:r w:rsidRPr="00A82F97">
        <w:t>5</w:t>
      </w:r>
      <w:r w:rsidR="00D8721E">
        <w:t>–1</w:t>
      </w:r>
      <w:r w:rsidRPr="00A82F97">
        <w:t>6</w:t>
      </w:r>
      <w:r w:rsidR="00D8721E">
        <w:t>.</w:t>
      </w:r>
    </w:p>
    <w:p w:rsidR="00C26A18" w:rsidRPr="00596D01" w:rsidRDefault="00614D3E" w:rsidP="001C335A">
      <w:pPr>
        <w:pStyle w:val="Heading3Numbered"/>
      </w:pPr>
      <w:bookmarkStart w:id="300" w:name="_Toc487702556"/>
      <w:bookmarkStart w:id="301" w:name="_Toc487702908"/>
      <w:bookmarkStart w:id="302" w:name="_Toc487703406"/>
      <w:bookmarkStart w:id="303" w:name="_Toc487703600"/>
      <w:bookmarkStart w:id="304" w:name="_Toc524424730"/>
      <w:r w:rsidRPr="00596D01">
        <w:t xml:space="preserve">Release </w:t>
      </w:r>
      <w:r w:rsidR="00C26A18" w:rsidRPr="00596D01">
        <w:t>of home care p</w:t>
      </w:r>
      <w:r w:rsidR="004E1BF4" w:rsidRPr="00596D01">
        <w:t>ackages</w:t>
      </w:r>
      <w:bookmarkEnd w:id="300"/>
      <w:bookmarkEnd w:id="301"/>
      <w:bookmarkEnd w:id="302"/>
      <w:bookmarkEnd w:id="303"/>
      <w:bookmarkEnd w:id="304"/>
    </w:p>
    <w:p w:rsidR="00D8721E" w:rsidRDefault="00B02848" w:rsidP="001C335A">
      <w:pPr>
        <w:rPr>
          <w:lang w:val="en-GB"/>
        </w:rPr>
      </w:pPr>
      <w:bookmarkStart w:id="305" w:name="_Toc487702557"/>
      <w:bookmarkStart w:id="306" w:name="_Toc487702909"/>
      <w:bookmarkStart w:id="307" w:name="_Toc487703407"/>
      <w:bookmarkStart w:id="308" w:name="_Toc487703601"/>
      <w:r>
        <w:rPr>
          <w:lang w:val="en-GB"/>
        </w:rPr>
        <w:t xml:space="preserve">Since </w:t>
      </w:r>
      <w:r w:rsidRPr="00011B99">
        <w:rPr>
          <w:lang w:val="en-GB"/>
        </w:rPr>
        <w:t>t</w:t>
      </w:r>
      <w:r>
        <w:rPr>
          <w:lang w:val="en-GB"/>
        </w:rPr>
        <w:t>he changes to home care on 27 February</w:t>
      </w:r>
      <w:r w:rsidR="00A261F3">
        <w:rPr>
          <w:lang w:val="en-GB"/>
        </w:rPr>
        <w:t> 201</w:t>
      </w:r>
      <w:r w:rsidRPr="00011B99">
        <w:rPr>
          <w:lang w:val="en-GB"/>
        </w:rPr>
        <w:t xml:space="preserve">7, home care packages are </w:t>
      </w:r>
      <w:r>
        <w:rPr>
          <w:lang w:val="en-GB"/>
        </w:rPr>
        <w:t xml:space="preserve">periodically released to be </w:t>
      </w:r>
      <w:r w:rsidRPr="00011B99">
        <w:rPr>
          <w:lang w:val="en-GB"/>
        </w:rPr>
        <w:t xml:space="preserve">assigned directly to consumers by the Department </w:t>
      </w:r>
      <w:r>
        <w:rPr>
          <w:lang w:val="en-GB"/>
        </w:rPr>
        <w:t>of Health</w:t>
      </w:r>
      <w:r w:rsidRPr="00011B99">
        <w:rPr>
          <w:lang w:val="en-GB"/>
        </w:rPr>
        <w:t xml:space="preserve"> through the </w:t>
      </w:r>
      <w:r w:rsidR="00166D0C">
        <w:rPr>
          <w:lang w:val="en-GB"/>
        </w:rPr>
        <w:t>N</w:t>
      </w:r>
      <w:r w:rsidRPr="00011B99">
        <w:rPr>
          <w:lang w:val="en-GB"/>
        </w:rPr>
        <w:t xml:space="preserve">ational </w:t>
      </w:r>
      <w:r w:rsidR="00166D0C">
        <w:rPr>
          <w:lang w:val="en-GB"/>
        </w:rPr>
        <w:t>P</w:t>
      </w:r>
      <w:r w:rsidRPr="00011B99">
        <w:rPr>
          <w:lang w:val="en-GB"/>
        </w:rPr>
        <w:t xml:space="preserve">rioritisation </w:t>
      </w:r>
      <w:r w:rsidR="00166D0C">
        <w:rPr>
          <w:lang w:val="en-GB"/>
        </w:rPr>
        <w:t>S</w:t>
      </w:r>
      <w:r w:rsidRPr="00011B99">
        <w:rPr>
          <w:lang w:val="en-GB"/>
        </w:rPr>
        <w:t>ystem</w:t>
      </w:r>
      <w:r>
        <w:rPr>
          <w:lang w:val="en-GB"/>
        </w:rPr>
        <w:t xml:space="preserve"> within My Aged Care</w:t>
      </w:r>
      <w:r w:rsidRPr="00011B99">
        <w:rPr>
          <w:lang w:val="en-GB"/>
        </w:rPr>
        <w:t xml:space="preserve">. Home care packages are assigned to those consumers who have reached the top of the </w:t>
      </w:r>
      <w:r w:rsidR="00166D0C">
        <w:rPr>
          <w:lang w:val="en-GB"/>
        </w:rPr>
        <w:t>N</w:t>
      </w:r>
      <w:r w:rsidRPr="00011B99">
        <w:rPr>
          <w:lang w:val="en-GB"/>
        </w:rPr>
        <w:t xml:space="preserve">ational </w:t>
      </w:r>
      <w:r w:rsidR="00166D0C">
        <w:rPr>
          <w:lang w:val="en-GB"/>
        </w:rPr>
        <w:t>P</w:t>
      </w:r>
      <w:r w:rsidR="002F2E79">
        <w:rPr>
          <w:lang w:val="en-GB"/>
        </w:rPr>
        <w:t xml:space="preserve">rioritisation </w:t>
      </w:r>
      <w:r w:rsidR="00166D0C">
        <w:rPr>
          <w:lang w:val="en-GB"/>
        </w:rPr>
        <w:t>Q</w:t>
      </w:r>
      <w:r w:rsidRPr="00011B99">
        <w:rPr>
          <w:lang w:val="en-GB"/>
        </w:rPr>
        <w:t>ueue</w:t>
      </w:r>
      <w:r>
        <w:rPr>
          <w:lang w:val="en-GB"/>
        </w:rPr>
        <w:t xml:space="preserve"> according to time on a waiting list and urgency of need</w:t>
      </w:r>
      <w:r w:rsidR="00D8721E">
        <w:rPr>
          <w:lang w:val="en-GB"/>
        </w:rPr>
        <w:t>.</w:t>
      </w:r>
    </w:p>
    <w:p w:rsidR="00722EFC" w:rsidRPr="00722EFC" w:rsidRDefault="00B02848" w:rsidP="001C335A">
      <w:pPr>
        <w:rPr>
          <w:color w:val="FF0000"/>
          <w:lang w:val="en-GB"/>
        </w:rPr>
      </w:pPr>
      <w:r w:rsidRPr="00011B99">
        <w:rPr>
          <w:lang w:val="en-GB"/>
        </w:rPr>
        <w:t>The number of packages released at each level takes into account the number of new packages that are available</w:t>
      </w:r>
      <w:r>
        <w:rPr>
          <w:lang w:val="en-GB"/>
        </w:rPr>
        <w:t xml:space="preserve"> having regard to the phased increase in the target home care provision ratio</w:t>
      </w:r>
      <w:r w:rsidRPr="00011B99">
        <w:rPr>
          <w:lang w:val="en-GB"/>
        </w:rPr>
        <w:t xml:space="preserve">, as well as the number of packages that consumers have exited or not accepted in previous weeks. </w:t>
      </w:r>
      <w:r w:rsidRPr="003F38D4">
        <w:rPr>
          <w:lang w:val="en-GB"/>
        </w:rPr>
        <w:t xml:space="preserve">While the total number of packages will increase each year, the number </w:t>
      </w:r>
      <w:r w:rsidR="00722EFC" w:rsidRPr="003F38D4">
        <w:rPr>
          <w:lang w:val="en-GB"/>
        </w:rPr>
        <w:t xml:space="preserve">of packages at each funding level will continue to be capped in line with the aged care target </w:t>
      </w:r>
      <w:r w:rsidR="00EB20FE">
        <w:rPr>
          <w:lang w:val="en-GB"/>
        </w:rPr>
        <w:t xml:space="preserve">provision </w:t>
      </w:r>
      <w:r w:rsidR="00722EFC" w:rsidRPr="003F38D4">
        <w:rPr>
          <w:lang w:val="en-GB"/>
        </w:rPr>
        <w:t>ratio and the available budget.</w:t>
      </w:r>
    </w:p>
    <w:p w:rsidR="00B02848" w:rsidRPr="005F0BD1" w:rsidRDefault="00B02848" w:rsidP="001C335A">
      <w:r>
        <w:t>As ACFA noted in last year’s report,</w:t>
      </w:r>
      <w:r w:rsidRPr="005F0BD1">
        <w:t xml:space="preserve"> there are indications that the changes to income testing and fee arrangements for home care packages that commenced on </w:t>
      </w:r>
      <w:r>
        <w:t>1 July</w:t>
      </w:r>
      <w:r w:rsidR="00A261F3">
        <w:t> 201</w:t>
      </w:r>
      <w:r>
        <w:t>4</w:t>
      </w:r>
      <w:r w:rsidRPr="005F0BD1">
        <w:t xml:space="preserve"> may be impacting how consum</w:t>
      </w:r>
      <w:r>
        <w:t>ers take up home care packages.</w:t>
      </w:r>
    </w:p>
    <w:p w:rsidR="00D8721E" w:rsidRDefault="00B02848" w:rsidP="001C335A">
      <w:r w:rsidRPr="005F0BD1">
        <w:t xml:space="preserve">The relatively high level of consumer contribution for </w:t>
      </w:r>
      <w:r>
        <w:t>l</w:t>
      </w:r>
      <w:r w:rsidRPr="005F0BD1">
        <w:t>evel 1</w:t>
      </w:r>
      <w:r>
        <w:t xml:space="preserve"> and 2</w:t>
      </w:r>
      <w:r w:rsidRPr="005F0BD1">
        <w:t xml:space="preserve"> packages</w:t>
      </w:r>
      <w:r w:rsidR="00C47199">
        <w:t xml:space="preserve"> and the availability of CHSP at no or lower cost</w:t>
      </w:r>
      <w:r w:rsidRPr="005F0BD1">
        <w:t xml:space="preserve">, compared with higher level packages, may be influencing consumers’ decisions to </w:t>
      </w:r>
      <w:r>
        <w:t>not take up these packages</w:t>
      </w:r>
      <w:r w:rsidR="00D8721E">
        <w:t>.</w:t>
      </w:r>
    </w:p>
    <w:p w:rsidR="00F965F7" w:rsidRPr="00596D01" w:rsidRDefault="00B02848" w:rsidP="001C335A">
      <w:pPr>
        <w:pStyle w:val="Heading3Numbered"/>
      </w:pPr>
      <w:bookmarkStart w:id="309" w:name="_Toc524424731"/>
      <w:bookmarkEnd w:id="305"/>
      <w:bookmarkEnd w:id="306"/>
      <w:bookmarkEnd w:id="307"/>
      <w:bookmarkEnd w:id="308"/>
      <w:r w:rsidRPr="00596D01">
        <w:lastRenderedPageBreak/>
        <w:t>Demand for home care packages</w:t>
      </w:r>
      <w:bookmarkEnd w:id="309"/>
    </w:p>
    <w:p w:rsidR="00D8721E" w:rsidRDefault="00B02848" w:rsidP="001C335A">
      <w:bookmarkStart w:id="310" w:name="_Toc457549907"/>
      <w:bookmarkStart w:id="311" w:name="_Toc487702558"/>
      <w:bookmarkStart w:id="312" w:name="_Toc487702910"/>
      <w:bookmarkStart w:id="313" w:name="_Toc487703408"/>
      <w:bookmarkStart w:id="314" w:name="_Toc487703602"/>
      <w:bookmarkStart w:id="315" w:name="_Ref449603616"/>
      <w:r>
        <w:t xml:space="preserve">Since the </w:t>
      </w:r>
      <w:r w:rsidRPr="00CE4BC4">
        <w:t>February</w:t>
      </w:r>
      <w:r w:rsidR="00A261F3">
        <w:t> 201</w:t>
      </w:r>
      <w:r w:rsidRPr="00CE4BC4">
        <w:t>7</w:t>
      </w:r>
      <w:r>
        <w:t xml:space="preserve"> changes, </w:t>
      </w:r>
      <w:r w:rsidRPr="00CE4BC4">
        <w:t>the Department</w:t>
      </w:r>
      <w:r>
        <w:t xml:space="preserve"> can no longer use </w:t>
      </w:r>
      <w:r w:rsidRPr="00CE4BC4">
        <w:t>occupancy data for the Home Care Packages Program</w:t>
      </w:r>
      <w:r>
        <w:t>me as a proxy measure for demand as occupancy was a measure of whether a provider’s allocated packages were being occupied or not</w:t>
      </w:r>
      <w:r w:rsidR="00D8721E">
        <w:t>.</w:t>
      </w:r>
    </w:p>
    <w:p w:rsidR="00D8721E" w:rsidRDefault="00B02848" w:rsidP="001C335A">
      <w:r>
        <w:t>ACFA has also previously noted that until the changes of February</w:t>
      </w:r>
      <w:r w:rsidR="00A261F3">
        <w:t> 201</w:t>
      </w:r>
      <w:r>
        <w:t>7, data had not been available to allow an estimate to be made of the extent to which supply of home care packages was falling short of total demand</w:t>
      </w:r>
      <w:r w:rsidR="00D8721E">
        <w:t>.</w:t>
      </w:r>
    </w:p>
    <w:p w:rsidR="00D8721E" w:rsidRDefault="00B02848" w:rsidP="001C335A">
      <w:r>
        <w:t>As part of the changes that were implemented in February</w:t>
      </w:r>
      <w:r w:rsidR="00A261F3">
        <w:t> 201</w:t>
      </w:r>
      <w:r>
        <w:t xml:space="preserve">7, all older Australians </w:t>
      </w:r>
      <w:r w:rsidR="002F2E79">
        <w:t>who</w:t>
      </w:r>
      <w:r>
        <w:t xml:space="preserve"> are assessed as eligible for a home care package are now placed in the National Prioritisation Queue to</w:t>
      </w:r>
      <w:r w:rsidRPr="007D249C">
        <w:t xml:space="preserve"> receive a home care pa</w:t>
      </w:r>
      <w:r>
        <w:t xml:space="preserve">ckage as soon as one becomes available. This queue provides a better indication of unmet demand for home care packages, including the extent to which the availability of packages at the different funding levels align with assessed consumer needs. In addition ACFA notes that the Department </w:t>
      </w:r>
      <w:r w:rsidR="00C61F74">
        <w:t xml:space="preserve">is seeking to obtain </w:t>
      </w:r>
      <w:r>
        <w:t>additional data regarding the average time to accept packages and packages that are offered but not taken up by consumers</w:t>
      </w:r>
      <w:r w:rsidR="00D8721E">
        <w:t>.</w:t>
      </w:r>
    </w:p>
    <w:p w:rsidR="00B02848" w:rsidRDefault="00B02848" w:rsidP="001C335A">
      <w:pPr>
        <w:rPr>
          <w:lang w:val="en-GB"/>
        </w:rPr>
      </w:pPr>
      <w:r>
        <w:rPr>
          <w:lang w:val="en-GB"/>
        </w:rPr>
        <w:t xml:space="preserve">As noted </w:t>
      </w:r>
      <w:r w:rsidR="002F2E79">
        <w:rPr>
          <w:lang w:val="en-GB"/>
        </w:rPr>
        <w:t xml:space="preserve">in </w:t>
      </w:r>
      <w:r>
        <w:rPr>
          <w:lang w:val="en-GB"/>
        </w:rPr>
        <w:t>C</w:t>
      </w:r>
      <w:r w:rsidRPr="007309F9">
        <w:rPr>
          <w:lang w:val="en-GB"/>
        </w:rPr>
        <w:t>hapter</w:t>
      </w:r>
      <w:r w:rsidR="002F2E79">
        <w:rPr>
          <w:lang w:val="en-GB"/>
        </w:rPr>
        <w:t> 4</w:t>
      </w:r>
      <w:r>
        <w:rPr>
          <w:lang w:val="en-GB"/>
        </w:rPr>
        <w:t>,</w:t>
      </w:r>
      <w:r w:rsidRPr="007309F9">
        <w:rPr>
          <w:lang w:val="en-GB"/>
        </w:rPr>
        <w:t xml:space="preserve"> there were over 108,000 people in the queue as at 31 March</w:t>
      </w:r>
      <w:r w:rsidR="00A261F3">
        <w:rPr>
          <w:lang w:val="en-GB"/>
        </w:rPr>
        <w:t> 201</w:t>
      </w:r>
      <w:r w:rsidRPr="007309F9">
        <w:rPr>
          <w:lang w:val="en-GB"/>
        </w:rPr>
        <w:t xml:space="preserve">8. </w:t>
      </w:r>
      <w:proofErr w:type="gramStart"/>
      <w:r w:rsidRPr="007309F9">
        <w:rPr>
          <w:lang w:val="en-GB"/>
        </w:rPr>
        <w:t>However</w:t>
      </w:r>
      <w:proofErr w:type="gramEnd"/>
      <w:r w:rsidRPr="007309F9">
        <w:rPr>
          <w:lang w:val="en-GB"/>
        </w:rPr>
        <w:t xml:space="preserve"> </w:t>
      </w:r>
      <w:r>
        <w:rPr>
          <w:lang w:val="en-GB"/>
        </w:rPr>
        <w:t xml:space="preserve">data from the Department indicates that just under </w:t>
      </w:r>
      <w:r w:rsidRPr="007309F9">
        <w:rPr>
          <w:lang w:val="en-GB"/>
        </w:rPr>
        <w:t xml:space="preserve">half have a lower level package assigned to them and are receiving some level of service while they wait for a higher level package. </w:t>
      </w:r>
      <w:r>
        <w:rPr>
          <w:lang w:val="en-GB"/>
        </w:rPr>
        <w:t>Additionally, the data shows that of those people not currently in a lower level interim package, around half are accessing services through the CHSP.</w:t>
      </w:r>
    </w:p>
    <w:p w:rsidR="00D8721E" w:rsidRDefault="00B02848" w:rsidP="001C335A">
      <w:pPr>
        <w:rPr>
          <w:lang w:val="en-GB"/>
        </w:rPr>
      </w:pPr>
      <w:r w:rsidRPr="007309F9">
        <w:rPr>
          <w:lang w:val="en-GB"/>
        </w:rPr>
        <w:t>ACFA also notes that some people who are still in the queue may no longer require services</w:t>
      </w:r>
      <w:r>
        <w:rPr>
          <w:lang w:val="en-GB"/>
        </w:rPr>
        <w:t xml:space="preserve">, or do not wish to access services at the level for which they have been assessed. ACFA considers that further analysis is required of the composition of the queue to determine to what extent it represents a robust measure of unmet </w:t>
      </w:r>
      <w:r w:rsidR="00C25542">
        <w:rPr>
          <w:lang w:val="en-GB"/>
        </w:rPr>
        <w:t>need</w:t>
      </w:r>
      <w:r>
        <w:rPr>
          <w:lang w:val="en-GB"/>
        </w:rPr>
        <w:t xml:space="preserve"> for services. Depending on the level of demand, further consideration will be required as to how the additional demand will be funded</w:t>
      </w:r>
      <w:r w:rsidR="00D8721E">
        <w:rPr>
          <w:lang w:val="en-GB"/>
        </w:rPr>
        <w:t>.</w:t>
      </w:r>
    </w:p>
    <w:p w:rsidR="00F965F7" w:rsidRPr="00596D01" w:rsidRDefault="00F965F7" w:rsidP="001C335A">
      <w:pPr>
        <w:pStyle w:val="Heading3Numbered"/>
      </w:pPr>
      <w:bookmarkStart w:id="316" w:name="_Toc524424732"/>
      <w:r w:rsidRPr="00596D01">
        <w:t>Home care admissions</w:t>
      </w:r>
      <w:bookmarkEnd w:id="310"/>
      <w:bookmarkEnd w:id="311"/>
      <w:bookmarkEnd w:id="312"/>
      <w:bookmarkEnd w:id="313"/>
      <w:bookmarkEnd w:id="314"/>
      <w:bookmarkEnd w:id="316"/>
    </w:p>
    <w:p w:rsidR="00D8721E" w:rsidRDefault="00492BF8" w:rsidP="001C335A">
      <w:r>
        <w:fldChar w:fldCharType="begin"/>
      </w:r>
      <w:r>
        <w:instrText xml:space="preserve"> REF _Ref524428138 \r \h </w:instrText>
      </w:r>
      <w:r>
        <w:fldChar w:fldCharType="separate"/>
      </w:r>
      <w:r>
        <w:t>Chart 5.9</w:t>
      </w:r>
      <w:r>
        <w:fldChar w:fldCharType="end"/>
      </w:r>
      <w:r>
        <w:t xml:space="preserve"> </w:t>
      </w:r>
      <w:r w:rsidR="00F552B9">
        <w:t xml:space="preserve">shows admission numbers for the </w:t>
      </w:r>
      <w:r w:rsidR="00F552B9" w:rsidRPr="00962C85">
        <w:t xml:space="preserve">four home care package levels </w:t>
      </w:r>
      <w:r w:rsidR="00F552B9">
        <w:t>from</w:t>
      </w:r>
      <w:r w:rsidR="00F552B9" w:rsidRPr="00962C85">
        <w:t xml:space="preserve"> </w:t>
      </w:r>
      <w:r w:rsidR="00F552B9">
        <w:t>July</w:t>
      </w:r>
      <w:r w:rsidR="00A261F3">
        <w:t> 201</w:t>
      </w:r>
      <w:r w:rsidR="00F552B9">
        <w:t>4 to September</w:t>
      </w:r>
      <w:r w:rsidR="00A261F3">
        <w:t> 201</w:t>
      </w:r>
      <w:r w:rsidR="00F552B9">
        <w:t>7. While there are peaks and troughs,</w:t>
      </w:r>
      <w:r w:rsidR="00D8721E">
        <w:t xml:space="preserve"> </w:t>
      </w:r>
      <w:r w:rsidR="00F552B9">
        <w:t>admissions continue to be overall steady, noting the number of level 4 package admissions is increasing faster than the other package levels, in line</w:t>
      </w:r>
      <w:r w:rsidR="00D8721E">
        <w:t xml:space="preserve"> </w:t>
      </w:r>
      <w:r w:rsidR="00F552B9">
        <w:t>with the increasing</w:t>
      </w:r>
      <w:r w:rsidR="00D8721E">
        <w:t xml:space="preserve"> </w:t>
      </w:r>
      <w:r w:rsidR="00F552B9">
        <w:t xml:space="preserve">proportion of </w:t>
      </w:r>
      <w:r w:rsidR="00747571">
        <w:t>level 4 packages being released</w:t>
      </w:r>
      <w:r w:rsidR="00F552B9">
        <w:t>. The significant and sudden trough followed by a sharp increase around February/March</w:t>
      </w:r>
      <w:r w:rsidR="00A261F3">
        <w:t> 201</w:t>
      </w:r>
      <w:r w:rsidR="00F552B9">
        <w:t xml:space="preserve">7 was the result of </w:t>
      </w:r>
      <w:r w:rsidR="00C61F74">
        <w:t>the transition to the new prioritisation system</w:t>
      </w:r>
      <w:r w:rsidR="00F552B9">
        <w:t xml:space="preserve"> implemented in February</w:t>
      </w:r>
      <w:r w:rsidR="00A261F3">
        <w:t> 201</w:t>
      </w:r>
      <w:r w:rsidR="00F552B9">
        <w:t>7. Overall admissions during this two month period were stable</w:t>
      </w:r>
      <w:r w:rsidR="00D8721E">
        <w:t>.</w:t>
      </w:r>
    </w:p>
    <w:p w:rsidR="009D5A91" w:rsidRPr="00596D01" w:rsidRDefault="00177CCD" w:rsidP="001C335A">
      <w:pPr>
        <w:pStyle w:val="ChartTitle"/>
      </w:pPr>
      <w:bookmarkStart w:id="317" w:name="_Ref524428138"/>
      <w:r w:rsidRPr="00596D01">
        <w:lastRenderedPageBreak/>
        <w:t>Home care admissions, by package level, July</w:t>
      </w:r>
      <w:r w:rsidR="00A261F3" w:rsidRPr="00596D01">
        <w:t> 201</w:t>
      </w:r>
      <w:r w:rsidRPr="00596D01">
        <w:t>4 to September</w:t>
      </w:r>
      <w:r w:rsidR="00A261F3" w:rsidRPr="00596D01">
        <w:t> 201</w:t>
      </w:r>
      <w:r w:rsidRPr="00596D01">
        <w:t>7</w:t>
      </w:r>
      <w:bookmarkEnd w:id="315"/>
      <w:bookmarkEnd w:id="317"/>
    </w:p>
    <w:p w:rsidR="00D8721E" w:rsidRPr="00596D01" w:rsidRDefault="002A7322" w:rsidP="001C335A">
      <w:r w:rsidRPr="00596D01">
        <w:rPr>
          <w:noProof/>
        </w:rPr>
        <w:drawing>
          <wp:inline distT="0" distB="0" distL="0" distR="0" wp14:anchorId="7FBC1069" wp14:editId="6CCE7FAF">
            <wp:extent cx="6120000" cy="3923473"/>
            <wp:effectExtent l="0" t="0" r="0" b="1270"/>
            <wp:docPr id="690" name="Picture 690" descr="Chart 5.9 Home care admissions, by package level, July 2014 to Sept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cb0036\AppData\Local\Microsoft\Windows\Temporary Internet Files\Content.Outlook\X33EN5GL\Chart_5.7.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4120" t="13154" r="5226" b="8510"/>
                    <a:stretch/>
                  </pic:blipFill>
                  <pic:spPr bwMode="auto">
                    <a:xfrm>
                      <a:off x="0" y="0"/>
                      <a:ext cx="6120000" cy="3923473"/>
                    </a:xfrm>
                    <a:prstGeom prst="rect">
                      <a:avLst/>
                    </a:prstGeom>
                    <a:noFill/>
                    <a:ln>
                      <a:noFill/>
                    </a:ln>
                    <a:extLst>
                      <a:ext uri="{53640926-AAD7-44D8-BBD7-CCE9431645EC}">
                        <a14:shadowObscured xmlns:a14="http://schemas.microsoft.com/office/drawing/2010/main"/>
                      </a:ext>
                    </a:extLst>
                  </pic:spPr>
                </pic:pic>
              </a:graphicData>
            </a:graphic>
          </wp:inline>
        </w:drawing>
      </w:r>
    </w:p>
    <w:p w:rsidR="00BB4AC4" w:rsidRPr="00596D01" w:rsidRDefault="00BB4AC4" w:rsidP="001C335A">
      <w:pPr>
        <w:pStyle w:val="Heading3Numbered"/>
      </w:pPr>
      <w:bookmarkStart w:id="318" w:name="_Toc524424733"/>
      <w:r w:rsidRPr="00596D01">
        <w:t>Length of stay in home care</w:t>
      </w:r>
      <w:bookmarkEnd w:id="318"/>
      <w:r w:rsidR="00D8721E" w:rsidRPr="00596D01">
        <w:t xml:space="preserve"> </w:t>
      </w:r>
    </w:p>
    <w:p w:rsidR="00D8721E" w:rsidRDefault="00F552B9" w:rsidP="001C335A">
      <w:r>
        <w:t>ACFA noted in last year’s report that l</w:t>
      </w:r>
      <w:r w:rsidRPr="0027227D">
        <w:t xml:space="preserve">ength of stay in </w:t>
      </w:r>
      <w:r>
        <w:t>h</w:t>
      </w:r>
      <w:r w:rsidRPr="0027227D">
        <w:t xml:space="preserve">ome </w:t>
      </w:r>
      <w:r>
        <w:t>c</w:t>
      </w:r>
      <w:r w:rsidRPr="0027227D">
        <w:t>are differs between package levels</w:t>
      </w:r>
      <w:r w:rsidR="00D8721E">
        <w:t>.</w:t>
      </w:r>
    </w:p>
    <w:p w:rsidR="00D8721E" w:rsidRDefault="00F552B9" w:rsidP="001C335A">
      <w:r>
        <w:t xml:space="preserve">For people </w:t>
      </w:r>
      <w:r w:rsidR="002F2E79">
        <w:t>who</w:t>
      </w:r>
      <w:r>
        <w:t xml:space="preserve"> entered home care in</w:t>
      </w:r>
      <w:r w:rsidR="00A261F3">
        <w:t> 201</w:t>
      </w:r>
      <w:r>
        <w:t>3</w:t>
      </w:r>
      <w:r w:rsidR="00D8721E">
        <w:t>–1</w:t>
      </w:r>
      <w:r>
        <w:t xml:space="preserve">4, around half the recipients of level 2 packages stayed at their package level at least 13 months and around a quarter stayed over 28 months. By contrast, for those people entering a level 4 package, around half leave care within </w:t>
      </w:r>
      <w:r w:rsidR="005F6BF4">
        <w:t>10 </w:t>
      </w:r>
      <w:r>
        <w:t>months and a quarter remain in care for over 20 months</w:t>
      </w:r>
      <w:r w:rsidR="00D8721E">
        <w:t>.</w:t>
      </w:r>
    </w:p>
    <w:p w:rsidR="00F552B9" w:rsidRDefault="00F552B9" w:rsidP="001C335A">
      <w:r>
        <w:t>For people that entered home care in</w:t>
      </w:r>
      <w:r w:rsidR="00A261F3">
        <w:t> 201</w:t>
      </w:r>
      <w:r>
        <w:t>6</w:t>
      </w:r>
      <w:r w:rsidR="00D8721E">
        <w:t>–1</w:t>
      </w:r>
      <w:r>
        <w:t>7, around half the recipients of level 2 packages stayed at their package level at least 16 months and over 40</w:t>
      </w:r>
      <w:r w:rsidR="00A261F3">
        <w:t> per cent</w:t>
      </w:r>
      <w:r>
        <w:t xml:space="preserve"> are still in care. By contrast, for those people entering a level 4 package, around half leave care within 13 months and less than 40</w:t>
      </w:r>
      <w:r w:rsidR="00A261F3">
        <w:t> per cent</w:t>
      </w:r>
      <w:r>
        <w:t xml:space="preserve"> were still in care as at May</w:t>
      </w:r>
      <w:r w:rsidR="00A261F3">
        <w:t> 201</w:t>
      </w:r>
      <w:r>
        <w:t>8. This suggests that length of stay in home care is increasing in more recent years irrespective of care level.</w:t>
      </w:r>
    </w:p>
    <w:p w:rsidR="00D8721E" w:rsidRDefault="00F552B9" w:rsidP="001C335A">
      <w:r>
        <w:t>For package levels 1 and 3, of those people that entered care in</w:t>
      </w:r>
      <w:r w:rsidR="00A261F3">
        <w:t> 201</w:t>
      </w:r>
      <w:r>
        <w:t>4</w:t>
      </w:r>
      <w:r w:rsidR="00D8721E">
        <w:t>–1</w:t>
      </w:r>
      <w:r>
        <w:t>5, around a quarter of level 1 package holders had left within around four months of care while level 3 recipients left after three months in care</w:t>
      </w:r>
      <w:r w:rsidR="00D8721E">
        <w:t>.</w:t>
      </w:r>
    </w:p>
    <w:p w:rsidR="00D8721E" w:rsidRDefault="00F552B9" w:rsidP="001C335A">
      <w:r>
        <w:t>Insufficient data is available to assess the impact of t</w:t>
      </w:r>
      <w:r w:rsidR="006A5C12">
        <w:t>he February</w:t>
      </w:r>
      <w:r w:rsidR="00A261F3">
        <w:t> 201</w:t>
      </w:r>
      <w:r w:rsidR="006A5C12">
        <w:t xml:space="preserve">7 changes. </w:t>
      </w:r>
      <w:r>
        <w:t>ACFA will expand its length of stay analysis for home care in future reports, including taking into account the impact on length of stay at lower level packages as the proportion of higher level packages is increased, noting that many consumers are currently occupying lower level packages on an interim basis. Understanding these impacts and the interactions with residential care will be important as the Australian Government expands the number of home care packages.</w:t>
      </w:r>
    </w:p>
    <w:p w:rsidR="00192ABA" w:rsidRPr="00596D01" w:rsidRDefault="00192ABA" w:rsidP="001C335A">
      <w:pPr>
        <w:pStyle w:val="Heading2Numbered"/>
      </w:pPr>
      <w:bookmarkStart w:id="319" w:name="_Toc487702559"/>
      <w:bookmarkStart w:id="320" w:name="_Toc487702911"/>
      <w:bookmarkStart w:id="321" w:name="_Toc487703409"/>
      <w:bookmarkStart w:id="322" w:name="_Toc487703603"/>
      <w:bookmarkStart w:id="323" w:name="_Toc524424734"/>
      <w:bookmarkStart w:id="324" w:name="_Toc426120778"/>
      <w:bookmarkStart w:id="325" w:name="_Ref453177418"/>
      <w:bookmarkStart w:id="326" w:name="_Toc457549916"/>
      <w:r w:rsidRPr="00596D01">
        <w:t>Access to re</w:t>
      </w:r>
      <w:r w:rsidR="0075744F" w:rsidRPr="00596D01">
        <w:t>sidential</w:t>
      </w:r>
      <w:r w:rsidRPr="00596D01">
        <w:t xml:space="preserve"> care</w:t>
      </w:r>
      <w:bookmarkEnd w:id="319"/>
      <w:bookmarkEnd w:id="320"/>
      <w:bookmarkEnd w:id="321"/>
      <w:bookmarkEnd w:id="322"/>
      <w:bookmarkEnd w:id="323"/>
      <w:r w:rsidRPr="00596D01">
        <w:t xml:space="preserve"> </w:t>
      </w:r>
    </w:p>
    <w:p w:rsidR="00192ABA" w:rsidRPr="00596D01" w:rsidRDefault="00192ABA" w:rsidP="001C335A">
      <w:pPr>
        <w:pStyle w:val="Heading3Numbered"/>
      </w:pPr>
      <w:bookmarkStart w:id="327" w:name="_Toc487702560"/>
      <w:bookmarkStart w:id="328" w:name="_Toc487702912"/>
      <w:bookmarkStart w:id="329" w:name="_Toc487703410"/>
      <w:bookmarkStart w:id="330" w:name="_Toc487703604"/>
      <w:bookmarkStart w:id="331" w:name="_Toc524424735"/>
      <w:r w:rsidRPr="00596D01">
        <w:t>Residents</w:t>
      </w:r>
      <w:bookmarkEnd w:id="327"/>
      <w:bookmarkEnd w:id="328"/>
      <w:bookmarkEnd w:id="329"/>
      <w:bookmarkEnd w:id="330"/>
      <w:bookmarkEnd w:id="331"/>
    </w:p>
    <w:p w:rsidR="00D8721E" w:rsidRDefault="00192ABA" w:rsidP="001C335A">
      <w:bookmarkStart w:id="332" w:name="_Ref423521727"/>
      <w:r w:rsidRPr="00B43111">
        <w:t>The number of older Australians who received permanent</w:t>
      </w:r>
      <w:r w:rsidR="005867C2" w:rsidRPr="00B43111">
        <w:t xml:space="preserve"> residential care during</w:t>
      </w:r>
      <w:r w:rsidR="00A261F3">
        <w:t> 201</w:t>
      </w:r>
      <w:r w:rsidR="005867C2" w:rsidRPr="00B43111">
        <w:t>6</w:t>
      </w:r>
      <w:r w:rsidR="00D8721E">
        <w:t>–1</w:t>
      </w:r>
      <w:r w:rsidR="005867C2" w:rsidRPr="00B43111">
        <w:t>7</w:t>
      </w:r>
      <w:r w:rsidRPr="00A82F97">
        <w:t xml:space="preserve"> was </w:t>
      </w:r>
      <w:r w:rsidR="005867C2" w:rsidRPr="00A82F97">
        <w:t>239,379</w:t>
      </w:r>
      <w:r w:rsidR="00B47FED" w:rsidRPr="00A82F97">
        <w:t>, an increase of 1.</w:t>
      </w:r>
      <w:r w:rsidR="00D00B54">
        <w:t>9</w:t>
      </w:r>
      <w:r w:rsidR="00A261F3">
        <w:t> per cent</w:t>
      </w:r>
      <w:r w:rsidRPr="00A82F97">
        <w:t xml:space="preserve"> from </w:t>
      </w:r>
      <w:r w:rsidR="005867C2" w:rsidRPr="00A82F97">
        <w:t>234,931</w:t>
      </w:r>
      <w:r w:rsidR="00E743E8" w:rsidRPr="00A82F97">
        <w:t xml:space="preserve"> </w:t>
      </w:r>
      <w:r w:rsidR="005867C2" w:rsidRPr="00A82F97">
        <w:t>in</w:t>
      </w:r>
      <w:r w:rsidR="00A261F3">
        <w:t> 201</w:t>
      </w:r>
      <w:r w:rsidR="005867C2" w:rsidRPr="00A82F97">
        <w:t>5</w:t>
      </w:r>
      <w:r w:rsidR="00D8721E">
        <w:t>–1</w:t>
      </w:r>
      <w:r w:rsidR="005867C2" w:rsidRPr="00A82F97">
        <w:t>6</w:t>
      </w:r>
      <w:r w:rsidR="00D8721E">
        <w:t>.</w:t>
      </w:r>
    </w:p>
    <w:p w:rsidR="00D8721E" w:rsidRDefault="00B43111" w:rsidP="001C335A">
      <w:r w:rsidRPr="00A82F97">
        <w:lastRenderedPageBreak/>
        <w:t>As has been the case in recent years, t</w:t>
      </w:r>
      <w:r w:rsidR="00E26AF1" w:rsidRPr="00A82F97">
        <w:t>he number of people accessing residential</w:t>
      </w:r>
      <w:r w:rsidR="008C1503" w:rsidRPr="00A82F97">
        <w:t xml:space="preserve"> respite care</w:t>
      </w:r>
      <w:r w:rsidRPr="00A82F97">
        <w:t xml:space="preserve"> is increasing </w:t>
      </w:r>
      <w:r w:rsidR="002F2E79">
        <w:t xml:space="preserve">proportionally </w:t>
      </w:r>
      <w:r w:rsidR="00E26AF1" w:rsidRPr="00A82F97">
        <w:t>faster than those access</w:t>
      </w:r>
      <w:r w:rsidR="006A5C12">
        <w:t xml:space="preserve">ing permanent residential care. </w:t>
      </w:r>
      <w:r w:rsidR="00E26AF1" w:rsidRPr="00A82F97">
        <w:t xml:space="preserve">The number of people who </w:t>
      </w:r>
      <w:r w:rsidR="005867C2" w:rsidRPr="00A82F97">
        <w:t>accessed respite care in</w:t>
      </w:r>
      <w:r w:rsidR="00A261F3">
        <w:t> 201</w:t>
      </w:r>
      <w:r w:rsidR="005867C2" w:rsidRPr="00A82F97">
        <w:t>6</w:t>
      </w:r>
      <w:r w:rsidR="00D8721E">
        <w:t>–1</w:t>
      </w:r>
      <w:r w:rsidR="005867C2" w:rsidRPr="00A82F97">
        <w:t>7</w:t>
      </w:r>
      <w:r w:rsidR="00E26AF1" w:rsidRPr="00A82F97">
        <w:t xml:space="preserve"> was </w:t>
      </w:r>
      <w:r w:rsidR="005867C2" w:rsidRPr="00A82F97">
        <w:t>59,228</w:t>
      </w:r>
      <w:r w:rsidR="00B47FED" w:rsidRPr="00A82F97">
        <w:t>, an increase of 4.</w:t>
      </w:r>
      <w:r w:rsidR="00341DAB">
        <w:t>2</w:t>
      </w:r>
      <w:r w:rsidR="00A261F3">
        <w:t> per cent</w:t>
      </w:r>
      <w:r w:rsidR="00E26AF1" w:rsidRPr="00A82F97">
        <w:t xml:space="preserve">, </w:t>
      </w:r>
      <w:r w:rsidR="00B47FED" w:rsidRPr="00A82F97">
        <w:t>from</w:t>
      </w:r>
      <w:r w:rsidR="00E26AF1" w:rsidRPr="00A82F97">
        <w:t xml:space="preserve"> </w:t>
      </w:r>
      <w:r w:rsidR="005867C2" w:rsidRPr="00A82F97">
        <w:t xml:space="preserve">56,852 </w:t>
      </w:r>
      <w:r w:rsidR="00E26AF1" w:rsidRPr="00A82F97">
        <w:t>in</w:t>
      </w:r>
      <w:r w:rsidR="00A261F3">
        <w:t> 201</w:t>
      </w:r>
      <w:r w:rsidR="005867C2" w:rsidRPr="00A82F97">
        <w:t>5</w:t>
      </w:r>
      <w:r w:rsidR="00D8721E">
        <w:t>–1</w:t>
      </w:r>
      <w:r w:rsidR="005867C2" w:rsidRPr="00A82F97">
        <w:t>6</w:t>
      </w:r>
      <w:r w:rsidR="003246BE" w:rsidRPr="00A82F97">
        <w:t xml:space="preserve"> and </w:t>
      </w:r>
      <w:r w:rsidR="005867C2" w:rsidRPr="00A82F97">
        <w:t>53,021 in</w:t>
      </w:r>
      <w:r w:rsidR="00A261F3">
        <w:t> 201</w:t>
      </w:r>
      <w:r w:rsidR="005867C2" w:rsidRPr="00A82F97">
        <w:t>4</w:t>
      </w:r>
      <w:r w:rsidR="00D8721E">
        <w:t>–1</w:t>
      </w:r>
      <w:r w:rsidR="005867C2" w:rsidRPr="00A82F97">
        <w:t>5</w:t>
      </w:r>
      <w:r w:rsidR="00B47FED" w:rsidRPr="00A82F97">
        <w:t xml:space="preserve">. </w:t>
      </w:r>
      <w:r w:rsidR="00E26AF1" w:rsidRPr="00A82F97">
        <w:t xml:space="preserve">Residential respite </w:t>
      </w:r>
      <w:r w:rsidR="003246BE" w:rsidRPr="00A82F97">
        <w:t xml:space="preserve">care </w:t>
      </w:r>
      <w:r w:rsidR="00E26AF1" w:rsidRPr="00A82F97">
        <w:t xml:space="preserve">usage is </w:t>
      </w:r>
      <w:r w:rsidR="00063350" w:rsidRPr="00A82F97">
        <w:t>discussed in S</w:t>
      </w:r>
      <w:r w:rsidR="00747571">
        <w:t>ection </w:t>
      </w:r>
      <w:r w:rsidR="00492BF8">
        <w:fldChar w:fldCharType="begin"/>
      </w:r>
      <w:r w:rsidR="00492BF8">
        <w:instrText xml:space="preserve"> REF _Ref524427697 \r \h </w:instrText>
      </w:r>
      <w:r w:rsidR="00492BF8">
        <w:fldChar w:fldCharType="separate"/>
      </w:r>
      <w:r w:rsidR="00492BF8">
        <w:t>5.7</w:t>
      </w:r>
      <w:r w:rsidR="00492BF8">
        <w:fldChar w:fldCharType="end"/>
      </w:r>
      <w:r w:rsidR="00B62275" w:rsidRPr="00A82F97">
        <w:t xml:space="preserve"> of this chapter.</w:t>
      </w:r>
    </w:p>
    <w:p w:rsidR="003F6D10" w:rsidRPr="00596D01" w:rsidRDefault="003F6D10" w:rsidP="001C335A">
      <w:pPr>
        <w:pStyle w:val="Heading2Numbered"/>
      </w:pPr>
      <w:bookmarkStart w:id="333" w:name="_Toc487702561"/>
      <w:bookmarkStart w:id="334" w:name="_Toc487702913"/>
      <w:bookmarkStart w:id="335" w:name="_Toc487703411"/>
      <w:bookmarkStart w:id="336" w:name="_Toc487703605"/>
      <w:bookmarkStart w:id="337" w:name="_Toc524424736"/>
      <w:bookmarkEnd w:id="332"/>
      <w:r w:rsidRPr="00596D01">
        <w:t>Demand for residential aged care</w:t>
      </w:r>
      <w:bookmarkEnd w:id="324"/>
      <w:bookmarkEnd w:id="325"/>
      <w:bookmarkEnd w:id="326"/>
      <w:bookmarkEnd w:id="333"/>
      <w:bookmarkEnd w:id="334"/>
      <w:bookmarkEnd w:id="335"/>
      <w:bookmarkEnd w:id="336"/>
      <w:bookmarkEnd w:id="337"/>
    </w:p>
    <w:p w:rsidR="00163A5E" w:rsidRDefault="00163A5E" w:rsidP="001C335A">
      <w:r>
        <w:t>While there is data on demand being met</w:t>
      </w:r>
      <w:r w:rsidR="006355C3">
        <w:t xml:space="preserve">, </w:t>
      </w:r>
      <w:r>
        <w:t>as noted in previous reports, data is not available to allow an estimation of unmet demand for residential care. Only data pertaining to resident admissions and occupancy rates (met demand) is reported. Occupancy is measured as the total number of days a</w:t>
      </w:r>
      <w:r w:rsidR="00F552B9">
        <w:t>n allocated</w:t>
      </w:r>
      <w:r>
        <w:t xml:space="preserve"> place is occupied by a resident, divided by the total number of days a</w:t>
      </w:r>
      <w:r w:rsidR="00F552B9">
        <w:t>n allocated</w:t>
      </w:r>
      <w:r>
        <w:t xml:space="preserve"> place was available to be occupied.</w:t>
      </w:r>
    </w:p>
    <w:p w:rsidR="009839E8" w:rsidRPr="00596D01" w:rsidRDefault="009839E8" w:rsidP="001C335A">
      <w:pPr>
        <w:pStyle w:val="Heading3Numbered"/>
      </w:pPr>
      <w:bookmarkStart w:id="338" w:name="_Toc487702562"/>
      <w:bookmarkStart w:id="339" w:name="_Toc487702914"/>
      <w:bookmarkStart w:id="340" w:name="_Toc487703412"/>
      <w:bookmarkStart w:id="341" w:name="_Toc487703606"/>
      <w:bookmarkStart w:id="342" w:name="_Toc524424737"/>
      <w:r w:rsidRPr="00596D01">
        <w:t>Occupancy rates</w:t>
      </w:r>
      <w:bookmarkEnd w:id="338"/>
      <w:bookmarkEnd w:id="339"/>
      <w:bookmarkEnd w:id="340"/>
      <w:bookmarkEnd w:id="341"/>
      <w:bookmarkEnd w:id="342"/>
    </w:p>
    <w:p w:rsidR="00D8721E" w:rsidRDefault="00BA2715" w:rsidP="001C335A">
      <w:r>
        <w:t>Occupancy rates reflect both demand and the number of places available. In</w:t>
      </w:r>
      <w:r w:rsidR="00A261F3">
        <w:t> 201</w:t>
      </w:r>
      <w:r>
        <w:t>6</w:t>
      </w:r>
      <w:r w:rsidR="00D8721E">
        <w:t>–1</w:t>
      </w:r>
      <w:r>
        <w:t>7 the occupancy rate across all residential care places was 91.</w:t>
      </w:r>
      <w:r w:rsidR="00D00B54">
        <w:t>8</w:t>
      </w:r>
      <w:r w:rsidR="00A261F3">
        <w:t> per cent</w:t>
      </w:r>
      <w:r>
        <w:t>, down from 92.</w:t>
      </w:r>
      <w:r w:rsidR="008C2527">
        <w:t>4</w:t>
      </w:r>
      <w:r w:rsidR="00A261F3">
        <w:t> per cent</w:t>
      </w:r>
      <w:r>
        <w:t xml:space="preserve"> in</w:t>
      </w:r>
      <w:r w:rsidR="00A261F3">
        <w:t> 201</w:t>
      </w:r>
      <w:r>
        <w:t>5</w:t>
      </w:r>
      <w:r w:rsidR="00D8721E">
        <w:t>–1</w:t>
      </w:r>
      <w:r>
        <w:t>6, and 92.</w:t>
      </w:r>
      <w:r w:rsidR="009C307B">
        <w:t>5</w:t>
      </w:r>
      <w:r w:rsidR="00A261F3">
        <w:t> per cent</w:t>
      </w:r>
      <w:r>
        <w:t xml:space="preserve"> in</w:t>
      </w:r>
      <w:r w:rsidR="00A261F3">
        <w:t> 201</w:t>
      </w:r>
      <w:r>
        <w:t>4</w:t>
      </w:r>
      <w:r w:rsidR="00D8721E">
        <w:t>–1</w:t>
      </w:r>
      <w:r>
        <w:t>5. ACFA notes some providers are reporting the</w:t>
      </w:r>
      <w:r w:rsidRPr="00B726F4">
        <w:t xml:space="preserve"> decline </w:t>
      </w:r>
      <w:r>
        <w:t>in the occupancy rate evident in</w:t>
      </w:r>
      <w:r w:rsidR="00A261F3">
        <w:t> 201</w:t>
      </w:r>
      <w:r>
        <w:t>6</w:t>
      </w:r>
      <w:r w:rsidR="00D8721E">
        <w:t>–1</w:t>
      </w:r>
      <w:r>
        <w:t>7</w:t>
      </w:r>
      <w:r w:rsidR="00747571">
        <w:t>,</w:t>
      </w:r>
      <w:r>
        <w:t xml:space="preserve"> </w:t>
      </w:r>
      <w:r w:rsidRPr="00B726F4">
        <w:t>has continued in</w:t>
      </w:r>
      <w:r w:rsidR="00A261F3">
        <w:t> 201</w:t>
      </w:r>
      <w:r w:rsidRPr="00B726F4">
        <w:t>7</w:t>
      </w:r>
      <w:r w:rsidR="00D8721E">
        <w:t>–1</w:t>
      </w:r>
      <w:r w:rsidRPr="00B726F4">
        <w:t>8</w:t>
      </w:r>
      <w:r w:rsidR="00D8721E">
        <w:t>.</w:t>
      </w:r>
    </w:p>
    <w:p w:rsidR="00CC3AA3" w:rsidRPr="00DD72A8" w:rsidRDefault="00CC3AA3" w:rsidP="001C335A">
      <w:r w:rsidRPr="00DD72A8">
        <w:t>The overall average occupancy rate in residential care peaked at 9</w:t>
      </w:r>
      <w:r w:rsidR="00DD72A8" w:rsidRPr="00DD72A8">
        <w:t>7.1</w:t>
      </w:r>
      <w:r w:rsidR="00A261F3">
        <w:t> per cent</w:t>
      </w:r>
      <w:r w:rsidR="00DD72A8" w:rsidRPr="00DD72A8">
        <w:t xml:space="preserve"> in</w:t>
      </w:r>
      <w:r w:rsidR="00A261F3">
        <w:t> 200</w:t>
      </w:r>
      <w:r w:rsidRPr="00DD72A8">
        <w:t>3</w:t>
      </w:r>
      <w:r w:rsidR="00D8721E">
        <w:t>–0</w:t>
      </w:r>
      <w:r w:rsidR="00DD72A8" w:rsidRPr="00DD72A8">
        <w:t>4</w:t>
      </w:r>
      <w:r w:rsidRPr="00DD72A8">
        <w:t>.</w:t>
      </w:r>
    </w:p>
    <w:p w:rsidR="00D8721E" w:rsidRDefault="00F552B9" w:rsidP="001C335A">
      <w:r>
        <w:t>N</w:t>
      </w:r>
      <w:r w:rsidR="00BA2715" w:rsidRPr="00B726F4">
        <w:t>ot-for-profit providers continue to have the highest occupancy at an average of 93.</w:t>
      </w:r>
      <w:r w:rsidR="00341DAB">
        <w:t>1</w:t>
      </w:r>
      <w:r w:rsidR="00A261F3">
        <w:t> per cent</w:t>
      </w:r>
      <w:r w:rsidR="00BA2715">
        <w:t xml:space="preserve"> in</w:t>
      </w:r>
      <w:r w:rsidR="00A261F3">
        <w:t> 201</w:t>
      </w:r>
      <w:r w:rsidR="00BA2715">
        <w:t>6</w:t>
      </w:r>
      <w:r w:rsidR="00D8721E">
        <w:t>–1</w:t>
      </w:r>
      <w:r w:rsidR="00BA2715">
        <w:t>7</w:t>
      </w:r>
      <w:r w:rsidR="00BA2715" w:rsidRPr="00B726F4">
        <w:t>, down from 93.6 in</w:t>
      </w:r>
      <w:r w:rsidR="00A261F3">
        <w:t> 201</w:t>
      </w:r>
      <w:r w:rsidR="00BA2715" w:rsidRPr="00B726F4">
        <w:t>5</w:t>
      </w:r>
      <w:r w:rsidR="00D8721E">
        <w:t>–1</w:t>
      </w:r>
      <w:r w:rsidR="00BA2715" w:rsidRPr="00B726F4">
        <w:t>6 an</w:t>
      </w:r>
      <w:r w:rsidR="00294ED4">
        <w:t>d 94.0</w:t>
      </w:r>
      <w:r w:rsidR="00A261F3">
        <w:t> per cent</w:t>
      </w:r>
      <w:r w:rsidR="00294ED4">
        <w:t xml:space="preserve"> in</w:t>
      </w:r>
      <w:r w:rsidR="00A261F3">
        <w:t> 201</w:t>
      </w:r>
      <w:r w:rsidR="00294ED4">
        <w:t>4</w:t>
      </w:r>
      <w:r w:rsidR="00D8721E">
        <w:t>–1</w:t>
      </w:r>
      <w:r w:rsidR="00294ED4">
        <w:t>5. For</w:t>
      </w:r>
      <w:r w:rsidR="00D518FE">
        <w:noBreakHyphen/>
      </w:r>
      <w:r w:rsidR="00BA2715" w:rsidRPr="00B726F4">
        <w:t>profit providers achieved an average occupancy of 90.</w:t>
      </w:r>
      <w:r w:rsidR="00341DAB">
        <w:t>1</w:t>
      </w:r>
      <w:r w:rsidR="00A261F3">
        <w:t> per cent</w:t>
      </w:r>
      <w:r w:rsidR="00BA2715" w:rsidRPr="00B726F4">
        <w:t xml:space="preserve"> for</w:t>
      </w:r>
      <w:r w:rsidR="00A261F3">
        <w:t> 201</w:t>
      </w:r>
      <w:r w:rsidR="00BA2715" w:rsidRPr="00B726F4">
        <w:t>6</w:t>
      </w:r>
      <w:r w:rsidR="00D8721E">
        <w:t>–1</w:t>
      </w:r>
      <w:r w:rsidR="00BA2715" w:rsidRPr="00B726F4">
        <w:t>7, down from 90.</w:t>
      </w:r>
      <w:r w:rsidR="00D00B54">
        <w:t>8</w:t>
      </w:r>
      <w:r w:rsidR="00A261F3">
        <w:t> per cent</w:t>
      </w:r>
      <w:r w:rsidR="00BA2715" w:rsidRPr="00B726F4">
        <w:t xml:space="preserve"> for</w:t>
      </w:r>
      <w:r w:rsidR="00A261F3">
        <w:t> 201</w:t>
      </w:r>
      <w:r w:rsidR="00BA2715" w:rsidRPr="00B726F4">
        <w:t>5</w:t>
      </w:r>
      <w:r w:rsidR="00D8721E">
        <w:t>–1</w:t>
      </w:r>
      <w:r w:rsidR="00BA2715" w:rsidRPr="00B726F4">
        <w:t>6 a</w:t>
      </w:r>
      <w:r w:rsidR="00BA2715">
        <w:t>nd</w:t>
      </w:r>
      <w:r w:rsidR="00BA2715" w:rsidRPr="00B726F4">
        <w:t xml:space="preserve"> 90.</w:t>
      </w:r>
      <w:r w:rsidR="00D00B54">
        <w:t>6</w:t>
      </w:r>
      <w:r w:rsidR="00A261F3">
        <w:t> per cent</w:t>
      </w:r>
      <w:r w:rsidR="00BA2715" w:rsidRPr="00B726F4">
        <w:t xml:space="preserve"> in</w:t>
      </w:r>
      <w:r w:rsidR="00A261F3">
        <w:t> 201</w:t>
      </w:r>
      <w:r w:rsidR="00BA2715" w:rsidRPr="00B726F4">
        <w:t>4</w:t>
      </w:r>
      <w:r w:rsidR="00D8721E">
        <w:t>–1</w:t>
      </w:r>
      <w:r w:rsidR="00BA2715" w:rsidRPr="00B726F4">
        <w:t>5</w:t>
      </w:r>
      <w:r w:rsidR="00D8721E">
        <w:t>.</w:t>
      </w:r>
    </w:p>
    <w:p w:rsidR="00D8721E" w:rsidRDefault="00BA2715" w:rsidP="001C335A">
      <w:r w:rsidRPr="001458B6">
        <w:t>As noted in previous annual reports</w:t>
      </w:r>
      <w:r>
        <w:t xml:space="preserve"> and shown in </w:t>
      </w:r>
      <w:r w:rsidR="00492BF8">
        <w:fldChar w:fldCharType="begin"/>
      </w:r>
      <w:r w:rsidR="00492BF8">
        <w:instrText xml:space="preserve"> REF _Ref524429229 \r \h </w:instrText>
      </w:r>
      <w:r w:rsidR="00492BF8">
        <w:fldChar w:fldCharType="separate"/>
      </w:r>
      <w:r w:rsidR="00492BF8">
        <w:t>Table 5.5</w:t>
      </w:r>
      <w:r w:rsidR="00492BF8">
        <w:fldChar w:fldCharType="end"/>
      </w:r>
      <w:r w:rsidRPr="001458B6">
        <w:t xml:space="preserve">, there are variations in occupancy by state </w:t>
      </w:r>
      <w:r w:rsidR="00747571">
        <w:t>and</w:t>
      </w:r>
      <w:r w:rsidRPr="001458B6">
        <w:t xml:space="preserve"> territory, with the highest occupancy in</w:t>
      </w:r>
      <w:r w:rsidR="00A261F3">
        <w:t> 201</w:t>
      </w:r>
      <w:r>
        <w:t>6</w:t>
      </w:r>
      <w:r w:rsidR="00D8721E">
        <w:t>–1</w:t>
      </w:r>
      <w:r>
        <w:t>7</w:t>
      </w:r>
      <w:r w:rsidRPr="001458B6">
        <w:t xml:space="preserve"> being the Northern Territory</w:t>
      </w:r>
      <w:r>
        <w:t xml:space="preserve"> (as it was in</w:t>
      </w:r>
      <w:r w:rsidR="00A261F3">
        <w:t> 201</w:t>
      </w:r>
      <w:r>
        <w:t>5</w:t>
      </w:r>
      <w:r w:rsidR="00D8721E">
        <w:t>–1</w:t>
      </w:r>
      <w:r>
        <w:t>6)</w:t>
      </w:r>
      <w:r w:rsidRPr="001458B6">
        <w:t xml:space="preserve"> with 95.</w:t>
      </w:r>
      <w:r w:rsidR="008C2527">
        <w:t>4</w:t>
      </w:r>
      <w:r w:rsidR="00A261F3">
        <w:t> per cent</w:t>
      </w:r>
      <w:r w:rsidRPr="001458B6">
        <w:t xml:space="preserve"> and the lowest being the ACT with </w:t>
      </w:r>
      <w:r>
        <w:t>90.</w:t>
      </w:r>
      <w:r w:rsidR="00341DAB">
        <w:t>1</w:t>
      </w:r>
      <w:r w:rsidR="00A261F3">
        <w:t> per cent</w:t>
      </w:r>
      <w:r>
        <w:t>, which also had the lowest occupancy in</w:t>
      </w:r>
      <w:r w:rsidR="00A261F3">
        <w:t> 201</w:t>
      </w:r>
      <w:r>
        <w:t>5</w:t>
      </w:r>
      <w:r w:rsidR="00D8721E">
        <w:t>–1</w:t>
      </w:r>
      <w:r>
        <w:t>6</w:t>
      </w:r>
      <w:r w:rsidRPr="001458B6">
        <w:t>.</w:t>
      </w:r>
    </w:p>
    <w:p w:rsidR="007E31A4" w:rsidRPr="00596D01" w:rsidRDefault="004B2436" w:rsidP="001C335A">
      <w:pPr>
        <w:pStyle w:val="TableTitle"/>
      </w:pPr>
      <w:bookmarkStart w:id="343" w:name="_Ref524429229"/>
      <w:r w:rsidRPr="00596D01">
        <w:t xml:space="preserve">Occupancy in residential aged </w:t>
      </w:r>
      <w:r w:rsidR="001D7F5E" w:rsidRPr="00596D01">
        <w:t>care by state/territory,</w:t>
      </w:r>
      <w:r w:rsidR="00A261F3" w:rsidRPr="00596D01">
        <w:t> 201</w:t>
      </w:r>
      <w:r w:rsidR="007E31A4" w:rsidRPr="00596D01">
        <w:t>5</w:t>
      </w:r>
      <w:r w:rsidR="00D8721E" w:rsidRPr="00596D01">
        <w:t>–1</w:t>
      </w:r>
      <w:r w:rsidR="007E31A4" w:rsidRPr="00596D01">
        <w:t>6 and</w:t>
      </w:r>
      <w:r w:rsidR="00A261F3" w:rsidRPr="00596D01">
        <w:t> 201</w:t>
      </w:r>
      <w:r w:rsidR="001D7F5E" w:rsidRPr="00596D01">
        <w:t>6</w:t>
      </w:r>
      <w:r w:rsidR="00D8721E" w:rsidRPr="00596D01">
        <w:t>–1</w:t>
      </w:r>
      <w:r w:rsidR="001D7F5E" w:rsidRPr="00596D01">
        <w:t>7</w:t>
      </w:r>
      <w:bookmarkEnd w:id="343"/>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533"/>
        <w:gridCol w:w="2488"/>
        <w:gridCol w:w="2607"/>
      </w:tblGrid>
      <w:tr w:rsidR="007E31A4" w:rsidRPr="0029654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354" w:type="pct"/>
            <w:hideMark/>
          </w:tcPr>
          <w:p w:rsidR="007E31A4" w:rsidRPr="00296540" w:rsidRDefault="007E31A4" w:rsidP="001C335A">
            <w:pPr>
              <w:rPr>
                <w:rFonts w:ascii="Segoe UI" w:hAnsi="Segoe UI" w:cs="Segoe UI"/>
                <w:color w:val="E8E8E8" w:themeColor="background2"/>
                <w:sz w:val="22"/>
                <w:szCs w:val="22"/>
                <w:lang w:val="en-GB"/>
              </w:rPr>
            </w:pPr>
            <w:r w:rsidRPr="00596D01">
              <w:t>State/territory</w:t>
            </w:r>
          </w:p>
        </w:tc>
        <w:tc>
          <w:tcPr>
            <w:tcW w:w="1292" w:type="pct"/>
          </w:tcPr>
          <w:p w:rsidR="007E31A4" w:rsidRPr="00296540" w:rsidRDefault="007A46BD" w:rsidP="001C335A">
            <w:pPr>
              <w:jc w:val="right"/>
              <w:rPr>
                <w:rFonts w:ascii="Segoe UI" w:hAnsi="Segoe UI" w:cs="Segoe UI"/>
                <w:color w:val="E8E8E8" w:themeColor="background2"/>
                <w:sz w:val="22"/>
                <w:szCs w:val="22"/>
                <w:lang w:val="en-GB"/>
              </w:rPr>
            </w:pPr>
            <w:r w:rsidRPr="00596D01">
              <w:t>Occupancy (%)</w:t>
            </w:r>
            <w:r w:rsidRPr="00596D01">
              <w:br/>
            </w:r>
            <w:r w:rsidR="00A261F3" w:rsidRPr="00596D01">
              <w:t> 201</w:t>
            </w:r>
            <w:r w:rsidRPr="00596D01">
              <w:t>5</w:t>
            </w:r>
            <w:r w:rsidR="00D8721E" w:rsidRPr="00596D01">
              <w:t>–1</w:t>
            </w:r>
            <w:r w:rsidRPr="00596D01">
              <w:t>6</w:t>
            </w:r>
          </w:p>
        </w:tc>
        <w:tc>
          <w:tcPr>
            <w:tcW w:w="1355" w:type="pct"/>
            <w:hideMark/>
          </w:tcPr>
          <w:p w:rsidR="007E31A4" w:rsidRPr="00596D01" w:rsidRDefault="007E31A4" w:rsidP="001C335A">
            <w:pPr>
              <w:jc w:val="right"/>
            </w:pPr>
            <w:r w:rsidRPr="00596D01">
              <w:t>Occupancy (%)</w:t>
            </w:r>
            <w:r w:rsidR="007A46BD" w:rsidRPr="00596D01">
              <w:br/>
            </w:r>
            <w:r w:rsidR="00A261F3" w:rsidRPr="00596D01">
              <w:t> 201</w:t>
            </w:r>
            <w:r w:rsidR="007A46BD" w:rsidRPr="00596D01">
              <w:t>6</w:t>
            </w:r>
            <w:r w:rsidR="00D8721E" w:rsidRPr="00596D01">
              <w:t>–1</w:t>
            </w:r>
            <w:r w:rsidR="007A46BD" w:rsidRPr="00596D01">
              <w:t>7</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New South Wales </w:t>
            </w:r>
          </w:p>
        </w:tc>
        <w:tc>
          <w:tcPr>
            <w:tcW w:w="1292" w:type="pct"/>
          </w:tcPr>
          <w:p w:rsidR="007E31A4" w:rsidRPr="00334B1E" w:rsidRDefault="007A46BD" w:rsidP="001C335A">
            <w:pPr>
              <w:jc w:val="right"/>
              <w:rPr>
                <w:rFonts w:ascii="Segoe UI" w:hAnsi="Segoe UI" w:cs="Segoe UI"/>
              </w:rPr>
            </w:pPr>
            <w:r>
              <w:rPr>
                <w:rFonts w:ascii="Segoe UI" w:hAnsi="Segoe UI" w:cs="Segoe UI"/>
              </w:rPr>
              <w:t>92.3</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91.1</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Victoria </w:t>
            </w:r>
          </w:p>
        </w:tc>
        <w:tc>
          <w:tcPr>
            <w:tcW w:w="1292" w:type="pct"/>
          </w:tcPr>
          <w:p w:rsidR="007E31A4" w:rsidRPr="00334B1E" w:rsidRDefault="007A46BD" w:rsidP="001C335A">
            <w:pPr>
              <w:jc w:val="right"/>
              <w:rPr>
                <w:rFonts w:ascii="Segoe UI" w:hAnsi="Segoe UI" w:cs="Segoe UI"/>
              </w:rPr>
            </w:pPr>
            <w:r>
              <w:rPr>
                <w:rFonts w:ascii="Segoe UI" w:hAnsi="Segoe UI" w:cs="Segoe UI"/>
              </w:rPr>
              <w:t>91.7</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91.1</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Queensland </w:t>
            </w:r>
          </w:p>
        </w:tc>
        <w:tc>
          <w:tcPr>
            <w:tcW w:w="1292" w:type="pct"/>
          </w:tcPr>
          <w:p w:rsidR="007E31A4" w:rsidRPr="00334B1E" w:rsidRDefault="007A46BD" w:rsidP="001C335A">
            <w:pPr>
              <w:jc w:val="right"/>
              <w:rPr>
                <w:rFonts w:ascii="Segoe UI" w:hAnsi="Segoe UI" w:cs="Segoe UI"/>
              </w:rPr>
            </w:pPr>
            <w:r>
              <w:rPr>
                <w:rFonts w:ascii="Segoe UI" w:hAnsi="Segoe UI" w:cs="Segoe UI"/>
              </w:rPr>
              <w:t>92.2</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92.3</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Western Australia </w:t>
            </w:r>
          </w:p>
        </w:tc>
        <w:tc>
          <w:tcPr>
            <w:tcW w:w="1292" w:type="pct"/>
          </w:tcPr>
          <w:p w:rsidR="007E31A4" w:rsidRPr="00334B1E" w:rsidRDefault="007A46BD" w:rsidP="001C335A">
            <w:pPr>
              <w:jc w:val="right"/>
              <w:rPr>
                <w:rFonts w:ascii="Segoe UI" w:hAnsi="Segoe UI" w:cs="Segoe UI"/>
              </w:rPr>
            </w:pPr>
            <w:r>
              <w:rPr>
                <w:rFonts w:ascii="Segoe UI" w:hAnsi="Segoe UI" w:cs="Segoe UI"/>
              </w:rPr>
              <w:t>94.5</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93.8</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South Australia </w:t>
            </w:r>
          </w:p>
        </w:tc>
        <w:tc>
          <w:tcPr>
            <w:tcW w:w="1292" w:type="pct"/>
          </w:tcPr>
          <w:p w:rsidR="007E31A4" w:rsidRPr="00334B1E" w:rsidRDefault="007A46BD" w:rsidP="001C335A">
            <w:pPr>
              <w:jc w:val="right"/>
              <w:rPr>
                <w:rFonts w:ascii="Segoe UI" w:hAnsi="Segoe UI" w:cs="Segoe UI"/>
              </w:rPr>
            </w:pPr>
            <w:r>
              <w:rPr>
                <w:rFonts w:ascii="Segoe UI" w:hAnsi="Segoe UI" w:cs="Segoe UI"/>
              </w:rPr>
              <w:t>93.7</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93.5</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Tasmania </w:t>
            </w:r>
          </w:p>
        </w:tc>
        <w:tc>
          <w:tcPr>
            <w:tcW w:w="1292" w:type="pct"/>
          </w:tcPr>
          <w:p w:rsidR="007E31A4" w:rsidRPr="00334B1E" w:rsidRDefault="007A46BD" w:rsidP="001C335A">
            <w:pPr>
              <w:jc w:val="right"/>
              <w:rPr>
                <w:rFonts w:ascii="Segoe UI" w:hAnsi="Segoe UI" w:cs="Segoe UI"/>
              </w:rPr>
            </w:pPr>
            <w:r>
              <w:rPr>
                <w:rFonts w:ascii="Segoe UI" w:hAnsi="Segoe UI" w:cs="Segoe UI"/>
              </w:rPr>
              <w:t>91.0</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91.2</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Australian Capital Territory </w:t>
            </w:r>
          </w:p>
        </w:tc>
        <w:tc>
          <w:tcPr>
            <w:tcW w:w="1292" w:type="pct"/>
          </w:tcPr>
          <w:p w:rsidR="007E31A4" w:rsidRPr="00334B1E" w:rsidRDefault="007A46BD" w:rsidP="001C335A">
            <w:pPr>
              <w:jc w:val="right"/>
              <w:rPr>
                <w:rFonts w:ascii="Segoe UI" w:hAnsi="Segoe UI" w:cs="Segoe UI"/>
              </w:rPr>
            </w:pPr>
            <w:r>
              <w:rPr>
                <w:rFonts w:ascii="Segoe UI" w:hAnsi="Segoe UI" w:cs="Segoe UI"/>
              </w:rPr>
              <w:t>88.6</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90.1</w:t>
            </w:r>
          </w:p>
        </w:tc>
      </w:tr>
      <w:tr w:rsidR="007E31A4" w:rsidRPr="007A0D37" w:rsidTr="001C335A">
        <w:trPr>
          <w:trHeight w:val="113"/>
        </w:trPr>
        <w:tc>
          <w:tcPr>
            <w:tcW w:w="2354" w:type="pct"/>
            <w:hideMark/>
          </w:tcPr>
          <w:p w:rsidR="007E31A4" w:rsidRPr="003D1BA1" w:rsidRDefault="007E31A4" w:rsidP="001C335A">
            <w:pPr>
              <w:rPr>
                <w:rFonts w:ascii="Segoe UI" w:hAnsi="Segoe UI" w:cs="Segoe UI"/>
                <w:color w:val="000000"/>
              </w:rPr>
            </w:pPr>
            <w:r w:rsidRPr="003D1BA1">
              <w:rPr>
                <w:rFonts w:ascii="Segoe UI" w:hAnsi="Segoe UI" w:cs="Segoe UI"/>
                <w:color w:val="000000"/>
              </w:rPr>
              <w:t xml:space="preserve">Northern Territory </w:t>
            </w:r>
          </w:p>
        </w:tc>
        <w:tc>
          <w:tcPr>
            <w:tcW w:w="1292" w:type="pct"/>
          </w:tcPr>
          <w:p w:rsidR="007E31A4" w:rsidRPr="00334B1E" w:rsidRDefault="007A46BD" w:rsidP="001C335A">
            <w:pPr>
              <w:jc w:val="right"/>
              <w:rPr>
                <w:rFonts w:ascii="Segoe UI" w:hAnsi="Segoe UI" w:cs="Segoe UI"/>
              </w:rPr>
            </w:pPr>
            <w:r>
              <w:rPr>
                <w:rFonts w:ascii="Segoe UI" w:hAnsi="Segoe UI" w:cs="Segoe UI"/>
              </w:rPr>
              <w:t>95.0</w:t>
            </w:r>
          </w:p>
        </w:tc>
        <w:tc>
          <w:tcPr>
            <w:tcW w:w="1355" w:type="pct"/>
          </w:tcPr>
          <w:p w:rsidR="007E31A4" w:rsidRPr="00334B1E" w:rsidRDefault="007E31A4" w:rsidP="001C335A">
            <w:pPr>
              <w:jc w:val="right"/>
              <w:rPr>
                <w:rFonts w:ascii="Segoe UI" w:hAnsi="Segoe UI" w:cs="Segoe UI"/>
              </w:rPr>
            </w:pPr>
            <w:r w:rsidRPr="00334B1E">
              <w:rPr>
                <w:rFonts w:ascii="Segoe UI" w:hAnsi="Segoe UI" w:cs="Segoe UI"/>
              </w:rPr>
              <w:t>95.4</w:t>
            </w:r>
          </w:p>
        </w:tc>
      </w:tr>
      <w:tr w:rsidR="007E31A4" w:rsidRPr="007A0D37" w:rsidTr="001C335A">
        <w:trPr>
          <w:trHeight w:val="113"/>
        </w:trPr>
        <w:tc>
          <w:tcPr>
            <w:tcW w:w="2354" w:type="pct"/>
            <w:hideMark/>
          </w:tcPr>
          <w:p w:rsidR="007E31A4" w:rsidRPr="008C1503" w:rsidRDefault="007E31A4" w:rsidP="001C335A">
            <w:pPr>
              <w:rPr>
                <w:rFonts w:ascii="Segoe UI" w:hAnsi="Segoe UI" w:cs="Segoe UI"/>
                <w:color w:val="000000"/>
              </w:rPr>
            </w:pPr>
            <w:r w:rsidRPr="00596D01">
              <w:rPr>
                <w:rStyle w:val="Strong"/>
              </w:rPr>
              <w:t xml:space="preserve">Australia </w:t>
            </w:r>
          </w:p>
        </w:tc>
        <w:tc>
          <w:tcPr>
            <w:tcW w:w="1292" w:type="pct"/>
          </w:tcPr>
          <w:p w:rsidR="007E31A4" w:rsidRPr="00334B1E" w:rsidRDefault="007A46BD" w:rsidP="001C335A">
            <w:pPr>
              <w:jc w:val="right"/>
              <w:rPr>
                <w:rFonts w:ascii="Segoe UI" w:hAnsi="Segoe UI" w:cs="Segoe UI"/>
              </w:rPr>
            </w:pPr>
            <w:r w:rsidRPr="00596D01">
              <w:rPr>
                <w:rStyle w:val="Strong"/>
              </w:rPr>
              <w:t>92.4</w:t>
            </w:r>
          </w:p>
        </w:tc>
        <w:tc>
          <w:tcPr>
            <w:tcW w:w="1355" w:type="pct"/>
          </w:tcPr>
          <w:p w:rsidR="007E31A4" w:rsidRPr="00596D01" w:rsidRDefault="007E31A4" w:rsidP="001C335A">
            <w:pPr>
              <w:jc w:val="right"/>
              <w:rPr>
                <w:rStyle w:val="Strong"/>
              </w:rPr>
            </w:pPr>
            <w:r w:rsidRPr="00596D01">
              <w:rPr>
                <w:rStyle w:val="Strong"/>
              </w:rPr>
              <w:t>91.8</w:t>
            </w:r>
          </w:p>
        </w:tc>
      </w:tr>
    </w:tbl>
    <w:p w:rsidR="007A0D37" w:rsidRDefault="001458B6" w:rsidP="001C335A">
      <w:r>
        <w:t>Th</w:t>
      </w:r>
      <w:r w:rsidR="00927C33">
        <w:t xml:space="preserve">e </w:t>
      </w:r>
      <w:r w:rsidR="007A0D37" w:rsidRPr="00B057BC">
        <w:t>greatest variation</w:t>
      </w:r>
      <w:r w:rsidR="007A0D37">
        <w:t xml:space="preserve"> in occupancy </w:t>
      </w:r>
      <w:r>
        <w:t xml:space="preserve">rates </w:t>
      </w:r>
      <w:r w:rsidR="007A0D37">
        <w:t>continues to be by</w:t>
      </w:r>
      <w:r w:rsidR="007A0D37" w:rsidRPr="00B057BC">
        <w:t xml:space="preserve"> location. </w:t>
      </w:r>
      <w:r>
        <w:t>In</w:t>
      </w:r>
      <w:r w:rsidR="00A261F3">
        <w:t> 201</w:t>
      </w:r>
      <w:r>
        <w:t>6</w:t>
      </w:r>
      <w:r w:rsidR="00D8721E">
        <w:t>–1</w:t>
      </w:r>
      <w:r>
        <w:t>7 the occupancy in very remote areas was significantly less than in all other location</w:t>
      </w:r>
      <w:r w:rsidR="00BA2715">
        <w:t>s</w:t>
      </w:r>
      <w:r w:rsidR="00747571">
        <w:t>, as was the case in</w:t>
      </w:r>
      <w:r w:rsidR="00A261F3">
        <w:t> 201</w:t>
      </w:r>
      <w:r w:rsidR="00747571">
        <w:t>5</w:t>
      </w:r>
      <w:r w:rsidR="00D8721E">
        <w:t>–1</w:t>
      </w:r>
      <w:r w:rsidR="00747571">
        <w:t>6</w:t>
      </w:r>
      <w:r>
        <w:t xml:space="preserve">. ACFA </w:t>
      </w:r>
      <w:r w:rsidR="00EB191C">
        <w:t xml:space="preserve">also </w:t>
      </w:r>
      <w:r>
        <w:t>notes that the occupancy</w:t>
      </w:r>
      <w:r w:rsidR="00EB191C">
        <w:t xml:space="preserve"> in remote areas </w:t>
      </w:r>
      <w:r w:rsidR="00E260A3">
        <w:t>increased in</w:t>
      </w:r>
      <w:r w:rsidR="00A261F3">
        <w:t> 201</w:t>
      </w:r>
      <w:r>
        <w:t>6</w:t>
      </w:r>
      <w:r w:rsidR="00D8721E">
        <w:t>–1</w:t>
      </w:r>
      <w:r>
        <w:t>7 (91.</w:t>
      </w:r>
      <w:r w:rsidR="00D00B54">
        <w:t>7</w:t>
      </w:r>
      <w:r w:rsidR="00A261F3">
        <w:t> per cent</w:t>
      </w:r>
      <w:r>
        <w:t xml:space="preserve"> up from 89.</w:t>
      </w:r>
      <w:r w:rsidR="00D00B54">
        <w:t>7</w:t>
      </w:r>
      <w:r w:rsidR="00A261F3">
        <w:t> per cent</w:t>
      </w:r>
      <w:r>
        <w:t xml:space="preserve"> in</w:t>
      </w:r>
      <w:r w:rsidR="00A261F3">
        <w:t> 201</w:t>
      </w:r>
      <w:r>
        <w:t>5</w:t>
      </w:r>
      <w:r w:rsidR="00D8721E">
        <w:t>–1</w:t>
      </w:r>
      <w:r>
        <w:t>6)</w:t>
      </w:r>
      <w:r w:rsidR="004638A9">
        <w:t>,</w:t>
      </w:r>
      <w:r w:rsidR="00EB191C">
        <w:t xml:space="preserve"> </w:t>
      </w:r>
      <w:r w:rsidR="00EB191C">
        <w:lastRenderedPageBreak/>
        <w:t>while in very remote areas it decreased further compared to</w:t>
      </w:r>
      <w:r w:rsidR="00A261F3">
        <w:t> 201</w:t>
      </w:r>
      <w:r w:rsidR="00EB191C">
        <w:t>5</w:t>
      </w:r>
      <w:r w:rsidR="00D8721E">
        <w:t>–1</w:t>
      </w:r>
      <w:r w:rsidR="00EB191C">
        <w:t>6 (77.</w:t>
      </w:r>
      <w:r w:rsidR="008C2527">
        <w:t>4</w:t>
      </w:r>
      <w:r w:rsidR="00A261F3">
        <w:t> per cent</w:t>
      </w:r>
      <w:r w:rsidR="00EB191C">
        <w:t xml:space="preserve"> compared with 80</w:t>
      </w:r>
      <w:r w:rsidR="00A261F3">
        <w:t> per cent</w:t>
      </w:r>
      <w:r w:rsidR="00EB191C">
        <w:t>).</w:t>
      </w:r>
    </w:p>
    <w:p w:rsidR="00D8721E" w:rsidRDefault="00492BF8" w:rsidP="001C335A">
      <w:r>
        <w:fldChar w:fldCharType="begin"/>
      </w:r>
      <w:r>
        <w:instrText xml:space="preserve"> REF _Ref524429238 \r \h </w:instrText>
      </w:r>
      <w:r>
        <w:fldChar w:fldCharType="separate"/>
      </w:r>
      <w:r>
        <w:t>Table 5.6</w:t>
      </w:r>
      <w:r>
        <w:fldChar w:fldCharType="end"/>
      </w:r>
      <w:r>
        <w:t xml:space="preserve"> </w:t>
      </w:r>
      <w:r w:rsidR="00927C33">
        <w:t xml:space="preserve">shows occupancy </w:t>
      </w:r>
      <w:r w:rsidR="001A0261">
        <w:t>in residential care</w:t>
      </w:r>
      <w:r w:rsidR="004B2436" w:rsidRPr="00B057BC">
        <w:t xml:space="preserve"> by </w:t>
      </w:r>
      <w:r w:rsidR="00927C33">
        <w:t>location during</w:t>
      </w:r>
      <w:r w:rsidR="00A261F3">
        <w:t> 201</w:t>
      </w:r>
      <w:r w:rsidR="00927C33">
        <w:t>6</w:t>
      </w:r>
      <w:r w:rsidR="00D8721E">
        <w:t>–1</w:t>
      </w:r>
      <w:r w:rsidR="00927C33">
        <w:t>7</w:t>
      </w:r>
      <w:r w:rsidR="004B2436" w:rsidRPr="00B057BC">
        <w:t>.</w:t>
      </w:r>
    </w:p>
    <w:p w:rsidR="00E6396F" w:rsidRPr="00596D01" w:rsidRDefault="009839E8" w:rsidP="001C335A">
      <w:pPr>
        <w:pStyle w:val="TableTitle"/>
        <w:rPr>
          <w:rStyle w:val="Strong"/>
        </w:rPr>
      </w:pPr>
      <w:bookmarkStart w:id="344" w:name="_Ref524429238"/>
      <w:r w:rsidRPr="00596D01">
        <w:t>Residential aged care occupanc</w:t>
      </w:r>
      <w:r w:rsidR="00172007" w:rsidRPr="00596D01">
        <w:t>y</w:t>
      </w:r>
      <w:r w:rsidR="00747571" w:rsidRPr="00596D01">
        <w:t>,</w:t>
      </w:r>
      <w:r w:rsidR="00172007" w:rsidRPr="00596D01">
        <w:t xml:space="preserve"> by </w:t>
      </w:r>
      <w:r w:rsidR="004638A9" w:rsidRPr="00596D01">
        <w:t>location</w:t>
      </w:r>
      <w:r w:rsidR="00172007" w:rsidRPr="00596D01">
        <w:t>,</w:t>
      </w:r>
      <w:r w:rsidR="00A261F3" w:rsidRPr="00596D01">
        <w:t> 201</w:t>
      </w:r>
      <w:r w:rsidR="003C1CC8" w:rsidRPr="00596D01">
        <w:t>5</w:t>
      </w:r>
      <w:r w:rsidR="00D8721E" w:rsidRPr="00596D01">
        <w:t>–1</w:t>
      </w:r>
      <w:r w:rsidR="003C1CC8" w:rsidRPr="00596D01">
        <w:t>6 and</w:t>
      </w:r>
      <w:r w:rsidR="00A261F3" w:rsidRPr="00596D01">
        <w:t> 201</w:t>
      </w:r>
      <w:r w:rsidR="003C1CC8" w:rsidRPr="00596D01">
        <w:t>6</w:t>
      </w:r>
      <w:r w:rsidR="00D8721E" w:rsidRPr="00596D01">
        <w:t>–1</w:t>
      </w:r>
      <w:r w:rsidR="003C1CC8" w:rsidRPr="00596D01">
        <w:t>7</w:t>
      </w:r>
      <w:bookmarkEnd w:id="344"/>
      <w:r w:rsidR="00172007"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906"/>
        <w:gridCol w:w="2313"/>
        <w:gridCol w:w="2409"/>
      </w:tblGrid>
      <w:tr w:rsidR="00B726F4" w:rsidRPr="00A973D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548" w:type="pct"/>
          </w:tcPr>
          <w:p w:rsidR="00B726F4" w:rsidRPr="00DC71DE" w:rsidRDefault="00E032B1" w:rsidP="001C335A">
            <w:pPr>
              <w:rPr>
                <w:rFonts w:ascii="Segoe UI" w:hAnsi="Segoe UI" w:cs="Segoe UI"/>
              </w:rPr>
            </w:pPr>
            <w:r w:rsidRPr="00596D01">
              <w:t>Provider</w:t>
            </w:r>
            <w:r w:rsidR="00B726F4" w:rsidRPr="00596D01">
              <w:t xml:space="preserve"> location</w:t>
            </w:r>
            <w:r w:rsidR="00B726F4" w:rsidRPr="00DC71DE">
              <w:rPr>
                <w:rFonts w:ascii="Segoe UI" w:hAnsi="Segoe UI" w:cs="Segoe UI"/>
              </w:rPr>
              <w:t xml:space="preserve"> </w:t>
            </w:r>
          </w:p>
        </w:tc>
        <w:tc>
          <w:tcPr>
            <w:tcW w:w="1201" w:type="pct"/>
          </w:tcPr>
          <w:p w:rsidR="00B726F4" w:rsidRPr="003F38D4" w:rsidRDefault="00B726F4" w:rsidP="00303CD5">
            <w:pPr>
              <w:jc w:val="right"/>
              <w:rPr>
                <w:rFonts w:ascii="Segoe UI" w:hAnsi="Segoe UI" w:cs="Segoe UI"/>
                <w:color w:val="E8E8E8" w:themeColor="background2"/>
                <w:sz w:val="22"/>
                <w:szCs w:val="22"/>
                <w:lang w:val="en-GB"/>
              </w:rPr>
            </w:pPr>
            <w:r w:rsidRPr="00596D01">
              <w:t>Occupancy (%)</w:t>
            </w:r>
            <w:r w:rsidRPr="00596D01">
              <w:br/>
            </w:r>
            <w:r w:rsidR="00A261F3" w:rsidRPr="00596D01">
              <w:t> 201</w:t>
            </w:r>
            <w:r w:rsidRPr="00596D01">
              <w:t>5</w:t>
            </w:r>
            <w:r w:rsidR="00D8721E" w:rsidRPr="00596D01">
              <w:t>–1</w:t>
            </w:r>
            <w:r w:rsidRPr="00596D01">
              <w:t>6</w:t>
            </w:r>
          </w:p>
        </w:tc>
        <w:tc>
          <w:tcPr>
            <w:tcW w:w="1251" w:type="pct"/>
          </w:tcPr>
          <w:p w:rsidR="00B726F4" w:rsidRPr="00596D01" w:rsidRDefault="00B726F4" w:rsidP="00303CD5">
            <w:pPr>
              <w:jc w:val="right"/>
            </w:pPr>
            <w:r w:rsidRPr="00596D01">
              <w:t>Occupancy (%)</w:t>
            </w:r>
            <w:r w:rsidRPr="00596D01">
              <w:br/>
            </w:r>
            <w:r w:rsidR="00A261F3" w:rsidRPr="00596D01">
              <w:t> 201</w:t>
            </w:r>
            <w:r w:rsidRPr="00596D01">
              <w:t>6</w:t>
            </w:r>
            <w:r w:rsidR="00D8721E" w:rsidRPr="00596D01">
              <w:t>–1</w:t>
            </w:r>
            <w:r w:rsidRPr="00596D01">
              <w:t>7</w:t>
            </w:r>
          </w:p>
        </w:tc>
      </w:tr>
      <w:tr w:rsidR="00EB191C" w:rsidRPr="00563663" w:rsidTr="00303CD5">
        <w:trPr>
          <w:trHeight w:val="113"/>
        </w:trPr>
        <w:tc>
          <w:tcPr>
            <w:tcW w:w="2548" w:type="pct"/>
          </w:tcPr>
          <w:p w:rsidR="00EB191C" w:rsidRPr="00557C8E" w:rsidRDefault="00EB191C" w:rsidP="001C335A">
            <w:pPr>
              <w:rPr>
                <w:rFonts w:ascii="Segoe UI" w:hAnsi="Segoe UI" w:cs="Segoe UI"/>
                <w:color w:val="000000"/>
              </w:rPr>
            </w:pPr>
            <w:r w:rsidRPr="00557C8E">
              <w:rPr>
                <w:rFonts w:ascii="Segoe UI" w:hAnsi="Segoe UI" w:cs="Segoe UI"/>
                <w:color w:val="000000"/>
              </w:rPr>
              <w:t>Major cities</w:t>
            </w:r>
          </w:p>
        </w:tc>
        <w:tc>
          <w:tcPr>
            <w:tcW w:w="120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92.4</w:t>
            </w:r>
          </w:p>
        </w:tc>
        <w:tc>
          <w:tcPr>
            <w:tcW w:w="125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91.4</w:t>
            </w:r>
          </w:p>
        </w:tc>
      </w:tr>
      <w:tr w:rsidR="00EB191C" w:rsidRPr="00563663" w:rsidTr="00303CD5">
        <w:trPr>
          <w:trHeight w:val="113"/>
        </w:trPr>
        <w:tc>
          <w:tcPr>
            <w:tcW w:w="2548" w:type="pct"/>
          </w:tcPr>
          <w:p w:rsidR="00EB191C" w:rsidRPr="00557C8E" w:rsidRDefault="00EB191C" w:rsidP="001C335A">
            <w:pPr>
              <w:rPr>
                <w:rFonts w:ascii="Segoe UI" w:hAnsi="Segoe UI" w:cs="Segoe UI"/>
                <w:color w:val="000000"/>
              </w:rPr>
            </w:pPr>
            <w:r w:rsidRPr="00557C8E">
              <w:rPr>
                <w:rFonts w:ascii="Segoe UI" w:hAnsi="Segoe UI" w:cs="Segoe UI"/>
                <w:color w:val="000000"/>
              </w:rPr>
              <w:t>Inner regional</w:t>
            </w:r>
          </w:p>
        </w:tc>
        <w:tc>
          <w:tcPr>
            <w:tcW w:w="1201" w:type="pct"/>
          </w:tcPr>
          <w:p w:rsidR="00EB191C" w:rsidRPr="00DC71DE" w:rsidRDefault="00B726F4" w:rsidP="00303CD5">
            <w:pPr>
              <w:jc w:val="right"/>
              <w:rPr>
                <w:rFonts w:ascii="Segoe UI" w:hAnsi="Segoe UI" w:cs="Segoe UI"/>
                <w:color w:val="000000"/>
              </w:rPr>
            </w:pPr>
            <w:r w:rsidRPr="00DC71DE">
              <w:rPr>
                <w:rFonts w:ascii="Segoe UI" w:hAnsi="Segoe UI" w:cs="Segoe UI"/>
                <w:color w:val="000000"/>
              </w:rPr>
              <w:t>92.5</w:t>
            </w:r>
          </w:p>
        </w:tc>
        <w:tc>
          <w:tcPr>
            <w:tcW w:w="125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92.7</w:t>
            </w:r>
          </w:p>
        </w:tc>
      </w:tr>
      <w:tr w:rsidR="00EB191C" w:rsidRPr="00563663" w:rsidTr="00303CD5">
        <w:trPr>
          <w:trHeight w:val="113"/>
        </w:trPr>
        <w:tc>
          <w:tcPr>
            <w:tcW w:w="2548" w:type="pct"/>
          </w:tcPr>
          <w:p w:rsidR="00EB191C" w:rsidRPr="00557C8E" w:rsidRDefault="00EB191C" w:rsidP="001C335A">
            <w:pPr>
              <w:rPr>
                <w:rFonts w:ascii="Segoe UI" w:hAnsi="Segoe UI" w:cs="Segoe UI"/>
                <w:color w:val="000000"/>
              </w:rPr>
            </w:pPr>
            <w:r w:rsidRPr="00557C8E">
              <w:rPr>
                <w:rFonts w:ascii="Segoe UI" w:hAnsi="Segoe UI" w:cs="Segoe UI"/>
                <w:color w:val="000000"/>
              </w:rPr>
              <w:t>Outer regional</w:t>
            </w:r>
          </w:p>
        </w:tc>
        <w:tc>
          <w:tcPr>
            <w:tcW w:w="1201" w:type="pct"/>
          </w:tcPr>
          <w:p w:rsidR="00EB191C" w:rsidRPr="00DC71DE" w:rsidRDefault="00B726F4" w:rsidP="00303CD5">
            <w:pPr>
              <w:jc w:val="right"/>
              <w:rPr>
                <w:rFonts w:ascii="Segoe UI" w:hAnsi="Segoe UI" w:cs="Segoe UI"/>
                <w:color w:val="000000"/>
              </w:rPr>
            </w:pPr>
            <w:r w:rsidRPr="00DC71DE">
              <w:rPr>
                <w:rFonts w:ascii="Segoe UI" w:hAnsi="Segoe UI" w:cs="Segoe UI"/>
                <w:color w:val="000000"/>
              </w:rPr>
              <w:t>92.0</w:t>
            </w:r>
          </w:p>
        </w:tc>
        <w:tc>
          <w:tcPr>
            <w:tcW w:w="125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92.2</w:t>
            </w:r>
          </w:p>
        </w:tc>
      </w:tr>
      <w:tr w:rsidR="00EB191C" w:rsidRPr="00563663" w:rsidTr="00303CD5">
        <w:trPr>
          <w:trHeight w:val="113"/>
        </w:trPr>
        <w:tc>
          <w:tcPr>
            <w:tcW w:w="2548" w:type="pct"/>
          </w:tcPr>
          <w:p w:rsidR="00EB191C" w:rsidRPr="00557C8E" w:rsidRDefault="00EB191C" w:rsidP="001C335A">
            <w:pPr>
              <w:rPr>
                <w:rFonts w:ascii="Segoe UI" w:hAnsi="Segoe UI" w:cs="Segoe UI"/>
                <w:color w:val="000000"/>
              </w:rPr>
            </w:pPr>
            <w:r w:rsidRPr="00557C8E">
              <w:rPr>
                <w:rFonts w:ascii="Segoe UI" w:hAnsi="Segoe UI" w:cs="Segoe UI"/>
                <w:color w:val="000000"/>
              </w:rPr>
              <w:t>Remote</w:t>
            </w:r>
          </w:p>
        </w:tc>
        <w:tc>
          <w:tcPr>
            <w:tcW w:w="1201" w:type="pct"/>
          </w:tcPr>
          <w:p w:rsidR="00EB191C" w:rsidRPr="00DC71DE" w:rsidRDefault="00B726F4" w:rsidP="00303CD5">
            <w:pPr>
              <w:jc w:val="right"/>
              <w:rPr>
                <w:rFonts w:ascii="Segoe UI" w:hAnsi="Segoe UI" w:cs="Segoe UI"/>
                <w:color w:val="000000"/>
              </w:rPr>
            </w:pPr>
            <w:r w:rsidRPr="00DC71DE">
              <w:rPr>
                <w:rFonts w:ascii="Segoe UI" w:hAnsi="Segoe UI" w:cs="Segoe UI"/>
                <w:color w:val="000000"/>
              </w:rPr>
              <w:t>89.7</w:t>
            </w:r>
          </w:p>
        </w:tc>
        <w:tc>
          <w:tcPr>
            <w:tcW w:w="125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91.7</w:t>
            </w:r>
          </w:p>
        </w:tc>
      </w:tr>
      <w:tr w:rsidR="00EB191C" w:rsidRPr="00563663" w:rsidTr="00303CD5">
        <w:trPr>
          <w:trHeight w:val="113"/>
        </w:trPr>
        <w:tc>
          <w:tcPr>
            <w:tcW w:w="2548" w:type="pct"/>
          </w:tcPr>
          <w:p w:rsidR="00EB191C" w:rsidRPr="00557C8E" w:rsidRDefault="00EB191C" w:rsidP="001C335A">
            <w:pPr>
              <w:rPr>
                <w:rFonts w:ascii="Segoe UI" w:hAnsi="Segoe UI" w:cs="Segoe UI"/>
                <w:color w:val="000000"/>
              </w:rPr>
            </w:pPr>
            <w:r w:rsidRPr="00557C8E">
              <w:rPr>
                <w:rFonts w:ascii="Segoe UI" w:hAnsi="Segoe UI" w:cs="Segoe UI"/>
                <w:color w:val="000000"/>
              </w:rPr>
              <w:t>Very remote</w:t>
            </w:r>
          </w:p>
        </w:tc>
        <w:tc>
          <w:tcPr>
            <w:tcW w:w="120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80.0</w:t>
            </w:r>
          </w:p>
        </w:tc>
        <w:tc>
          <w:tcPr>
            <w:tcW w:w="1251" w:type="pct"/>
          </w:tcPr>
          <w:p w:rsidR="00EB191C" w:rsidRPr="00DC71DE" w:rsidRDefault="00EB191C" w:rsidP="00303CD5">
            <w:pPr>
              <w:jc w:val="right"/>
              <w:rPr>
                <w:rFonts w:ascii="Segoe UI" w:hAnsi="Segoe UI" w:cs="Segoe UI"/>
                <w:color w:val="000000"/>
              </w:rPr>
            </w:pPr>
            <w:r w:rsidRPr="00DC71DE">
              <w:rPr>
                <w:rFonts w:ascii="Segoe UI" w:hAnsi="Segoe UI" w:cs="Segoe UI"/>
                <w:color w:val="000000"/>
              </w:rPr>
              <w:t>77.4</w:t>
            </w:r>
          </w:p>
        </w:tc>
      </w:tr>
    </w:tbl>
    <w:p w:rsidR="00D8721E" w:rsidRDefault="00B53B68" w:rsidP="001C335A">
      <w:bookmarkStart w:id="345" w:name="_Ref453176929"/>
      <w:r>
        <w:t>O</w:t>
      </w:r>
      <w:r w:rsidR="00927C33">
        <w:t>ccupancy</w:t>
      </w:r>
      <w:r>
        <w:t xml:space="preserve"> by location</w:t>
      </w:r>
      <w:r w:rsidR="009839E8" w:rsidRPr="009845A7">
        <w:t xml:space="preserve"> suggests the greatest demand pressures on average may be in metropolitan areas, with somewhat less demand in more</w:t>
      </w:r>
      <w:r w:rsidR="00C47199">
        <w:t xml:space="preserve"> remote areas. </w:t>
      </w:r>
      <w:r w:rsidR="00E260A3">
        <w:t>ACFA note</w:t>
      </w:r>
      <w:r w:rsidR="00F552B9">
        <w:t>s</w:t>
      </w:r>
      <w:r w:rsidR="00E260A3">
        <w:t xml:space="preserve"> however that occupancy in major cities </w:t>
      </w:r>
      <w:r w:rsidR="00F552B9">
        <w:t>declined</w:t>
      </w:r>
      <w:r w:rsidR="00AC0BE3">
        <w:t xml:space="preserve"> by </w:t>
      </w:r>
      <w:r w:rsidR="00853876">
        <w:t>1</w:t>
      </w:r>
      <w:r w:rsidR="00A261F3">
        <w:t> per cent</w:t>
      </w:r>
      <w:r w:rsidR="00AC0BE3">
        <w:t xml:space="preserve"> </w:t>
      </w:r>
      <w:r w:rsidR="00BA2715">
        <w:t>in</w:t>
      </w:r>
      <w:r w:rsidR="00A261F3">
        <w:t> 201</w:t>
      </w:r>
      <w:r w:rsidR="00BA2715">
        <w:t>6</w:t>
      </w:r>
      <w:r w:rsidR="00D8721E">
        <w:t>–1</w:t>
      </w:r>
      <w:r w:rsidR="00BA2715">
        <w:t xml:space="preserve">7 </w:t>
      </w:r>
      <w:r w:rsidR="00AC0BE3">
        <w:t>after being stable in previous years</w:t>
      </w:r>
      <w:r w:rsidR="00D8721E">
        <w:t>.</w:t>
      </w:r>
    </w:p>
    <w:p w:rsidR="00D8721E" w:rsidRDefault="00F552B9" w:rsidP="001C335A">
      <w:r>
        <w:t>The variation in occupancy by location is more likely to reflect the supply of aged care places as distributed through the ACAR planning process, rather than characteristics of the aged population.</w:t>
      </w:r>
    </w:p>
    <w:p w:rsidR="00796A86" w:rsidRPr="00596D01" w:rsidRDefault="00796A86" w:rsidP="001C335A">
      <w:pPr>
        <w:pStyle w:val="Heading3Numbered"/>
      </w:pPr>
      <w:bookmarkStart w:id="346" w:name="_Toc524424738"/>
      <w:r w:rsidRPr="00596D01">
        <w:t>Admissions in residential care</w:t>
      </w:r>
      <w:bookmarkEnd w:id="346"/>
    </w:p>
    <w:p w:rsidR="002D61DC" w:rsidRDefault="002D61DC" w:rsidP="001C335A">
      <w:r>
        <w:t xml:space="preserve">As </w:t>
      </w:r>
      <w:r w:rsidR="00492BF8">
        <w:fldChar w:fldCharType="begin"/>
      </w:r>
      <w:r w:rsidR="00492BF8">
        <w:instrText xml:space="preserve"> REF _Ref524428150 \r \h </w:instrText>
      </w:r>
      <w:r w:rsidR="00492BF8">
        <w:fldChar w:fldCharType="separate"/>
      </w:r>
      <w:r w:rsidR="00492BF8">
        <w:t>Chart 5.10</w:t>
      </w:r>
      <w:r w:rsidR="00492BF8">
        <w:fldChar w:fldCharType="end"/>
      </w:r>
      <w:r w:rsidR="00492BF8">
        <w:t xml:space="preserve"> </w:t>
      </w:r>
      <w:r>
        <w:t>indicates, elapsed time between when a resident is assessed as eligible for residential care and entering permanent care continues to increase. This trend has been evident since</w:t>
      </w:r>
      <w:r w:rsidR="00A261F3">
        <w:t> 201</w:t>
      </w:r>
      <w:r>
        <w:t>1</w:t>
      </w:r>
      <w:r w:rsidR="00D8721E">
        <w:t>–1</w:t>
      </w:r>
      <w:r>
        <w:t>2, however</w:t>
      </w:r>
      <w:r w:rsidR="00BA2715">
        <w:t xml:space="preserve"> has become</w:t>
      </w:r>
      <w:r>
        <w:t xml:space="preserve"> more obvious since</w:t>
      </w:r>
      <w:r w:rsidR="00A261F3">
        <w:t> 201</w:t>
      </w:r>
      <w:r>
        <w:t>3</w:t>
      </w:r>
      <w:r w:rsidR="00D8721E">
        <w:t>–1</w:t>
      </w:r>
      <w:r>
        <w:t>4.</w:t>
      </w:r>
      <w:r w:rsidR="00BA2715">
        <w:t xml:space="preserve"> In</w:t>
      </w:r>
      <w:r w:rsidR="00A261F3">
        <w:t> 201</w:t>
      </w:r>
      <w:r w:rsidR="00BA2715">
        <w:t>6</w:t>
      </w:r>
      <w:r w:rsidR="00D8721E">
        <w:t>–1</w:t>
      </w:r>
      <w:r w:rsidR="00BA2715">
        <w:t>7:</w:t>
      </w:r>
    </w:p>
    <w:p w:rsidR="002D61DC" w:rsidRDefault="00853876" w:rsidP="001C335A">
      <w:pPr>
        <w:pStyle w:val="Bullet1"/>
        <w:rPr>
          <w:lang w:eastAsia="en-US"/>
        </w:rPr>
      </w:pPr>
      <w:r>
        <w:rPr>
          <w:lang w:eastAsia="en-US"/>
        </w:rPr>
        <w:t>8</w:t>
      </w:r>
      <w:r w:rsidR="00A261F3">
        <w:rPr>
          <w:lang w:eastAsia="en-US"/>
        </w:rPr>
        <w:t> per cent</w:t>
      </w:r>
      <w:r w:rsidR="002D61DC">
        <w:rPr>
          <w:lang w:eastAsia="en-US"/>
        </w:rPr>
        <w:t xml:space="preserve"> of people entering care did so within a week of being assessed by an ACAT (1</w:t>
      </w:r>
      <w:r w:rsidR="00D00B54">
        <w:rPr>
          <w:lang w:eastAsia="en-US"/>
        </w:rPr>
        <w:t>8</w:t>
      </w:r>
      <w:r w:rsidR="00A261F3">
        <w:rPr>
          <w:lang w:eastAsia="en-US"/>
        </w:rPr>
        <w:t> per cent</w:t>
      </w:r>
      <w:r w:rsidR="002D61DC">
        <w:rPr>
          <w:lang w:eastAsia="en-US"/>
        </w:rPr>
        <w:t xml:space="preserve"> in</w:t>
      </w:r>
      <w:r w:rsidR="00A261F3">
        <w:rPr>
          <w:lang w:eastAsia="en-US"/>
        </w:rPr>
        <w:t> 201</w:t>
      </w:r>
      <w:r w:rsidR="002D61DC">
        <w:rPr>
          <w:lang w:eastAsia="en-US"/>
        </w:rPr>
        <w:t>1</w:t>
      </w:r>
      <w:r w:rsidR="00D8721E">
        <w:rPr>
          <w:lang w:eastAsia="en-US"/>
        </w:rPr>
        <w:t>–1</w:t>
      </w:r>
      <w:r w:rsidR="002D61DC">
        <w:rPr>
          <w:lang w:eastAsia="en-US"/>
        </w:rPr>
        <w:t xml:space="preserve">2); </w:t>
      </w:r>
    </w:p>
    <w:p w:rsidR="002D61DC" w:rsidRDefault="002D61DC" w:rsidP="001C335A">
      <w:pPr>
        <w:pStyle w:val="Bullet1"/>
        <w:rPr>
          <w:lang w:eastAsia="en-US"/>
        </w:rPr>
      </w:pPr>
      <w:r>
        <w:rPr>
          <w:lang w:eastAsia="en-US"/>
        </w:rPr>
        <w:t>2</w:t>
      </w:r>
      <w:r w:rsidR="008C2527">
        <w:rPr>
          <w:lang w:eastAsia="en-US"/>
        </w:rPr>
        <w:t>4</w:t>
      </w:r>
      <w:r w:rsidR="00A261F3">
        <w:rPr>
          <w:lang w:eastAsia="en-US"/>
        </w:rPr>
        <w:t> per cent</w:t>
      </w:r>
      <w:r>
        <w:rPr>
          <w:lang w:eastAsia="en-US"/>
        </w:rPr>
        <w:t xml:space="preserve"> did so within a month (4</w:t>
      </w:r>
      <w:r w:rsidR="008C2527">
        <w:rPr>
          <w:lang w:eastAsia="en-US"/>
        </w:rPr>
        <w:t>4</w:t>
      </w:r>
      <w:r w:rsidR="00A261F3">
        <w:rPr>
          <w:lang w:eastAsia="en-US"/>
        </w:rPr>
        <w:t> per cent</w:t>
      </w:r>
      <w:r>
        <w:rPr>
          <w:lang w:eastAsia="en-US"/>
        </w:rPr>
        <w:t xml:space="preserve"> in</w:t>
      </w:r>
      <w:r w:rsidR="00A261F3">
        <w:rPr>
          <w:lang w:eastAsia="en-US"/>
        </w:rPr>
        <w:t> 201</w:t>
      </w:r>
      <w:r>
        <w:rPr>
          <w:lang w:eastAsia="en-US"/>
        </w:rPr>
        <w:t>1</w:t>
      </w:r>
      <w:r w:rsidR="00D8721E">
        <w:rPr>
          <w:lang w:eastAsia="en-US"/>
        </w:rPr>
        <w:t>–1</w:t>
      </w:r>
      <w:r>
        <w:rPr>
          <w:lang w:eastAsia="en-US"/>
        </w:rPr>
        <w:t xml:space="preserve">2); and </w:t>
      </w:r>
    </w:p>
    <w:p w:rsidR="002D61DC" w:rsidRDefault="002D61DC" w:rsidP="001C335A">
      <w:pPr>
        <w:pStyle w:val="Bullet1"/>
        <w:rPr>
          <w:lang w:eastAsia="en-US"/>
        </w:rPr>
      </w:pPr>
      <w:r>
        <w:rPr>
          <w:lang w:eastAsia="en-US"/>
        </w:rPr>
        <w:t>6</w:t>
      </w:r>
      <w:r w:rsidR="00D00B54">
        <w:rPr>
          <w:lang w:eastAsia="en-US"/>
        </w:rPr>
        <w:t>7</w:t>
      </w:r>
      <w:r w:rsidR="00A261F3">
        <w:rPr>
          <w:lang w:eastAsia="en-US"/>
        </w:rPr>
        <w:t> per cent</w:t>
      </w:r>
      <w:r>
        <w:rPr>
          <w:lang w:eastAsia="en-US"/>
        </w:rPr>
        <w:t xml:space="preserve"> within nine months (8</w:t>
      </w:r>
      <w:r w:rsidR="00D00B54">
        <w:rPr>
          <w:lang w:eastAsia="en-US"/>
        </w:rPr>
        <w:t>9</w:t>
      </w:r>
      <w:r w:rsidR="00A261F3">
        <w:rPr>
          <w:lang w:eastAsia="en-US"/>
        </w:rPr>
        <w:t> per cent</w:t>
      </w:r>
      <w:r>
        <w:rPr>
          <w:lang w:eastAsia="en-US"/>
        </w:rPr>
        <w:t xml:space="preserve"> in</w:t>
      </w:r>
      <w:r w:rsidR="00A261F3">
        <w:rPr>
          <w:lang w:eastAsia="en-US"/>
        </w:rPr>
        <w:t> 201</w:t>
      </w:r>
      <w:r>
        <w:rPr>
          <w:lang w:eastAsia="en-US"/>
        </w:rPr>
        <w:t>1</w:t>
      </w:r>
      <w:r w:rsidR="00D8721E">
        <w:rPr>
          <w:lang w:eastAsia="en-US"/>
        </w:rPr>
        <w:t>–1</w:t>
      </w:r>
      <w:r>
        <w:rPr>
          <w:lang w:eastAsia="en-US"/>
        </w:rPr>
        <w:t>2).</w:t>
      </w:r>
    </w:p>
    <w:p w:rsidR="002D61DC" w:rsidRDefault="002D61DC" w:rsidP="001C335A">
      <w:pPr>
        <w:rPr>
          <w:lang w:eastAsia="en-US"/>
        </w:rPr>
      </w:pPr>
      <w:r>
        <w:rPr>
          <w:lang w:eastAsia="en-US"/>
        </w:rPr>
        <w:t xml:space="preserve">However, elapsed time statistics need to be </w:t>
      </w:r>
      <w:r w:rsidR="00F552B9">
        <w:rPr>
          <w:lang w:eastAsia="en-US"/>
        </w:rPr>
        <w:t>interpreted</w:t>
      </w:r>
      <w:r>
        <w:rPr>
          <w:lang w:eastAsia="en-US"/>
        </w:rPr>
        <w:t xml:space="preserve"> with caution as the delay between an eligible assessment and a perso</w:t>
      </w:r>
      <w:r w:rsidR="00F552B9">
        <w:rPr>
          <w:lang w:eastAsia="en-US"/>
        </w:rPr>
        <w:t xml:space="preserve">n entering care could be due to </w:t>
      </w:r>
      <w:r>
        <w:rPr>
          <w:lang w:eastAsia="en-US"/>
        </w:rPr>
        <w:t>consumer</w:t>
      </w:r>
      <w:r w:rsidR="00F552B9">
        <w:rPr>
          <w:lang w:eastAsia="en-US"/>
        </w:rPr>
        <w:t xml:space="preserve"> choice</w:t>
      </w:r>
      <w:r>
        <w:rPr>
          <w:lang w:eastAsia="en-US"/>
        </w:rPr>
        <w:t xml:space="preserve"> and not necessarily delays in the system.</w:t>
      </w:r>
    </w:p>
    <w:p w:rsidR="00D8721E" w:rsidRDefault="002D61DC" w:rsidP="001C335A">
      <w:pPr>
        <w:rPr>
          <w:lang w:eastAsia="en-US"/>
        </w:rPr>
      </w:pPr>
      <w:r>
        <w:rPr>
          <w:lang w:eastAsia="en-US"/>
        </w:rPr>
        <w:t>The increasing availability of home care and the increased usage of residential respite care could also be contributing to the longer time between assessment and someone entering permanent care</w:t>
      </w:r>
      <w:r w:rsidR="00D8721E">
        <w:rPr>
          <w:lang w:eastAsia="en-US"/>
        </w:rPr>
        <w:t>.</w:t>
      </w:r>
    </w:p>
    <w:p w:rsidR="00067DDD" w:rsidRPr="00596D01" w:rsidRDefault="00B27E3D" w:rsidP="001C335A">
      <w:pPr>
        <w:pStyle w:val="ChartTitle"/>
      </w:pPr>
      <w:bookmarkStart w:id="347" w:name="_Ref524428150"/>
      <w:r w:rsidRPr="00596D01">
        <w:lastRenderedPageBreak/>
        <w:t>Elapsed time between assessment and entering permanent residential care,</w:t>
      </w:r>
      <w:r w:rsidR="00A261F3" w:rsidRPr="00596D01">
        <w:t> 201</w:t>
      </w:r>
      <w:r w:rsidRPr="00596D01">
        <w:t>1</w:t>
      </w:r>
      <w:r w:rsidR="00D8721E" w:rsidRPr="00596D01">
        <w:t>–1</w:t>
      </w:r>
      <w:r w:rsidRPr="00596D01">
        <w:t>2 to</w:t>
      </w:r>
      <w:r w:rsidR="00A261F3" w:rsidRPr="00596D01">
        <w:t> 201</w:t>
      </w:r>
      <w:r w:rsidRPr="00596D01">
        <w:t>6</w:t>
      </w:r>
      <w:r w:rsidR="00D8721E" w:rsidRPr="00596D01">
        <w:t>–1</w:t>
      </w:r>
      <w:r w:rsidRPr="00596D01">
        <w:t>7 (%)</w:t>
      </w:r>
      <w:bookmarkEnd w:id="347"/>
    </w:p>
    <w:bookmarkEnd w:id="345"/>
    <w:p w:rsidR="00D8721E" w:rsidRPr="00596D01" w:rsidRDefault="005B29B8" w:rsidP="001C335A">
      <w:r w:rsidRPr="00596D01">
        <w:rPr>
          <w:noProof/>
        </w:rPr>
        <w:drawing>
          <wp:inline distT="0" distB="0" distL="0" distR="0" wp14:anchorId="4905483F" wp14:editId="6AB17379">
            <wp:extent cx="6120000" cy="2119347"/>
            <wp:effectExtent l="0" t="0" r="0" b="0"/>
            <wp:docPr id="12" name="Picture 12" descr="Chart 5.10 Elapsed time between assessment and entering permanent residential care, 2011–12 to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Temp\1\7zO8883835E\Chart_5.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000" cy="2119347"/>
                    </a:xfrm>
                    <a:prstGeom prst="rect">
                      <a:avLst/>
                    </a:prstGeom>
                    <a:noFill/>
                    <a:ln>
                      <a:noFill/>
                    </a:ln>
                  </pic:spPr>
                </pic:pic>
              </a:graphicData>
            </a:graphic>
          </wp:inline>
        </w:drawing>
      </w:r>
    </w:p>
    <w:p w:rsidR="00D8721E" w:rsidRPr="00E20EC0" w:rsidRDefault="00DE51E3" w:rsidP="00944018">
      <w:pPr>
        <w:pStyle w:val="Heading5"/>
      </w:pPr>
      <w:r w:rsidRPr="00E20EC0">
        <w:t>Consumers transitioning from home care to residential care</w:t>
      </w:r>
    </w:p>
    <w:p w:rsidR="00D8721E" w:rsidRDefault="00492BF8" w:rsidP="001C335A">
      <w:pPr>
        <w:rPr>
          <w:lang w:val="en-GB"/>
        </w:rPr>
      </w:pPr>
      <w:r>
        <w:rPr>
          <w:lang w:val="en-GB"/>
        </w:rPr>
        <w:fldChar w:fldCharType="begin"/>
      </w:r>
      <w:r>
        <w:rPr>
          <w:lang w:val="en-GB"/>
        </w:rPr>
        <w:instrText xml:space="preserve"> REF _Ref524428159 \r \h </w:instrText>
      </w:r>
      <w:r>
        <w:rPr>
          <w:lang w:val="en-GB"/>
        </w:rPr>
      </w:r>
      <w:r>
        <w:rPr>
          <w:lang w:val="en-GB"/>
        </w:rPr>
        <w:fldChar w:fldCharType="separate"/>
      </w:r>
      <w:r>
        <w:rPr>
          <w:lang w:val="en-GB"/>
        </w:rPr>
        <w:t>Chart 5.11</w:t>
      </w:r>
      <w:r>
        <w:rPr>
          <w:lang w:val="en-GB"/>
        </w:rPr>
        <w:fldChar w:fldCharType="end"/>
      </w:r>
      <w:r>
        <w:rPr>
          <w:lang w:val="en-GB"/>
        </w:rPr>
        <w:t xml:space="preserve"> </w:t>
      </w:r>
      <w:r w:rsidR="00DE51E3" w:rsidRPr="00DE51E3">
        <w:rPr>
          <w:lang w:val="en-GB"/>
        </w:rPr>
        <w:t>shows the proportion of consumers who enter permanent residential care after leaving home care. The proportion entering residential care was relatively stable at around 6</w:t>
      </w:r>
      <w:r w:rsidR="005F5EB2">
        <w:rPr>
          <w:lang w:val="en-GB"/>
        </w:rPr>
        <w:t>0</w:t>
      </w:r>
      <w:r w:rsidR="00A261F3">
        <w:rPr>
          <w:lang w:val="en-GB"/>
        </w:rPr>
        <w:t> per cent</w:t>
      </w:r>
      <w:r w:rsidR="00DE51E3" w:rsidRPr="00DE51E3">
        <w:rPr>
          <w:lang w:val="en-GB"/>
        </w:rPr>
        <w:t xml:space="preserve"> for the years </w:t>
      </w:r>
      <w:r w:rsidR="005F5EB2">
        <w:rPr>
          <w:lang w:val="en-GB"/>
        </w:rPr>
        <w:t>leading up to</w:t>
      </w:r>
      <w:r w:rsidR="00DE51E3" w:rsidRPr="00DE51E3">
        <w:rPr>
          <w:lang w:val="en-GB"/>
        </w:rPr>
        <w:t xml:space="preserve"> the introduction of the Aged Care Funding Instrument (ACFI) in</w:t>
      </w:r>
      <w:r w:rsidR="00A261F3">
        <w:rPr>
          <w:lang w:val="en-GB"/>
        </w:rPr>
        <w:t> 200</w:t>
      </w:r>
      <w:r w:rsidR="00DE51E3" w:rsidRPr="00DE51E3">
        <w:rPr>
          <w:lang w:val="en-GB"/>
        </w:rPr>
        <w:t>8, when it increas</w:t>
      </w:r>
      <w:r w:rsidR="00614D3E">
        <w:rPr>
          <w:lang w:val="en-GB"/>
        </w:rPr>
        <w:t>ed to around 6</w:t>
      </w:r>
      <w:r w:rsidR="00341DAB">
        <w:rPr>
          <w:lang w:val="en-GB"/>
        </w:rPr>
        <w:t>3</w:t>
      </w:r>
      <w:r w:rsidR="00A261F3">
        <w:rPr>
          <w:lang w:val="en-GB"/>
        </w:rPr>
        <w:t> per cent</w:t>
      </w:r>
      <w:r w:rsidR="00614D3E">
        <w:rPr>
          <w:lang w:val="en-GB"/>
        </w:rPr>
        <w:t>. Since</w:t>
      </w:r>
      <w:r w:rsidR="00AC0BE3">
        <w:rPr>
          <w:lang w:val="en-GB"/>
        </w:rPr>
        <w:t xml:space="preserve"> the start of the major reforms</w:t>
      </w:r>
      <w:r w:rsidR="00614D3E">
        <w:rPr>
          <w:lang w:val="en-GB"/>
        </w:rPr>
        <w:t xml:space="preserve"> in</w:t>
      </w:r>
      <w:r w:rsidR="00A261F3">
        <w:rPr>
          <w:lang w:val="en-GB"/>
        </w:rPr>
        <w:t> 201</w:t>
      </w:r>
      <w:r w:rsidR="00614D3E" w:rsidRPr="00DE51E3">
        <w:rPr>
          <w:lang w:val="en-GB"/>
        </w:rPr>
        <w:t>4</w:t>
      </w:r>
      <w:r w:rsidR="00AC0BE3">
        <w:rPr>
          <w:lang w:val="en-GB"/>
        </w:rPr>
        <w:t xml:space="preserve">, </w:t>
      </w:r>
      <w:r w:rsidR="00AC0BE3" w:rsidRPr="00DE51E3">
        <w:rPr>
          <w:lang w:val="en-GB"/>
        </w:rPr>
        <w:t>the</w:t>
      </w:r>
      <w:r w:rsidR="00DE51E3" w:rsidRPr="00DE51E3">
        <w:rPr>
          <w:lang w:val="en-GB"/>
        </w:rPr>
        <w:t xml:space="preserve"> proportion h</w:t>
      </w:r>
      <w:r w:rsidR="00070328">
        <w:rPr>
          <w:lang w:val="en-GB"/>
        </w:rPr>
        <w:t>as dropped to below 60</w:t>
      </w:r>
      <w:r w:rsidR="00A261F3">
        <w:rPr>
          <w:lang w:val="en-GB"/>
        </w:rPr>
        <w:t> per cent</w:t>
      </w:r>
      <w:r w:rsidR="00070328">
        <w:rPr>
          <w:lang w:val="en-GB"/>
        </w:rPr>
        <w:t xml:space="preserve"> and continued to decrease slightly in</w:t>
      </w:r>
      <w:r w:rsidR="00A261F3">
        <w:rPr>
          <w:lang w:val="en-GB"/>
        </w:rPr>
        <w:t> 201</w:t>
      </w:r>
      <w:r w:rsidR="00070328">
        <w:rPr>
          <w:lang w:val="en-GB"/>
        </w:rPr>
        <w:t>6</w:t>
      </w:r>
      <w:r w:rsidR="00D8721E">
        <w:rPr>
          <w:lang w:val="en-GB"/>
        </w:rPr>
        <w:t>–1</w:t>
      </w:r>
      <w:r w:rsidR="00070328">
        <w:rPr>
          <w:lang w:val="en-GB"/>
        </w:rPr>
        <w:t>7</w:t>
      </w:r>
      <w:r w:rsidR="00D8721E">
        <w:rPr>
          <w:lang w:val="en-GB"/>
        </w:rPr>
        <w:t>.</w:t>
      </w:r>
    </w:p>
    <w:p w:rsidR="00D8721E" w:rsidRDefault="00F552B9" w:rsidP="001C335A">
      <w:pPr>
        <w:rPr>
          <w:lang w:val="en-GB"/>
        </w:rPr>
      </w:pPr>
      <w:r>
        <w:rPr>
          <w:lang w:val="en-GB"/>
        </w:rPr>
        <w:t>ACFA will continue to monitor trends to see if the increased availability of higher level home care packages, and home care packages overall, impacts on the proportion of package holders transferring to residential care.</w:t>
      </w:r>
    </w:p>
    <w:p w:rsidR="00B27E3D" w:rsidRPr="00596D01" w:rsidRDefault="00B27E3D" w:rsidP="001C335A">
      <w:pPr>
        <w:pStyle w:val="ChartTitle"/>
      </w:pPr>
      <w:bookmarkStart w:id="348" w:name="_Ref524428159"/>
      <w:r w:rsidRPr="00596D01">
        <w:t>Proportion of consumers entering permanent residential care after leaving home care,</w:t>
      </w:r>
      <w:r w:rsidR="00A261F3" w:rsidRPr="00596D01">
        <w:t> 200</w:t>
      </w:r>
      <w:r w:rsidR="00747571" w:rsidRPr="00596D01">
        <w:t>8</w:t>
      </w:r>
      <w:r w:rsidR="00D8721E" w:rsidRPr="00596D01">
        <w:t>–0</w:t>
      </w:r>
      <w:r w:rsidR="00747571" w:rsidRPr="00596D01">
        <w:t>9</w:t>
      </w:r>
      <w:r w:rsidRPr="00596D01">
        <w:t xml:space="preserve"> to</w:t>
      </w:r>
      <w:r w:rsidR="00A261F3" w:rsidRPr="00596D01">
        <w:t> 201</w:t>
      </w:r>
      <w:r w:rsidRPr="00596D01">
        <w:t>6</w:t>
      </w:r>
      <w:r w:rsidR="00D8721E" w:rsidRPr="00596D01">
        <w:t>–1</w:t>
      </w:r>
      <w:r w:rsidRPr="00596D01">
        <w:t>7</w:t>
      </w:r>
      <w:bookmarkEnd w:id="348"/>
    </w:p>
    <w:p w:rsidR="00D8721E" w:rsidRDefault="005C6085" w:rsidP="001C335A">
      <w:r>
        <w:rPr>
          <w:noProof/>
        </w:rPr>
        <w:drawing>
          <wp:inline distT="0" distB="0" distL="0" distR="0" wp14:anchorId="34A7D9F3" wp14:editId="266115D2">
            <wp:extent cx="6120000" cy="2368735"/>
            <wp:effectExtent l="0" t="0" r="0" b="0"/>
            <wp:docPr id="677" name="Picture 677" descr="Chart 5.11 Proportion of consumers entering permanent residential care after leaving home care, 2008–09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5.11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000" cy="2368735"/>
                    </a:xfrm>
                    <a:prstGeom prst="rect">
                      <a:avLst/>
                    </a:prstGeom>
                    <a:noFill/>
                    <a:ln>
                      <a:noFill/>
                    </a:ln>
                  </pic:spPr>
                </pic:pic>
              </a:graphicData>
            </a:graphic>
          </wp:inline>
        </w:drawing>
      </w:r>
    </w:p>
    <w:p w:rsidR="003F6D10" w:rsidRPr="00596D01" w:rsidRDefault="003F6D10" w:rsidP="001C335A">
      <w:pPr>
        <w:pStyle w:val="Heading3Numbered"/>
      </w:pPr>
      <w:bookmarkStart w:id="349" w:name="_Toc487702563"/>
      <w:bookmarkStart w:id="350" w:name="_Toc487702915"/>
      <w:bookmarkStart w:id="351" w:name="_Toc487703413"/>
      <w:bookmarkStart w:id="352" w:name="_Toc487703607"/>
      <w:bookmarkStart w:id="353" w:name="_Toc524424739"/>
      <w:r w:rsidRPr="00596D01">
        <w:t xml:space="preserve">Length of stay in residential </w:t>
      </w:r>
      <w:r w:rsidR="00D628A8" w:rsidRPr="00596D01">
        <w:t xml:space="preserve">aged </w:t>
      </w:r>
      <w:r w:rsidRPr="00596D01">
        <w:t>care</w:t>
      </w:r>
      <w:bookmarkEnd w:id="349"/>
      <w:bookmarkEnd w:id="350"/>
      <w:bookmarkEnd w:id="351"/>
      <w:bookmarkEnd w:id="352"/>
      <w:bookmarkEnd w:id="353"/>
      <w:r w:rsidRPr="00596D01">
        <w:t xml:space="preserve"> </w:t>
      </w:r>
    </w:p>
    <w:p w:rsidR="00D8721E" w:rsidRDefault="003F6D10" w:rsidP="001C335A">
      <w:pPr>
        <w:rPr>
          <w:lang w:val="en-GB"/>
        </w:rPr>
      </w:pPr>
      <w:r w:rsidRPr="00474F19">
        <w:rPr>
          <w:lang w:val="en-GB"/>
        </w:rPr>
        <w:t>The average length of time between first admission and final discharge in permanent residen</w:t>
      </w:r>
      <w:r w:rsidR="00D628A8">
        <w:rPr>
          <w:lang w:val="en-GB"/>
        </w:rPr>
        <w:t>tial</w:t>
      </w:r>
      <w:r w:rsidRPr="00474F19">
        <w:rPr>
          <w:lang w:val="en-GB"/>
        </w:rPr>
        <w:t xml:space="preserve"> care has been decreasing</w:t>
      </w:r>
      <w:r w:rsidR="00070328">
        <w:rPr>
          <w:lang w:val="en-GB"/>
        </w:rPr>
        <w:t xml:space="preserve"> gradually since</w:t>
      </w:r>
      <w:r w:rsidR="00A261F3">
        <w:rPr>
          <w:lang w:val="en-GB"/>
        </w:rPr>
        <w:t> 200</w:t>
      </w:r>
      <w:r w:rsidR="00070328">
        <w:rPr>
          <w:lang w:val="en-GB"/>
        </w:rPr>
        <w:t>3</w:t>
      </w:r>
      <w:r w:rsidRPr="00474F19">
        <w:rPr>
          <w:lang w:val="en-GB"/>
        </w:rPr>
        <w:t>. This decrease in length of stay (LOS) of aged car</w:t>
      </w:r>
      <w:r>
        <w:rPr>
          <w:lang w:val="en-GB"/>
        </w:rPr>
        <w:t>e</w:t>
      </w:r>
      <w:r w:rsidR="00AA684F">
        <w:rPr>
          <w:lang w:val="en-GB"/>
        </w:rPr>
        <w:t xml:space="preserve"> residents is shown in </w:t>
      </w:r>
      <w:r w:rsidR="00492BF8">
        <w:rPr>
          <w:lang w:val="en-GB"/>
        </w:rPr>
        <w:fldChar w:fldCharType="begin"/>
      </w:r>
      <w:r w:rsidR="00492BF8">
        <w:rPr>
          <w:lang w:val="en-GB"/>
        </w:rPr>
        <w:instrText xml:space="preserve"> REF _Ref524428167 \r \h </w:instrText>
      </w:r>
      <w:r w:rsidR="00492BF8">
        <w:rPr>
          <w:lang w:val="en-GB"/>
        </w:rPr>
      </w:r>
      <w:r w:rsidR="00492BF8">
        <w:rPr>
          <w:lang w:val="en-GB"/>
        </w:rPr>
        <w:fldChar w:fldCharType="separate"/>
      </w:r>
      <w:r w:rsidR="00492BF8">
        <w:rPr>
          <w:lang w:val="en-GB"/>
        </w:rPr>
        <w:t>Chart 5.12</w:t>
      </w:r>
      <w:r w:rsidR="00492BF8">
        <w:rPr>
          <w:lang w:val="en-GB"/>
        </w:rPr>
        <w:fldChar w:fldCharType="end"/>
      </w:r>
      <w:r w:rsidR="00492BF8">
        <w:rPr>
          <w:lang w:val="en-GB"/>
        </w:rPr>
        <w:t xml:space="preserve"> </w:t>
      </w:r>
      <w:r w:rsidR="00614D3E">
        <w:rPr>
          <w:lang w:val="en-GB"/>
        </w:rPr>
        <w:t>,</w:t>
      </w:r>
      <w:r w:rsidRPr="00474F19">
        <w:rPr>
          <w:lang w:val="en-GB"/>
        </w:rPr>
        <w:t xml:space="preserve"> with the </w:t>
      </w:r>
      <w:r w:rsidR="00564B38">
        <w:rPr>
          <w:lang w:val="en-GB"/>
        </w:rPr>
        <w:t>average LOS decreasing from 3.3 </w:t>
      </w:r>
      <w:r w:rsidRPr="00474F19">
        <w:rPr>
          <w:lang w:val="en-GB"/>
        </w:rPr>
        <w:t>years in</w:t>
      </w:r>
      <w:r w:rsidR="00A261F3">
        <w:rPr>
          <w:lang w:val="en-GB"/>
        </w:rPr>
        <w:t> 200</w:t>
      </w:r>
      <w:r w:rsidRPr="00474F19">
        <w:rPr>
          <w:lang w:val="en-GB"/>
        </w:rPr>
        <w:t xml:space="preserve">3 to just under </w:t>
      </w:r>
      <w:r w:rsidR="001A0261">
        <w:rPr>
          <w:lang w:val="en-GB"/>
        </w:rPr>
        <w:t>3</w:t>
      </w:r>
      <w:r w:rsidR="00564B38">
        <w:rPr>
          <w:lang w:val="en-GB"/>
        </w:rPr>
        <w:t> </w:t>
      </w:r>
      <w:r w:rsidR="00070328">
        <w:rPr>
          <w:lang w:val="en-GB"/>
        </w:rPr>
        <w:t>years in</w:t>
      </w:r>
      <w:r w:rsidR="00A261F3">
        <w:rPr>
          <w:lang w:val="en-GB"/>
        </w:rPr>
        <w:t> 201</w:t>
      </w:r>
      <w:r w:rsidR="00070328">
        <w:rPr>
          <w:lang w:val="en-GB"/>
        </w:rPr>
        <w:t>7</w:t>
      </w:r>
      <w:r w:rsidRPr="00474F19">
        <w:rPr>
          <w:lang w:val="en-GB"/>
        </w:rPr>
        <w:t>.</w:t>
      </w:r>
    </w:p>
    <w:p w:rsidR="00891A38" w:rsidRPr="00596D01" w:rsidRDefault="00506143" w:rsidP="001C335A">
      <w:pPr>
        <w:pStyle w:val="ChartTitle"/>
      </w:pPr>
      <w:bookmarkStart w:id="354" w:name="_Ref524428167"/>
      <w:r w:rsidRPr="00596D01">
        <w:lastRenderedPageBreak/>
        <w:t xml:space="preserve">Average length of stay in residential care, </w:t>
      </w:r>
      <w:r w:rsidR="00C47199" w:rsidRPr="00596D01">
        <w:t xml:space="preserve">by gender and </w:t>
      </w:r>
      <w:r w:rsidRPr="00596D01">
        <w:t>year of entry,</w:t>
      </w:r>
      <w:r w:rsidR="00A261F3" w:rsidRPr="00596D01">
        <w:t> 200</w:t>
      </w:r>
      <w:r w:rsidRPr="00596D01">
        <w:t>3</w:t>
      </w:r>
      <w:r w:rsidR="00C47199" w:rsidRPr="00596D01">
        <w:t> </w:t>
      </w:r>
      <w:r w:rsidRPr="00596D01">
        <w:t>to</w:t>
      </w:r>
      <w:r w:rsidR="00A261F3" w:rsidRPr="00596D01">
        <w:t> 201</w:t>
      </w:r>
      <w:r w:rsidRPr="00596D01">
        <w:t>7</w:t>
      </w:r>
      <w:bookmarkEnd w:id="354"/>
    </w:p>
    <w:p w:rsidR="00D8721E" w:rsidRDefault="005C6085" w:rsidP="001C335A">
      <w:pPr>
        <w:rPr>
          <w:lang w:val="en-GB"/>
        </w:rPr>
      </w:pPr>
      <w:r>
        <w:rPr>
          <w:noProof/>
        </w:rPr>
        <w:drawing>
          <wp:inline distT="0" distB="0" distL="0" distR="0" wp14:anchorId="758EEB42" wp14:editId="06E4383E">
            <wp:extent cx="6120000" cy="2393296"/>
            <wp:effectExtent l="0" t="0" r="0" b="7620"/>
            <wp:docPr id="678" name="Picture 678" descr="Chart 5.12 Average length of stay in residential care, by gender and year of entry,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zc0004\AppData\Local\Microsoft\Windows\Temporary Internet Files\Content.Outlook\6DIYYC82\Chart_5.12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000" cy="2393296"/>
                    </a:xfrm>
                    <a:prstGeom prst="rect">
                      <a:avLst/>
                    </a:prstGeom>
                    <a:noFill/>
                    <a:ln>
                      <a:noFill/>
                    </a:ln>
                  </pic:spPr>
                </pic:pic>
              </a:graphicData>
            </a:graphic>
          </wp:inline>
        </w:drawing>
      </w:r>
    </w:p>
    <w:p w:rsidR="00D8721E" w:rsidRDefault="003F6D10" w:rsidP="001C335A">
      <w:pPr>
        <w:rPr>
          <w:lang w:val="en-GB"/>
        </w:rPr>
      </w:pPr>
      <w:r w:rsidRPr="00474F19">
        <w:rPr>
          <w:lang w:val="en-GB"/>
        </w:rPr>
        <w:t xml:space="preserve">Two drivers of this decrease in LOS have been an increasing average age of entry and an increasing proportion of male residents. Older residents and male residents have shorter average LOS, so increasing proportions of these residents result in a shorter </w:t>
      </w:r>
      <w:r w:rsidR="00171398">
        <w:rPr>
          <w:lang w:val="en-GB"/>
        </w:rPr>
        <w:t xml:space="preserve">average </w:t>
      </w:r>
      <w:r w:rsidRPr="00474F19">
        <w:rPr>
          <w:lang w:val="en-GB"/>
        </w:rPr>
        <w:t xml:space="preserve">LOS. </w:t>
      </w:r>
      <w:r w:rsidR="00492BF8">
        <w:rPr>
          <w:lang w:val="en-GB"/>
        </w:rPr>
        <w:fldChar w:fldCharType="begin"/>
      </w:r>
      <w:r w:rsidR="00492BF8">
        <w:rPr>
          <w:lang w:val="en-GB"/>
        </w:rPr>
        <w:instrText xml:space="preserve"> REF _Ref524428175 \r \h </w:instrText>
      </w:r>
      <w:r w:rsidR="00492BF8">
        <w:rPr>
          <w:lang w:val="en-GB"/>
        </w:rPr>
      </w:r>
      <w:r w:rsidR="00492BF8">
        <w:rPr>
          <w:lang w:val="en-GB"/>
        </w:rPr>
        <w:fldChar w:fldCharType="separate"/>
      </w:r>
      <w:r w:rsidR="00492BF8">
        <w:rPr>
          <w:lang w:val="en-GB"/>
        </w:rPr>
        <w:t>Chart 5.13</w:t>
      </w:r>
      <w:r w:rsidR="00492BF8">
        <w:rPr>
          <w:lang w:val="en-GB"/>
        </w:rPr>
        <w:fldChar w:fldCharType="end"/>
      </w:r>
      <w:r w:rsidR="00492BF8">
        <w:rPr>
          <w:lang w:val="en-GB"/>
        </w:rPr>
        <w:t xml:space="preserve"> </w:t>
      </w:r>
      <w:r w:rsidRPr="00474F19">
        <w:rPr>
          <w:lang w:val="en-GB"/>
        </w:rPr>
        <w:t>shows both of these indicators, with the proportion of ma</w:t>
      </w:r>
      <w:r w:rsidR="006C0092">
        <w:rPr>
          <w:lang w:val="en-GB"/>
        </w:rPr>
        <w:t>le entrants increasing f</w:t>
      </w:r>
      <w:r w:rsidR="00070328">
        <w:rPr>
          <w:lang w:val="en-GB"/>
        </w:rPr>
        <w:t>rom 3</w:t>
      </w:r>
      <w:r w:rsidR="00D00B54">
        <w:rPr>
          <w:lang w:val="en-GB"/>
        </w:rPr>
        <w:t>6</w:t>
      </w:r>
      <w:r w:rsidR="00A261F3">
        <w:rPr>
          <w:lang w:val="en-GB"/>
        </w:rPr>
        <w:t> per cent</w:t>
      </w:r>
      <w:r w:rsidR="00070328">
        <w:rPr>
          <w:lang w:val="en-GB"/>
        </w:rPr>
        <w:t xml:space="preserve"> in</w:t>
      </w:r>
      <w:r w:rsidR="00A261F3">
        <w:rPr>
          <w:lang w:val="en-GB"/>
        </w:rPr>
        <w:t> 200</w:t>
      </w:r>
      <w:r w:rsidR="00070328">
        <w:rPr>
          <w:lang w:val="en-GB"/>
        </w:rPr>
        <w:t xml:space="preserve">3 to </w:t>
      </w:r>
      <w:r w:rsidR="006C0092">
        <w:rPr>
          <w:lang w:val="en-GB"/>
        </w:rPr>
        <w:t>4</w:t>
      </w:r>
      <w:r w:rsidR="00341DAB">
        <w:rPr>
          <w:lang w:val="en-GB"/>
        </w:rPr>
        <w:t>1</w:t>
      </w:r>
      <w:r w:rsidR="00A261F3">
        <w:rPr>
          <w:lang w:val="en-GB"/>
        </w:rPr>
        <w:t> per cent</w:t>
      </w:r>
      <w:r w:rsidRPr="00474F19">
        <w:rPr>
          <w:lang w:val="en-GB"/>
        </w:rPr>
        <w:t xml:space="preserve"> in</w:t>
      </w:r>
      <w:r w:rsidR="00A261F3">
        <w:rPr>
          <w:lang w:val="en-GB"/>
        </w:rPr>
        <w:t> 201</w:t>
      </w:r>
      <w:r w:rsidR="00070328">
        <w:rPr>
          <w:lang w:val="en-GB"/>
        </w:rPr>
        <w:t>7</w:t>
      </w:r>
      <w:r w:rsidRPr="00474F19">
        <w:rPr>
          <w:lang w:val="en-GB"/>
        </w:rPr>
        <w:t>, and the average age of entry increasing from 82.7 to 84.</w:t>
      </w:r>
      <w:r w:rsidR="00070328">
        <w:rPr>
          <w:lang w:val="en-GB"/>
        </w:rPr>
        <w:t xml:space="preserve">1 over the same period although noting a slight </w:t>
      </w:r>
      <w:r w:rsidR="005F5EB2">
        <w:rPr>
          <w:lang w:val="en-GB"/>
        </w:rPr>
        <w:t>dip in</w:t>
      </w:r>
      <w:r w:rsidR="00A261F3">
        <w:rPr>
          <w:lang w:val="en-GB"/>
        </w:rPr>
        <w:t> 201</w:t>
      </w:r>
      <w:r w:rsidR="005F5EB2">
        <w:rPr>
          <w:lang w:val="en-GB"/>
        </w:rPr>
        <w:t>7.</w:t>
      </w:r>
    </w:p>
    <w:p w:rsidR="00506143" w:rsidRPr="00596D01" w:rsidRDefault="00506143" w:rsidP="001C335A">
      <w:pPr>
        <w:pStyle w:val="ChartTitle"/>
      </w:pPr>
      <w:bookmarkStart w:id="355" w:name="_Ref524428175"/>
      <w:r w:rsidRPr="00596D01">
        <w:t xml:space="preserve">Changes in age and </w:t>
      </w:r>
      <w:r w:rsidR="0071390E" w:rsidRPr="00596D01">
        <w:t>gender</w:t>
      </w:r>
      <w:r w:rsidRPr="00596D01">
        <w:t xml:space="preserve"> distribution,</w:t>
      </w:r>
      <w:r w:rsidR="00A261F3" w:rsidRPr="00596D01">
        <w:t> 200</w:t>
      </w:r>
      <w:r w:rsidRPr="00596D01">
        <w:t>3 to</w:t>
      </w:r>
      <w:r w:rsidR="00A261F3" w:rsidRPr="00596D01">
        <w:t> 201</w:t>
      </w:r>
      <w:r w:rsidRPr="00596D01">
        <w:t>7</w:t>
      </w:r>
      <w:bookmarkEnd w:id="355"/>
    </w:p>
    <w:p w:rsidR="00D8721E" w:rsidRPr="00596D01" w:rsidRDefault="00891A38" w:rsidP="001C335A">
      <w:r w:rsidRPr="00596D01">
        <w:rPr>
          <w:noProof/>
        </w:rPr>
        <w:drawing>
          <wp:inline distT="0" distB="0" distL="0" distR="0" wp14:anchorId="7C4E6056" wp14:editId="65D2BDD3">
            <wp:extent cx="6120000" cy="2194263"/>
            <wp:effectExtent l="0" t="0" r="0" b="0"/>
            <wp:docPr id="263" name="Picture 263" descr="Chart 5.13 Changes in age and gender distribution,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zc0004\AppData\Local\Microsoft\Windows\Temporary Internet Files\Content.Outlook\6DIYYC82\Chart_5.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000" cy="2194263"/>
                    </a:xfrm>
                    <a:prstGeom prst="rect">
                      <a:avLst/>
                    </a:prstGeom>
                    <a:noFill/>
                    <a:ln>
                      <a:noFill/>
                    </a:ln>
                  </pic:spPr>
                </pic:pic>
              </a:graphicData>
            </a:graphic>
          </wp:inline>
        </w:drawing>
      </w:r>
    </w:p>
    <w:p w:rsidR="00022E4F" w:rsidRPr="00596D01" w:rsidRDefault="00022E4F" w:rsidP="00944018">
      <w:pPr>
        <w:pStyle w:val="Heading5"/>
      </w:pPr>
      <w:r w:rsidRPr="00596D01">
        <w:t xml:space="preserve">Change since </w:t>
      </w:r>
      <w:r w:rsidR="00EB039B" w:rsidRPr="00596D01">
        <w:t>1 July</w:t>
      </w:r>
      <w:r w:rsidR="00A261F3" w:rsidRPr="00596D01">
        <w:t> 201</w:t>
      </w:r>
      <w:r w:rsidRPr="00596D01">
        <w:t>4</w:t>
      </w:r>
    </w:p>
    <w:p w:rsidR="00D8721E" w:rsidRPr="0030777A" w:rsidRDefault="00FF30FF" w:rsidP="00944018">
      <w:r w:rsidRPr="0030777A">
        <w:t>The proportion of permanent residents that leave within three</w:t>
      </w:r>
      <w:r w:rsidR="00A30C51" w:rsidRPr="0030777A">
        <w:t>, six or 12 </w:t>
      </w:r>
      <w:r w:rsidRPr="0030777A">
        <w:t>months of first entry increased from</w:t>
      </w:r>
      <w:r w:rsidR="00A261F3" w:rsidRPr="0030777A">
        <w:t> 200</w:t>
      </w:r>
      <w:r w:rsidRPr="0030777A">
        <w:t>3</w:t>
      </w:r>
      <w:r w:rsidR="00D8721E" w:rsidRPr="0030777A">
        <w:t>–0</w:t>
      </w:r>
      <w:r w:rsidRPr="0030777A">
        <w:t>4 to</w:t>
      </w:r>
      <w:r w:rsidR="00A261F3" w:rsidRPr="0030777A">
        <w:t> 201</w:t>
      </w:r>
      <w:r w:rsidRPr="0030777A">
        <w:t>3</w:t>
      </w:r>
      <w:r w:rsidR="00D8721E" w:rsidRPr="0030777A">
        <w:t>–1</w:t>
      </w:r>
      <w:r w:rsidRPr="0030777A">
        <w:t>4, which is in line with a decreasing average LOS (</w:t>
      </w:r>
      <w:r w:rsidR="00492BF8" w:rsidRPr="0030777A">
        <w:fldChar w:fldCharType="begin"/>
      </w:r>
      <w:r w:rsidR="00492BF8" w:rsidRPr="0030777A">
        <w:instrText xml:space="preserve"> REF _Ref524428183 \r \h </w:instrText>
      </w:r>
      <w:r w:rsidR="00492BF8" w:rsidRPr="0030777A">
        <w:fldChar w:fldCharType="separate"/>
      </w:r>
      <w:r w:rsidR="00492BF8" w:rsidRPr="0030777A">
        <w:t>Chart 5.14</w:t>
      </w:r>
      <w:r w:rsidR="00492BF8" w:rsidRPr="0030777A">
        <w:fldChar w:fldCharType="end"/>
      </w:r>
      <w:r w:rsidRPr="0030777A">
        <w:t xml:space="preserve">). However, since </w:t>
      </w:r>
      <w:r w:rsidR="00EB039B" w:rsidRPr="0030777A">
        <w:t>1 July</w:t>
      </w:r>
      <w:r w:rsidR="00A261F3" w:rsidRPr="0030777A">
        <w:t> 201</w:t>
      </w:r>
      <w:r w:rsidR="00031ADB" w:rsidRPr="0030777A">
        <w:t>4</w:t>
      </w:r>
      <w:r w:rsidRPr="0030777A">
        <w:t>, this proportion</w:t>
      </w:r>
      <w:r w:rsidR="00070328" w:rsidRPr="0030777A">
        <w:t xml:space="preserve"> decreased in</w:t>
      </w:r>
      <w:r w:rsidR="00A261F3" w:rsidRPr="0030777A">
        <w:t> 201</w:t>
      </w:r>
      <w:r w:rsidR="00070328" w:rsidRPr="0030777A">
        <w:t>4</w:t>
      </w:r>
      <w:r w:rsidR="00D8721E" w:rsidRPr="0030777A">
        <w:t>–1</w:t>
      </w:r>
      <w:r w:rsidR="00070328" w:rsidRPr="0030777A">
        <w:t>5 and</w:t>
      </w:r>
      <w:r w:rsidR="00A261F3" w:rsidRPr="0030777A">
        <w:t> 201</w:t>
      </w:r>
      <w:r w:rsidR="00070328" w:rsidRPr="0030777A">
        <w:t>5</w:t>
      </w:r>
      <w:r w:rsidR="00D8721E" w:rsidRPr="0030777A">
        <w:t>–1</w:t>
      </w:r>
      <w:r w:rsidR="00070328" w:rsidRPr="0030777A">
        <w:t>6</w:t>
      </w:r>
      <w:r w:rsidRPr="0030777A">
        <w:t>,</w:t>
      </w:r>
      <w:r w:rsidR="00070328" w:rsidRPr="0030777A">
        <w:t xml:space="preserve"> which would</w:t>
      </w:r>
      <w:r w:rsidRPr="0030777A">
        <w:t xml:space="preserve"> have an upwards impact on average LOS. </w:t>
      </w:r>
      <w:r w:rsidR="00070328" w:rsidRPr="0030777A">
        <w:t>However</w:t>
      </w:r>
      <w:r w:rsidR="00A261F3" w:rsidRPr="0030777A">
        <w:t> 201</w:t>
      </w:r>
      <w:r w:rsidR="00070328" w:rsidRPr="0030777A">
        <w:t>6</w:t>
      </w:r>
      <w:r w:rsidR="00D8721E" w:rsidRPr="0030777A">
        <w:t>–1</w:t>
      </w:r>
      <w:r w:rsidR="00070328" w:rsidRPr="0030777A">
        <w:t>7 saw</w:t>
      </w:r>
      <w:r w:rsidR="00A30C51" w:rsidRPr="0030777A">
        <w:t xml:space="preserve"> people leaving within three or six months </w:t>
      </w:r>
      <w:r w:rsidR="00070328" w:rsidRPr="0030777A">
        <w:t>increase by one</w:t>
      </w:r>
      <w:r w:rsidR="00B06059" w:rsidRPr="0030777A">
        <w:t> </w:t>
      </w:r>
      <w:r w:rsidR="00070328" w:rsidRPr="0030777A">
        <w:t>percent</w:t>
      </w:r>
      <w:r w:rsidR="00B06059" w:rsidRPr="0030777A">
        <w:t>age</w:t>
      </w:r>
      <w:r w:rsidR="00070328" w:rsidRPr="0030777A">
        <w:t xml:space="preserve"> point</w:t>
      </w:r>
      <w:r w:rsidR="00D8721E" w:rsidRPr="0030777A">
        <w:t>.</w:t>
      </w:r>
    </w:p>
    <w:p w:rsidR="00FF30FF" w:rsidRPr="00596D01" w:rsidRDefault="00A05546" w:rsidP="00944018">
      <w:pPr>
        <w:pStyle w:val="ChartTitle"/>
      </w:pPr>
      <w:bookmarkStart w:id="356" w:name="_Ref524428183"/>
      <w:r w:rsidRPr="00596D01">
        <w:lastRenderedPageBreak/>
        <w:t xml:space="preserve">Proportion of permanent residents that leave within </w:t>
      </w:r>
      <w:r w:rsidR="00747571" w:rsidRPr="00596D01">
        <w:t>3, 6</w:t>
      </w:r>
      <w:r w:rsidR="00A30C51" w:rsidRPr="00596D01">
        <w:t xml:space="preserve"> or 12</w:t>
      </w:r>
      <w:r w:rsidRPr="00596D01">
        <w:t xml:space="preserve"> months of first entry,</w:t>
      </w:r>
      <w:r w:rsidR="00A261F3" w:rsidRPr="00596D01">
        <w:t> 200</w:t>
      </w:r>
      <w:r w:rsidRPr="00596D01">
        <w:t>3</w:t>
      </w:r>
      <w:r w:rsidR="00D8721E" w:rsidRPr="00596D01">
        <w:t>–0</w:t>
      </w:r>
      <w:r w:rsidRPr="00596D01">
        <w:t>4 to</w:t>
      </w:r>
      <w:r w:rsidR="00A261F3" w:rsidRPr="00596D01">
        <w:t> 201</w:t>
      </w:r>
      <w:r w:rsidRPr="00596D01">
        <w:t>6</w:t>
      </w:r>
      <w:r w:rsidR="00D8721E" w:rsidRPr="00596D01">
        <w:t>–1</w:t>
      </w:r>
      <w:r w:rsidRPr="00596D01">
        <w:t>7</w:t>
      </w:r>
      <w:bookmarkEnd w:id="356"/>
    </w:p>
    <w:p w:rsidR="00D8721E" w:rsidRPr="00596D01" w:rsidRDefault="0031356D" w:rsidP="00944018">
      <w:r w:rsidRPr="00596D01">
        <w:rPr>
          <w:noProof/>
        </w:rPr>
        <w:drawing>
          <wp:inline distT="0" distB="0" distL="0" distR="0" wp14:anchorId="60C927C9" wp14:editId="20082596">
            <wp:extent cx="6120000" cy="2984229"/>
            <wp:effectExtent l="0" t="0" r="0" b="6985"/>
            <wp:docPr id="697" name="Picture 697" descr="Chart 5.14 Proportion of permanent residents that leave within 3, 6 or 12 months of first entry, 2003–04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cb0036\AppData\Local\Microsoft\Windows\Temporary Internet Files\Content.Outlook\GKEAYA79\Chart_5.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000" cy="2984229"/>
                    </a:xfrm>
                    <a:prstGeom prst="rect">
                      <a:avLst/>
                    </a:prstGeom>
                    <a:noFill/>
                    <a:ln>
                      <a:noFill/>
                    </a:ln>
                  </pic:spPr>
                </pic:pic>
              </a:graphicData>
            </a:graphic>
          </wp:inline>
        </w:drawing>
      </w:r>
    </w:p>
    <w:p w:rsidR="004B2296" w:rsidRPr="00596D01" w:rsidRDefault="004B2296" w:rsidP="00944018">
      <w:pPr>
        <w:pStyle w:val="Heading5"/>
      </w:pPr>
      <w:r w:rsidRPr="00596D01">
        <w:t>Dementia</w:t>
      </w:r>
    </w:p>
    <w:p w:rsidR="00A51955" w:rsidRPr="0030777A" w:rsidRDefault="00A51955" w:rsidP="001C335A">
      <w:r w:rsidRPr="0030777A">
        <w:t>Since</w:t>
      </w:r>
      <w:r w:rsidR="00A261F3" w:rsidRPr="0030777A">
        <w:t> 200</w:t>
      </w:r>
      <w:r w:rsidRPr="0030777A">
        <w:t>8</w:t>
      </w:r>
      <w:r w:rsidR="00D8721E" w:rsidRPr="0030777A">
        <w:t>–0</w:t>
      </w:r>
      <w:r w:rsidRPr="0030777A">
        <w:t xml:space="preserve">9, the proportion of people entering residential care with a diagnosis of dementia has been consistently </w:t>
      </w:r>
      <w:r w:rsidR="00747571" w:rsidRPr="0030777A">
        <w:t>between around</w:t>
      </w:r>
      <w:r w:rsidRPr="0030777A">
        <w:t xml:space="preserve"> 43</w:t>
      </w:r>
      <w:r w:rsidR="00A261F3" w:rsidRPr="0030777A">
        <w:t> per cent</w:t>
      </w:r>
      <w:r w:rsidRPr="0030777A">
        <w:t xml:space="preserve"> </w:t>
      </w:r>
      <w:r w:rsidR="00747571" w:rsidRPr="0030777A">
        <w:t>and</w:t>
      </w:r>
      <w:r w:rsidRPr="0030777A">
        <w:t xml:space="preserve"> 45</w:t>
      </w:r>
      <w:r w:rsidR="00A261F3" w:rsidRPr="0030777A">
        <w:t> per cent</w:t>
      </w:r>
      <w:r w:rsidRPr="0030777A">
        <w:t xml:space="preserve"> of all permanent residents entering care, and the average age at admission for people with dementia was around six months older than for those without a diagnosis of dementia.</w:t>
      </w:r>
    </w:p>
    <w:p w:rsidR="00D8721E" w:rsidRDefault="00492BF8" w:rsidP="001C335A">
      <w:pPr>
        <w:rPr>
          <w:b/>
          <w:bCs/>
          <w:lang w:val="en-GB"/>
        </w:rPr>
      </w:pPr>
      <w:r>
        <w:rPr>
          <w:lang w:val="en-GB"/>
        </w:rPr>
        <w:fldChar w:fldCharType="begin"/>
      </w:r>
      <w:r>
        <w:rPr>
          <w:lang w:val="en-GB"/>
        </w:rPr>
        <w:instrText xml:space="preserve"> REF _Ref524428183 \r \h </w:instrText>
      </w:r>
      <w:r>
        <w:rPr>
          <w:lang w:val="en-GB"/>
        </w:rPr>
      </w:r>
      <w:r>
        <w:rPr>
          <w:lang w:val="en-GB"/>
        </w:rPr>
        <w:fldChar w:fldCharType="separate"/>
      </w:r>
      <w:r>
        <w:rPr>
          <w:lang w:val="en-GB"/>
        </w:rPr>
        <w:t>Chart 5.14</w:t>
      </w:r>
      <w:r>
        <w:rPr>
          <w:lang w:val="en-GB"/>
        </w:rPr>
        <w:fldChar w:fldCharType="end"/>
      </w:r>
      <w:r>
        <w:rPr>
          <w:lang w:val="en-GB"/>
        </w:rPr>
        <w:t xml:space="preserve"> </w:t>
      </w:r>
      <w:r w:rsidR="00A51955" w:rsidRPr="003F38D4">
        <w:rPr>
          <w:lang w:val="en-GB"/>
        </w:rPr>
        <w:t>shows the proportion of people still in care over time by dementia status (diagnosis of dementia recorded within first 28 days of admission). It shows that half of the people entering without a dementia diagnosis died or left care within one year and 10 months; this compares with around two years and one month for people with an initial diagnosis of dementia. People with dementia are less likely to die or leave care in the initial period after entry, however in the longer-term, proportionally fewer people with dementia have longer lengths of stays when compared with those that do not.</w:t>
      </w:r>
    </w:p>
    <w:p w:rsidR="002D6FD9" w:rsidRPr="00596D01" w:rsidRDefault="00A51955" w:rsidP="001C335A">
      <w:pPr>
        <w:pStyle w:val="ChartTitle"/>
      </w:pPr>
      <w:r w:rsidRPr="00596D01">
        <w:t>Proportion of residents in care over time, with and without dementia</w:t>
      </w:r>
    </w:p>
    <w:p w:rsidR="00D8721E" w:rsidRPr="00596D01" w:rsidRDefault="00ED5AFB" w:rsidP="001C335A">
      <w:pPr>
        <w:jc w:val="center"/>
      </w:pPr>
      <w:bookmarkStart w:id="357" w:name="_Toc520897516"/>
      <w:bookmarkStart w:id="358" w:name="_Toc487702566"/>
      <w:bookmarkStart w:id="359" w:name="_Toc487702918"/>
      <w:bookmarkStart w:id="360" w:name="_Toc487703416"/>
      <w:bookmarkStart w:id="361" w:name="_Toc487703610"/>
      <w:r w:rsidRPr="00596D01">
        <w:rPr>
          <w:noProof/>
        </w:rPr>
        <w:drawing>
          <wp:inline distT="0" distB="0" distL="0" distR="0" wp14:anchorId="73969D9E" wp14:editId="7429A417">
            <wp:extent cx="4262907" cy="2852235"/>
            <wp:effectExtent l="0" t="0" r="4445" b="5715"/>
            <wp:docPr id="686" name="Picture 686" descr="Chart 5.15 Proportion of residents in care over time, with and without deme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cb0036\AppData\Local\Microsoft\Windows\Temporary Internet Files\Content.Outlook\DXFUNO8X\Chart_X.X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71471" cy="2857965"/>
                    </a:xfrm>
                    <a:prstGeom prst="rect">
                      <a:avLst/>
                    </a:prstGeom>
                    <a:noFill/>
                    <a:ln>
                      <a:noFill/>
                    </a:ln>
                  </pic:spPr>
                </pic:pic>
              </a:graphicData>
            </a:graphic>
          </wp:inline>
        </w:drawing>
      </w:r>
      <w:bookmarkEnd w:id="357"/>
    </w:p>
    <w:p w:rsidR="00BA080F" w:rsidRPr="00596D01" w:rsidRDefault="00BA080F" w:rsidP="001C335A">
      <w:pPr>
        <w:pStyle w:val="Heading2Numbered"/>
      </w:pPr>
      <w:bookmarkStart w:id="362" w:name="_Toc524424740"/>
      <w:bookmarkStart w:id="363" w:name="_Ref524427697"/>
      <w:r w:rsidRPr="00596D01">
        <w:lastRenderedPageBreak/>
        <w:t>Residential respite care</w:t>
      </w:r>
      <w:bookmarkEnd w:id="358"/>
      <w:bookmarkEnd w:id="359"/>
      <w:bookmarkEnd w:id="360"/>
      <w:bookmarkEnd w:id="361"/>
      <w:bookmarkEnd w:id="362"/>
      <w:bookmarkEnd w:id="363"/>
    </w:p>
    <w:p w:rsidR="00D8721E" w:rsidRDefault="00180D7F" w:rsidP="001C335A">
      <w:pPr>
        <w:rPr>
          <w:lang w:val="en-GB"/>
        </w:rPr>
      </w:pPr>
      <w:r w:rsidRPr="00247B3D">
        <w:rPr>
          <w:lang w:val="en-GB"/>
        </w:rPr>
        <w:t xml:space="preserve">In </w:t>
      </w:r>
      <w:r>
        <w:rPr>
          <w:lang w:val="en-GB"/>
        </w:rPr>
        <w:t>its</w:t>
      </w:r>
      <w:r w:rsidR="00A261F3">
        <w:rPr>
          <w:lang w:val="en-GB"/>
        </w:rPr>
        <w:t> 201</w:t>
      </w:r>
      <w:r>
        <w:rPr>
          <w:lang w:val="en-GB"/>
        </w:rPr>
        <w:t xml:space="preserve">7 </w:t>
      </w:r>
      <w:r w:rsidRPr="00247B3D">
        <w:rPr>
          <w:lang w:val="en-GB"/>
        </w:rPr>
        <w:t xml:space="preserve">annual report, ACFA </w:t>
      </w:r>
      <w:r>
        <w:rPr>
          <w:lang w:val="en-GB"/>
        </w:rPr>
        <w:t xml:space="preserve">discussed </w:t>
      </w:r>
      <w:r w:rsidRPr="00247B3D">
        <w:rPr>
          <w:lang w:val="en-GB"/>
        </w:rPr>
        <w:t xml:space="preserve">the increasing use of residential respite care since the </w:t>
      </w:r>
      <w:r w:rsidR="00EB039B">
        <w:rPr>
          <w:lang w:val="en-GB"/>
        </w:rPr>
        <w:t>1 July</w:t>
      </w:r>
      <w:r w:rsidR="00A261F3">
        <w:rPr>
          <w:lang w:val="en-GB"/>
        </w:rPr>
        <w:t> 201</w:t>
      </w:r>
      <w:r>
        <w:rPr>
          <w:lang w:val="en-GB"/>
        </w:rPr>
        <w:t xml:space="preserve">4 reforms. Following the release of ACFA’s report, the Minister for Aged Care asked ACFA to </w:t>
      </w:r>
      <w:r w:rsidRPr="00D10ABA">
        <w:rPr>
          <w:lang w:val="en-GB"/>
        </w:rPr>
        <w:t xml:space="preserve">examine the increasing use of residential respite care in recent years and </w:t>
      </w:r>
      <w:r>
        <w:rPr>
          <w:lang w:val="en-GB"/>
        </w:rPr>
        <w:t xml:space="preserve">provide a report as to </w:t>
      </w:r>
      <w:r w:rsidRPr="00D10ABA">
        <w:rPr>
          <w:lang w:val="en-GB"/>
        </w:rPr>
        <w:t>whether the arrangements for provision and funding of residential respite</w:t>
      </w:r>
      <w:r>
        <w:rPr>
          <w:lang w:val="en-GB"/>
        </w:rPr>
        <w:t>, as well as other forms of respite care,</w:t>
      </w:r>
      <w:r w:rsidRPr="00D10ABA">
        <w:rPr>
          <w:lang w:val="en-GB"/>
        </w:rPr>
        <w:t xml:space="preserve"> remains appropriate for consumers and providers or could be improved. </w:t>
      </w:r>
      <w:r w:rsidRPr="005F4AC9">
        <w:rPr>
          <w:lang w:val="en-GB"/>
        </w:rPr>
        <w:t xml:space="preserve">This report is to </w:t>
      </w:r>
      <w:r>
        <w:rPr>
          <w:lang w:val="en-GB"/>
        </w:rPr>
        <w:t xml:space="preserve">be provided to the </w:t>
      </w:r>
      <w:r w:rsidRPr="005F4AC9">
        <w:rPr>
          <w:lang w:val="en-GB"/>
        </w:rPr>
        <w:t xml:space="preserve">Government </w:t>
      </w:r>
      <w:r>
        <w:rPr>
          <w:lang w:val="en-GB"/>
        </w:rPr>
        <w:t xml:space="preserve">by </w:t>
      </w:r>
      <w:r w:rsidRPr="005F4AC9">
        <w:rPr>
          <w:lang w:val="en-GB"/>
        </w:rPr>
        <w:t>31 October</w:t>
      </w:r>
      <w:r w:rsidR="00A261F3">
        <w:rPr>
          <w:lang w:val="en-GB"/>
        </w:rPr>
        <w:t> 201</w:t>
      </w:r>
      <w:r w:rsidRPr="005F4AC9">
        <w:rPr>
          <w:lang w:val="en-GB"/>
        </w:rPr>
        <w:t>8</w:t>
      </w:r>
      <w:r w:rsidR="00D8721E">
        <w:rPr>
          <w:lang w:val="en-GB"/>
        </w:rPr>
        <w:t>.</w:t>
      </w:r>
    </w:p>
    <w:p w:rsidR="00180D7F" w:rsidRPr="00247B3D" w:rsidRDefault="00180D7F" w:rsidP="001C335A">
      <w:pPr>
        <w:rPr>
          <w:lang w:val="en-GB"/>
        </w:rPr>
      </w:pPr>
      <w:r w:rsidRPr="00247B3D">
        <w:rPr>
          <w:lang w:val="en-GB"/>
        </w:rPr>
        <w:t>Residential respite</w:t>
      </w:r>
      <w:r>
        <w:rPr>
          <w:lang w:val="en-GB"/>
        </w:rPr>
        <w:t xml:space="preserve"> </w:t>
      </w:r>
      <w:r w:rsidRPr="00247B3D">
        <w:rPr>
          <w:lang w:val="en-GB"/>
        </w:rPr>
        <w:t xml:space="preserve">care is short-term care delivered within an aged care </w:t>
      </w:r>
      <w:r w:rsidR="00C01CA1">
        <w:rPr>
          <w:lang w:val="en-GB"/>
        </w:rPr>
        <w:t>facility</w:t>
      </w:r>
      <w:r w:rsidR="00747C23">
        <w:rPr>
          <w:rStyle w:val="FootnoteReference"/>
          <w:rFonts w:cs="Segoe UI"/>
          <w:color w:val="313131"/>
          <w:lang w:val="en-GB"/>
        </w:rPr>
        <w:footnoteReference w:id="26"/>
      </w:r>
      <w:r w:rsidRPr="00247B3D">
        <w:rPr>
          <w:lang w:val="en-GB"/>
        </w:rPr>
        <w:t xml:space="preserve"> on either a planned or emergency basis. People are assessed for eligibility by an ACAT, who will approve someone for high care respite and/or low care respite. The distinction between high and low care was not removed from respite care when it was removed from perma</w:t>
      </w:r>
      <w:r>
        <w:rPr>
          <w:lang w:val="en-GB"/>
        </w:rPr>
        <w:t xml:space="preserve">nent residential care on </w:t>
      </w:r>
      <w:r w:rsidR="00EB039B">
        <w:rPr>
          <w:lang w:val="en-GB"/>
        </w:rPr>
        <w:t>1 July</w:t>
      </w:r>
      <w:r w:rsidR="00A261F3">
        <w:rPr>
          <w:lang w:val="en-GB"/>
        </w:rPr>
        <w:t> 201</w:t>
      </w:r>
      <w:r w:rsidRPr="00247B3D">
        <w:rPr>
          <w:lang w:val="en-GB"/>
        </w:rPr>
        <w:t>4. A consumer can access residential respite for up to 63 days per financial year, with extensions possible when an A</w:t>
      </w:r>
      <w:r>
        <w:rPr>
          <w:lang w:val="en-GB"/>
        </w:rPr>
        <w:t>ged Care Assessment Team</w:t>
      </w:r>
      <w:r w:rsidRPr="00247B3D">
        <w:rPr>
          <w:lang w:val="en-GB"/>
        </w:rPr>
        <w:t xml:space="preserve"> considers it necessary.</w:t>
      </w:r>
    </w:p>
    <w:p w:rsidR="00D8721E" w:rsidRDefault="00180D7F" w:rsidP="001C335A">
      <w:pPr>
        <w:rPr>
          <w:lang w:val="en-GB"/>
        </w:rPr>
      </w:pPr>
      <w:r w:rsidRPr="00247B3D">
        <w:rPr>
          <w:lang w:val="en-GB"/>
        </w:rPr>
        <w:t>A noticeable difference in respite care compared with permanent residential care is that respite residents do not make any means-tested accommodation or care contributions. They can however be asked to pay the basic daily fee for living expenses, which is at the same rate as permanent residents. Respite residents can also purchase additional services, in the same manner as a permanent resident</w:t>
      </w:r>
      <w:r w:rsidR="00D8721E">
        <w:rPr>
          <w:lang w:val="en-GB"/>
        </w:rPr>
        <w:t>.</w:t>
      </w:r>
    </w:p>
    <w:p w:rsidR="00D8721E" w:rsidRDefault="00180D7F" w:rsidP="001C335A">
      <w:pPr>
        <w:rPr>
          <w:lang w:val="en-GB"/>
        </w:rPr>
      </w:pPr>
      <w:r w:rsidRPr="00247B3D">
        <w:rPr>
          <w:lang w:val="en-GB"/>
        </w:rPr>
        <w:t>Providers of residential respite care do not have a separate allocation of residential respite places. Rather, a portion of each permanent allocation of res</w:t>
      </w:r>
      <w:r>
        <w:rPr>
          <w:lang w:val="en-GB"/>
        </w:rPr>
        <w:t>idential care places may be</w:t>
      </w:r>
      <w:r w:rsidRPr="00247B3D">
        <w:rPr>
          <w:lang w:val="en-GB"/>
        </w:rPr>
        <w:t xml:space="preserve"> used for the provision of respite care and it is up to the provider what mix of permanent care and residential respite care that they provide. Access to respite services will depend on a person’s need/choice to access this type of care and on </w:t>
      </w:r>
      <w:r>
        <w:rPr>
          <w:lang w:val="en-GB"/>
        </w:rPr>
        <w:t xml:space="preserve">an </w:t>
      </w:r>
      <w:r w:rsidRPr="00247B3D">
        <w:rPr>
          <w:lang w:val="en-GB"/>
        </w:rPr>
        <w:t>approved providers willingness and ability to provide such care at that point in time</w:t>
      </w:r>
      <w:r w:rsidR="00D8721E">
        <w:rPr>
          <w:lang w:val="en-GB"/>
        </w:rPr>
        <w:t>.</w:t>
      </w:r>
    </w:p>
    <w:p w:rsidR="004B2296" w:rsidRPr="00596D01" w:rsidRDefault="004B2296" w:rsidP="001C335A">
      <w:pPr>
        <w:pStyle w:val="Heading3Numbered"/>
      </w:pPr>
      <w:bookmarkStart w:id="364" w:name="_Toc524424741"/>
      <w:r w:rsidRPr="00596D01">
        <w:t>Number of respite care consumers</w:t>
      </w:r>
      <w:bookmarkEnd w:id="364"/>
    </w:p>
    <w:p w:rsidR="00D8721E" w:rsidRDefault="00180D7F" w:rsidP="001C335A">
      <w:pPr>
        <w:rPr>
          <w:lang w:val="en-GB"/>
        </w:rPr>
      </w:pPr>
      <w:r w:rsidRPr="005F4AC9">
        <w:rPr>
          <w:lang w:val="en-GB"/>
        </w:rPr>
        <w:t xml:space="preserve">The residential care reforms introduced on </w:t>
      </w:r>
      <w:r w:rsidR="00EB039B">
        <w:rPr>
          <w:lang w:val="en-GB"/>
        </w:rPr>
        <w:t>1 July</w:t>
      </w:r>
      <w:r w:rsidR="00A261F3">
        <w:rPr>
          <w:lang w:val="en-GB"/>
        </w:rPr>
        <w:t> 201</w:t>
      </w:r>
      <w:r w:rsidRPr="005F4AC9">
        <w:rPr>
          <w:lang w:val="en-GB"/>
        </w:rPr>
        <w:t>4 made no changes to residential respite care, yet, as detailed in last year’s report, the usage of respite care</w:t>
      </w:r>
      <w:r>
        <w:rPr>
          <w:lang w:val="en-GB"/>
        </w:rPr>
        <w:t xml:space="preserve"> has</w:t>
      </w:r>
      <w:r w:rsidRPr="005F4AC9">
        <w:rPr>
          <w:lang w:val="en-GB"/>
        </w:rPr>
        <w:t xml:space="preserve"> increased noticeably in the</w:t>
      </w:r>
      <w:r>
        <w:rPr>
          <w:lang w:val="en-GB"/>
        </w:rPr>
        <w:t xml:space="preserve"> three</w:t>
      </w:r>
      <w:r w:rsidRPr="005F4AC9">
        <w:rPr>
          <w:lang w:val="en-GB"/>
        </w:rPr>
        <w:t xml:space="preserve"> year</w:t>
      </w:r>
      <w:r>
        <w:rPr>
          <w:lang w:val="en-GB"/>
        </w:rPr>
        <w:t>s</w:t>
      </w:r>
      <w:r w:rsidRPr="005F4AC9">
        <w:rPr>
          <w:lang w:val="en-GB"/>
        </w:rPr>
        <w:t xml:space="preserve"> following those reforms</w:t>
      </w:r>
      <w:r w:rsidR="00D8721E">
        <w:rPr>
          <w:lang w:val="en-GB"/>
        </w:rPr>
        <w:t>.</w:t>
      </w:r>
    </w:p>
    <w:p w:rsidR="00D8721E" w:rsidRDefault="00180D7F" w:rsidP="001C335A">
      <w:pPr>
        <w:rPr>
          <w:lang w:val="en-GB"/>
        </w:rPr>
      </w:pPr>
      <w:r>
        <w:rPr>
          <w:lang w:val="en-GB"/>
        </w:rPr>
        <w:t>The number of people receiving respite care in</w:t>
      </w:r>
      <w:r w:rsidR="00A261F3">
        <w:rPr>
          <w:lang w:val="en-GB"/>
        </w:rPr>
        <w:t> 201</w:t>
      </w:r>
      <w:r>
        <w:rPr>
          <w:lang w:val="en-GB"/>
        </w:rPr>
        <w:t>6</w:t>
      </w:r>
      <w:r w:rsidR="00D8721E">
        <w:rPr>
          <w:lang w:val="en-GB"/>
        </w:rPr>
        <w:t>–1</w:t>
      </w:r>
      <w:r>
        <w:rPr>
          <w:lang w:val="en-GB"/>
        </w:rPr>
        <w:t>7</w:t>
      </w:r>
      <w:r w:rsidR="00AA53E6">
        <w:rPr>
          <w:lang w:val="en-GB"/>
        </w:rPr>
        <w:t xml:space="preserve"> increased by 4.2</w:t>
      </w:r>
      <w:r w:rsidR="00A261F3">
        <w:rPr>
          <w:lang w:val="en-GB"/>
        </w:rPr>
        <w:t> per cent</w:t>
      </w:r>
      <w:r w:rsidR="00AA53E6">
        <w:rPr>
          <w:lang w:val="en-GB"/>
        </w:rPr>
        <w:t>, from 56,852 in</w:t>
      </w:r>
      <w:r w:rsidR="00A261F3">
        <w:rPr>
          <w:lang w:val="en-GB"/>
        </w:rPr>
        <w:t> 201</w:t>
      </w:r>
      <w:r w:rsidR="00AA53E6">
        <w:rPr>
          <w:lang w:val="en-GB"/>
        </w:rPr>
        <w:t>5</w:t>
      </w:r>
      <w:r w:rsidR="00D8721E">
        <w:rPr>
          <w:lang w:val="en-GB"/>
        </w:rPr>
        <w:t>–1</w:t>
      </w:r>
      <w:r w:rsidR="00AA53E6">
        <w:rPr>
          <w:lang w:val="en-GB"/>
        </w:rPr>
        <w:t xml:space="preserve">6 to </w:t>
      </w:r>
      <w:r w:rsidR="00AA53E6" w:rsidRPr="005F4AC9">
        <w:rPr>
          <w:lang w:val="en-GB"/>
        </w:rPr>
        <w:t>59,228</w:t>
      </w:r>
      <w:r w:rsidR="00AA53E6">
        <w:rPr>
          <w:lang w:val="en-GB"/>
        </w:rPr>
        <w:t xml:space="preserve"> in</w:t>
      </w:r>
      <w:r w:rsidR="00A261F3">
        <w:rPr>
          <w:lang w:val="en-GB"/>
        </w:rPr>
        <w:t> 201</w:t>
      </w:r>
      <w:r w:rsidR="00AA53E6">
        <w:rPr>
          <w:lang w:val="en-GB"/>
        </w:rPr>
        <w:t>6</w:t>
      </w:r>
      <w:r w:rsidR="00D8721E">
        <w:rPr>
          <w:lang w:val="en-GB"/>
        </w:rPr>
        <w:t>–1</w:t>
      </w:r>
      <w:r w:rsidR="00AA53E6">
        <w:rPr>
          <w:lang w:val="en-GB"/>
        </w:rPr>
        <w:t>7</w:t>
      </w:r>
      <w:r w:rsidR="00D8721E">
        <w:rPr>
          <w:lang w:val="en-GB"/>
        </w:rPr>
        <w:t>.</w:t>
      </w:r>
    </w:p>
    <w:p w:rsidR="00D8721E" w:rsidRDefault="00180D7F" w:rsidP="001C335A">
      <w:pPr>
        <w:rPr>
          <w:lang w:val="en-GB"/>
        </w:rPr>
      </w:pPr>
      <w:r w:rsidRPr="005F4AC9">
        <w:rPr>
          <w:lang w:val="en-GB"/>
        </w:rPr>
        <w:t>The full time equivalent (FTE) number of respite care co</w:t>
      </w:r>
      <w:r w:rsidR="00990012">
        <w:rPr>
          <w:lang w:val="en-GB"/>
        </w:rPr>
        <w:t xml:space="preserve">nsumers has increased by around </w:t>
      </w:r>
      <w:r w:rsidRPr="005F4AC9">
        <w:rPr>
          <w:lang w:val="en-GB"/>
        </w:rPr>
        <w:t>20</w:t>
      </w:r>
      <w:r w:rsidR="00A261F3">
        <w:rPr>
          <w:lang w:val="en-GB"/>
        </w:rPr>
        <w:t> per cent</w:t>
      </w:r>
      <w:r w:rsidRPr="005F4AC9">
        <w:rPr>
          <w:lang w:val="en-GB"/>
        </w:rPr>
        <w:t xml:space="preserve"> over the three years since the re</w:t>
      </w:r>
      <w:r>
        <w:rPr>
          <w:lang w:val="en-GB"/>
        </w:rPr>
        <w:t xml:space="preserve">forms of </w:t>
      </w:r>
      <w:r w:rsidR="00EB039B">
        <w:rPr>
          <w:lang w:val="en-GB"/>
        </w:rPr>
        <w:t>1 July</w:t>
      </w:r>
      <w:r w:rsidR="00A261F3">
        <w:rPr>
          <w:lang w:val="en-GB"/>
        </w:rPr>
        <w:t> 201</w:t>
      </w:r>
      <w:r>
        <w:rPr>
          <w:lang w:val="en-GB"/>
        </w:rPr>
        <w:t>4 (</w:t>
      </w:r>
      <w:r w:rsidR="00492BF8">
        <w:rPr>
          <w:lang w:val="en-GB"/>
        </w:rPr>
        <w:fldChar w:fldCharType="begin"/>
      </w:r>
      <w:r w:rsidR="00492BF8">
        <w:rPr>
          <w:lang w:val="en-GB"/>
        </w:rPr>
        <w:instrText xml:space="preserve"> REF _Ref524428201 \r \h </w:instrText>
      </w:r>
      <w:r w:rsidR="00492BF8">
        <w:rPr>
          <w:lang w:val="en-GB"/>
        </w:rPr>
      </w:r>
      <w:r w:rsidR="00492BF8">
        <w:rPr>
          <w:lang w:val="en-GB"/>
        </w:rPr>
        <w:fldChar w:fldCharType="separate"/>
      </w:r>
      <w:r w:rsidR="00492BF8">
        <w:rPr>
          <w:lang w:val="en-GB"/>
        </w:rPr>
        <w:t>Chart 5.16</w:t>
      </w:r>
      <w:r w:rsidR="00492BF8">
        <w:rPr>
          <w:lang w:val="en-GB"/>
        </w:rPr>
        <w:fldChar w:fldCharType="end"/>
      </w:r>
      <w:r w:rsidRPr="005F4AC9">
        <w:rPr>
          <w:lang w:val="en-GB"/>
        </w:rPr>
        <w:t>).</w:t>
      </w:r>
    </w:p>
    <w:p w:rsidR="00A05546" w:rsidRPr="00596D01" w:rsidRDefault="00A05546" w:rsidP="001C335A">
      <w:pPr>
        <w:pStyle w:val="ChartTitle"/>
      </w:pPr>
      <w:bookmarkStart w:id="365" w:name="_Ref524428201"/>
      <w:r w:rsidRPr="00596D01">
        <w:t>Number of full time equivalent respite care consumers,</w:t>
      </w:r>
      <w:r w:rsidR="00A261F3" w:rsidRPr="00596D01">
        <w:t> 201</w:t>
      </w:r>
      <w:r w:rsidRPr="00596D01">
        <w:t>2</w:t>
      </w:r>
      <w:r w:rsidR="00D8721E" w:rsidRPr="00596D01">
        <w:t>–1</w:t>
      </w:r>
      <w:r w:rsidRPr="00596D01">
        <w:t>3 to</w:t>
      </w:r>
      <w:r w:rsidR="00A261F3" w:rsidRPr="00596D01">
        <w:t> 201</w:t>
      </w:r>
      <w:r w:rsidRPr="00596D01">
        <w:t>6</w:t>
      </w:r>
      <w:r w:rsidR="00D8721E" w:rsidRPr="00596D01">
        <w:t>–1</w:t>
      </w:r>
      <w:r w:rsidRPr="00596D01">
        <w:t>7</w:t>
      </w:r>
      <w:bookmarkEnd w:id="365"/>
    </w:p>
    <w:p w:rsidR="00D8721E" w:rsidRDefault="00192907" w:rsidP="001C335A">
      <w:r>
        <w:rPr>
          <w:noProof/>
        </w:rPr>
        <w:drawing>
          <wp:inline distT="0" distB="0" distL="0" distR="0" wp14:anchorId="7C89038F" wp14:editId="2F5A72DF">
            <wp:extent cx="6120000" cy="2385574"/>
            <wp:effectExtent l="0" t="0" r="0" b="0"/>
            <wp:docPr id="23" name="Picture 23" descr="Chart 5.16 Number of full time equivalent respite care consumers, 2012–13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zc0004\AppData\Local\Microsoft\Windows\Temporary Internet Files\Content.Outlook\6DIYYC82\Chart_5.15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000" cy="2385574"/>
                    </a:xfrm>
                    <a:prstGeom prst="rect">
                      <a:avLst/>
                    </a:prstGeom>
                    <a:noFill/>
                    <a:ln>
                      <a:noFill/>
                    </a:ln>
                  </pic:spPr>
                </pic:pic>
              </a:graphicData>
            </a:graphic>
          </wp:inline>
        </w:drawing>
      </w:r>
    </w:p>
    <w:p w:rsidR="00D8721E" w:rsidRDefault="00492BF8" w:rsidP="001C335A">
      <w:pPr>
        <w:rPr>
          <w:lang w:val="en-GB"/>
        </w:rPr>
      </w:pPr>
      <w:r>
        <w:rPr>
          <w:lang w:val="en-GB"/>
        </w:rPr>
        <w:lastRenderedPageBreak/>
        <w:fldChar w:fldCharType="begin"/>
      </w:r>
      <w:r>
        <w:rPr>
          <w:lang w:val="en-GB"/>
        </w:rPr>
        <w:instrText xml:space="preserve"> REF _Ref524428208 \r \h </w:instrText>
      </w:r>
      <w:r>
        <w:rPr>
          <w:lang w:val="en-GB"/>
        </w:rPr>
      </w:r>
      <w:r>
        <w:rPr>
          <w:lang w:val="en-GB"/>
        </w:rPr>
        <w:fldChar w:fldCharType="separate"/>
      </w:r>
      <w:r>
        <w:rPr>
          <w:lang w:val="en-GB"/>
        </w:rPr>
        <w:t>Chart 5.17</w:t>
      </w:r>
      <w:r>
        <w:rPr>
          <w:lang w:val="en-GB"/>
        </w:rPr>
        <w:fldChar w:fldCharType="end"/>
      </w:r>
      <w:r>
        <w:rPr>
          <w:lang w:val="en-GB"/>
        </w:rPr>
        <w:t xml:space="preserve"> </w:t>
      </w:r>
      <w:r w:rsidR="00BE522D" w:rsidRPr="005F4AC9">
        <w:rPr>
          <w:lang w:val="en-GB"/>
        </w:rPr>
        <w:t xml:space="preserve">shows the average number (FTE) of respite care consumers by month. As </w:t>
      </w:r>
      <w:r w:rsidR="00AA53E6">
        <w:rPr>
          <w:lang w:val="en-GB"/>
        </w:rPr>
        <w:t>was the case</w:t>
      </w:r>
      <w:r w:rsidR="00A31D03">
        <w:rPr>
          <w:lang w:val="en-GB"/>
        </w:rPr>
        <w:t xml:space="preserve"> last year</w:t>
      </w:r>
      <w:r w:rsidR="00AA53E6">
        <w:rPr>
          <w:lang w:val="en-GB"/>
        </w:rPr>
        <w:t>,</w:t>
      </w:r>
      <w:r w:rsidR="00A31D03">
        <w:rPr>
          <w:lang w:val="en-GB"/>
        </w:rPr>
        <w:t xml:space="preserve"> t</w:t>
      </w:r>
      <w:r w:rsidR="00BE522D" w:rsidRPr="005F4AC9">
        <w:rPr>
          <w:lang w:val="en-GB"/>
        </w:rPr>
        <w:t xml:space="preserve">here is a strong seasonal pattern to the use of respite care, with the peak generally occurring in August/September. As can also be seen, the average monthly number (FTE) of respite care consumers increased significantly after </w:t>
      </w:r>
      <w:r w:rsidR="00EB039B">
        <w:rPr>
          <w:lang w:val="en-GB"/>
        </w:rPr>
        <w:t>1 July</w:t>
      </w:r>
      <w:r w:rsidR="00A261F3">
        <w:rPr>
          <w:lang w:val="en-GB"/>
        </w:rPr>
        <w:t> 201</w:t>
      </w:r>
      <w:r w:rsidR="00BE522D" w:rsidRPr="005F4AC9">
        <w:rPr>
          <w:lang w:val="en-GB"/>
        </w:rPr>
        <w:t>4.</w:t>
      </w:r>
    </w:p>
    <w:p w:rsidR="001312EC" w:rsidRPr="00596D01" w:rsidRDefault="001312EC" w:rsidP="001C335A">
      <w:pPr>
        <w:pStyle w:val="ChartTitle"/>
      </w:pPr>
      <w:bookmarkStart w:id="366" w:name="_Ref524428208"/>
      <w:r w:rsidRPr="00596D01">
        <w:t>Monthly number of full time equiva</w:t>
      </w:r>
      <w:r w:rsidR="00747571" w:rsidRPr="00596D01">
        <w:t>lent respite care consumers, June</w:t>
      </w:r>
      <w:r w:rsidR="00A261F3" w:rsidRPr="00596D01">
        <w:t> 201</w:t>
      </w:r>
      <w:r w:rsidRPr="00596D01">
        <w:t>2</w:t>
      </w:r>
      <w:r w:rsidR="00747571" w:rsidRPr="00596D01">
        <w:t> </w:t>
      </w:r>
      <w:r w:rsidRPr="00596D01">
        <w:t>to</w:t>
      </w:r>
      <w:r w:rsidR="00747571" w:rsidRPr="00596D01">
        <w:t> </w:t>
      </w:r>
      <w:r w:rsidRPr="00596D01">
        <w:t>June</w:t>
      </w:r>
      <w:r w:rsidR="00A261F3" w:rsidRPr="00596D01">
        <w:t> 201</w:t>
      </w:r>
      <w:r w:rsidRPr="00596D01">
        <w:t>7</w:t>
      </w:r>
      <w:bookmarkEnd w:id="366"/>
    </w:p>
    <w:p w:rsidR="00D8721E" w:rsidRPr="00596D01" w:rsidRDefault="00E00671" w:rsidP="001C335A">
      <w:r>
        <w:rPr>
          <w:noProof/>
        </w:rPr>
        <w:drawing>
          <wp:inline distT="0" distB="0" distL="0" distR="0" wp14:anchorId="3BF59A79" wp14:editId="5833D60B">
            <wp:extent cx="6120000" cy="2784600"/>
            <wp:effectExtent l="0" t="0" r="0" b="0"/>
            <wp:docPr id="256" name="Picture 256" descr="Chart 5.17 Monthly number of full time equivalent respite care consumers, June 2012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20000" cy="2784600"/>
                    </a:xfrm>
                    <a:prstGeom prst="rect">
                      <a:avLst/>
                    </a:prstGeom>
                  </pic:spPr>
                </pic:pic>
              </a:graphicData>
            </a:graphic>
          </wp:inline>
        </w:drawing>
      </w:r>
    </w:p>
    <w:p w:rsidR="00790138" w:rsidRPr="00596D01" w:rsidRDefault="00790138" w:rsidP="001C335A">
      <w:pPr>
        <w:pStyle w:val="Heading3Numbered"/>
      </w:pPr>
      <w:bookmarkStart w:id="367" w:name="_Toc487702568"/>
      <w:bookmarkStart w:id="368" w:name="_Toc487702920"/>
      <w:bookmarkStart w:id="369" w:name="_Toc487703418"/>
      <w:bookmarkStart w:id="370" w:name="_Toc487703612"/>
      <w:bookmarkStart w:id="371" w:name="_Toc524424742"/>
      <w:r w:rsidRPr="00596D01">
        <w:t>Length and frequency of stay in residential respite care</w:t>
      </w:r>
      <w:bookmarkEnd w:id="367"/>
      <w:bookmarkEnd w:id="368"/>
      <w:bookmarkEnd w:id="369"/>
      <w:bookmarkEnd w:id="370"/>
      <w:bookmarkEnd w:id="371"/>
    </w:p>
    <w:p w:rsidR="00D8721E" w:rsidRDefault="005F39A1" w:rsidP="001C335A">
      <w:pPr>
        <w:rPr>
          <w:lang w:val="en-GB"/>
        </w:rPr>
      </w:pPr>
      <w:r w:rsidRPr="00A82F97">
        <w:rPr>
          <w:lang w:val="en-GB"/>
        </w:rPr>
        <w:t>59,</w:t>
      </w:r>
      <w:r w:rsidR="00747571">
        <w:rPr>
          <w:lang w:val="en-GB"/>
        </w:rPr>
        <w:t>228</w:t>
      </w:r>
      <w:r w:rsidRPr="00A82F97">
        <w:rPr>
          <w:lang w:val="en-GB"/>
        </w:rPr>
        <w:t xml:space="preserve"> people received residential respite care during</w:t>
      </w:r>
      <w:r w:rsidR="00A261F3">
        <w:rPr>
          <w:lang w:val="en-GB"/>
        </w:rPr>
        <w:t> 201</w:t>
      </w:r>
      <w:r w:rsidRPr="00A82F97">
        <w:rPr>
          <w:lang w:val="en-GB"/>
        </w:rPr>
        <w:t>6</w:t>
      </w:r>
      <w:r w:rsidR="00D8721E">
        <w:rPr>
          <w:lang w:val="en-GB"/>
        </w:rPr>
        <w:t>–1</w:t>
      </w:r>
      <w:r w:rsidRPr="00A82F97">
        <w:rPr>
          <w:lang w:val="en-GB"/>
        </w:rPr>
        <w:t>7. Of these, on average each person had 1.4 respite care stays</w:t>
      </w:r>
      <w:r w:rsidR="00940CB0">
        <w:rPr>
          <w:rStyle w:val="FootnoteReference"/>
          <w:rFonts w:cs="Segoe UI"/>
          <w:color w:val="313131"/>
          <w:lang w:val="en-GB"/>
        </w:rPr>
        <w:footnoteReference w:id="27"/>
      </w:r>
      <w:r w:rsidRPr="00A82F97">
        <w:rPr>
          <w:lang w:val="en-GB"/>
        </w:rPr>
        <w:t xml:space="preserve"> with each stay being an average of about 26 days. The average length of stay has increased slightly from around 24 da</w:t>
      </w:r>
      <w:r w:rsidR="005F5EB2" w:rsidRPr="00A82F97">
        <w:rPr>
          <w:lang w:val="en-GB"/>
        </w:rPr>
        <w:t xml:space="preserve">ys since </w:t>
      </w:r>
      <w:r w:rsidR="00EB039B">
        <w:rPr>
          <w:lang w:val="en-GB"/>
        </w:rPr>
        <w:t>1 July</w:t>
      </w:r>
      <w:r w:rsidR="00A261F3">
        <w:rPr>
          <w:lang w:val="en-GB"/>
        </w:rPr>
        <w:t> 201</w:t>
      </w:r>
      <w:r w:rsidR="005F5EB2" w:rsidRPr="00A82F97">
        <w:rPr>
          <w:lang w:val="en-GB"/>
        </w:rPr>
        <w:t>4 (</w:t>
      </w:r>
      <w:r w:rsidR="00492BF8">
        <w:rPr>
          <w:lang w:val="en-GB"/>
        </w:rPr>
        <w:fldChar w:fldCharType="begin"/>
      </w:r>
      <w:r w:rsidR="00492BF8">
        <w:rPr>
          <w:lang w:val="en-GB"/>
        </w:rPr>
        <w:instrText xml:space="preserve"> REF _Ref524428216 \r \h </w:instrText>
      </w:r>
      <w:r w:rsidR="00492BF8">
        <w:rPr>
          <w:lang w:val="en-GB"/>
        </w:rPr>
      </w:r>
      <w:r w:rsidR="00492BF8">
        <w:rPr>
          <w:lang w:val="en-GB"/>
        </w:rPr>
        <w:fldChar w:fldCharType="separate"/>
      </w:r>
      <w:r w:rsidR="00492BF8">
        <w:rPr>
          <w:lang w:val="en-GB"/>
        </w:rPr>
        <w:t>Chart 5.18</w:t>
      </w:r>
      <w:r w:rsidR="00492BF8">
        <w:rPr>
          <w:lang w:val="en-GB"/>
        </w:rPr>
        <w:fldChar w:fldCharType="end"/>
      </w:r>
      <w:r w:rsidRPr="00A82F97">
        <w:rPr>
          <w:lang w:val="en-GB"/>
        </w:rPr>
        <w:t>).</w:t>
      </w:r>
      <w:r w:rsidR="005C3386">
        <w:rPr>
          <w:lang w:val="en-GB"/>
        </w:rPr>
        <w:t xml:space="preserve"> </w:t>
      </w:r>
      <w:r w:rsidR="00747571">
        <w:rPr>
          <w:lang w:val="en-GB"/>
        </w:rPr>
        <w:t>F</w:t>
      </w:r>
      <w:r w:rsidR="005C3386">
        <w:rPr>
          <w:lang w:val="en-GB"/>
        </w:rPr>
        <w:t xml:space="preserve">or home care package consumers who access residential respite care, the average length of stay is </w:t>
      </w:r>
      <w:r w:rsidR="00747571">
        <w:rPr>
          <w:lang w:val="en-GB"/>
        </w:rPr>
        <w:t xml:space="preserve">significantly shorter, at </w:t>
      </w:r>
      <w:r w:rsidR="005C3386">
        <w:rPr>
          <w:lang w:val="en-GB"/>
        </w:rPr>
        <w:t>around 22 days and has remained stable since</w:t>
      </w:r>
      <w:r w:rsidR="00A261F3">
        <w:rPr>
          <w:lang w:val="en-GB"/>
        </w:rPr>
        <w:t> 201</w:t>
      </w:r>
      <w:r w:rsidR="005C3386">
        <w:rPr>
          <w:lang w:val="en-GB"/>
        </w:rPr>
        <w:t>4</w:t>
      </w:r>
      <w:r w:rsidR="00D8721E">
        <w:rPr>
          <w:lang w:val="en-GB"/>
        </w:rPr>
        <w:t>–1</w:t>
      </w:r>
      <w:r w:rsidR="005C3386">
        <w:rPr>
          <w:lang w:val="en-GB"/>
        </w:rPr>
        <w:t>5.</w:t>
      </w:r>
    </w:p>
    <w:p w:rsidR="00223AA6" w:rsidRPr="00596D01" w:rsidRDefault="00223AA6" w:rsidP="001C335A">
      <w:pPr>
        <w:pStyle w:val="ChartTitle"/>
      </w:pPr>
      <w:bookmarkStart w:id="372" w:name="_Ref524428216"/>
      <w:r w:rsidRPr="00596D01">
        <w:t>Average length of stay (days) in residential respite care,</w:t>
      </w:r>
      <w:r w:rsidR="00A261F3" w:rsidRPr="00596D01">
        <w:t> 201</w:t>
      </w:r>
      <w:r w:rsidRPr="00596D01">
        <w:t>2</w:t>
      </w:r>
      <w:r w:rsidR="00D8721E" w:rsidRPr="00596D01">
        <w:t>–1</w:t>
      </w:r>
      <w:r w:rsidRPr="00596D01">
        <w:t>3 to</w:t>
      </w:r>
      <w:r w:rsidR="00A261F3" w:rsidRPr="00596D01">
        <w:t> 201</w:t>
      </w:r>
      <w:r w:rsidRPr="00596D01">
        <w:t>6</w:t>
      </w:r>
      <w:r w:rsidR="00D8721E" w:rsidRPr="00596D01">
        <w:t>–1</w:t>
      </w:r>
      <w:r w:rsidRPr="00596D01">
        <w:t>7</w:t>
      </w:r>
      <w:bookmarkEnd w:id="372"/>
    </w:p>
    <w:p w:rsidR="00D8721E" w:rsidRPr="00596D01" w:rsidRDefault="00192907" w:rsidP="001C335A">
      <w:r w:rsidRPr="00596D01">
        <w:rPr>
          <w:noProof/>
        </w:rPr>
        <w:drawing>
          <wp:inline distT="0" distB="0" distL="0" distR="0" wp14:anchorId="57A745C7" wp14:editId="472CBEB5">
            <wp:extent cx="6120000" cy="2214755"/>
            <wp:effectExtent l="0" t="0" r="0" b="0"/>
            <wp:docPr id="55" name="Picture 55" descr="Chart 5.18 Average length of stay (days) in residential respite care, 2012–13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5.17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000" cy="2214755"/>
                    </a:xfrm>
                    <a:prstGeom prst="rect">
                      <a:avLst/>
                    </a:prstGeom>
                    <a:noFill/>
                    <a:ln>
                      <a:noFill/>
                    </a:ln>
                  </pic:spPr>
                </pic:pic>
              </a:graphicData>
            </a:graphic>
          </wp:inline>
        </w:drawing>
      </w:r>
    </w:p>
    <w:p w:rsidR="00FE71F7" w:rsidRPr="00A82F97" w:rsidRDefault="00FE71F7" w:rsidP="001C335A">
      <w:pPr>
        <w:rPr>
          <w:lang w:val="en-GB"/>
        </w:rPr>
      </w:pPr>
      <w:r w:rsidRPr="00A82F97">
        <w:rPr>
          <w:lang w:val="en-GB"/>
        </w:rPr>
        <w:t>A high proportion of the consumers of residential respite care have only one episode of respite care per annum (7</w:t>
      </w:r>
      <w:r w:rsidR="009C307B">
        <w:rPr>
          <w:lang w:val="en-GB"/>
        </w:rPr>
        <w:t>5</w:t>
      </w:r>
      <w:r w:rsidR="00A261F3">
        <w:rPr>
          <w:lang w:val="en-GB"/>
        </w:rPr>
        <w:t> per cent</w:t>
      </w:r>
      <w:r w:rsidRPr="00A82F97">
        <w:rPr>
          <w:lang w:val="en-GB"/>
        </w:rPr>
        <w:t>). This trend has remained relatively stable over the past few years.</w:t>
      </w:r>
    </w:p>
    <w:p w:rsidR="00D8721E" w:rsidRDefault="00FE71F7" w:rsidP="001C335A">
      <w:pPr>
        <w:rPr>
          <w:lang w:val="en-GB"/>
        </w:rPr>
      </w:pPr>
      <w:r w:rsidRPr="00A82F97">
        <w:rPr>
          <w:lang w:val="en-GB"/>
        </w:rPr>
        <w:t>A</w:t>
      </w:r>
      <w:r w:rsidR="008E5330" w:rsidRPr="00A82F97">
        <w:rPr>
          <w:lang w:val="en-GB"/>
        </w:rPr>
        <w:t>s was the case in</w:t>
      </w:r>
      <w:r w:rsidR="00A261F3">
        <w:rPr>
          <w:lang w:val="en-GB"/>
        </w:rPr>
        <w:t> 201</w:t>
      </w:r>
      <w:r w:rsidR="008E5330" w:rsidRPr="00A82F97">
        <w:rPr>
          <w:lang w:val="en-GB"/>
        </w:rPr>
        <w:t>5</w:t>
      </w:r>
      <w:r w:rsidR="00D8721E">
        <w:rPr>
          <w:lang w:val="en-GB"/>
        </w:rPr>
        <w:t>–1</w:t>
      </w:r>
      <w:r w:rsidR="008E5330" w:rsidRPr="00A82F97">
        <w:rPr>
          <w:lang w:val="en-GB"/>
        </w:rPr>
        <w:t>6, a</w:t>
      </w:r>
      <w:r w:rsidRPr="00A82F97">
        <w:rPr>
          <w:lang w:val="en-GB"/>
        </w:rPr>
        <w:t xml:space="preserve"> clear pattern of respite care use is that it is most often for stays of whole weeks at a time</w:t>
      </w:r>
      <w:r w:rsidR="000A1DC9">
        <w:rPr>
          <w:lang w:val="en-GB"/>
        </w:rPr>
        <w:t xml:space="preserve"> (</w:t>
      </w:r>
      <w:r w:rsidR="00492BF8">
        <w:rPr>
          <w:lang w:val="en-GB"/>
        </w:rPr>
        <w:fldChar w:fldCharType="begin"/>
      </w:r>
      <w:r w:rsidR="00492BF8">
        <w:rPr>
          <w:lang w:val="en-GB"/>
        </w:rPr>
        <w:instrText xml:space="preserve"> REF _Ref524428225 \r \h </w:instrText>
      </w:r>
      <w:r w:rsidR="00492BF8">
        <w:rPr>
          <w:lang w:val="en-GB"/>
        </w:rPr>
      </w:r>
      <w:r w:rsidR="00492BF8">
        <w:rPr>
          <w:lang w:val="en-GB"/>
        </w:rPr>
        <w:fldChar w:fldCharType="separate"/>
      </w:r>
      <w:r w:rsidR="00492BF8">
        <w:rPr>
          <w:lang w:val="en-GB"/>
        </w:rPr>
        <w:t>Chart 5.19</w:t>
      </w:r>
      <w:r w:rsidR="00492BF8">
        <w:rPr>
          <w:lang w:val="en-GB"/>
        </w:rPr>
        <w:fldChar w:fldCharType="end"/>
      </w:r>
      <w:r w:rsidR="000A1DC9">
        <w:rPr>
          <w:lang w:val="en-GB"/>
        </w:rPr>
        <w:t>)</w:t>
      </w:r>
      <w:r w:rsidRPr="00A82F97">
        <w:rPr>
          <w:lang w:val="en-GB"/>
        </w:rPr>
        <w:t xml:space="preserve">. A fortnight is by far the most common residential respite care length of stay. One, </w:t>
      </w:r>
      <w:r w:rsidRPr="00A82F97">
        <w:rPr>
          <w:lang w:val="en-GB"/>
        </w:rPr>
        <w:lastRenderedPageBreak/>
        <w:t>three and four weeks are the next most c</w:t>
      </w:r>
      <w:r w:rsidR="000A1DC9">
        <w:rPr>
          <w:lang w:val="en-GB"/>
        </w:rPr>
        <w:t>ommon lengths of stay</w:t>
      </w:r>
      <w:r w:rsidRPr="00A82F97">
        <w:rPr>
          <w:lang w:val="en-GB"/>
        </w:rPr>
        <w:t>. Around 2,300 consumers (3.</w:t>
      </w:r>
      <w:r w:rsidR="00D00B54">
        <w:rPr>
          <w:lang w:val="en-GB"/>
        </w:rPr>
        <w:t>9</w:t>
      </w:r>
      <w:r w:rsidR="00A261F3">
        <w:rPr>
          <w:lang w:val="en-GB"/>
        </w:rPr>
        <w:t> per cent</w:t>
      </w:r>
      <w:r w:rsidRPr="00A82F97">
        <w:rPr>
          <w:lang w:val="en-GB"/>
        </w:rPr>
        <w:t>) used the maximum of 63 days in one stay.</w:t>
      </w:r>
      <w:r w:rsidR="005F4AC9" w:rsidRPr="00A82F97">
        <w:rPr>
          <w:lang w:val="en-GB"/>
        </w:rPr>
        <w:t xml:space="preserve"> These usage trends have been stable in recent years.</w:t>
      </w:r>
    </w:p>
    <w:p w:rsidR="00BA080F" w:rsidRPr="00596D01" w:rsidRDefault="006F7913" w:rsidP="001C335A">
      <w:pPr>
        <w:pStyle w:val="ChartTitle"/>
      </w:pPr>
      <w:bookmarkStart w:id="373" w:name="_Ref524428225"/>
      <w:r w:rsidRPr="00596D01">
        <w:t>Frequency of length of respite care stays,</w:t>
      </w:r>
      <w:r w:rsidR="00A261F3" w:rsidRPr="00596D01">
        <w:t> 201</w:t>
      </w:r>
      <w:r w:rsidRPr="00596D01">
        <w:t>6</w:t>
      </w:r>
      <w:r w:rsidR="00D8721E" w:rsidRPr="00596D01">
        <w:t>–1</w:t>
      </w:r>
      <w:r w:rsidRPr="00596D01">
        <w:t>7</w:t>
      </w:r>
      <w:bookmarkEnd w:id="373"/>
    </w:p>
    <w:p w:rsidR="00D8721E" w:rsidRDefault="00DC4884" w:rsidP="001C335A">
      <w:pPr>
        <w:rPr>
          <w:rFonts w:ascii="Segoe UI" w:hAnsi="Segoe UI" w:cs="Segoe UI"/>
          <w:color w:val="313131"/>
          <w:sz w:val="22"/>
          <w:szCs w:val="22"/>
          <w:lang w:val="en-GB"/>
        </w:rPr>
      </w:pPr>
      <w:r>
        <w:rPr>
          <w:noProof/>
        </w:rPr>
        <w:drawing>
          <wp:inline distT="0" distB="0" distL="0" distR="0" wp14:anchorId="1A9CF04F" wp14:editId="11BBD647">
            <wp:extent cx="6120000" cy="3487623"/>
            <wp:effectExtent l="0" t="0" r="0" b="0"/>
            <wp:docPr id="33" name="Picture 33" descr="Chart 5.19 Frequency of length of respite care stays,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07C6.6555D530"/>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6120000" cy="3487623"/>
                    </a:xfrm>
                    <a:prstGeom prst="rect">
                      <a:avLst/>
                    </a:prstGeom>
                    <a:noFill/>
                    <a:ln>
                      <a:noFill/>
                    </a:ln>
                  </pic:spPr>
                </pic:pic>
              </a:graphicData>
            </a:graphic>
          </wp:inline>
        </w:drawing>
      </w:r>
    </w:p>
    <w:p w:rsidR="00BA080F" w:rsidRPr="00D1256A" w:rsidRDefault="00376233" w:rsidP="00944018">
      <w:pPr>
        <w:pStyle w:val="Heading5"/>
      </w:pPr>
      <w:r w:rsidRPr="00596D01">
        <w:t>Transfers to permanent residential care</w:t>
      </w:r>
    </w:p>
    <w:p w:rsidR="00D8721E" w:rsidRDefault="00BA080F" w:rsidP="001C335A">
      <w:pPr>
        <w:rPr>
          <w:lang w:val="en-GB"/>
        </w:rPr>
      </w:pPr>
      <w:r w:rsidRPr="00D1256A">
        <w:rPr>
          <w:lang w:val="en-GB"/>
        </w:rPr>
        <w:t xml:space="preserve">One of the factors that has </w:t>
      </w:r>
      <w:r w:rsidR="00977A6D">
        <w:rPr>
          <w:lang w:val="en-GB"/>
        </w:rPr>
        <w:t xml:space="preserve">driven </w:t>
      </w:r>
      <w:r w:rsidRPr="00D1256A">
        <w:rPr>
          <w:lang w:val="en-GB"/>
        </w:rPr>
        <w:t>the increased usage of respite care is that people are entering respite care in higher numbers within a week prior to assuming</w:t>
      </w:r>
      <w:r w:rsidR="00D1256A">
        <w:rPr>
          <w:lang w:val="en-GB"/>
        </w:rPr>
        <w:t xml:space="preserve"> permanent resident status. </w:t>
      </w:r>
      <w:r w:rsidR="00977A6D">
        <w:rPr>
          <w:lang w:val="en-GB"/>
        </w:rPr>
        <w:t>As shown in</w:t>
      </w:r>
      <w:r w:rsidR="001312EC">
        <w:rPr>
          <w:lang w:val="en-GB"/>
        </w:rPr>
        <w:t xml:space="preserve"> </w:t>
      </w:r>
      <w:r w:rsidR="00492BF8">
        <w:rPr>
          <w:lang w:val="en-GB"/>
        </w:rPr>
        <w:fldChar w:fldCharType="begin"/>
      </w:r>
      <w:r w:rsidR="00492BF8">
        <w:rPr>
          <w:lang w:val="en-GB"/>
        </w:rPr>
        <w:instrText xml:space="preserve"> REF _Ref524428233 \r \h </w:instrText>
      </w:r>
      <w:r w:rsidR="00492BF8">
        <w:rPr>
          <w:lang w:val="en-GB"/>
        </w:rPr>
      </w:r>
      <w:r w:rsidR="00492BF8">
        <w:rPr>
          <w:lang w:val="en-GB"/>
        </w:rPr>
        <w:fldChar w:fldCharType="separate"/>
      </w:r>
      <w:r w:rsidR="00492BF8">
        <w:rPr>
          <w:lang w:val="en-GB"/>
        </w:rPr>
        <w:t>Chart 5.20</w:t>
      </w:r>
      <w:r w:rsidR="00492BF8">
        <w:rPr>
          <w:lang w:val="en-GB"/>
        </w:rPr>
        <w:fldChar w:fldCharType="end"/>
      </w:r>
      <w:r w:rsidR="00492BF8">
        <w:rPr>
          <w:lang w:val="en-GB"/>
        </w:rPr>
        <w:t xml:space="preserve"> </w:t>
      </w:r>
      <w:r w:rsidR="00977A6D">
        <w:rPr>
          <w:lang w:val="en-GB"/>
        </w:rPr>
        <w:t>this trend has continued in</w:t>
      </w:r>
      <w:r w:rsidR="00A261F3">
        <w:rPr>
          <w:lang w:val="en-GB"/>
        </w:rPr>
        <w:t> 201</w:t>
      </w:r>
      <w:r w:rsidR="00977A6D">
        <w:rPr>
          <w:lang w:val="en-GB"/>
        </w:rPr>
        <w:t>6</w:t>
      </w:r>
      <w:r w:rsidR="00D8721E">
        <w:rPr>
          <w:lang w:val="en-GB"/>
        </w:rPr>
        <w:t>–1</w:t>
      </w:r>
      <w:r w:rsidR="00977A6D">
        <w:rPr>
          <w:lang w:val="en-GB"/>
        </w:rPr>
        <w:t xml:space="preserve">7. </w:t>
      </w:r>
      <w:r w:rsidR="00D1256A">
        <w:rPr>
          <w:lang w:val="en-GB"/>
        </w:rPr>
        <w:t>This is one aspect of the usage of residential respite care that ACFA will be examining in its report to Government</w:t>
      </w:r>
      <w:r w:rsidR="00D8721E">
        <w:rPr>
          <w:lang w:val="en-GB"/>
        </w:rPr>
        <w:t>.</w:t>
      </w:r>
    </w:p>
    <w:p w:rsidR="003532DA" w:rsidRPr="00596D01" w:rsidRDefault="003532DA" w:rsidP="001C335A">
      <w:pPr>
        <w:pStyle w:val="ChartTitle"/>
      </w:pPr>
      <w:bookmarkStart w:id="374" w:name="_Ref524428233"/>
      <w:r w:rsidRPr="00596D01">
        <w:t>Residents transferring into permanent care within a week of discharge</w:t>
      </w:r>
      <w:r w:rsidR="002F2E79" w:rsidRPr="00596D01">
        <w:t xml:space="preserve"> from respite care</w:t>
      </w:r>
      <w:r w:rsidRPr="00596D01">
        <w:t>,</w:t>
      </w:r>
      <w:r w:rsidR="00A261F3" w:rsidRPr="00596D01">
        <w:t> 201</w:t>
      </w:r>
      <w:r w:rsidRPr="00596D01">
        <w:t>1</w:t>
      </w:r>
      <w:r w:rsidR="00D8721E" w:rsidRPr="00596D01">
        <w:t>–1</w:t>
      </w:r>
      <w:r w:rsidRPr="00596D01">
        <w:t>2 to</w:t>
      </w:r>
      <w:r w:rsidR="00A261F3" w:rsidRPr="00596D01">
        <w:t> 201</w:t>
      </w:r>
      <w:r w:rsidRPr="00596D01">
        <w:t>6</w:t>
      </w:r>
      <w:r w:rsidR="00D8721E" w:rsidRPr="00596D01">
        <w:t>–1</w:t>
      </w:r>
      <w:r w:rsidRPr="00596D01">
        <w:t>7</w:t>
      </w:r>
      <w:bookmarkEnd w:id="374"/>
    </w:p>
    <w:p w:rsidR="00D8721E" w:rsidRDefault="001312EC" w:rsidP="001C335A">
      <w:pPr>
        <w:rPr>
          <w:rFonts w:ascii="Segoe UI" w:hAnsi="Segoe UI" w:cs="Segoe UI"/>
          <w:color w:val="313131"/>
          <w:sz w:val="22"/>
          <w:szCs w:val="22"/>
          <w:lang w:val="en-GB"/>
        </w:rPr>
      </w:pPr>
      <w:r w:rsidRPr="00596D01">
        <w:rPr>
          <w:noProof/>
        </w:rPr>
        <w:drawing>
          <wp:inline distT="0" distB="0" distL="0" distR="0" wp14:anchorId="6E181185" wp14:editId="2C651035">
            <wp:extent cx="6120000" cy="3042175"/>
            <wp:effectExtent l="0" t="0" r="0" b="6350"/>
            <wp:docPr id="268" name="Picture 268" descr="Chart 5.20 Residents transferring into permanent care within a week of discharge from respite care, 2011–12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_5.20 (5)"/>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6120000" cy="3042175"/>
                    </a:xfrm>
                    <a:prstGeom prst="rect">
                      <a:avLst/>
                    </a:prstGeom>
                    <a:noFill/>
                    <a:ln>
                      <a:noFill/>
                    </a:ln>
                  </pic:spPr>
                </pic:pic>
              </a:graphicData>
            </a:graphic>
          </wp:inline>
        </w:drawing>
      </w:r>
    </w:p>
    <w:p w:rsidR="003F6D10" w:rsidRPr="00596D01" w:rsidRDefault="003F6D10" w:rsidP="001C335A">
      <w:pPr>
        <w:pStyle w:val="Heading2Numbered"/>
      </w:pPr>
      <w:bookmarkStart w:id="375" w:name="_Toc487702569"/>
      <w:bookmarkStart w:id="376" w:name="_Toc487702921"/>
      <w:bookmarkStart w:id="377" w:name="_Toc487703419"/>
      <w:bookmarkStart w:id="378" w:name="_Toc487703613"/>
      <w:bookmarkStart w:id="379" w:name="_Toc524424743"/>
      <w:r w:rsidRPr="00596D01">
        <w:lastRenderedPageBreak/>
        <w:t>Supported residents</w:t>
      </w:r>
      <w:bookmarkEnd w:id="375"/>
      <w:bookmarkEnd w:id="376"/>
      <w:bookmarkEnd w:id="377"/>
      <w:bookmarkEnd w:id="378"/>
      <w:bookmarkEnd w:id="379"/>
    </w:p>
    <w:p w:rsidR="00D8721E" w:rsidRDefault="00AA53E6" w:rsidP="001C335A">
      <w:r>
        <w:t>The Australian Government supports access to permanent residential care by consumers who are assessed as not being able to meet all or part of their own accommodation costs by paying providers an accommodation supplement on their behalf. These residents are known as supported residents</w:t>
      </w:r>
      <w:r w:rsidR="00D8721E">
        <w:t>.</w:t>
      </w:r>
    </w:p>
    <w:p w:rsidR="00D8721E" w:rsidRDefault="00AA53E6" w:rsidP="001C335A">
      <w:r>
        <w:t>Since the aged care reforms of 1 July</w:t>
      </w:r>
      <w:r w:rsidR="00A261F3">
        <w:t> 201</w:t>
      </w:r>
      <w:r>
        <w:t>4, eligibility for a full or partial accommodation supplement is determined by a combined assessment of an individual’s income and assets. The cohort of supported residents also includes some residents who have had the value of their home excluded from the combined assets and income means test because it is occupied by a protected person (such as their partner)</w:t>
      </w:r>
      <w:r w:rsidR="00D8721E">
        <w:t>.</w:t>
      </w:r>
    </w:p>
    <w:p w:rsidR="00AA53E6" w:rsidRDefault="00AA53E6" w:rsidP="001C335A">
      <w:r>
        <w:t xml:space="preserve">The amount of accommodation supplement received by a provider on behalf of a supported resident depends on: </w:t>
      </w:r>
    </w:p>
    <w:p w:rsidR="00AA53E6" w:rsidRDefault="00AA53E6" w:rsidP="001C335A">
      <w:pPr>
        <w:pStyle w:val="Bullet1"/>
        <w:rPr>
          <w:lang w:eastAsia="en-US"/>
        </w:rPr>
      </w:pPr>
      <w:r>
        <w:rPr>
          <w:lang w:eastAsia="en-US"/>
        </w:rPr>
        <w:t xml:space="preserve">the outcome of the resident’s means tested assessment; </w:t>
      </w:r>
    </w:p>
    <w:p w:rsidR="00AA53E6" w:rsidRDefault="00AA53E6" w:rsidP="001C335A">
      <w:pPr>
        <w:pStyle w:val="Bullet1"/>
        <w:rPr>
          <w:lang w:eastAsia="en-US"/>
        </w:rPr>
      </w:pPr>
      <w:r>
        <w:rPr>
          <w:lang w:eastAsia="en-US"/>
        </w:rPr>
        <w:t>whether the aged care service has been built or significantly refurbished since 20 April</w:t>
      </w:r>
      <w:r w:rsidR="00A261F3">
        <w:rPr>
          <w:lang w:eastAsia="en-US"/>
        </w:rPr>
        <w:t> 201</w:t>
      </w:r>
      <w:r>
        <w:rPr>
          <w:lang w:eastAsia="en-US"/>
        </w:rPr>
        <w:t>2; and</w:t>
      </w:r>
    </w:p>
    <w:p w:rsidR="00AA53E6" w:rsidRDefault="00AA53E6" w:rsidP="001C335A">
      <w:pPr>
        <w:pStyle w:val="Bullet1"/>
        <w:rPr>
          <w:lang w:eastAsia="en-US"/>
        </w:rPr>
      </w:pPr>
      <w:r>
        <w:rPr>
          <w:lang w:eastAsia="en-US"/>
        </w:rPr>
        <w:t>whether the aged care service provides more than 40</w:t>
      </w:r>
      <w:r w:rsidR="00A261F3">
        <w:rPr>
          <w:lang w:eastAsia="en-US"/>
        </w:rPr>
        <w:t> per cent</w:t>
      </w:r>
      <w:r>
        <w:rPr>
          <w:lang w:eastAsia="en-US"/>
        </w:rPr>
        <w:t xml:space="preserve"> of its eligible care days to supported residents.</w:t>
      </w:r>
    </w:p>
    <w:p w:rsidR="00AA53E6" w:rsidRDefault="00AA53E6" w:rsidP="001C335A">
      <w:pPr>
        <w:rPr>
          <w:lang w:eastAsia="en-US"/>
        </w:rPr>
      </w:pPr>
      <w:r>
        <w:rPr>
          <w:lang w:eastAsia="en-US"/>
        </w:rPr>
        <w:t>Providers have discretion to determine the proportion of supported residents in their facilities. However providers with 40</w:t>
      </w:r>
      <w:r w:rsidR="00A261F3">
        <w:rPr>
          <w:lang w:eastAsia="en-US"/>
        </w:rPr>
        <w:t> per cent</w:t>
      </w:r>
      <w:r>
        <w:rPr>
          <w:lang w:eastAsia="en-US"/>
        </w:rPr>
        <w:t xml:space="preserve"> or fewer supported residents (excluding those residents receiving extra services) in a facility have the accommodation supplement they receive for all supported residents in that facility reduced by 25</w:t>
      </w:r>
      <w:r w:rsidR="00A261F3">
        <w:rPr>
          <w:lang w:eastAsia="en-US"/>
        </w:rPr>
        <w:t> per cent</w:t>
      </w:r>
      <w:r>
        <w:rPr>
          <w:lang w:eastAsia="en-US"/>
        </w:rPr>
        <w:t>.</w:t>
      </w:r>
    </w:p>
    <w:p w:rsidR="00D8721E" w:rsidRDefault="00AA53E6" w:rsidP="001C335A">
      <w:pPr>
        <w:rPr>
          <w:lang w:eastAsia="en-US"/>
        </w:rPr>
      </w:pPr>
      <w:r>
        <w:rPr>
          <w:lang w:eastAsia="en-US"/>
        </w:rPr>
        <w:t xml:space="preserve">As shown in </w:t>
      </w:r>
      <w:r w:rsidR="00492BF8">
        <w:rPr>
          <w:lang w:eastAsia="en-US"/>
        </w:rPr>
        <w:fldChar w:fldCharType="begin"/>
      </w:r>
      <w:r w:rsidR="00492BF8">
        <w:rPr>
          <w:lang w:eastAsia="en-US"/>
        </w:rPr>
        <w:instrText xml:space="preserve"> REF _Ref524429255 \r \h </w:instrText>
      </w:r>
      <w:r w:rsidR="00492BF8">
        <w:rPr>
          <w:lang w:eastAsia="en-US"/>
        </w:rPr>
      </w:r>
      <w:r w:rsidR="00492BF8">
        <w:rPr>
          <w:lang w:eastAsia="en-US"/>
        </w:rPr>
        <w:fldChar w:fldCharType="separate"/>
      </w:r>
      <w:r w:rsidR="00492BF8">
        <w:rPr>
          <w:lang w:eastAsia="en-US"/>
        </w:rPr>
        <w:t>Table 5.7</w:t>
      </w:r>
      <w:r w:rsidR="00492BF8">
        <w:rPr>
          <w:lang w:eastAsia="en-US"/>
        </w:rPr>
        <w:fldChar w:fldCharType="end"/>
      </w:r>
      <w:r w:rsidR="00492BF8">
        <w:rPr>
          <w:lang w:eastAsia="en-US"/>
        </w:rPr>
        <w:t xml:space="preserve"> </w:t>
      </w:r>
      <w:r>
        <w:rPr>
          <w:lang w:eastAsia="en-US"/>
        </w:rPr>
        <w:t xml:space="preserve">and </w:t>
      </w:r>
      <w:r w:rsidR="00492BF8">
        <w:rPr>
          <w:lang w:eastAsia="en-US"/>
        </w:rPr>
        <w:fldChar w:fldCharType="begin"/>
      </w:r>
      <w:r w:rsidR="00492BF8">
        <w:rPr>
          <w:lang w:eastAsia="en-US"/>
        </w:rPr>
        <w:instrText xml:space="preserve"> REF _Ref524429260 \r \h </w:instrText>
      </w:r>
      <w:r w:rsidR="00492BF8">
        <w:rPr>
          <w:lang w:eastAsia="en-US"/>
        </w:rPr>
      </w:r>
      <w:r w:rsidR="00492BF8">
        <w:rPr>
          <w:lang w:eastAsia="en-US"/>
        </w:rPr>
        <w:fldChar w:fldCharType="separate"/>
      </w:r>
      <w:r w:rsidR="00492BF8">
        <w:rPr>
          <w:lang w:eastAsia="en-US"/>
        </w:rPr>
        <w:t>Table 5.8</w:t>
      </w:r>
      <w:r w:rsidR="00492BF8">
        <w:rPr>
          <w:lang w:eastAsia="en-US"/>
        </w:rPr>
        <w:fldChar w:fldCharType="end"/>
      </w:r>
      <w:r>
        <w:rPr>
          <w:lang w:eastAsia="en-US"/>
        </w:rPr>
        <w:t xml:space="preserve">, the proportion of supported residents </w:t>
      </w:r>
      <w:r w:rsidR="00C47199">
        <w:rPr>
          <w:lang w:eastAsia="en-US"/>
        </w:rPr>
        <w:t xml:space="preserve">increased </w:t>
      </w:r>
      <w:r>
        <w:rPr>
          <w:lang w:eastAsia="en-US"/>
        </w:rPr>
        <w:t>across almost the entire sector</w:t>
      </w:r>
      <w:r w:rsidR="00C47199">
        <w:rPr>
          <w:lang w:eastAsia="en-US"/>
        </w:rPr>
        <w:t xml:space="preserve"> in</w:t>
      </w:r>
      <w:r w:rsidR="00A261F3">
        <w:rPr>
          <w:lang w:eastAsia="en-US"/>
        </w:rPr>
        <w:t> 201</w:t>
      </w:r>
      <w:r w:rsidR="00C47199">
        <w:rPr>
          <w:lang w:eastAsia="en-US"/>
        </w:rPr>
        <w:t>6</w:t>
      </w:r>
      <w:r w:rsidR="00D8721E">
        <w:rPr>
          <w:lang w:eastAsia="en-US"/>
        </w:rPr>
        <w:t>–1</w:t>
      </w:r>
      <w:r w:rsidR="00C47199">
        <w:rPr>
          <w:lang w:eastAsia="en-US"/>
        </w:rPr>
        <w:t>7 compared with</w:t>
      </w:r>
      <w:r w:rsidR="00A261F3">
        <w:rPr>
          <w:lang w:eastAsia="en-US"/>
        </w:rPr>
        <w:t> 201</w:t>
      </w:r>
      <w:r w:rsidR="00C47199">
        <w:rPr>
          <w:lang w:eastAsia="en-US"/>
        </w:rPr>
        <w:t>5</w:t>
      </w:r>
      <w:r w:rsidR="00D8721E">
        <w:rPr>
          <w:lang w:eastAsia="en-US"/>
        </w:rPr>
        <w:t>–1</w:t>
      </w:r>
      <w:r w:rsidR="00C47199">
        <w:rPr>
          <w:lang w:eastAsia="en-US"/>
        </w:rPr>
        <w:t>6</w:t>
      </w:r>
      <w:r>
        <w:rPr>
          <w:lang w:eastAsia="en-US"/>
        </w:rPr>
        <w:t>. Supported residents increased in all three locations and also increased in both the not</w:t>
      </w:r>
      <w:r>
        <w:rPr>
          <w:lang w:eastAsia="en-US"/>
        </w:rPr>
        <w:noBreakHyphen/>
        <w:t>for</w:t>
      </w:r>
      <w:r>
        <w:rPr>
          <w:lang w:eastAsia="en-US"/>
        </w:rPr>
        <w:noBreakHyphen/>
        <w:t>profit and for</w:t>
      </w:r>
      <w:r>
        <w:rPr>
          <w:lang w:eastAsia="en-US"/>
        </w:rPr>
        <w:noBreakHyphen/>
        <w:t xml:space="preserve">profit providers. The analysis used in </w:t>
      </w:r>
      <w:r w:rsidR="00492BF8">
        <w:rPr>
          <w:lang w:eastAsia="en-US"/>
        </w:rPr>
        <w:fldChar w:fldCharType="begin"/>
      </w:r>
      <w:r w:rsidR="00492BF8">
        <w:rPr>
          <w:lang w:eastAsia="en-US"/>
        </w:rPr>
        <w:instrText xml:space="preserve"> REF _Ref524429255 \r \h </w:instrText>
      </w:r>
      <w:r w:rsidR="00492BF8">
        <w:rPr>
          <w:lang w:eastAsia="en-US"/>
        </w:rPr>
      </w:r>
      <w:r w:rsidR="00492BF8">
        <w:rPr>
          <w:lang w:eastAsia="en-US"/>
        </w:rPr>
        <w:fldChar w:fldCharType="separate"/>
      </w:r>
      <w:r w:rsidR="00492BF8">
        <w:rPr>
          <w:lang w:eastAsia="en-US"/>
        </w:rPr>
        <w:t>Tables 5.7</w:t>
      </w:r>
      <w:r w:rsidR="00492BF8">
        <w:rPr>
          <w:lang w:eastAsia="en-US"/>
        </w:rPr>
        <w:fldChar w:fldCharType="end"/>
      </w:r>
      <w:r w:rsidR="00492BF8">
        <w:rPr>
          <w:lang w:eastAsia="en-US"/>
        </w:rPr>
        <w:t xml:space="preserve"> and </w:t>
      </w:r>
      <w:r w:rsidR="00492BF8">
        <w:rPr>
          <w:lang w:eastAsia="en-US"/>
        </w:rPr>
        <w:fldChar w:fldCharType="begin"/>
      </w:r>
      <w:r w:rsidR="00492BF8">
        <w:rPr>
          <w:lang w:eastAsia="en-US"/>
        </w:rPr>
        <w:instrText xml:space="preserve"> REF _Ref524429260 \r \h </w:instrText>
      </w:r>
      <w:r w:rsidR="00492BF8">
        <w:rPr>
          <w:lang w:eastAsia="en-US"/>
        </w:rPr>
      </w:r>
      <w:r w:rsidR="00492BF8">
        <w:rPr>
          <w:lang w:eastAsia="en-US"/>
        </w:rPr>
        <w:fldChar w:fldCharType="separate"/>
      </w:r>
      <w:r w:rsidR="00492BF8">
        <w:rPr>
          <w:lang w:eastAsia="en-US"/>
        </w:rPr>
        <w:t>5.8</w:t>
      </w:r>
      <w:r w:rsidR="00492BF8">
        <w:rPr>
          <w:lang w:eastAsia="en-US"/>
        </w:rPr>
        <w:fldChar w:fldCharType="end"/>
      </w:r>
      <w:r w:rsidR="00492BF8">
        <w:rPr>
          <w:lang w:eastAsia="en-US"/>
        </w:rPr>
        <w:t xml:space="preserve"> </w:t>
      </w:r>
      <w:r>
        <w:rPr>
          <w:lang w:eastAsia="en-US"/>
        </w:rPr>
        <w:t>is based on claims submitted by providers on behalf of their residents.</w:t>
      </w:r>
    </w:p>
    <w:p w:rsidR="00C66255" w:rsidRPr="00596D01" w:rsidRDefault="00C66255" w:rsidP="001C335A">
      <w:pPr>
        <w:pStyle w:val="TableTitle"/>
      </w:pPr>
      <w:bookmarkStart w:id="380" w:name="_Ref524429255"/>
      <w:r w:rsidRPr="00596D01">
        <w:t>Proportion of claims for supported residents,</w:t>
      </w:r>
      <w:r w:rsidR="00D12F6B" w:rsidRPr="00596D01">
        <w:t xml:space="preserve"> by location,</w:t>
      </w:r>
      <w:r w:rsidR="00A261F3" w:rsidRPr="00596D01">
        <w:t> 201</w:t>
      </w:r>
      <w:r w:rsidR="00D12F6B" w:rsidRPr="00596D01">
        <w:t>4</w:t>
      </w:r>
      <w:r w:rsidR="00D8721E" w:rsidRPr="00596D01">
        <w:t>–1</w:t>
      </w:r>
      <w:r w:rsidR="00D12F6B" w:rsidRPr="00596D01">
        <w:t>5</w:t>
      </w:r>
      <w:r w:rsidR="00A31D03" w:rsidRPr="00596D01">
        <w:t> to</w:t>
      </w:r>
      <w:r w:rsidR="00A261F3" w:rsidRPr="00596D01">
        <w:t> 201</w:t>
      </w:r>
      <w:r w:rsidR="00D12F6B" w:rsidRPr="00596D01">
        <w:t>6</w:t>
      </w:r>
      <w:r w:rsidR="00D8721E" w:rsidRPr="00596D01">
        <w:t>–1</w:t>
      </w:r>
      <w:r w:rsidR="00D12F6B" w:rsidRPr="00596D01">
        <w:t>7</w:t>
      </w:r>
      <w:bookmarkEnd w:id="38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371"/>
        <w:gridCol w:w="2506"/>
        <w:gridCol w:w="2506"/>
        <w:gridCol w:w="2245"/>
      </w:tblGrid>
      <w:tr w:rsidR="00D12F6B"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231" w:type="pct"/>
          </w:tcPr>
          <w:p w:rsidR="00D12F6B" w:rsidRPr="007E4758" w:rsidRDefault="004638A9" w:rsidP="001C335A">
            <w:pPr>
              <w:rPr>
                <w:rFonts w:ascii="Segoe UI" w:hAnsi="Segoe UI" w:cs="Segoe UI"/>
                <w:b w:val="0"/>
                <w:color w:val="E8E8E8" w:themeColor="background2"/>
                <w:sz w:val="22"/>
                <w:szCs w:val="22"/>
                <w:lang w:val="en-GB"/>
              </w:rPr>
            </w:pPr>
            <w:r w:rsidRPr="00596D01">
              <w:t>L</w:t>
            </w:r>
            <w:r w:rsidR="00D12F6B" w:rsidRPr="00596D01">
              <w:t>ocation</w:t>
            </w:r>
          </w:p>
        </w:tc>
        <w:tc>
          <w:tcPr>
            <w:tcW w:w="1301" w:type="pct"/>
          </w:tcPr>
          <w:p w:rsidR="00D12F6B" w:rsidRDefault="00D12F6B" w:rsidP="001C335A">
            <w:pPr>
              <w:jc w:val="right"/>
              <w:rPr>
                <w:rFonts w:ascii="Segoe UI" w:hAnsi="Segoe UI" w:cs="Segoe UI"/>
              </w:rPr>
            </w:pPr>
            <w:r w:rsidRPr="00596D01">
              <w:t>2014</w:t>
            </w:r>
            <w:r w:rsidR="00D8721E" w:rsidRPr="00596D01">
              <w:t>–1</w:t>
            </w:r>
            <w:r w:rsidRPr="00596D01">
              <w:t>5</w:t>
            </w:r>
          </w:p>
        </w:tc>
        <w:tc>
          <w:tcPr>
            <w:tcW w:w="1301" w:type="pct"/>
          </w:tcPr>
          <w:p w:rsidR="00D12F6B" w:rsidRPr="00805F7E" w:rsidRDefault="00D12F6B" w:rsidP="001C335A">
            <w:pPr>
              <w:jc w:val="right"/>
              <w:rPr>
                <w:rFonts w:ascii="Segoe UI" w:hAnsi="Segoe UI" w:cs="Segoe UI"/>
              </w:rPr>
            </w:pPr>
            <w:r w:rsidRPr="00596D01">
              <w:t>2015</w:t>
            </w:r>
            <w:r w:rsidR="00D8721E" w:rsidRPr="00596D01">
              <w:t>–1</w:t>
            </w:r>
            <w:r w:rsidRPr="00596D01">
              <w:t>6</w:t>
            </w:r>
          </w:p>
        </w:tc>
        <w:tc>
          <w:tcPr>
            <w:tcW w:w="1166" w:type="pct"/>
          </w:tcPr>
          <w:p w:rsidR="00D12F6B" w:rsidRPr="00596D01" w:rsidRDefault="00D12F6B" w:rsidP="001C335A">
            <w:pPr>
              <w:jc w:val="right"/>
            </w:pPr>
            <w:r w:rsidRPr="00596D01">
              <w:t>2016</w:t>
            </w:r>
            <w:r w:rsidR="00D8721E" w:rsidRPr="00596D01">
              <w:t>–1</w:t>
            </w:r>
            <w:r w:rsidRPr="00596D01">
              <w:t>7</w:t>
            </w:r>
          </w:p>
        </w:tc>
      </w:tr>
      <w:tr w:rsidR="00D12F6B" w:rsidTr="001C335A">
        <w:trPr>
          <w:trHeight w:val="113"/>
        </w:trPr>
        <w:tc>
          <w:tcPr>
            <w:tcW w:w="1231" w:type="pct"/>
          </w:tcPr>
          <w:p w:rsidR="00D12F6B" w:rsidRDefault="00D12F6B" w:rsidP="001C335A">
            <w:pPr>
              <w:rPr>
                <w:rFonts w:ascii="Segoe UI" w:hAnsi="Segoe UI" w:cs="Segoe UI"/>
              </w:rPr>
            </w:pPr>
            <w:r>
              <w:rPr>
                <w:rFonts w:ascii="Segoe UI" w:hAnsi="Segoe UI" w:cs="Segoe UI"/>
              </w:rPr>
              <w:t xml:space="preserve">Metropolitan </w:t>
            </w:r>
          </w:p>
        </w:tc>
        <w:tc>
          <w:tcPr>
            <w:tcW w:w="1301" w:type="pct"/>
          </w:tcPr>
          <w:p w:rsidR="00D12F6B" w:rsidRPr="00EB5BB3" w:rsidRDefault="00D12F6B" w:rsidP="001C335A">
            <w:pPr>
              <w:jc w:val="right"/>
              <w:rPr>
                <w:rFonts w:ascii="Segoe UI" w:hAnsi="Segoe UI" w:cs="Segoe UI"/>
              </w:rPr>
            </w:pPr>
            <w:r w:rsidRPr="00EB5BB3">
              <w:rPr>
                <w:rFonts w:ascii="Segoe UI" w:hAnsi="Segoe UI" w:cs="Segoe UI"/>
              </w:rPr>
              <w:t>46.0%</w:t>
            </w:r>
          </w:p>
        </w:tc>
        <w:tc>
          <w:tcPr>
            <w:tcW w:w="1301" w:type="pct"/>
          </w:tcPr>
          <w:p w:rsidR="00D12F6B" w:rsidRDefault="00D12F6B" w:rsidP="001C335A">
            <w:pPr>
              <w:jc w:val="right"/>
              <w:rPr>
                <w:rFonts w:ascii="Segoe UI" w:hAnsi="Segoe UI" w:cs="Segoe UI"/>
              </w:rPr>
            </w:pPr>
            <w:r>
              <w:rPr>
                <w:rFonts w:ascii="Segoe UI" w:hAnsi="Segoe UI" w:cs="Segoe UI"/>
              </w:rPr>
              <w:t>45.8%</w:t>
            </w:r>
          </w:p>
        </w:tc>
        <w:tc>
          <w:tcPr>
            <w:tcW w:w="1166" w:type="pct"/>
          </w:tcPr>
          <w:p w:rsidR="00D12F6B" w:rsidRPr="00EB5BB3" w:rsidRDefault="000E03B2" w:rsidP="001C335A">
            <w:pPr>
              <w:jc w:val="right"/>
              <w:rPr>
                <w:rFonts w:ascii="Segoe UI" w:hAnsi="Segoe UI" w:cs="Segoe UI"/>
              </w:rPr>
            </w:pPr>
            <w:r>
              <w:rPr>
                <w:rFonts w:ascii="Segoe UI" w:hAnsi="Segoe UI" w:cs="Segoe UI"/>
              </w:rPr>
              <w:t>47.3%</w:t>
            </w:r>
          </w:p>
        </w:tc>
      </w:tr>
      <w:tr w:rsidR="00D12F6B" w:rsidTr="001C335A">
        <w:trPr>
          <w:trHeight w:val="113"/>
        </w:trPr>
        <w:tc>
          <w:tcPr>
            <w:tcW w:w="1231" w:type="pct"/>
          </w:tcPr>
          <w:p w:rsidR="00D12F6B" w:rsidRPr="00805F7E" w:rsidRDefault="00D12F6B" w:rsidP="001C335A">
            <w:pPr>
              <w:rPr>
                <w:rFonts w:ascii="Segoe UI" w:hAnsi="Segoe UI" w:cs="Segoe UI"/>
              </w:rPr>
            </w:pPr>
            <w:r>
              <w:rPr>
                <w:rFonts w:ascii="Segoe UI" w:hAnsi="Segoe UI" w:cs="Segoe UI"/>
              </w:rPr>
              <w:t>Regional</w:t>
            </w:r>
          </w:p>
        </w:tc>
        <w:tc>
          <w:tcPr>
            <w:tcW w:w="1301" w:type="pct"/>
          </w:tcPr>
          <w:p w:rsidR="00D12F6B" w:rsidRPr="00EB5BB3" w:rsidRDefault="00D12F6B" w:rsidP="001C335A">
            <w:pPr>
              <w:jc w:val="right"/>
              <w:rPr>
                <w:rFonts w:ascii="Segoe UI" w:hAnsi="Segoe UI" w:cs="Segoe UI"/>
              </w:rPr>
            </w:pPr>
            <w:r w:rsidRPr="00EB5BB3">
              <w:rPr>
                <w:rFonts w:ascii="Segoe UI" w:hAnsi="Segoe UI" w:cs="Segoe UI"/>
              </w:rPr>
              <w:t>48.3%</w:t>
            </w:r>
          </w:p>
        </w:tc>
        <w:tc>
          <w:tcPr>
            <w:tcW w:w="1301" w:type="pct"/>
          </w:tcPr>
          <w:p w:rsidR="00D12F6B" w:rsidRPr="00EB5BB3" w:rsidRDefault="00D12F6B" w:rsidP="001C335A">
            <w:pPr>
              <w:jc w:val="right"/>
              <w:rPr>
                <w:rFonts w:ascii="Segoe UI" w:hAnsi="Segoe UI" w:cs="Segoe UI"/>
              </w:rPr>
            </w:pPr>
            <w:r>
              <w:rPr>
                <w:rFonts w:ascii="Segoe UI" w:hAnsi="Segoe UI" w:cs="Segoe UI"/>
              </w:rPr>
              <w:t>48.9%</w:t>
            </w:r>
          </w:p>
        </w:tc>
        <w:tc>
          <w:tcPr>
            <w:tcW w:w="1166" w:type="pct"/>
          </w:tcPr>
          <w:p w:rsidR="00D12F6B" w:rsidRPr="00EB5BB3" w:rsidRDefault="000E03B2" w:rsidP="001C335A">
            <w:pPr>
              <w:jc w:val="right"/>
              <w:rPr>
                <w:rFonts w:ascii="Segoe UI" w:hAnsi="Segoe UI" w:cs="Segoe UI"/>
              </w:rPr>
            </w:pPr>
            <w:r>
              <w:rPr>
                <w:rFonts w:ascii="Segoe UI" w:hAnsi="Segoe UI" w:cs="Segoe UI"/>
              </w:rPr>
              <w:t>50.6%</w:t>
            </w:r>
          </w:p>
        </w:tc>
      </w:tr>
      <w:tr w:rsidR="00D12F6B" w:rsidTr="001C335A">
        <w:trPr>
          <w:trHeight w:val="113"/>
        </w:trPr>
        <w:tc>
          <w:tcPr>
            <w:tcW w:w="1231" w:type="pct"/>
          </w:tcPr>
          <w:p w:rsidR="00D12F6B" w:rsidRPr="00F61D7E" w:rsidRDefault="00D12F6B" w:rsidP="001C335A">
            <w:pPr>
              <w:rPr>
                <w:rFonts w:ascii="Segoe UI" w:hAnsi="Segoe UI" w:cs="Segoe UI"/>
              </w:rPr>
            </w:pPr>
            <w:r>
              <w:rPr>
                <w:rFonts w:ascii="Segoe UI" w:hAnsi="Segoe UI" w:cs="Segoe UI"/>
              </w:rPr>
              <w:t xml:space="preserve">Remote </w:t>
            </w:r>
          </w:p>
        </w:tc>
        <w:tc>
          <w:tcPr>
            <w:tcW w:w="1301" w:type="pct"/>
          </w:tcPr>
          <w:p w:rsidR="00D12F6B" w:rsidRPr="00EB5BB3" w:rsidRDefault="00D12F6B" w:rsidP="001C335A">
            <w:pPr>
              <w:jc w:val="right"/>
              <w:rPr>
                <w:rFonts w:ascii="Segoe UI" w:hAnsi="Segoe UI" w:cs="Segoe UI"/>
              </w:rPr>
            </w:pPr>
            <w:r w:rsidRPr="00EB5BB3">
              <w:rPr>
                <w:rFonts w:ascii="Segoe UI" w:hAnsi="Segoe UI" w:cs="Segoe UI"/>
              </w:rPr>
              <w:t>61.8%</w:t>
            </w:r>
          </w:p>
        </w:tc>
        <w:tc>
          <w:tcPr>
            <w:tcW w:w="1301" w:type="pct"/>
          </w:tcPr>
          <w:p w:rsidR="00D12F6B" w:rsidRPr="00EB5BB3" w:rsidRDefault="00D12F6B" w:rsidP="001C335A">
            <w:pPr>
              <w:jc w:val="right"/>
              <w:rPr>
                <w:rFonts w:ascii="Segoe UI" w:hAnsi="Segoe UI" w:cs="Segoe UI"/>
              </w:rPr>
            </w:pPr>
            <w:r>
              <w:rPr>
                <w:rFonts w:ascii="Segoe UI" w:hAnsi="Segoe UI" w:cs="Segoe UI"/>
              </w:rPr>
              <w:t>63.5%</w:t>
            </w:r>
          </w:p>
        </w:tc>
        <w:tc>
          <w:tcPr>
            <w:tcW w:w="1166" w:type="pct"/>
          </w:tcPr>
          <w:p w:rsidR="00D12F6B" w:rsidRPr="00EB5BB3" w:rsidRDefault="000E03B2" w:rsidP="001C335A">
            <w:pPr>
              <w:jc w:val="right"/>
              <w:rPr>
                <w:rFonts w:ascii="Segoe UI" w:hAnsi="Segoe UI" w:cs="Segoe UI"/>
              </w:rPr>
            </w:pPr>
            <w:r>
              <w:rPr>
                <w:rFonts w:ascii="Segoe UI" w:hAnsi="Segoe UI" w:cs="Segoe UI"/>
              </w:rPr>
              <w:t>65.4%</w:t>
            </w:r>
          </w:p>
        </w:tc>
      </w:tr>
    </w:tbl>
    <w:p w:rsidR="002E5DDC" w:rsidRPr="00596D01" w:rsidRDefault="00C66255" w:rsidP="001C335A">
      <w:pPr>
        <w:pStyle w:val="TableTitle"/>
        <w:rPr>
          <w:rStyle w:val="Strong"/>
        </w:rPr>
      </w:pPr>
      <w:bookmarkStart w:id="381" w:name="_Ref524429260"/>
      <w:r w:rsidRPr="00596D01">
        <w:t>Proportion of claims for supported resi</w:t>
      </w:r>
      <w:r w:rsidR="00D12F6B" w:rsidRPr="00596D01">
        <w:t>dents, by provider type,</w:t>
      </w:r>
      <w:r w:rsidR="00A261F3" w:rsidRPr="00596D01">
        <w:t> 201</w:t>
      </w:r>
      <w:r w:rsidR="00D12F6B" w:rsidRPr="00596D01">
        <w:t>4</w:t>
      </w:r>
      <w:r w:rsidR="00D8721E" w:rsidRPr="00596D01">
        <w:t>–1</w:t>
      </w:r>
      <w:r w:rsidR="00D12F6B" w:rsidRPr="00596D01">
        <w:t>5</w:t>
      </w:r>
      <w:r w:rsidRPr="00596D01">
        <w:t> to</w:t>
      </w:r>
      <w:r w:rsidR="00A261F3" w:rsidRPr="00596D01">
        <w:t> 201</w:t>
      </w:r>
      <w:r w:rsidR="00D12F6B" w:rsidRPr="00596D01">
        <w:t>6</w:t>
      </w:r>
      <w:r w:rsidR="00D8721E" w:rsidRPr="00596D01">
        <w:t>–1</w:t>
      </w:r>
      <w:r w:rsidR="00D12F6B" w:rsidRPr="00596D01">
        <w:t>7</w:t>
      </w:r>
      <w:bookmarkEnd w:id="381"/>
      <w:r w:rsidR="002E5DDC"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213"/>
        <w:gridCol w:w="2472"/>
        <w:gridCol w:w="2472"/>
        <w:gridCol w:w="2471"/>
      </w:tblGrid>
      <w:tr w:rsidR="00D12F6B"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149" w:type="pct"/>
          </w:tcPr>
          <w:p w:rsidR="00D12F6B" w:rsidRPr="007E4758" w:rsidRDefault="00D12F6B" w:rsidP="001C335A">
            <w:pPr>
              <w:rPr>
                <w:rFonts w:ascii="Segoe UI" w:hAnsi="Segoe UI" w:cs="Segoe UI"/>
                <w:b w:val="0"/>
                <w:color w:val="E8E8E8" w:themeColor="background2"/>
                <w:sz w:val="22"/>
                <w:szCs w:val="22"/>
                <w:lang w:val="en-GB"/>
              </w:rPr>
            </w:pPr>
            <w:r w:rsidRPr="00596D01">
              <w:t>Ownership type</w:t>
            </w:r>
          </w:p>
        </w:tc>
        <w:tc>
          <w:tcPr>
            <w:tcW w:w="1284" w:type="pct"/>
          </w:tcPr>
          <w:p w:rsidR="00D12F6B" w:rsidRDefault="00D12F6B" w:rsidP="00C67407">
            <w:pPr>
              <w:jc w:val="right"/>
              <w:rPr>
                <w:rFonts w:ascii="Segoe UI" w:hAnsi="Segoe UI" w:cs="Segoe UI"/>
              </w:rPr>
            </w:pPr>
            <w:r w:rsidRPr="00596D01">
              <w:t>2014</w:t>
            </w:r>
            <w:r w:rsidR="00D8721E" w:rsidRPr="00596D01">
              <w:t>–1</w:t>
            </w:r>
            <w:r w:rsidRPr="00596D01">
              <w:t>5</w:t>
            </w:r>
          </w:p>
        </w:tc>
        <w:tc>
          <w:tcPr>
            <w:tcW w:w="1284" w:type="pct"/>
          </w:tcPr>
          <w:p w:rsidR="00D12F6B" w:rsidRPr="00805F7E" w:rsidRDefault="00D12F6B" w:rsidP="00C67407">
            <w:pPr>
              <w:jc w:val="right"/>
              <w:rPr>
                <w:rFonts w:ascii="Segoe UI" w:hAnsi="Segoe UI" w:cs="Segoe UI"/>
              </w:rPr>
            </w:pPr>
            <w:r w:rsidRPr="00596D01">
              <w:t>2015</w:t>
            </w:r>
            <w:r w:rsidR="00D8721E" w:rsidRPr="00596D01">
              <w:t>–1</w:t>
            </w:r>
            <w:r w:rsidRPr="00596D01">
              <w:t>6</w:t>
            </w:r>
          </w:p>
        </w:tc>
        <w:tc>
          <w:tcPr>
            <w:tcW w:w="1283" w:type="pct"/>
          </w:tcPr>
          <w:p w:rsidR="00D12F6B" w:rsidRPr="00596D01" w:rsidRDefault="00D12F6B" w:rsidP="00C67407">
            <w:pPr>
              <w:jc w:val="right"/>
            </w:pPr>
            <w:r w:rsidRPr="00596D01">
              <w:t>2016</w:t>
            </w:r>
            <w:r w:rsidR="00D8721E" w:rsidRPr="00596D01">
              <w:t>–1</w:t>
            </w:r>
            <w:r w:rsidRPr="00596D01">
              <w:t>7</w:t>
            </w:r>
          </w:p>
        </w:tc>
      </w:tr>
      <w:tr w:rsidR="00D12F6B" w:rsidTr="00C67407">
        <w:trPr>
          <w:trHeight w:val="113"/>
        </w:trPr>
        <w:tc>
          <w:tcPr>
            <w:tcW w:w="1149" w:type="pct"/>
          </w:tcPr>
          <w:p w:rsidR="00D12F6B" w:rsidRPr="00805F7E" w:rsidRDefault="00D12F6B" w:rsidP="001C335A">
            <w:pPr>
              <w:rPr>
                <w:rFonts w:ascii="Segoe UI" w:hAnsi="Segoe UI" w:cs="Segoe UI"/>
              </w:rPr>
            </w:pPr>
            <w:r>
              <w:rPr>
                <w:rFonts w:ascii="Segoe UI" w:hAnsi="Segoe UI" w:cs="Segoe UI"/>
              </w:rPr>
              <w:t>Not-for-profit</w:t>
            </w:r>
          </w:p>
        </w:tc>
        <w:tc>
          <w:tcPr>
            <w:tcW w:w="1284" w:type="pct"/>
          </w:tcPr>
          <w:p w:rsidR="00D12F6B" w:rsidRPr="00EB5BB3" w:rsidRDefault="00D12F6B" w:rsidP="00C67407">
            <w:pPr>
              <w:jc w:val="right"/>
              <w:rPr>
                <w:rFonts w:ascii="Segoe UI" w:hAnsi="Segoe UI" w:cs="Segoe UI"/>
              </w:rPr>
            </w:pPr>
            <w:r>
              <w:rPr>
                <w:rFonts w:ascii="Segoe UI" w:hAnsi="Segoe UI" w:cs="Segoe UI"/>
              </w:rPr>
              <w:t>47.4%</w:t>
            </w:r>
          </w:p>
        </w:tc>
        <w:tc>
          <w:tcPr>
            <w:tcW w:w="1284" w:type="pct"/>
          </w:tcPr>
          <w:p w:rsidR="00D12F6B" w:rsidRPr="00EB5BB3" w:rsidRDefault="00D12F6B" w:rsidP="00C67407">
            <w:pPr>
              <w:jc w:val="right"/>
              <w:rPr>
                <w:rFonts w:ascii="Segoe UI" w:hAnsi="Segoe UI" w:cs="Segoe UI"/>
              </w:rPr>
            </w:pPr>
            <w:r>
              <w:rPr>
                <w:rFonts w:ascii="Segoe UI" w:hAnsi="Segoe UI" w:cs="Segoe UI"/>
              </w:rPr>
              <w:t>48.0%</w:t>
            </w:r>
          </w:p>
        </w:tc>
        <w:tc>
          <w:tcPr>
            <w:tcW w:w="1283" w:type="pct"/>
          </w:tcPr>
          <w:p w:rsidR="00D12F6B" w:rsidRPr="00EB5BB3" w:rsidRDefault="000E03B2" w:rsidP="00C67407">
            <w:pPr>
              <w:jc w:val="right"/>
              <w:rPr>
                <w:rFonts w:ascii="Segoe UI" w:hAnsi="Segoe UI" w:cs="Segoe UI"/>
              </w:rPr>
            </w:pPr>
            <w:r>
              <w:rPr>
                <w:rFonts w:ascii="Segoe UI" w:hAnsi="Segoe UI" w:cs="Segoe UI"/>
              </w:rPr>
              <w:t>50.8%</w:t>
            </w:r>
          </w:p>
        </w:tc>
      </w:tr>
      <w:tr w:rsidR="00D12F6B" w:rsidTr="00C67407">
        <w:trPr>
          <w:trHeight w:val="113"/>
        </w:trPr>
        <w:tc>
          <w:tcPr>
            <w:tcW w:w="1149" w:type="pct"/>
          </w:tcPr>
          <w:p w:rsidR="00D12F6B" w:rsidRDefault="00D12F6B" w:rsidP="001C335A">
            <w:pPr>
              <w:rPr>
                <w:rFonts w:ascii="Segoe UI" w:hAnsi="Segoe UI" w:cs="Segoe UI"/>
              </w:rPr>
            </w:pPr>
            <w:r>
              <w:rPr>
                <w:rFonts w:ascii="Segoe UI" w:hAnsi="Segoe UI" w:cs="Segoe UI"/>
              </w:rPr>
              <w:t xml:space="preserve">For-profit </w:t>
            </w:r>
          </w:p>
        </w:tc>
        <w:tc>
          <w:tcPr>
            <w:tcW w:w="1284" w:type="pct"/>
          </w:tcPr>
          <w:p w:rsidR="00D12F6B" w:rsidRDefault="00D12F6B" w:rsidP="00C67407">
            <w:pPr>
              <w:jc w:val="right"/>
              <w:rPr>
                <w:rFonts w:ascii="Segoe UI" w:hAnsi="Segoe UI" w:cs="Segoe UI"/>
              </w:rPr>
            </w:pPr>
            <w:r>
              <w:rPr>
                <w:rFonts w:ascii="Segoe UI" w:hAnsi="Segoe UI" w:cs="Segoe UI"/>
              </w:rPr>
              <w:t>45.2%</w:t>
            </w:r>
          </w:p>
        </w:tc>
        <w:tc>
          <w:tcPr>
            <w:tcW w:w="1284" w:type="pct"/>
          </w:tcPr>
          <w:p w:rsidR="00D12F6B" w:rsidRDefault="00D12F6B" w:rsidP="00C67407">
            <w:pPr>
              <w:jc w:val="right"/>
              <w:rPr>
                <w:rFonts w:ascii="Segoe UI" w:hAnsi="Segoe UI" w:cs="Segoe UI"/>
              </w:rPr>
            </w:pPr>
            <w:r>
              <w:rPr>
                <w:rFonts w:ascii="Segoe UI" w:hAnsi="Segoe UI" w:cs="Segoe UI"/>
              </w:rPr>
              <w:t>44.3%</w:t>
            </w:r>
          </w:p>
        </w:tc>
        <w:tc>
          <w:tcPr>
            <w:tcW w:w="1283" w:type="pct"/>
          </w:tcPr>
          <w:p w:rsidR="00D12F6B" w:rsidRDefault="000E03B2" w:rsidP="00C67407">
            <w:pPr>
              <w:jc w:val="right"/>
              <w:rPr>
                <w:rFonts w:ascii="Segoe UI" w:hAnsi="Segoe UI" w:cs="Segoe UI"/>
              </w:rPr>
            </w:pPr>
            <w:r>
              <w:rPr>
                <w:rFonts w:ascii="Segoe UI" w:hAnsi="Segoe UI" w:cs="Segoe UI"/>
              </w:rPr>
              <w:t>45.3%</w:t>
            </w:r>
          </w:p>
        </w:tc>
      </w:tr>
      <w:tr w:rsidR="00D12F6B" w:rsidTr="00C67407">
        <w:trPr>
          <w:trHeight w:val="113"/>
        </w:trPr>
        <w:tc>
          <w:tcPr>
            <w:tcW w:w="1149" w:type="pct"/>
          </w:tcPr>
          <w:p w:rsidR="00D12F6B" w:rsidRPr="00F61D7E" w:rsidRDefault="00D12F6B" w:rsidP="001C335A">
            <w:pPr>
              <w:rPr>
                <w:rFonts w:ascii="Segoe UI" w:hAnsi="Segoe UI" w:cs="Segoe UI"/>
              </w:rPr>
            </w:pPr>
            <w:r>
              <w:rPr>
                <w:rFonts w:ascii="Segoe UI" w:hAnsi="Segoe UI" w:cs="Segoe UI"/>
              </w:rPr>
              <w:t xml:space="preserve">Government </w:t>
            </w:r>
          </w:p>
        </w:tc>
        <w:tc>
          <w:tcPr>
            <w:tcW w:w="1284" w:type="pct"/>
          </w:tcPr>
          <w:p w:rsidR="00D12F6B" w:rsidRPr="00EB5BB3" w:rsidRDefault="00D12F6B" w:rsidP="00C67407">
            <w:pPr>
              <w:jc w:val="right"/>
              <w:rPr>
                <w:rFonts w:ascii="Segoe UI" w:hAnsi="Segoe UI" w:cs="Segoe UI"/>
              </w:rPr>
            </w:pPr>
            <w:r>
              <w:rPr>
                <w:rFonts w:ascii="Segoe UI" w:hAnsi="Segoe UI" w:cs="Segoe UI"/>
              </w:rPr>
              <w:t>50.9%</w:t>
            </w:r>
          </w:p>
        </w:tc>
        <w:tc>
          <w:tcPr>
            <w:tcW w:w="1284" w:type="pct"/>
          </w:tcPr>
          <w:p w:rsidR="00D12F6B" w:rsidRPr="00EB5BB3" w:rsidRDefault="00D12F6B" w:rsidP="00C67407">
            <w:pPr>
              <w:jc w:val="right"/>
              <w:rPr>
                <w:rFonts w:ascii="Segoe UI" w:hAnsi="Segoe UI" w:cs="Segoe UI"/>
              </w:rPr>
            </w:pPr>
            <w:r>
              <w:rPr>
                <w:rFonts w:ascii="Segoe UI" w:hAnsi="Segoe UI" w:cs="Segoe UI"/>
              </w:rPr>
              <w:t>52.8%</w:t>
            </w:r>
          </w:p>
        </w:tc>
        <w:tc>
          <w:tcPr>
            <w:tcW w:w="1283" w:type="pct"/>
          </w:tcPr>
          <w:p w:rsidR="00D12F6B" w:rsidRPr="00EB5BB3" w:rsidRDefault="00C8532D" w:rsidP="00C67407">
            <w:pPr>
              <w:jc w:val="right"/>
              <w:rPr>
                <w:rFonts w:ascii="Segoe UI" w:hAnsi="Segoe UI" w:cs="Segoe UI"/>
              </w:rPr>
            </w:pPr>
            <w:r>
              <w:rPr>
                <w:rFonts w:ascii="Segoe UI" w:hAnsi="Segoe UI" w:cs="Segoe UI"/>
              </w:rPr>
              <w:t>50.1</w:t>
            </w:r>
            <w:r w:rsidR="000E03B2">
              <w:rPr>
                <w:rFonts w:ascii="Segoe UI" w:hAnsi="Segoe UI" w:cs="Segoe UI"/>
              </w:rPr>
              <w:t>%</w:t>
            </w:r>
          </w:p>
        </w:tc>
      </w:tr>
    </w:tbl>
    <w:p w:rsidR="00AA53E6" w:rsidRPr="006F433D" w:rsidRDefault="00AA53E6" w:rsidP="001C335A">
      <w:r w:rsidRPr="006F433D">
        <w:t>In December</w:t>
      </w:r>
      <w:r w:rsidR="00A261F3">
        <w:t> 201</w:t>
      </w:r>
      <w:r w:rsidRPr="006F433D">
        <w:t>6</w:t>
      </w:r>
      <w:r>
        <w:t>,</w:t>
      </w:r>
      <w:r w:rsidRPr="006F433D">
        <w:t xml:space="preserve"> ACFA provided a report to Government regarding </w:t>
      </w:r>
      <w:r>
        <w:t xml:space="preserve">access by </w:t>
      </w:r>
      <w:r w:rsidRPr="006F433D">
        <w:t xml:space="preserve">supported residents </w:t>
      </w:r>
      <w:r>
        <w:t>to</w:t>
      </w:r>
      <w:r w:rsidRPr="006F433D">
        <w:t xml:space="preserve"> residential care. The key findings of the report were:</w:t>
      </w:r>
    </w:p>
    <w:p w:rsidR="00AA53E6" w:rsidRPr="005D02B1" w:rsidRDefault="00AA53E6" w:rsidP="001C335A">
      <w:pPr>
        <w:pStyle w:val="Bullet1"/>
        <w:rPr>
          <w:lang w:val="en-GB"/>
        </w:rPr>
      </w:pPr>
      <w:r w:rsidRPr="006F433D">
        <w:rPr>
          <w:lang w:val="en-GB"/>
        </w:rPr>
        <w:t xml:space="preserve">The </w:t>
      </w:r>
      <w:r>
        <w:rPr>
          <w:lang w:val="en-GB"/>
        </w:rPr>
        <w:t>1 July</w:t>
      </w:r>
      <w:r w:rsidR="00A261F3">
        <w:rPr>
          <w:lang w:val="en-GB"/>
        </w:rPr>
        <w:t> 201</w:t>
      </w:r>
      <w:r>
        <w:rPr>
          <w:lang w:val="en-GB"/>
        </w:rPr>
        <w:t>4</w:t>
      </w:r>
      <w:r w:rsidRPr="006F433D">
        <w:rPr>
          <w:lang w:val="en-GB"/>
        </w:rPr>
        <w:t xml:space="preserve"> reforms </w:t>
      </w:r>
      <w:r>
        <w:rPr>
          <w:lang w:val="en-GB"/>
        </w:rPr>
        <w:t xml:space="preserve">of accommodation payment arrangements </w:t>
      </w:r>
      <w:r w:rsidRPr="006F433D">
        <w:rPr>
          <w:lang w:val="en-GB"/>
        </w:rPr>
        <w:t xml:space="preserve">have </w:t>
      </w:r>
      <w:r>
        <w:rPr>
          <w:lang w:val="en-GB"/>
        </w:rPr>
        <w:t xml:space="preserve">not </w:t>
      </w:r>
      <w:r w:rsidRPr="006F433D">
        <w:rPr>
          <w:lang w:val="en-GB"/>
        </w:rPr>
        <w:t>had a negative impact on access to care for supported residents.</w:t>
      </w:r>
    </w:p>
    <w:p w:rsidR="00AA53E6" w:rsidRPr="00E84782" w:rsidRDefault="00AA53E6" w:rsidP="001C335A">
      <w:pPr>
        <w:pStyle w:val="Bullet1"/>
        <w:rPr>
          <w:lang w:val="en-GB"/>
        </w:rPr>
      </w:pPr>
      <w:r>
        <w:rPr>
          <w:lang w:val="en-GB"/>
        </w:rPr>
        <w:t>The 40</w:t>
      </w:r>
      <w:r w:rsidR="00A261F3">
        <w:rPr>
          <w:lang w:val="en-GB"/>
        </w:rPr>
        <w:t> per cent</w:t>
      </w:r>
      <w:r w:rsidRPr="006F433D">
        <w:rPr>
          <w:lang w:val="en-GB"/>
        </w:rPr>
        <w:t xml:space="preserve"> </w:t>
      </w:r>
      <w:r>
        <w:rPr>
          <w:lang w:val="en-GB"/>
        </w:rPr>
        <w:t xml:space="preserve">supported resident </w:t>
      </w:r>
      <w:r w:rsidRPr="006F433D">
        <w:rPr>
          <w:lang w:val="en-GB"/>
        </w:rPr>
        <w:t>rule pr</w:t>
      </w:r>
      <w:r>
        <w:rPr>
          <w:lang w:val="en-GB"/>
        </w:rPr>
        <w:t>ovides an important incentive for</w:t>
      </w:r>
      <w:r w:rsidRPr="006F433D">
        <w:rPr>
          <w:lang w:val="en-GB"/>
        </w:rPr>
        <w:t xml:space="preserve"> providers to accept supported residents.</w:t>
      </w:r>
    </w:p>
    <w:p w:rsidR="00AA53E6" w:rsidRPr="006F433D" w:rsidRDefault="00AA53E6" w:rsidP="001C335A">
      <w:pPr>
        <w:pStyle w:val="Bullet1"/>
        <w:rPr>
          <w:lang w:val="en-GB"/>
        </w:rPr>
      </w:pPr>
      <w:r w:rsidRPr="006F433D">
        <w:rPr>
          <w:lang w:val="en-GB"/>
        </w:rPr>
        <w:lastRenderedPageBreak/>
        <w:t xml:space="preserve">The regional </w:t>
      </w:r>
      <w:r>
        <w:rPr>
          <w:lang w:val="en-GB"/>
        </w:rPr>
        <w:t xml:space="preserve">supported resident </w:t>
      </w:r>
      <w:r w:rsidRPr="006F433D">
        <w:rPr>
          <w:lang w:val="en-GB"/>
        </w:rPr>
        <w:t>ratios are being consistently exceeded by an average of around 20 to 30 percentage points in the great majority of cases.</w:t>
      </w:r>
    </w:p>
    <w:p w:rsidR="00D8721E" w:rsidRDefault="00AA53E6" w:rsidP="001C335A">
      <w:pPr>
        <w:pStyle w:val="Bullet1"/>
        <w:rPr>
          <w:lang w:val="en-GB"/>
        </w:rPr>
      </w:pPr>
      <w:r w:rsidRPr="006F433D">
        <w:rPr>
          <w:lang w:val="en-GB"/>
        </w:rPr>
        <w:t>It is unlikely the</w:t>
      </w:r>
      <w:r>
        <w:rPr>
          <w:lang w:val="en-GB"/>
        </w:rPr>
        <w:t xml:space="preserve"> regional</w:t>
      </w:r>
      <w:r w:rsidRPr="006F433D">
        <w:rPr>
          <w:lang w:val="en-GB"/>
        </w:rPr>
        <w:t xml:space="preserve"> ratios are significantly affecting provider behaviour. Instead the clear financial incentive of the separate 40</w:t>
      </w:r>
      <w:r w:rsidR="00A261F3">
        <w:rPr>
          <w:lang w:val="en-GB"/>
        </w:rPr>
        <w:t> per cent</w:t>
      </w:r>
      <w:r w:rsidRPr="006F433D">
        <w:rPr>
          <w:lang w:val="en-GB"/>
        </w:rPr>
        <w:t xml:space="preserve"> ratio seems to be more effective in influencing provider behaviour</w:t>
      </w:r>
      <w:r w:rsidR="00D8721E">
        <w:rPr>
          <w:lang w:val="en-GB"/>
        </w:rPr>
        <w:t>.</w:t>
      </w:r>
    </w:p>
    <w:p w:rsidR="00D8721E" w:rsidRDefault="00AA53E6" w:rsidP="001C335A">
      <w:pPr>
        <w:pStyle w:val="Bullet1"/>
        <w:rPr>
          <w:lang w:val="en-GB"/>
        </w:rPr>
      </w:pPr>
      <w:r>
        <w:rPr>
          <w:lang w:val="en-GB"/>
        </w:rPr>
        <w:t>R</w:t>
      </w:r>
      <w:r w:rsidRPr="006F433D">
        <w:rPr>
          <w:lang w:val="en-GB"/>
        </w:rPr>
        <w:t>egional ratio</w:t>
      </w:r>
      <w:r>
        <w:rPr>
          <w:lang w:val="en-GB"/>
        </w:rPr>
        <w:t>s</w:t>
      </w:r>
      <w:r w:rsidRPr="006F433D">
        <w:rPr>
          <w:lang w:val="en-GB"/>
        </w:rPr>
        <w:t xml:space="preserve"> </w:t>
      </w:r>
      <w:r>
        <w:rPr>
          <w:lang w:val="en-GB"/>
        </w:rPr>
        <w:t xml:space="preserve">constitute </w:t>
      </w:r>
      <w:r w:rsidRPr="006F433D">
        <w:rPr>
          <w:lang w:val="en-GB"/>
        </w:rPr>
        <w:t xml:space="preserve">unnecessary regulation and could be repealed with minimal, if any, impact on access to care </w:t>
      </w:r>
      <w:r>
        <w:rPr>
          <w:lang w:val="en-GB"/>
        </w:rPr>
        <w:t>by</w:t>
      </w:r>
      <w:r w:rsidRPr="006F433D">
        <w:rPr>
          <w:lang w:val="en-GB"/>
        </w:rPr>
        <w:t xml:space="preserve"> supported residents.</w:t>
      </w:r>
    </w:p>
    <w:p w:rsidR="00AA53E6" w:rsidRDefault="00AA53E6" w:rsidP="001C335A">
      <w:pPr>
        <w:rPr>
          <w:lang w:val="en-GB"/>
        </w:rPr>
      </w:pPr>
      <w:r w:rsidRPr="008057A0">
        <w:rPr>
          <w:lang w:val="en-GB"/>
        </w:rPr>
        <w:t xml:space="preserve">ACFA’s </w:t>
      </w:r>
      <w:r>
        <w:rPr>
          <w:lang w:val="en-GB"/>
        </w:rPr>
        <w:t xml:space="preserve">submission to the </w:t>
      </w:r>
      <w:r w:rsidRPr="00596D01">
        <w:rPr>
          <w:rStyle w:val="Emphasis"/>
        </w:rPr>
        <w:t>Legislated Review of Aged Care</w:t>
      </w:r>
      <w:r w:rsidR="00A261F3" w:rsidRPr="00596D01">
        <w:rPr>
          <w:rStyle w:val="Emphasis"/>
        </w:rPr>
        <w:t> 201</w:t>
      </w:r>
      <w:r w:rsidRPr="00596D01">
        <w:rPr>
          <w:rStyle w:val="Emphasis"/>
        </w:rPr>
        <w:t>7</w:t>
      </w:r>
      <w:r>
        <w:rPr>
          <w:lang w:val="en-GB"/>
        </w:rPr>
        <w:t xml:space="preserve"> reported similar </w:t>
      </w:r>
      <w:r w:rsidRPr="008057A0">
        <w:rPr>
          <w:lang w:val="en-GB"/>
        </w:rPr>
        <w:t>findings</w:t>
      </w:r>
      <w:r w:rsidR="00056483">
        <w:rPr>
          <w:lang w:val="en-GB"/>
        </w:rPr>
        <w:t xml:space="preserve">, </w:t>
      </w:r>
      <w:r w:rsidRPr="008057A0">
        <w:rPr>
          <w:lang w:val="en-GB"/>
        </w:rPr>
        <w:t xml:space="preserve">that the changes to means testing and accommodation payments have not impaired access to residential care by people with low means. </w:t>
      </w:r>
      <w:r>
        <w:rPr>
          <w:lang w:val="en-GB"/>
        </w:rPr>
        <w:t>This conclusion is also supported by the proportions of supported residents in residential care in</w:t>
      </w:r>
      <w:r w:rsidR="00A261F3">
        <w:rPr>
          <w:lang w:val="en-GB"/>
        </w:rPr>
        <w:t> 201</w:t>
      </w:r>
      <w:r>
        <w:rPr>
          <w:lang w:val="en-GB"/>
        </w:rPr>
        <w:t>6</w:t>
      </w:r>
      <w:r w:rsidR="00D8721E">
        <w:rPr>
          <w:lang w:val="en-GB"/>
        </w:rPr>
        <w:t>–1</w:t>
      </w:r>
      <w:r>
        <w:rPr>
          <w:lang w:val="en-GB"/>
        </w:rPr>
        <w:t>7, which were generally higher than</w:t>
      </w:r>
      <w:r w:rsidR="00A261F3">
        <w:rPr>
          <w:lang w:val="en-GB"/>
        </w:rPr>
        <w:t> 201</w:t>
      </w:r>
      <w:r>
        <w:rPr>
          <w:lang w:val="en-GB"/>
        </w:rPr>
        <w:t>5</w:t>
      </w:r>
      <w:r w:rsidR="00D8721E">
        <w:rPr>
          <w:lang w:val="en-GB"/>
        </w:rPr>
        <w:t>–1</w:t>
      </w:r>
      <w:r>
        <w:rPr>
          <w:lang w:val="en-GB"/>
        </w:rPr>
        <w:t>6.</w:t>
      </w:r>
    </w:p>
    <w:p w:rsidR="00D8721E" w:rsidRDefault="00AA53E6" w:rsidP="001C335A">
      <w:pPr>
        <w:rPr>
          <w:lang w:val="en-GB"/>
        </w:rPr>
      </w:pPr>
      <w:r>
        <w:rPr>
          <w:lang w:val="en-GB"/>
        </w:rPr>
        <w:t xml:space="preserve">In last year’s report </w:t>
      </w:r>
      <w:r w:rsidRPr="008057A0">
        <w:rPr>
          <w:lang w:val="en-GB"/>
        </w:rPr>
        <w:t>ACFA</w:t>
      </w:r>
      <w:r>
        <w:rPr>
          <w:lang w:val="en-GB"/>
        </w:rPr>
        <w:t xml:space="preserve"> noted </w:t>
      </w:r>
      <w:r w:rsidRPr="008057A0">
        <w:rPr>
          <w:lang w:val="en-GB"/>
        </w:rPr>
        <w:t xml:space="preserve">that the higher accommodation </w:t>
      </w:r>
      <w:r>
        <w:rPr>
          <w:lang w:val="en-GB"/>
        </w:rPr>
        <w:t xml:space="preserve">supplement </w:t>
      </w:r>
      <w:r w:rsidRPr="008057A0">
        <w:rPr>
          <w:lang w:val="en-GB"/>
        </w:rPr>
        <w:t xml:space="preserve">paid by the </w:t>
      </w:r>
      <w:r>
        <w:rPr>
          <w:lang w:val="en-GB"/>
        </w:rPr>
        <w:t xml:space="preserve">Australian </w:t>
      </w:r>
      <w:r w:rsidRPr="008057A0">
        <w:rPr>
          <w:lang w:val="en-GB"/>
        </w:rPr>
        <w:t xml:space="preserve">Government on behalf of supported residents residing in newly built or significantly refurbished </w:t>
      </w:r>
      <w:r>
        <w:rPr>
          <w:lang w:val="en-GB"/>
        </w:rPr>
        <w:t>facilities</w:t>
      </w:r>
      <w:r w:rsidRPr="008057A0">
        <w:rPr>
          <w:lang w:val="en-GB"/>
        </w:rPr>
        <w:t xml:space="preserve"> </w:t>
      </w:r>
      <w:r>
        <w:rPr>
          <w:lang w:val="en-GB"/>
        </w:rPr>
        <w:t>was</w:t>
      </w:r>
      <w:r w:rsidRPr="008057A0">
        <w:rPr>
          <w:lang w:val="en-GB"/>
        </w:rPr>
        <w:t xml:space="preserve"> broadly in line with the average accommodation prices agreed between providers and non-supported residents. This indicates that, on average, the accommodation price the</w:t>
      </w:r>
      <w:r>
        <w:rPr>
          <w:lang w:val="en-GB"/>
        </w:rPr>
        <w:t xml:space="preserve"> G</w:t>
      </w:r>
      <w:r w:rsidRPr="008057A0">
        <w:rPr>
          <w:lang w:val="en-GB"/>
        </w:rPr>
        <w:t xml:space="preserve">overnment has set for supported residents is </w:t>
      </w:r>
      <w:r>
        <w:rPr>
          <w:lang w:val="en-GB"/>
        </w:rPr>
        <w:t>comparable with market-based prices paid by non-supported residents.</w:t>
      </w:r>
    </w:p>
    <w:p w:rsidR="00DC1AE7" w:rsidRPr="00596D01" w:rsidRDefault="00DC1AE7" w:rsidP="001C335A">
      <w:pPr>
        <w:pStyle w:val="Heading2Numbered"/>
      </w:pPr>
      <w:bookmarkStart w:id="382" w:name="_Toc487702570"/>
      <w:bookmarkStart w:id="383" w:name="_Toc487702922"/>
      <w:bookmarkStart w:id="384" w:name="_Toc487703420"/>
      <w:bookmarkStart w:id="385" w:name="_Toc487703614"/>
      <w:bookmarkStart w:id="386" w:name="_Toc524424744"/>
      <w:r w:rsidRPr="00596D01">
        <w:t xml:space="preserve">Future demand growth </w:t>
      </w:r>
      <w:r w:rsidR="00213406" w:rsidRPr="00596D01">
        <w:t>for aged care</w:t>
      </w:r>
      <w:bookmarkEnd w:id="382"/>
      <w:bookmarkEnd w:id="383"/>
      <w:bookmarkEnd w:id="384"/>
      <w:bookmarkEnd w:id="385"/>
      <w:bookmarkEnd w:id="386"/>
    </w:p>
    <w:p w:rsidR="003B1636" w:rsidRDefault="003B1636" w:rsidP="001C335A">
      <w:r>
        <w:t>The demand for aged care services will expand with the ageing of t</w:t>
      </w:r>
      <w:r w:rsidR="0042353B">
        <w:t>he population. This section</w:t>
      </w:r>
      <w:r>
        <w:t xml:space="preserve"> consider</w:t>
      </w:r>
      <w:r w:rsidR="007301B4">
        <w:t>s</w:t>
      </w:r>
      <w:r>
        <w:t xml:space="preserve"> the structural ageing of the population and the resulting growth in the demand for residential care and home care services.</w:t>
      </w:r>
    </w:p>
    <w:p w:rsidR="00D8721E" w:rsidRDefault="003B1636" w:rsidP="001C335A">
      <w:r>
        <w:t xml:space="preserve">The structural ageing of the Australian population </w:t>
      </w:r>
      <w:r w:rsidR="0042353B">
        <w:t>over</w:t>
      </w:r>
      <w:r>
        <w:t xml:space="preserve"> the next 20 years will see the size of the 70 years and over cohort increase by around 1</w:t>
      </w:r>
      <w:r w:rsidR="00A261F3">
        <w:t> million</w:t>
      </w:r>
      <w:r>
        <w:t xml:space="preserve"> people each decade</w:t>
      </w:r>
      <w:r w:rsidR="00AA684F">
        <w:t xml:space="preserve"> (</w:t>
      </w:r>
      <w:r w:rsidR="00492BF8">
        <w:fldChar w:fldCharType="begin"/>
      </w:r>
      <w:r w:rsidR="00492BF8">
        <w:instrText xml:space="preserve"> REF _Ref524428241 \r \h </w:instrText>
      </w:r>
      <w:r w:rsidR="00492BF8">
        <w:fldChar w:fldCharType="separate"/>
      </w:r>
      <w:r w:rsidR="00492BF8">
        <w:t>Chart 5.21</w:t>
      </w:r>
      <w:r w:rsidR="00492BF8">
        <w:fldChar w:fldCharType="end"/>
      </w:r>
      <w:r w:rsidR="00FA061E">
        <w:t>)</w:t>
      </w:r>
      <w:r w:rsidR="004E2419">
        <w:t>; this is on a base of 2.</w:t>
      </w:r>
      <w:r w:rsidR="00B97D56">
        <w:t>7</w:t>
      </w:r>
      <w:r w:rsidR="00A261F3">
        <w:t> million</w:t>
      </w:r>
      <w:r>
        <w:t xml:space="preserve"> people. Underneath this, the older ag</w:t>
      </w:r>
      <w:r w:rsidR="0042353B">
        <w:t xml:space="preserve">e groups will more than double </w:t>
      </w:r>
      <w:r>
        <w:t>over this period; for example, the 85 years and over cohort will increase from just under 500,00</w:t>
      </w:r>
      <w:r w:rsidR="004613E9">
        <w:t>0</w:t>
      </w:r>
      <w:r w:rsidR="00450C86">
        <w:t> </w:t>
      </w:r>
      <w:r w:rsidR="004613E9">
        <w:t>people in</w:t>
      </w:r>
      <w:r w:rsidR="00A261F3">
        <w:t> 201</w:t>
      </w:r>
      <w:r w:rsidR="00070328">
        <w:t>8</w:t>
      </w:r>
      <w:r w:rsidR="004613E9">
        <w:t xml:space="preserve"> to just over 1</w:t>
      </w:r>
      <w:r w:rsidR="00A261F3">
        <w:t> million</w:t>
      </w:r>
      <w:r>
        <w:t xml:space="preserve"> people by 203</w:t>
      </w:r>
      <w:r w:rsidR="00070328">
        <w:t>8</w:t>
      </w:r>
      <w:r>
        <w:t>.</w:t>
      </w:r>
    </w:p>
    <w:p w:rsidR="00C64DFD" w:rsidRPr="003532DA" w:rsidRDefault="003532DA" w:rsidP="001C335A">
      <w:pPr>
        <w:pStyle w:val="ChartTitle"/>
      </w:pPr>
      <w:bookmarkStart w:id="387" w:name="_Ref524428241"/>
      <w:r w:rsidRPr="00596D01">
        <w:t>Number of people aged 70 years and over, by 5 year age cohort,</w:t>
      </w:r>
      <w:r w:rsidR="00A261F3" w:rsidRPr="00596D01">
        <w:t> 201</w:t>
      </w:r>
      <w:r w:rsidRPr="00596D01">
        <w:t>8 to 2038</w:t>
      </w:r>
      <w:r w:rsidRPr="00660C00">
        <w:rPr>
          <w:rStyle w:val="FootnoteReference"/>
        </w:rPr>
        <w:footnoteReference w:id="28"/>
      </w:r>
      <w:bookmarkEnd w:id="387"/>
    </w:p>
    <w:p w:rsidR="00D8721E" w:rsidRDefault="00891A38" w:rsidP="001C335A">
      <w:r>
        <w:rPr>
          <w:noProof/>
        </w:rPr>
        <w:drawing>
          <wp:inline distT="0" distB="0" distL="0" distR="0" wp14:anchorId="3C2B8284" wp14:editId="6C3AE3CF">
            <wp:extent cx="6120000" cy="2488862"/>
            <wp:effectExtent l="0" t="0" r="0" b="6985"/>
            <wp:docPr id="265" name="Picture 265" descr="Chart 5.21 Number of people aged 70 years and over, by 5 year age cohort, 2018 to 203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zc0004\AppData\Local\Microsoft\Windows\Temporary Internet Files\Content.Outlook\6DIYYC82\Chart_5.18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000" cy="2488862"/>
                    </a:xfrm>
                    <a:prstGeom prst="rect">
                      <a:avLst/>
                    </a:prstGeom>
                    <a:noFill/>
                    <a:ln>
                      <a:noFill/>
                    </a:ln>
                  </pic:spPr>
                </pic:pic>
              </a:graphicData>
            </a:graphic>
          </wp:inline>
        </w:drawing>
      </w:r>
    </w:p>
    <w:p w:rsidR="00D8721E" w:rsidRDefault="003B1636" w:rsidP="001C335A">
      <w:r>
        <w:t xml:space="preserve">This rapid expansion in the number of older people, particularly in the oldest age groups, will </w:t>
      </w:r>
      <w:r w:rsidR="00CF1431">
        <w:t>result in a marked increase i</w:t>
      </w:r>
      <w:r>
        <w:t>n demand for aged care services. As show</w:t>
      </w:r>
      <w:r w:rsidR="007316D5">
        <w:t xml:space="preserve">n in </w:t>
      </w:r>
      <w:r w:rsidR="00492BF8">
        <w:fldChar w:fldCharType="begin"/>
      </w:r>
      <w:r w:rsidR="00492BF8">
        <w:instrText xml:space="preserve"> REF _Ref524428249 \r \h </w:instrText>
      </w:r>
      <w:r w:rsidR="00492BF8">
        <w:fldChar w:fldCharType="separate"/>
      </w:r>
      <w:r w:rsidR="00492BF8">
        <w:t>Chart 5.22</w:t>
      </w:r>
      <w:r w:rsidR="00492BF8">
        <w:fldChar w:fldCharType="end"/>
      </w:r>
      <w:r w:rsidR="00FA061E">
        <w:t>,</w:t>
      </w:r>
      <w:r>
        <w:t xml:space="preserve"> the proportion of each age group who use aged care services increases dramatical</w:t>
      </w:r>
      <w:r w:rsidR="00AA53E6">
        <w:t>ly with age. By age 80</w:t>
      </w:r>
      <w:r>
        <w:t>, the proportion of people using either permanent residential care or a ho</w:t>
      </w:r>
      <w:r w:rsidR="004613E9">
        <w:t>me care package is around</w:t>
      </w:r>
      <w:r w:rsidR="00853876">
        <w:t xml:space="preserve"> 7</w:t>
      </w:r>
      <w:r w:rsidR="00A261F3">
        <w:t> per cent</w:t>
      </w:r>
      <w:r w:rsidR="004613E9">
        <w:t xml:space="preserve">; this doubles </w:t>
      </w:r>
      <w:r>
        <w:t xml:space="preserve">by aged 85; and </w:t>
      </w:r>
      <w:r w:rsidR="0080301B">
        <w:t xml:space="preserve">more than doubles again </w:t>
      </w:r>
      <w:r>
        <w:t>by aged 90 years.</w:t>
      </w:r>
    </w:p>
    <w:p w:rsidR="003532DA" w:rsidRPr="003532DA" w:rsidRDefault="003532DA" w:rsidP="001C335A">
      <w:pPr>
        <w:pStyle w:val="ChartTitle"/>
      </w:pPr>
      <w:bookmarkStart w:id="388" w:name="_Ref524428249"/>
      <w:r w:rsidRPr="00596D01">
        <w:lastRenderedPageBreak/>
        <w:t>Proportion of people of each age using residential care and home care, by gender and age,</w:t>
      </w:r>
      <w:r w:rsidR="00A261F3" w:rsidRPr="00596D01">
        <w:t> 201</w:t>
      </w:r>
      <w:r w:rsidRPr="00596D01">
        <w:t>7</w:t>
      </w:r>
      <w:bookmarkEnd w:id="388"/>
    </w:p>
    <w:p w:rsidR="00982D99" w:rsidRPr="00596D01" w:rsidRDefault="0096017D" w:rsidP="001C335A">
      <w:pPr>
        <w:jc w:val="center"/>
        <w:rPr>
          <w:rStyle w:val="Strong"/>
        </w:rPr>
      </w:pPr>
      <w:r w:rsidRPr="00596D01">
        <w:rPr>
          <w:rStyle w:val="Strong"/>
        </w:rPr>
        <w:t>Males</w:t>
      </w:r>
    </w:p>
    <w:p w:rsidR="00D8721E" w:rsidRPr="00596D01" w:rsidRDefault="00891A38" w:rsidP="001C335A">
      <w:pPr>
        <w:rPr>
          <w:rStyle w:val="Strong"/>
        </w:rPr>
      </w:pPr>
      <w:r w:rsidRPr="00596D01">
        <w:rPr>
          <w:rStyle w:val="Strong"/>
          <w:noProof/>
        </w:rPr>
        <w:drawing>
          <wp:inline distT="0" distB="0" distL="0" distR="0" wp14:anchorId="2A425E95" wp14:editId="4F3340A3">
            <wp:extent cx="6120000" cy="2671342"/>
            <wp:effectExtent l="0" t="0" r="0" b="0"/>
            <wp:docPr id="266" name="Picture 266" descr="Chart 5.22 Proportion of people of each age using residential care and home care, by gender and ag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zc0004\AppData\Local\Microsoft\Windows\Temporary Internet Files\Content.Outlook\6DIYYC82\Chart_5.19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000" cy="2671342"/>
                    </a:xfrm>
                    <a:prstGeom prst="rect">
                      <a:avLst/>
                    </a:prstGeom>
                    <a:noFill/>
                    <a:ln>
                      <a:noFill/>
                    </a:ln>
                  </pic:spPr>
                </pic:pic>
              </a:graphicData>
            </a:graphic>
          </wp:inline>
        </w:drawing>
      </w:r>
    </w:p>
    <w:p w:rsidR="00211324" w:rsidRPr="00596D01" w:rsidRDefault="0096017D" w:rsidP="001C335A">
      <w:pPr>
        <w:jc w:val="center"/>
        <w:rPr>
          <w:rStyle w:val="Strong"/>
        </w:rPr>
      </w:pPr>
      <w:r w:rsidRPr="00596D01">
        <w:rPr>
          <w:rStyle w:val="Strong"/>
        </w:rPr>
        <w:t>Females</w:t>
      </w:r>
    </w:p>
    <w:p w:rsidR="00D8721E" w:rsidRDefault="00891A38" w:rsidP="001C335A">
      <w:r>
        <w:rPr>
          <w:noProof/>
        </w:rPr>
        <w:drawing>
          <wp:inline distT="0" distB="0" distL="0" distR="0" wp14:anchorId="7C438421" wp14:editId="4530DACD">
            <wp:extent cx="6120000" cy="2671342"/>
            <wp:effectExtent l="0" t="0" r="0" b="0"/>
            <wp:docPr id="267" name="Picture 267" descr="Chart 5.22 Proportion of people of each age using residential care and home care, by gender and ag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zc0004\AppData\Local\Microsoft\Windows\Temporary Internet Files\Content.Outlook\6DIYYC82\Chart_5.19b.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000" cy="2671342"/>
                    </a:xfrm>
                    <a:prstGeom prst="rect">
                      <a:avLst/>
                    </a:prstGeom>
                    <a:noFill/>
                    <a:ln>
                      <a:noFill/>
                    </a:ln>
                  </pic:spPr>
                </pic:pic>
              </a:graphicData>
            </a:graphic>
          </wp:inline>
        </w:drawing>
      </w:r>
    </w:p>
    <w:p w:rsidR="00D8721E" w:rsidRDefault="003B1636" w:rsidP="001C335A">
      <w:r>
        <w:t>Because the baby boomers are such a large group compared with the pre-war generation, the proportion of the 70 and over population who are aged 85 and over will actually reduce over the next decade before subsequently i</w:t>
      </w:r>
      <w:r w:rsidR="007316D5">
        <w:t>ncreasing</w:t>
      </w:r>
      <w:r w:rsidR="00CF1431">
        <w:t>,</w:t>
      </w:r>
      <w:r w:rsidR="004613E9">
        <w:t xml:space="preserve"> as shown in </w:t>
      </w:r>
      <w:r w:rsidR="00492BF8">
        <w:fldChar w:fldCharType="begin"/>
      </w:r>
      <w:r w:rsidR="00492BF8">
        <w:instrText xml:space="preserve"> REF _Ref524428257 \r \h </w:instrText>
      </w:r>
      <w:r w:rsidR="00492BF8">
        <w:fldChar w:fldCharType="separate"/>
      </w:r>
      <w:r w:rsidR="00492BF8">
        <w:t>Chart 5.23</w:t>
      </w:r>
      <w:r w:rsidR="00492BF8">
        <w:fldChar w:fldCharType="end"/>
      </w:r>
      <w:r>
        <w:t>. This implies that the challenge of ensuring there is sufficient aged care supply to meet demand arising from the baby boomer generation is more likel</w:t>
      </w:r>
      <w:r w:rsidR="00CF1431">
        <w:t>y to be felt in 10</w:t>
      </w:r>
      <w:r w:rsidR="00D8721E">
        <w:t>–1</w:t>
      </w:r>
      <w:r w:rsidR="00CF1431">
        <w:t>5 years</w:t>
      </w:r>
      <w:r>
        <w:t xml:space="preserve"> (from the late</w:t>
      </w:r>
      <w:r w:rsidR="00A261F3">
        <w:t> 202</w:t>
      </w:r>
      <w:r>
        <w:t>0s) ra</w:t>
      </w:r>
      <w:r w:rsidR="00211324">
        <w:t>ther than over the next decade.</w:t>
      </w:r>
    </w:p>
    <w:p w:rsidR="003532DA" w:rsidRPr="003532DA" w:rsidRDefault="003532DA" w:rsidP="001C335A">
      <w:pPr>
        <w:pStyle w:val="ChartTitle"/>
      </w:pPr>
      <w:bookmarkStart w:id="389" w:name="_Ref524428257"/>
      <w:r w:rsidRPr="00596D01">
        <w:lastRenderedPageBreak/>
        <w:t>Proportion of 70 years and over age group who are aged 85 and over,</w:t>
      </w:r>
      <w:r w:rsidR="00A261F3" w:rsidRPr="00596D01">
        <w:t> 201</w:t>
      </w:r>
      <w:r w:rsidRPr="00596D01">
        <w:t>8 to 2038</w:t>
      </w:r>
      <w:bookmarkEnd w:id="389"/>
    </w:p>
    <w:p w:rsidR="00D8721E" w:rsidRDefault="0033565F" w:rsidP="001C335A">
      <w:r>
        <w:rPr>
          <w:noProof/>
        </w:rPr>
        <w:drawing>
          <wp:inline distT="0" distB="0" distL="0" distR="0" wp14:anchorId="7E46CB34" wp14:editId="7CEE76D5">
            <wp:extent cx="6120000" cy="2630167"/>
            <wp:effectExtent l="0" t="0" r="0" b="0"/>
            <wp:docPr id="282" name="Picture 282" descr="Chart 5.23 Proportion of 70 years and over age group who are aged 85 and over, 2018 to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zc0004\AppData\Local\Temp\1\7zO4D14D016\Chart_5.2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000" cy="2630167"/>
                    </a:xfrm>
                    <a:prstGeom prst="rect">
                      <a:avLst/>
                    </a:prstGeom>
                    <a:noFill/>
                    <a:ln>
                      <a:noFill/>
                    </a:ln>
                  </pic:spPr>
                </pic:pic>
              </a:graphicData>
            </a:graphic>
          </wp:inline>
        </w:drawing>
      </w:r>
    </w:p>
    <w:p w:rsidR="00D8721E" w:rsidRDefault="003B1636" w:rsidP="001C335A">
      <w:r>
        <w:t>When looking at the future demand for aged care</w:t>
      </w:r>
      <w:r w:rsidR="00CF1431">
        <w:t>,</w:t>
      </w:r>
      <w:r>
        <w:t xml:space="preserve"> there are a number of uncertainties. The most pressing is the level of unmet demand in the population. Since residential care </w:t>
      </w:r>
      <w:r w:rsidR="006355C3">
        <w:t xml:space="preserve">is </w:t>
      </w:r>
      <w:r>
        <w:t>supply</w:t>
      </w:r>
      <w:r w:rsidR="006355C3">
        <w:noBreakHyphen/>
      </w:r>
      <w:r>
        <w:t>capped, it is difficult to ascertain directly whether demand is being met, or how close it is to being met</w:t>
      </w:r>
      <w:r w:rsidR="006355C3">
        <w:t>. This was also the case with home care</w:t>
      </w:r>
      <w:r w:rsidR="002F2E79">
        <w:t xml:space="preserve"> (</w:t>
      </w:r>
      <w:r w:rsidR="006355C3">
        <w:t xml:space="preserve">which </w:t>
      </w:r>
      <w:r w:rsidR="002F2E79">
        <w:t>is</w:t>
      </w:r>
      <w:r w:rsidR="006355C3">
        <w:t xml:space="preserve"> also supply</w:t>
      </w:r>
      <w:r w:rsidR="006355C3">
        <w:noBreakHyphen/>
        <w:t>capped</w:t>
      </w:r>
      <w:r w:rsidR="002F2E79">
        <w:t>)</w:t>
      </w:r>
      <w:r w:rsidR="006355C3">
        <w:t>, until the changes of February</w:t>
      </w:r>
      <w:r w:rsidR="00A261F3">
        <w:t> 201</w:t>
      </w:r>
      <w:r w:rsidR="006355C3">
        <w:t xml:space="preserve">7, which included the implementation of a National </w:t>
      </w:r>
      <w:r w:rsidR="002F2E79">
        <w:t xml:space="preserve">Prioritisation </w:t>
      </w:r>
      <w:r w:rsidR="006355C3">
        <w:t xml:space="preserve">Queue which </w:t>
      </w:r>
      <w:r w:rsidR="002F2E79">
        <w:t xml:space="preserve">now </w:t>
      </w:r>
      <w:r w:rsidR="006355C3">
        <w:t xml:space="preserve">allows demand to be, in part, measured. However as separate supply caps are in operation it is difficult to ascertain </w:t>
      </w:r>
      <w:r>
        <w:t xml:space="preserve">whether the current spread of usage across residential care and home care would be </w:t>
      </w:r>
      <w:r w:rsidR="007316D5">
        <w:t>the case if the</w:t>
      </w:r>
      <w:r w:rsidR="006355C3">
        <w:t>se</w:t>
      </w:r>
      <w:r w:rsidR="007316D5">
        <w:t xml:space="preserve"> separate supply </w:t>
      </w:r>
      <w:r>
        <w:t>caps did not apply</w:t>
      </w:r>
      <w:r w:rsidR="00D8721E">
        <w:t>.</w:t>
      </w:r>
    </w:p>
    <w:p w:rsidR="00D8721E" w:rsidRDefault="00AA53E6" w:rsidP="001C335A">
      <w:r>
        <w:t>Last year ACFA noted that there seemed to be evidence that home care demand is not being met, at least at the level 3 and level 4 end of the spectrum. The advent of the National Prioritisation Queue for home care packages since last year’s ACFA report has provided further evidence that the demand for home care packages is not being met. As noted earlier in this report, further analysis is required to better understand the composition of the queue, and the extent and nature of unmet demand for home care</w:t>
      </w:r>
      <w:r w:rsidR="00D8721E">
        <w:t>.</w:t>
      </w:r>
    </w:p>
    <w:p w:rsidR="00AA53E6" w:rsidRDefault="00AA53E6" w:rsidP="001C335A">
      <w:r>
        <w:t>On the other hand, there appears to be some evidence for demand being met in residential care with current provision ratio targets. For example, average occupancy rates were previously stable at about 93</w:t>
      </w:r>
      <w:r w:rsidR="00A261F3">
        <w:t> per cent</w:t>
      </w:r>
      <w:r>
        <w:t xml:space="preserve"> and have decreased in</w:t>
      </w:r>
      <w:r w:rsidR="00A261F3">
        <w:t> 201</w:t>
      </w:r>
      <w:r>
        <w:t>6</w:t>
      </w:r>
      <w:r w:rsidR="00D8721E">
        <w:t>–1</w:t>
      </w:r>
      <w:r>
        <w:t>7 as discussed earlier in this chapter.</w:t>
      </w:r>
    </w:p>
    <w:p w:rsidR="008A08AD" w:rsidRDefault="008A08AD" w:rsidP="001C335A">
      <w:r>
        <w:t>Previous annual reports have reported that as the number of home care packages has increased, the proportion of people in each age group using residential care has decreased; this may indicate substitutability of service types. If this apparent t</w:t>
      </w:r>
      <w:r w:rsidR="0020250E">
        <w:t>r</w:t>
      </w:r>
      <w:r>
        <w:t>end is correct, then the Government’s planned expansion of home care over the next four years is likely to further reduce demand for residential care.</w:t>
      </w:r>
    </w:p>
    <w:p w:rsidR="00D8721E" w:rsidRDefault="008A08AD" w:rsidP="001C335A">
      <w:r>
        <w:t>Given that residential care is the most likely care type having demand met</w:t>
      </w:r>
      <w:r w:rsidR="00056483">
        <w:t>,</w:t>
      </w:r>
      <w:r>
        <w:t xml:space="preserve"> and that the planned expansion of home care packages may further reduce this demand, it is worth considering what residential care demand may look like over the next two decades compared with the current target ratio</w:t>
      </w:r>
      <w:r w:rsidR="00D8721E">
        <w:t>.</w:t>
      </w:r>
    </w:p>
    <w:p w:rsidR="00D8721E" w:rsidRDefault="00AA684F" w:rsidP="001C335A">
      <w:r>
        <w:t xml:space="preserve">The solid blue line in </w:t>
      </w:r>
      <w:r w:rsidR="00492BF8">
        <w:fldChar w:fldCharType="begin"/>
      </w:r>
      <w:r w:rsidR="00492BF8">
        <w:instrText xml:space="preserve"> REF _Ref524428264 \r \h </w:instrText>
      </w:r>
      <w:r w:rsidR="00492BF8">
        <w:fldChar w:fldCharType="separate"/>
      </w:r>
      <w:r w:rsidR="00492BF8">
        <w:t>Chart 5.24</w:t>
      </w:r>
      <w:r w:rsidR="00492BF8">
        <w:fldChar w:fldCharType="end"/>
      </w:r>
      <w:r w:rsidR="00492BF8">
        <w:t xml:space="preserve"> </w:t>
      </w:r>
      <w:r w:rsidR="003B1636">
        <w:t>is the expected number of operational places; this grows at the same rate as the size of the population aged 70 years and older (i.e. the</w:t>
      </w:r>
      <w:r w:rsidR="00EB20FE">
        <w:t xml:space="preserve"> target</w:t>
      </w:r>
      <w:r w:rsidR="003B1636">
        <w:t xml:space="preserve"> provision </w:t>
      </w:r>
      <w:r w:rsidR="00EB20FE">
        <w:t>ratio</w:t>
      </w:r>
      <w:r w:rsidR="003B1636">
        <w:t xml:space="preserve"> formula). The green line uses the current age usage of residential care, both permanent and respite care, and projects this forward with population growth in each age group; this provides an estimate of demand. As can</w:t>
      </w:r>
      <w:r w:rsidR="007316D5">
        <w:t xml:space="preserve"> be seen, a gap</w:t>
      </w:r>
      <w:r w:rsidR="00480D29">
        <w:t xml:space="preserve"> widens</w:t>
      </w:r>
      <w:r w:rsidR="003B1636">
        <w:t>, which indicates</w:t>
      </w:r>
      <w:r w:rsidR="007316D5">
        <w:t xml:space="preserve"> that</w:t>
      </w:r>
      <w:r w:rsidR="003B1636">
        <w:t xml:space="preserve"> the expansion in the number of planned residential care places is in excess of the likely growth in demand. However, from about</w:t>
      </w:r>
      <w:r w:rsidR="00A261F3">
        <w:t> 202</w:t>
      </w:r>
      <w:r w:rsidR="003B1636">
        <w:t xml:space="preserve">7, this gap starts to reduce as the baby boomers start to enter their </w:t>
      </w:r>
      <w:r w:rsidR="00FA061E">
        <w:t>80s</w:t>
      </w:r>
      <w:r w:rsidR="003B1636">
        <w:t xml:space="preserve">; this indicates that demand will start to grow at a faster rate than the </w:t>
      </w:r>
      <w:r w:rsidR="00EB20FE">
        <w:t xml:space="preserve">target </w:t>
      </w:r>
      <w:r w:rsidR="003B1636">
        <w:t>provision</w:t>
      </w:r>
      <w:r w:rsidR="00EB20FE">
        <w:t xml:space="preserve"> ratio</w:t>
      </w:r>
      <w:r w:rsidR="003B1636">
        <w:t xml:space="preserve"> is allowing for. T</w:t>
      </w:r>
      <w:r w:rsidR="0080301B">
        <w:t>he dashed blue line is 91</w:t>
      </w:r>
      <w:r w:rsidR="004613E9">
        <w:t>.</w:t>
      </w:r>
      <w:r w:rsidR="00D00B54">
        <w:t>9</w:t>
      </w:r>
      <w:r w:rsidR="00A261F3">
        <w:t> per cent</w:t>
      </w:r>
      <w:r w:rsidR="003B1636">
        <w:t xml:space="preserve"> of the solid blue line; this would be the usage of residential care if recent occupancy levels were maintained.</w:t>
      </w:r>
    </w:p>
    <w:p w:rsidR="003532DA" w:rsidRPr="003532DA" w:rsidRDefault="003532DA" w:rsidP="001C335A">
      <w:pPr>
        <w:pStyle w:val="ChartTitle"/>
      </w:pPr>
      <w:bookmarkStart w:id="390" w:name="_Ref524428264"/>
      <w:r w:rsidRPr="00596D01">
        <w:lastRenderedPageBreak/>
        <w:t>Projected demand for residential care,</w:t>
      </w:r>
      <w:r w:rsidR="00A261F3" w:rsidRPr="00596D01">
        <w:t> 201</w:t>
      </w:r>
      <w:r w:rsidRPr="00596D01">
        <w:t>8 to 2038</w:t>
      </w:r>
      <w:bookmarkEnd w:id="390"/>
    </w:p>
    <w:p w:rsidR="00D8721E" w:rsidRDefault="00891A38" w:rsidP="001C335A">
      <w:r>
        <w:rPr>
          <w:noProof/>
        </w:rPr>
        <w:drawing>
          <wp:inline distT="0" distB="0" distL="0" distR="0" wp14:anchorId="6351CDC6" wp14:editId="545023A2">
            <wp:extent cx="6120000" cy="3208917"/>
            <wp:effectExtent l="0" t="0" r="0" b="0"/>
            <wp:docPr id="270" name="Picture 270" descr="Chart 5.24 Projected demand for residential care, 2018 to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zc0004\AppData\Local\Microsoft\Windows\Temporary Internet Files\Content.Outlook\6DIYYC82\Chart_5.2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000" cy="3208917"/>
                    </a:xfrm>
                    <a:prstGeom prst="rect">
                      <a:avLst/>
                    </a:prstGeom>
                    <a:noFill/>
                    <a:ln>
                      <a:noFill/>
                    </a:ln>
                  </pic:spPr>
                </pic:pic>
              </a:graphicData>
            </a:graphic>
          </wp:inline>
        </w:drawing>
      </w:r>
    </w:p>
    <w:p w:rsidR="00D8721E" w:rsidRDefault="00B944CE" w:rsidP="001C335A">
      <w:pPr>
        <w:rPr>
          <w:lang w:val="en-GB"/>
        </w:rPr>
      </w:pPr>
      <w:bookmarkStart w:id="391" w:name="_Toc487702571"/>
      <w:bookmarkStart w:id="392" w:name="_Toc487702923"/>
      <w:bookmarkStart w:id="393" w:name="_Toc487703421"/>
      <w:bookmarkStart w:id="394" w:name="_Toc487703615"/>
      <w:r w:rsidRPr="00B944CE">
        <w:rPr>
          <w:lang w:val="en-GB"/>
        </w:rPr>
        <w:t>ACFA notes however, that historical age-related usage rates will not necessarily apply in a more consumer-driven market-based system. Accordingly, close monitoring, analysis and reporting of occupancy rates as supply is expanded and re-balanced towards home care will be important for understanding future access to and demand for aged care services.</w:t>
      </w:r>
      <w:r w:rsidRPr="005803FF">
        <w:rPr>
          <w:lang w:val="en-GB"/>
        </w:rPr>
        <w:t xml:space="preserve"> </w:t>
      </w:r>
      <w:r w:rsidRPr="00812065">
        <w:rPr>
          <w:lang w:val="en-GB"/>
        </w:rPr>
        <w:t xml:space="preserve">The </w:t>
      </w:r>
      <w:r>
        <w:rPr>
          <w:lang w:val="en-GB"/>
        </w:rPr>
        <w:t>flexibility introduced by the</w:t>
      </w:r>
      <w:r w:rsidR="00A261F3">
        <w:rPr>
          <w:lang w:val="en-GB"/>
        </w:rPr>
        <w:t> 201</w:t>
      </w:r>
      <w:r w:rsidRPr="00812065">
        <w:rPr>
          <w:lang w:val="en-GB"/>
        </w:rPr>
        <w:t>8</w:t>
      </w:r>
      <w:r w:rsidR="00D8721E">
        <w:rPr>
          <w:lang w:val="en-GB"/>
        </w:rPr>
        <w:t>–1</w:t>
      </w:r>
      <w:r w:rsidRPr="00812065">
        <w:rPr>
          <w:lang w:val="en-GB"/>
        </w:rPr>
        <w:t xml:space="preserve">9 Budget </w:t>
      </w:r>
      <w:r>
        <w:rPr>
          <w:lang w:val="en-GB"/>
        </w:rPr>
        <w:t xml:space="preserve">decision to create </w:t>
      </w:r>
      <w:r w:rsidRPr="00812065">
        <w:rPr>
          <w:lang w:val="en-GB"/>
        </w:rPr>
        <w:t>a sing</w:t>
      </w:r>
      <w:r>
        <w:rPr>
          <w:lang w:val="en-GB"/>
        </w:rPr>
        <w:t>le budget line for home care and residential care to direct available funding in line with consumer demand will also make an important contribution to understanding future demand</w:t>
      </w:r>
      <w:r w:rsidR="00D8721E">
        <w:rPr>
          <w:lang w:val="en-GB"/>
        </w:rPr>
        <w:t>.</w:t>
      </w:r>
    </w:p>
    <w:p w:rsidR="00D8721E" w:rsidRDefault="00056483" w:rsidP="001C335A">
      <w:pPr>
        <w:rPr>
          <w:lang w:val="en-GB"/>
        </w:rPr>
      </w:pPr>
      <w:r w:rsidRPr="00056483">
        <w:rPr>
          <w:lang w:val="en-GB"/>
        </w:rPr>
        <w:t xml:space="preserve">ACFA notes that </w:t>
      </w:r>
      <w:r w:rsidRPr="00596D01">
        <w:rPr>
          <w:rStyle w:val="Emphasis"/>
        </w:rPr>
        <w:t>the Legislated Review of Aged Care</w:t>
      </w:r>
      <w:r w:rsidR="00A261F3" w:rsidRPr="00596D01">
        <w:rPr>
          <w:rStyle w:val="Emphasis"/>
        </w:rPr>
        <w:t> 201</w:t>
      </w:r>
      <w:r w:rsidRPr="00596D01">
        <w:rPr>
          <w:rStyle w:val="Emphasis"/>
        </w:rPr>
        <w:t>7</w:t>
      </w:r>
      <w:r w:rsidRPr="00056483">
        <w:rPr>
          <w:lang w:val="en-GB"/>
        </w:rPr>
        <w:t xml:space="preserve"> recommended changing the aged care planning ratio after</w:t>
      </w:r>
      <w:r w:rsidR="00A261F3">
        <w:rPr>
          <w:lang w:val="en-GB"/>
        </w:rPr>
        <w:t> 202</w:t>
      </w:r>
      <w:r w:rsidRPr="00056483">
        <w:rPr>
          <w:lang w:val="en-GB"/>
        </w:rPr>
        <w:t xml:space="preserve">2 to reflect numbers of consumers over age 75 rather than age 70. The </w:t>
      </w:r>
      <w:r>
        <w:rPr>
          <w:lang w:val="en-GB"/>
        </w:rPr>
        <w:t xml:space="preserve">above analysis however </w:t>
      </w:r>
      <w:r w:rsidRPr="00056483">
        <w:rPr>
          <w:lang w:val="en-GB"/>
        </w:rPr>
        <w:t>is based on the</w:t>
      </w:r>
      <w:r w:rsidR="00EB20FE">
        <w:rPr>
          <w:lang w:val="en-GB"/>
        </w:rPr>
        <w:t xml:space="preserve"> target</w:t>
      </w:r>
      <w:r w:rsidRPr="00056483">
        <w:rPr>
          <w:lang w:val="en-GB"/>
        </w:rPr>
        <w:t xml:space="preserve"> provision age of 70 and over. ACFA will seek to have updated analysis in future reports for the possible change.</w:t>
      </w:r>
    </w:p>
    <w:p w:rsidR="00CD0D7C" w:rsidRPr="00596D01" w:rsidRDefault="00CD0D7C" w:rsidP="0016704B">
      <w:pPr>
        <w:pStyle w:val="Heading3Numbered"/>
        <w:numPr>
          <w:ilvl w:val="2"/>
          <w:numId w:val="18"/>
        </w:numPr>
      </w:pPr>
      <w:bookmarkStart w:id="395" w:name="_Toc524424745"/>
      <w:r w:rsidRPr="00596D01">
        <w:t>Probability of entering permanent residential aged care</w:t>
      </w:r>
      <w:bookmarkEnd w:id="391"/>
      <w:bookmarkEnd w:id="392"/>
      <w:bookmarkEnd w:id="393"/>
      <w:bookmarkEnd w:id="394"/>
      <w:bookmarkEnd w:id="395"/>
    </w:p>
    <w:p w:rsidR="00D8721E" w:rsidRDefault="00492BF8" w:rsidP="001C335A">
      <w:pPr>
        <w:rPr>
          <w:lang w:val="en-GB"/>
        </w:rPr>
      </w:pPr>
      <w:r>
        <w:rPr>
          <w:lang w:val="en-GB"/>
        </w:rPr>
        <w:fldChar w:fldCharType="begin"/>
      </w:r>
      <w:r>
        <w:rPr>
          <w:lang w:val="en-GB"/>
        </w:rPr>
        <w:instrText xml:space="preserve"> REF _Ref524428271 \r \h </w:instrText>
      </w:r>
      <w:r>
        <w:rPr>
          <w:lang w:val="en-GB"/>
        </w:rPr>
      </w:r>
      <w:r>
        <w:rPr>
          <w:lang w:val="en-GB"/>
        </w:rPr>
        <w:fldChar w:fldCharType="separate"/>
      </w:r>
      <w:r>
        <w:rPr>
          <w:lang w:val="en-GB"/>
        </w:rPr>
        <w:t>Chart 5.25</w:t>
      </w:r>
      <w:r>
        <w:rPr>
          <w:lang w:val="en-GB"/>
        </w:rPr>
        <w:fldChar w:fldCharType="end"/>
      </w:r>
      <w:r>
        <w:rPr>
          <w:lang w:val="en-GB"/>
        </w:rPr>
        <w:t xml:space="preserve"> </w:t>
      </w:r>
      <w:r w:rsidR="00CD0D7C" w:rsidRPr="0044016D">
        <w:rPr>
          <w:lang w:val="en-GB"/>
        </w:rPr>
        <w:t>shows the probability of entering permane</w:t>
      </w:r>
      <w:r w:rsidR="00CD0D7C">
        <w:rPr>
          <w:lang w:val="en-GB"/>
        </w:rPr>
        <w:t>nt residential</w:t>
      </w:r>
      <w:r w:rsidR="00CD0D7C" w:rsidRPr="0044016D">
        <w:rPr>
          <w:lang w:val="en-GB"/>
        </w:rPr>
        <w:t xml:space="preserve"> care</w:t>
      </w:r>
      <w:r w:rsidR="00515025">
        <w:rPr>
          <w:lang w:val="en-GB"/>
        </w:rPr>
        <w:t xml:space="preserve">. </w:t>
      </w:r>
      <w:r w:rsidR="00CD0D7C" w:rsidRPr="0044016D">
        <w:rPr>
          <w:lang w:val="en-GB"/>
        </w:rPr>
        <w:t>Females have a higher chance o</w:t>
      </w:r>
      <w:r w:rsidR="00CD0D7C">
        <w:rPr>
          <w:lang w:val="en-GB"/>
        </w:rPr>
        <w:t xml:space="preserve">f entering care than males, though the difference between males and females reduces in older age. At age 70, </w:t>
      </w:r>
      <w:r w:rsidR="00CD0D7C" w:rsidRPr="0044016D">
        <w:rPr>
          <w:lang w:val="en-GB"/>
        </w:rPr>
        <w:t>the probability of an indi</w:t>
      </w:r>
      <w:r w:rsidR="00CD0D7C">
        <w:rPr>
          <w:lang w:val="en-GB"/>
        </w:rPr>
        <w:t>vidual entering residential</w:t>
      </w:r>
      <w:r w:rsidR="00CD0D7C" w:rsidRPr="0044016D">
        <w:rPr>
          <w:lang w:val="en-GB"/>
        </w:rPr>
        <w:t xml:space="preserve"> care in their lifetime is</w:t>
      </w:r>
      <w:r w:rsidR="00100CE8">
        <w:rPr>
          <w:lang w:val="en-GB"/>
        </w:rPr>
        <w:t xml:space="preserve"> around </w:t>
      </w:r>
      <w:r w:rsidR="00100CE8" w:rsidRPr="0044016D">
        <w:rPr>
          <w:lang w:val="en-GB"/>
        </w:rPr>
        <w:t>5</w:t>
      </w:r>
      <w:r w:rsidR="008C2527">
        <w:rPr>
          <w:lang w:val="en-GB"/>
        </w:rPr>
        <w:t>4</w:t>
      </w:r>
      <w:r w:rsidR="00A261F3">
        <w:rPr>
          <w:lang w:val="en-GB"/>
        </w:rPr>
        <w:t> per cent</w:t>
      </w:r>
      <w:r w:rsidR="00CD0D7C" w:rsidRPr="0044016D">
        <w:rPr>
          <w:lang w:val="en-GB"/>
        </w:rPr>
        <w:t xml:space="preserve"> for females compared with</w:t>
      </w:r>
      <w:r w:rsidR="00100CE8">
        <w:rPr>
          <w:lang w:val="en-GB"/>
        </w:rPr>
        <w:t xml:space="preserve"> around </w:t>
      </w:r>
      <w:r w:rsidR="00100CE8" w:rsidRPr="0044016D">
        <w:rPr>
          <w:lang w:val="en-GB"/>
        </w:rPr>
        <w:t>40</w:t>
      </w:r>
      <w:r w:rsidR="00A261F3">
        <w:rPr>
          <w:lang w:val="en-GB"/>
        </w:rPr>
        <w:t> per cent</w:t>
      </w:r>
      <w:r w:rsidR="00CD0D7C" w:rsidRPr="0044016D">
        <w:rPr>
          <w:lang w:val="en-GB"/>
        </w:rPr>
        <w:t xml:space="preserve"> for males</w:t>
      </w:r>
      <w:r w:rsidR="00D8721E">
        <w:rPr>
          <w:lang w:val="en-GB"/>
        </w:rPr>
        <w:t>.</w:t>
      </w:r>
    </w:p>
    <w:p w:rsidR="00D8721E" w:rsidRDefault="00CF1431" w:rsidP="001C335A">
      <w:pPr>
        <w:rPr>
          <w:lang w:val="en-GB"/>
        </w:rPr>
      </w:pPr>
      <w:r>
        <w:rPr>
          <w:lang w:val="en-GB"/>
        </w:rPr>
        <w:t>T</w:t>
      </w:r>
      <w:r w:rsidR="00CD0D7C" w:rsidRPr="007B7114">
        <w:rPr>
          <w:lang w:val="en-GB"/>
        </w:rPr>
        <w:t xml:space="preserve">he probability of a person entering residential care gradually increases </w:t>
      </w:r>
      <w:r w:rsidR="00CD0D7C">
        <w:rPr>
          <w:lang w:val="en-GB"/>
        </w:rPr>
        <w:t>up to around age 85 as people experience</w:t>
      </w:r>
      <w:r w:rsidR="00CD0D7C" w:rsidRPr="007B7114">
        <w:rPr>
          <w:lang w:val="en-GB"/>
        </w:rPr>
        <w:t xml:space="preserve"> more immediate</w:t>
      </w:r>
      <w:r w:rsidR="00CD0D7C">
        <w:rPr>
          <w:lang w:val="en-GB"/>
        </w:rPr>
        <w:t xml:space="preserve"> aged care</w:t>
      </w:r>
      <w:r w:rsidR="00CD0D7C" w:rsidRPr="007B7114">
        <w:rPr>
          <w:lang w:val="en-GB"/>
        </w:rPr>
        <w:t xml:space="preserve"> need</w:t>
      </w:r>
      <w:r w:rsidR="00CD0D7C">
        <w:rPr>
          <w:lang w:val="en-GB"/>
        </w:rPr>
        <w:t>s</w:t>
      </w:r>
      <w:r w:rsidR="00CD0D7C" w:rsidRPr="007B7114">
        <w:rPr>
          <w:lang w:val="en-GB"/>
        </w:rPr>
        <w:t>. After this age</w:t>
      </w:r>
      <w:r>
        <w:rPr>
          <w:lang w:val="en-GB"/>
        </w:rPr>
        <w:t>,</w:t>
      </w:r>
      <w:r w:rsidR="00CD0D7C" w:rsidRPr="007B7114">
        <w:rPr>
          <w:lang w:val="en-GB"/>
        </w:rPr>
        <w:t xml:space="preserve"> the chance of someone dying before entering permanent residential care starts to increase and the probability of entering care therefore decreases</w:t>
      </w:r>
      <w:r w:rsidR="00D8721E">
        <w:rPr>
          <w:lang w:val="en-GB"/>
        </w:rPr>
        <w:t>.</w:t>
      </w:r>
    </w:p>
    <w:p w:rsidR="00CD0D7C" w:rsidRDefault="00CD0D7C" w:rsidP="001C335A">
      <w:r>
        <w:rPr>
          <w:lang w:val="en-GB"/>
        </w:rPr>
        <w:t>A</w:t>
      </w:r>
      <w:r w:rsidRPr="0044016D">
        <w:rPr>
          <w:lang w:val="en-GB"/>
        </w:rPr>
        <w:t xml:space="preserve"> major factor in future entry rates </w:t>
      </w:r>
      <w:r w:rsidR="00CF1431">
        <w:rPr>
          <w:lang w:val="en-GB"/>
        </w:rPr>
        <w:t>will be the</w:t>
      </w:r>
      <w:r w:rsidRPr="0044016D">
        <w:rPr>
          <w:lang w:val="en-GB"/>
        </w:rPr>
        <w:t xml:space="preserve"> continuing expansion of home care, which is expected to result in proportionally fewer people entering permanent residential care</w:t>
      </w:r>
      <w:r w:rsidR="00D8721E">
        <w:rPr>
          <w:lang w:val="en-GB"/>
        </w:rPr>
        <w:t>.</w:t>
      </w:r>
    </w:p>
    <w:p w:rsidR="00163068" w:rsidRPr="003532DA" w:rsidRDefault="00163068" w:rsidP="001C335A">
      <w:pPr>
        <w:pStyle w:val="ChartTitle"/>
      </w:pPr>
      <w:bookmarkStart w:id="396" w:name="_Ref524428271"/>
      <w:r w:rsidRPr="00596D01">
        <w:lastRenderedPageBreak/>
        <w:t>Probability of entering permanent residential aged care</w:t>
      </w:r>
      <w:bookmarkEnd w:id="396"/>
    </w:p>
    <w:p w:rsidR="003B1636" w:rsidRDefault="00AC5801" w:rsidP="001C335A">
      <w:r>
        <w:rPr>
          <w:noProof/>
        </w:rPr>
        <w:drawing>
          <wp:inline distT="0" distB="0" distL="0" distR="0" wp14:anchorId="2173DD9D" wp14:editId="750988C1">
            <wp:extent cx="6120000" cy="2574545"/>
            <wp:effectExtent l="0" t="0" r="0" b="0"/>
            <wp:docPr id="277" name="Picture 277" descr="Chart 5.25 Probability of entering permanent residential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zc0004\AppData\Local\Microsoft\Windows\Temporary Internet Files\Content.Outlook\6DIYYC82\Chart_5.2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000" cy="2574545"/>
                    </a:xfrm>
                    <a:prstGeom prst="rect">
                      <a:avLst/>
                    </a:prstGeom>
                    <a:noFill/>
                    <a:ln>
                      <a:noFill/>
                    </a:ln>
                  </pic:spPr>
                </pic:pic>
              </a:graphicData>
            </a:graphic>
          </wp:inline>
        </w:drawing>
      </w:r>
    </w:p>
    <w:p w:rsidR="00F03505" w:rsidRPr="00596D01" w:rsidRDefault="00F03505" w:rsidP="001C335A">
      <w:bookmarkStart w:id="397" w:name="_Toc487702572"/>
      <w:bookmarkStart w:id="398" w:name="_Toc487702924"/>
      <w:bookmarkStart w:id="399" w:name="_Toc487703422"/>
      <w:bookmarkStart w:id="400" w:name="_Toc487703616"/>
      <w:bookmarkStart w:id="401" w:name="_Toc423017950"/>
      <w:bookmarkStart w:id="402" w:name="_Toc421223699"/>
      <w:bookmarkStart w:id="403" w:name="_Ref421189628"/>
      <w:bookmarkEnd w:id="216"/>
    </w:p>
    <w:p w:rsidR="00E505F4" w:rsidRDefault="009A435A" w:rsidP="001C335A">
      <w:pPr>
        <w:pStyle w:val="Heading1Numbered"/>
      </w:pPr>
      <w:bookmarkStart w:id="404" w:name="_Toc524424746"/>
      <w:r w:rsidRPr="001C335A">
        <w:lastRenderedPageBreak/>
        <w:t>Home Support</w:t>
      </w:r>
      <w:bookmarkEnd w:id="397"/>
      <w:bookmarkEnd w:id="398"/>
      <w:bookmarkEnd w:id="399"/>
      <w:bookmarkEnd w:id="400"/>
      <w:bookmarkEnd w:id="404"/>
    </w:p>
    <w:p w:rsidR="001C335A" w:rsidRPr="00596D01" w:rsidRDefault="001C335A" w:rsidP="001C335A">
      <w:pPr>
        <w:pStyle w:val="Boxed1Heading"/>
      </w:pPr>
      <w:r w:rsidRPr="00596D01">
        <w:t>This chapter provides an overview of the Commonwealth Home Support Programme (CHSP) and Western Australian Home and Community Care (HACC) Program.</w:t>
      </w:r>
    </w:p>
    <w:p w:rsidR="001C335A" w:rsidRPr="00596D01" w:rsidRDefault="001C335A" w:rsidP="001C335A">
      <w:pPr>
        <w:pStyle w:val="Boxed1Text"/>
        <w:rPr>
          <w:rStyle w:val="Strong"/>
        </w:rPr>
      </w:pPr>
      <w:r w:rsidRPr="00596D01">
        <w:rPr>
          <w:rStyle w:val="Strong"/>
        </w:rPr>
        <w:t>This chapter discusses:</w:t>
      </w:r>
    </w:p>
    <w:p w:rsidR="001C335A" w:rsidRPr="009B1FDF" w:rsidRDefault="001C335A" w:rsidP="001C335A">
      <w:pPr>
        <w:pStyle w:val="Boxed1Bullet"/>
      </w:pPr>
      <w:r w:rsidRPr="009B1FDF">
        <w:t xml:space="preserve">the operation of the CHSP </w:t>
      </w:r>
    </w:p>
    <w:p w:rsidR="001C335A" w:rsidRPr="009B1FDF" w:rsidRDefault="001C335A" w:rsidP="001C335A">
      <w:pPr>
        <w:pStyle w:val="Boxed1Bullet"/>
      </w:pPr>
      <w:r w:rsidRPr="009B1FDF">
        <w:t xml:space="preserve">the supply and usage of CHSP and </w:t>
      </w:r>
      <w:r>
        <w:t xml:space="preserve">the Western Australian </w:t>
      </w:r>
      <w:r w:rsidRPr="009B1FDF">
        <w:t>HACC</w:t>
      </w:r>
    </w:p>
    <w:p w:rsidR="001C335A" w:rsidRDefault="001C335A" w:rsidP="001C335A">
      <w:pPr>
        <w:pStyle w:val="Boxed1Bullet"/>
      </w:pPr>
      <w:r>
        <w:t xml:space="preserve">the </w:t>
      </w:r>
      <w:r w:rsidRPr="009B1FDF">
        <w:t xml:space="preserve">funding of CHSP and </w:t>
      </w:r>
      <w:r>
        <w:t xml:space="preserve">the Western Australian </w:t>
      </w:r>
      <w:r w:rsidRPr="009B1FDF">
        <w:t>HACC</w:t>
      </w:r>
    </w:p>
    <w:p w:rsidR="001C335A" w:rsidRPr="00596D01" w:rsidRDefault="001C335A" w:rsidP="001C335A">
      <w:pPr>
        <w:pStyle w:val="Boxed1Text"/>
        <w:rPr>
          <w:rStyle w:val="Strong"/>
        </w:rPr>
      </w:pPr>
      <w:r w:rsidRPr="00596D01">
        <w:rPr>
          <w:rStyle w:val="Strong"/>
        </w:rPr>
        <w:t>This chapter reports that in 2016–17</w:t>
      </w:r>
      <w:r w:rsidRPr="00660C00">
        <w:rPr>
          <w:rStyle w:val="FootnoteReference"/>
        </w:rPr>
        <w:footnoteReference w:id="29"/>
      </w:r>
      <w:r w:rsidRPr="00596D01">
        <w:rPr>
          <w:rStyle w:val="Strong"/>
        </w:rPr>
        <w:t>:</w:t>
      </w:r>
    </w:p>
    <w:p w:rsidR="001C335A" w:rsidRPr="009B1FDF" w:rsidRDefault="001C335A" w:rsidP="001C335A">
      <w:pPr>
        <w:pStyle w:val="Boxed1Bullet"/>
      </w:pPr>
      <w:r>
        <w:t>t</w:t>
      </w:r>
      <w:r w:rsidRPr="009B1FDF">
        <w:t xml:space="preserve">he </w:t>
      </w:r>
      <w:r>
        <w:t>Commonwealth funded 1,621</w:t>
      </w:r>
      <w:r w:rsidRPr="009B1FDF">
        <w:t xml:space="preserve"> providers to deliver CHSP a</w:t>
      </w:r>
      <w:r>
        <w:t>nd HACC services (1,523 CHSP providers and 98</w:t>
      </w:r>
      <w:r w:rsidRPr="009B1FDF">
        <w:t xml:space="preserve"> HACC providers in</w:t>
      </w:r>
      <w:r>
        <w:t xml:space="preserve"> Western Australia);</w:t>
      </w:r>
    </w:p>
    <w:p w:rsidR="001C335A" w:rsidRPr="009B1FDF" w:rsidRDefault="001C335A" w:rsidP="001C335A">
      <w:pPr>
        <w:pStyle w:val="Boxed1Bullet"/>
      </w:pPr>
      <w:r>
        <w:t>t</w:t>
      </w:r>
      <w:r w:rsidRPr="009B1FDF">
        <w:t xml:space="preserve">he CHSP provided services to </w:t>
      </w:r>
      <w:r>
        <w:t>722,838</w:t>
      </w:r>
      <w:r w:rsidRPr="009B1FDF">
        <w:t xml:space="preserve"> older Australians</w:t>
      </w:r>
      <w:r>
        <w:t>;</w:t>
      </w:r>
    </w:p>
    <w:p w:rsidR="001C335A" w:rsidRPr="009B1FDF" w:rsidRDefault="001C335A" w:rsidP="001C335A">
      <w:pPr>
        <w:pStyle w:val="Boxed1Bullet"/>
      </w:pPr>
      <w:r>
        <w:t>t</w:t>
      </w:r>
      <w:r w:rsidRPr="009B1FDF">
        <w:t>he Western Australian HACC services provided servic</w:t>
      </w:r>
      <w:r>
        <w:t xml:space="preserve">es to 62,089 older Australians; and </w:t>
      </w:r>
    </w:p>
    <w:p w:rsidR="001C335A" w:rsidRDefault="001C335A" w:rsidP="001C335A">
      <w:pPr>
        <w:pStyle w:val="Boxed1Bullet"/>
      </w:pPr>
      <w:r>
        <w:t>t</w:t>
      </w:r>
      <w:r w:rsidRPr="009B1FDF">
        <w:t xml:space="preserve">he total number of older Australians that received home support services was </w:t>
      </w:r>
      <w:r>
        <w:t>784,927</w:t>
      </w:r>
      <w:r>
        <w:rPr>
          <w:rStyle w:val="FootnoteReference"/>
          <w:rFonts w:cs="Segoe UI"/>
          <w:color w:val="404040"/>
        </w:rPr>
        <w:footnoteReference w:id="30"/>
      </w:r>
      <w:r w:rsidRPr="009B1FDF">
        <w:t>.</w:t>
      </w:r>
    </w:p>
    <w:p w:rsidR="001C335A" w:rsidRPr="00596D01" w:rsidRDefault="001C335A" w:rsidP="001C335A">
      <w:pPr>
        <w:pStyle w:val="Boxed1Text"/>
        <w:rPr>
          <w:rStyle w:val="Strong"/>
        </w:rPr>
      </w:pPr>
      <w:r w:rsidRPr="00596D01">
        <w:rPr>
          <w:rStyle w:val="Strong"/>
        </w:rPr>
        <w:t>The Australian Government contributed $2.4 billion</w:t>
      </w:r>
      <w:r>
        <w:t xml:space="preserve"> </w:t>
      </w:r>
      <w:r w:rsidRPr="00596D01">
        <w:rPr>
          <w:rStyle w:val="Strong"/>
        </w:rPr>
        <w:t>to home support, in 2016–17 comprising:</w:t>
      </w:r>
    </w:p>
    <w:p w:rsidR="001C335A" w:rsidRDefault="001C335A" w:rsidP="001C335A">
      <w:pPr>
        <w:pStyle w:val="Boxed1Bullet"/>
      </w:pPr>
      <w:r>
        <w:t>$2.1 billion for CHSP (including $115 million of growth funding);</w:t>
      </w:r>
    </w:p>
    <w:p w:rsidR="001C335A" w:rsidRDefault="001C335A" w:rsidP="001C335A">
      <w:pPr>
        <w:pStyle w:val="Boxed1Bullet"/>
      </w:pPr>
      <w:r>
        <w:t xml:space="preserve">$123 million for My Aged Care and Regional Assessment Service (RAS) and other initiatives to support the CHSP; and </w:t>
      </w:r>
    </w:p>
    <w:p w:rsidR="001C335A" w:rsidRDefault="001C335A" w:rsidP="001C335A">
      <w:pPr>
        <w:pStyle w:val="Boxed1Bullet"/>
      </w:pPr>
      <w:r>
        <w:t>$188 million in payments to the Western Australian government to support the jointly funded HACC program.</w:t>
      </w:r>
    </w:p>
    <w:p w:rsidR="00A4014C" w:rsidRDefault="00A4014C">
      <w:pPr>
        <w:suppressAutoHyphens w:val="0"/>
        <w:spacing w:before="60" w:after="0"/>
        <w:jc w:val="both"/>
      </w:pPr>
      <w:r>
        <w:br w:type="page"/>
      </w:r>
    </w:p>
    <w:p w:rsidR="001B407F" w:rsidRPr="00596D01" w:rsidRDefault="001B407F" w:rsidP="001C335A">
      <w:pPr>
        <w:pStyle w:val="Heading2Numbered"/>
      </w:pPr>
      <w:bookmarkStart w:id="405" w:name="_Toc457549897"/>
      <w:bookmarkStart w:id="406" w:name="_Toc487702573"/>
      <w:bookmarkStart w:id="407" w:name="_Toc487702925"/>
      <w:bookmarkStart w:id="408" w:name="_Toc487703423"/>
      <w:bookmarkStart w:id="409" w:name="_Toc487703617"/>
      <w:bookmarkStart w:id="410" w:name="_Toc524424747"/>
      <w:r w:rsidRPr="00596D01">
        <w:lastRenderedPageBreak/>
        <w:t>Introduction</w:t>
      </w:r>
      <w:bookmarkEnd w:id="405"/>
      <w:bookmarkEnd w:id="406"/>
      <w:bookmarkEnd w:id="407"/>
      <w:bookmarkEnd w:id="408"/>
      <w:bookmarkEnd w:id="409"/>
      <w:bookmarkEnd w:id="410"/>
    </w:p>
    <w:p w:rsidR="00B944CE" w:rsidRDefault="00B944CE" w:rsidP="001C335A">
      <w:pPr>
        <w:rPr>
          <w:rFonts w:ascii="Calibri" w:eastAsiaTheme="minorHAnsi" w:hAnsi="Calibri"/>
          <w:sz w:val="17"/>
          <w:szCs w:val="17"/>
        </w:rPr>
      </w:pPr>
      <w:r>
        <w:rPr>
          <w:lang w:eastAsia="en-US"/>
        </w:rPr>
        <w:t>Home support</w:t>
      </w:r>
      <w:r w:rsidR="00F03505">
        <w:rPr>
          <w:lang w:eastAsia="en-US"/>
        </w:rPr>
        <w:t xml:space="preserve"> generally</w:t>
      </w:r>
      <w:r>
        <w:rPr>
          <w:lang w:eastAsia="en-US"/>
        </w:rPr>
        <w:t xml:space="preserve"> </w:t>
      </w:r>
      <w:r w:rsidRPr="00EE4081">
        <w:rPr>
          <w:lang w:eastAsia="en-US"/>
        </w:rPr>
        <w:t xml:space="preserve">provides </w:t>
      </w:r>
      <w:r>
        <w:rPr>
          <w:lang w:eastAsia="en-US"/>
        </w:rPr>
        <w:t>small amounts of services (</w:t>
      </w:r>
      <w:r w:rsidRPr="00EE4081">
        <w:rPr>
          <w:lang w:eastAsia="en-US"/>
        </w:rPr>
        <w:t>entry-level</w:t>
      </w:r>
      <w:r>
        <w:rPr>
          <w:rFonts w:cs="Helvetica 45 Light"/>
          <w:color w:val="000000"/>
        </w:rPr>
        <w:t xml:space="preserve"> </w:t>
      </w:r>
      <w:r>
        <w:rPr>
          <w:lang w:eastAsia="en-US"/>
        </w:rPr>
        <w:t>services) designed to help older Australians continue living in their own homes for as long as they can and wish to do so, and delay the need for higher level care, including residential care, through early intervention. The home support programs discussed in this chapter are the Commonwealth Home Support Programme (CHSP) and the Home and Community Care (HACC) program in Western Australia.</w:t>
      </w:r>
    </w:p>
    <w:p w:rsidR="00C720A4" w:rsidRPr="00596D01" w:rsidRDefault="00C720A4" w:rsidP="001C335A">
      <w:pPr>
        <w:pStyle w:val="Heading2Numbered"/>
      </w:pPr>
      <w:bookmarkStart w:id="411" w:name="_Toc487702574"/>
      <w:bookmarkStart w:id="412" w:name="_Toc487702926"/>
      <w:bookmarkStart w:id="413" w:name="_Toc487703424"/>
      <w:bookmarkStart w:id="414" w:name="_Toc487703618"/>
      <w:bookmarkStart w:id="415" w:name="_Toc524424748"/>
      <w:r w:rsidRPr="00596D01">
        <w:t>Commonwealth Home Support Programme</w:t>
      </w:r>
      <w:bookmarkEnd w:id="411"/>
      <w:bookmarkEnd w:id="412"/>
      <w:bookmarkEnd w:id="413"/>
      <w:bookmarkEnd w:id="414"/>
      <w:bookmarkEnd w:id="415"/>
    </w:p>
    <w:p w:rsidR="00D8721E" w:rsidRDefault="00D973BB" w:rsidP="001C335A">
      <w:r w:rsidRPr="003D47DC">
        <w:t>The Commonwealth Home Support Programme (CHSP) provides entry-level support services for frail, older people aged 65 years and older (or 50 years and older for Aboriginal and Torres Strait Islander people) who need assistance to keep living independently at home and in their community. CHSP entry level support is underpinned by a ‘wellness approach’, which is about building on older people’s strengths, capacity and goals to help them remain independent and to live safely at home</w:t>
      </w:r>
      <w:r w:rsidR="00D8721E">
        <w:t>.</w:t>
      </w:r>
    </w:p>
    <w:p w:rsidR="008F3CB1" w:rsidRPr="00D973BB" w:rsidRDefault="00FA061E" w:rsidP="001C335A">
      <w:r>
        <w:rPr>
          <w:lang w:val="en-GB"/>
        </w:rPr>
        <w:t>T</w:t>
      </w:r>
      <w:r w:rsidR="008E1CB9">
        <w:rPr>
          <w:lang w:val="en-GB"/>
        </w:rPr>
        <w:t xml:space="preserve">he CHSP </w:t>
      </w:r>
      <w:r w:rsidR="00B944CE">
        <w:rPr>
          <w:lang w:val="en-GB"/>
        </w:rPr>
        <w:t xml:space="preserve">also </w:t>
      </w:r>
      <w:r w:rsidR="00574105" w:rsidRPr="00574105">
        <w:rPr>
          <w:lang w:val="en-GB"/>
        </w:rPr>
        <w:t xml:space="preserve">supports homeless people, or people at risk of homelessness, </w:t>
      </w:r>
      <w:r w:rsidR="0020250E">
        <w:rPr>
          <w:lang w:val="en-GB"/>
        </w:rPr>
        <w:t xml:space="preserve">to </w:t>
      </w:r>
      <w:r w:rsidR="00574105" w:rsidRPr="00574105">
        <w:rPr>
          <w:lang w:val="en-GB"/>
        </w:rPr>
        <w:t xml:space="preserve">access care and housing. </w:t>
      </w:r>
      <w:r w:rsidR="008F3CB1" w:rsidRPr="00FA78F0">
        <w:rPr>
          <w:lang w:val="en-GB"/>
        </w:rPr>
        <w:t xml:space="preserve">To be eligible </w:t>
      </w:r>
      <w:r w:rsidR="008F3CB1">
        <w:rPr>
          <w:lang w:val="en-GB"/>
        </w:rPr>
        <w:t xml:space="preserve">for </w:t>
      </w:r>
      <w:r w:rsidR="008F3CB1" w:rsidRPr="00574105">
        <w:rPr>
          <w:lang w:val="en-GB"/>
        </w:rPr>
        <w:t xml:space="preserve">assistance with care and housing </w:t>
      </w:r>
      <w:r w:rsidR="008F3CB1" w:rsidRPr="00EE4081">
        <w:rPr>
          <w:lang w:val="en-GB"/>
        </w:rPr>
        <w:t>services</w:t>
      </w:r>
      <w:r w:rsidR="008F3CB1">
        <w:rPr>
          <w:lang w:val="en-GB"/>
        </w:rPr>
        <w:t xml:space="preserve"> through the CHSP</w:t>
      </w:r>
      <w:r w:rsidR="005A5043">
        <w:rPr>
          <w:lang w:val="en-GB"/>
        </w:rPr>
        <w:t>,</w:t>
      </w:r>
      <w:r w:rsidR="008F3CB1">
        <w:rPr>
          <w:lang w:val="en-GB"/>
        </w:rPr>
        <w:t xml:space="preserve"> a person must be</w:t>
      </w:r>
      <w:r w:rsidR="00B35453">
        <w:rPr>
          <w:lang w:val="en-GB"/>
        </w:rPr>
        <w:t>:</w:t>
      </w:r>
      <w:r w:rsidR="00D973BB">
        <w:rPr>
          <w:lang w:val="en-GB"/>
        </w:rPr>
        <w:t xml:space="preserve"> prematurely</w:t>
      </w:r>
      <w:r w:rsidR="008F3CB1" w:rsidRPr="00EE4081">
        <w:rPr>
          <w:lang w:val="en-GB"/>
        </w:rPr>
        <w:t xml:space="preserve"> aged</w:t>
      </w:r>
      <w:r w:rsidR="00B35453">
        <w:rPr>
          <w:lang w:val="en-GB"/>
        </w:rPr>
        <w:t xml:space="preserve">; </w:t>
      </w:r>
      <w:r w:rsidR="008F3CB1" w:rsidRPr="00EE4081">
        <w:rPr>
          <w:lang w:val="en-GB"/>
        </w:rPr>
        <w:t>50</w:t>
      </w:r>
      <w:r w:rsidR="008F3CB1">
        <w:rPr>
          <w:lang w:val="en-GB"/>
        </w:rPr>
        <w:t> </w:t>
      </w:r>
      <w:r w:rsidR="008F3CB1" w:rsidRPr="00EE4081">
        <w:rPr>
          <w:lang w:val="en-GB"/>
        </w:rPr>
        <w:t xml:space="preserve">years and over (45 years and over for </w:t>
      </w:r>
      <w:r w:rsidR="008F3CB1" w:rsidRPr="00B57B8E">
        <w:rPr>
          <w:lang w:val="en-GB"/>
        </w:rPr>
        <w:t>Aboriginal and Torres Strait Islander people</w:t>
      </w:r>
      <w:r w:rsidR="008F3CB1">
        <w:rPr>
          <w:lang w:val="en-GB"/>
        </w:rPr>
        <w:t>)</w:t>
      </w:r>
      <w:r w:rsidR="00B35453">
        <w:rPr>
          <w:lang w:val="en-GB"/>
        </w:rPr>
        <w:t xml:space="preserve">; </w:t>
      </w:r>
      <w:r w:rsidR="008F3CB1" w:rsidRPr="00EE4081">
        <w:rPr>
          <w:lang w:val="en-GB"/>
        </w:rPr>
        <w:t>on a low income</w:t>
      </w:r>
      <w:r w:rsidR="00B35453">
        <w:rPr>
          <w:lang w:val="en-GB"/>
        </w:rPr>
        <w:t>; and be</w:t>
      </w:r>
      <w:r w:rsidR="008F3CB1" w:rsidRPr="00EE4081">
        <w:rPr>
          <w:lang w:val="en-GB"/>
        </w:rPr>
        <w:t xml:space="preserve"> </w:t>
      </w:r>
      <w:r w:rsidR="00B35453">
        <w:rPr>
          <w:lang w:val="en-GB"/>
        </w:rPr>
        <w:t xml:space="preserve">homeless or </w:t>
      </w:r>
      <w:r w:rsidR="008F3CB1" w:rsidRPr="00EE4081">
        <w:rPr>
          <w:lang w:val="en-GB"/>
        </w:rPr>
        <w:t>at risk of homelessness as a result of experiencing housing stress or not having secure accommodation.</w:t>
      </w:r>
    </w:p>
    <w:p w:rsidR="00D8721E" w:rsidRDefault="00704922" w:rsidP="001C335A">
      <w:pPr>
        <w:rPr>
          <w:lang w:val="en-GB"/>
        </w:rPr>
      </w:pPr>
      <w:r w:rsidRPr="00704922">
        <w:rPr>
          <w:lang w:val="en-GB"/>
        </w:rPr>
        <w:t>My Aged Care is the Australian Government’s single entr</w:t>
      </w:r>
      <w:r w:rsidR="00B87954">
        <w:rPr>
          <w:lang w:val="en-GB"/>
        </w:rPr>
        <w:t>y point for aged care services.</w:t>
      </w:r>
      <w:r w:rsidRPr="00704922">
        <w:rPr>
          <w:lang w:val="en-GB"/>
        </w:rPr>
        <w:t xml:space="preserve"> Access to CHSP services is coordinated through My Aged Care and Regional Assessment Services</w:t>
      </w:r>
      <w:r w:rsidR="00D8721E">
        <w:rPr>
          <w:lang w:val="en-GB"/>
        </w:rPr>
        <w:t>.</w:t>
      </w:r>
    </w:p>
    <w:p w:rsidR="00EC059B" w:rsidRDefault="00492BF8" w:rsidP="001C335A">
      <w:r>
        <w:fldChar w:fldCharType="begin"/>
      </w:r>
      <w:r>
        <w:instrText xml:space="preserve"> REF _Ref524429293 \r \h </w:instrText>
      </w:r>
      <w:r>
        <w:fldChar w:fldCharType="separate"/>
      </w:r>
      <w:r>
        <w:t>Table 6.1</w:t>
      </w:r>
      <w:r>
        <w:fldChar w:fldCharType="end"/>
      </w:r>
      <w:r>
        <w:t xml:space="preserve"> </w:t>
      </w:r>
      <w:r w:rsidR="00EC059B">
        <w:t>sets out the types of services that may be access</w:t>
      </w:r>
      <w:r w:rsidR="007F0559">
        <w:t>ed</w:t>
      </w:r>
      <w:r w:rsidR="00EC059B">
        <w:t xml:space="preserve"> through the CHSP.</w:t>
      </w:r>
      <w:r w:rsidR="00056483">
        <w:t xml:space="preserve"> Data from the Department shows that about half of CHSP consumers use one type of service and about 6</w:t>
      </w:r>
      <w:r w:rsidR="00A261F3">
        <w:t> per cent</w:t>
      </w:r>
      <w:r w:rsidR="00056483">
        <w:t xml:space="preserve"> use five or more. On average, CHSP consumers receive services to the value of $2,600 a year.</w:t>
      </w:r>
    </w:p>
    <w:p w:rsidR="00A4014C" w:rsidRDefault="00A4014C">
      <w:pPr>
        <w:suppressAutoHyphens w:val="0"/>
        <w:spacing w:before="60" w:after="0"/>
        <w:jc w:val="both"/>
      </w:pPr>
      <w:r>
        <w:br w:type="page"/>
      </w:r>
    </w:p>
    <w:p w:rsidR="00E91E1F" w:rsidRPr="00596D01" w:rsidRDefault="00E91E1F" w:rsidP="001C335A">
      <w:pPr>
        <w:pStyle w:val="TableTitle"/>
      </w:pPr>
      <w:bookmarkStart w:id="416" w:name="_Ref524429293"/>
      <w:r w:rsidRPr="00596D01">
        <w:lastRenderedPageBreak/>
        <w:t>CHSP services: by sub-program and service type</w:t>
      </w:r>
      <w:bookmarkEnd w:id="416"/>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147"/>
        <w:gridCol w:w="1858"/>
        <w:gridCol w:w="2498"/>
        <w:gridCol w:w="2290"/>
        <w:gridCol w:w="1835"/>
      </w:tblGrid>
      <w:tr w:rsidR="00E91E1F" w:rsidRPr="00A4014C"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596" w:type="pct"/>
            <w:hideMark/>
          </w:tcPr>
          <w:p w:rsidR="00E91E1F" w:rsidRPr="00A4014C" w:rsidRDefault="00E91E1F" w:rsidP="001C335A">
            <w:pPr>
              <w:rPr>
                <w:rFonts w:ascii="Segoe UI" w:eastAsia="Times New Roman" w:hAnsi="Segoe UI" w:cs="Segoe UI"/>
              </w:rPr>
            </w:pPr>
            <w:r w:rsidRPr="00A4014C">
              <w:t>Sub-</w:t>
            </w:r>
            <w:r w:rsidR="004B7A9A" w:rsidRPr="00A4014C">
              <w:t>p</w:t>
            </w:r>
            <w:r w:rsidRPr="00A4014C">
              <w:t>rogram</w:t>
            </w:r>
          </w:p>
        </w:tc>
        <w:tc>
          <w:tcPr>
            <w:tcW w:w="965" w:type="pct"/>
            <w:hideMark/>
          </w:tcPr>
          <w:p w:rsidR="00E91E1F" w:rsidRPr="00A4014C" w:rsidRDefault="0013227F" w:rsidP="001C335A">
            <w:pPr>
              <w:rPr>
                <w:rFonts w:ascii="Segoe UI" w:eastAsia="Times New Roman" w:hAnsi="Segoe UI" w:cs="Segoe UI"/>
              </w:rPr>
            </w:pPr>
            <w:r w:rsidRPr="00A4014C">
              <w:t>Community and home s</w:t>
            </w:r>
            <w:r w:rsidR="00E91E1F" w:rsidRPr="00A4014C">
              <w:t>upport</w:t>
            </w:r>
          </w:p>
        </w:tc>
        <w:tc>
          <w:tcPr>
            <w:tcW w:w="1297" w:type="pct"/>
            <w:hideMark/>
          </w:tcPr>
          <w:p w:rsidR="00E91E1F" w:rsidRPr="00A4014C" w:rsidRDefault="0013227F" w:rsidP="001C335A">
            <w:pPr>
              <w:rPr>
                <w:rFonts w:ascii="Segoe UI" w:eastAsia="Times New Roman" w:hAnsi="Segoe UI" w:cs="Segoe UI"/>
              </w:rPr>
            </w:pPr>
            <w:r w:rsidRPr="00A4014C">
              <w:t>Care relationships and carer s</w:t>
            </w:r>
            <w:r w:rsidR="00E91E1F" w:rsidRPr="00A4014C">
              <w:t>upport</w:t>
            </w:r>
          </w:p>
        </w:tc>
        <w:tc>
          <w:tcPr>
            <w:tcW w:w="1189" w:type="pct"/>
            <w:hideMark/>
          </w:tcPr>
          <w:p w:rsidR="00E91E1F" w:rsidRPr="00A4014C" w:rsidRDefault="0013227F" w:rsidP="001C335A">
            <w:pPr>
              <w:rPr>
                <w:rFonts w:ascii="Segoe UI" w:eastAsia="Times New Roman" w:hAnsi="Segoe UI" w:cs="Segoe UI"/>
              </w:rPr>
            </w:pPr>
            <w:r w:rsidRPr="00A4014C">
              <w:t>Assistance with care and h</w:t>
            </w:r>
            <w:r w:rsidR="00E91E1F" w:rsidRPr="00A4014C">
              <w:t>ousing</w:t>
            </w:r>
          </w:p>
        </w:tc>
        <w:tc>
          <w:tcPr>
            <w:tcW w:w="953" w:type="pct"/>
            <w:hideMark/>
          </w:tcPr>
          <w:p w:rsidR="00E91E1F" w:rsidRPr="00A4014C" w:rsidRDefault="0013227F" w:rsidP="001C335A">
            <w:r w:rsidRPr="00A4014C">
              <w:t>Service system d</w:t>
            </w:r>
            <w:r w:rsidR="00E91E1F" w:rsidRPr="00A4014C">
              <w:t>evelopment</w:t>
            </w:r>
          </w:p>
        </w:tc>
      </w:tr>
      <w:tr w:rsidR="00E91E1F" w:rsidRPr="00A4014C" w:rsidTr="001C335A">
        <w:trPr>
          <w:trHeight w:val="113"/>
        </w:trPr>
        <w:tc>
          <w:tcPr>
            <w:tcW w:w="596" w:type="pct"/>
            <w:hideMark/>
          </w:tcPr>
          <w:p w:rsidR="00E91E1F" w:rsidRPr="00A4014C" w:rsidRDefault="00E91E1F" w:rsidP="001C335A">
            <w:r w:rsidRPr="00A4014C">
              <w:t>Objective</w:t>
            </w:r>
          </w:p>
        </w:tc>
        <w:tc>
          <w:tcPr>
            <w:tcW w:w="965" w:type="pct"/>
            <w:hideMark/>
          </w:tcPr>
          <w:p w:rsidR="00E91E1F" w:rsidRPr="00A4014C" w:rsidRDefault="00E91E1F" w:rsidP="001C335A">
            <w:r w:rsidRPr="00A4014C">
              <w:t>To provide entry-level support services to assist frail, older people to live independently at home and in the community.</w:t>
            </w:r>
          </w:p>
        </w:tc>
        <w:tc>
          <w:tcPr>
            <w:tcW w:w="1297" w:type="pct"/>
            <w:hideMark/>
          </w:tcPr>
          <w:p w:rsidR="00E91E1F" w:rsidRPr="00A4014C" w:rsidRDefault="00E91E1F" w:rsidP="001C335A">
            <w:r w:rsidRPr="00A4014C">
              <w:t>To support and maintain care relationships between carers and clients, through providing good quality respite care for frail, older people so that regular carers can take a break.</w:t>
            </w:r>
          </w:p>
        </w:tc>
        <w:tc>
          <w:tcPr>
            <w:tcW w:w="1189" w:type="pct"/>
            <w:hideMark/>
          </w:tcPr>
          <w:p w:rsidR="00E91E1F" w:rsidRPr="00A4014C" w:rsidRDefault="003C2E1A" w:rsidP="001C335A">
            <w:r w:rsidRPr="00A4014C">
              <w:t>To support those who are homeless or at risk of homelessness, to access appropriate and sustainable housing as well as community care and other support services, specifically targeted at avoiding homelessness or reducing the impact of homelessness</w:t>
            </w:r>
            <w:r w:rsidR="007F0559" w:rsidRPr="00A4014C">
              <w:t>.</w:t>
            </w:r>
          </w:p>
        </w:tc>
        <w:tc>
          <w:tcPr>
            <w:tcW w:w="953" w:type="pct"/>
            <w:hideMark/>
          </w:tcPr>
          <w:p w:rsidR="00E91E1F" w:rsidRPr="00A4014C" w:rsidRDefault="00E91E1F" w:rsidP="001C335A">
            <w:r w:rsidRPr="00A4014C">
              <w:t xml:space="preserve">To support the development of the community aged care service system in a way that meets the aims of the CHSP and broader aged care system. </w:t>
            </w:r>
          </w:p>
        </w:tc>
      </w:tr>
      <w:tr w:rsidR="00E91E1F" w:rsidRPr="00A4014C" w:rsidTr="001C335A">
        <w:trPr>
          <w:trHeight w:val="113"/>
        </w:trPr>
        <w:tc>
          <w:tcPr>
            <w:tcW w:w="596" w:type="pct"/>
            <w:hideMark/>
          </w:tcPr>
          <w:p w:rsidR="00E91E1F" w:rsidRPr="00A4014C" w:rsidRDefault="00E91E1F" w:rsidP="001C335A">
            <w:r w:rsidRPr="00A4014C">
              <w:t>Service types funded</w:t>
            </w:r>
          </w:p>
        </w:tc>
        <w:tc>
          <w:tcPr>
            <w:tcW w:w="965" w:type="pct"/>
            <w:hideMark/>
          </w:tcPr>
          <w:p w:rsidR="00E91E1F" w:rsidRPr="00A4014C" w:rsidRDefault="00E91E1F" w:rsidP="001C335A">
            <w:pPr>
              <w:pStyle w:val="Bullet1"/>
            </w:pPr>
            <w:r w:rsidRPr="00A4014C">
              <w:t>Meals</w:t>
            </w:r>
          </w:p>
          <w:p w:rsidR="00E91E1F" w:rsidRPr="00A4014C" w:rsidRDefault="00E91E1F" w:rsidP="001C335A">
            <w:pPr>
              <w:pStyle w:val="Bullet1"/>
            </w:pPr>
            <w:r w:rsidRPr="00A4014C">
              <w:t xml:space="preserve">Other </w:t>
            </w:r>
            <w:r w:rsidR="0013227F" w:rsidRPr="00A4014C">
              <w:t>food s</w:t>
            </w:r>
            <w:r w:rsidRPr="00A4014C">
              <w:t>ervices</w:t>
            </w:r>
          </w:p>
          <w:p w:rsidR="00E91E1F" w:rsidRPr="00A4014C" w:rsidRDefault="00E91E1F" w:rsidP="001C335A">
            <w:pPr>
              <w:pStyle w:val="Bullet1"/>
            </w:pPr>
            <w:r w:rsidRPr="00A4014C">
              <w:t>Transport</w:t>
            </w:r>
          </w:p>
          <w:p w:rsidR="00E91E1F" w:rsidRPr="00A4014C" w:rsidRDefault="0013227F" w:rsidP="001C335A">
            <w:pPr>
              <w:pStyle w:val="Bullet1"/>
            </w:pPr>
            <w:r w:rsidRPr="00A4014C">
              <w:t>Domestic a</w:t>
            </w:r>
            <w:r w:rsidR="00E91E1F" w:rsidRPr="00A4014C">
              <w:t>ssistance</w:t>
            </w:r>
          </w:p>
          <w:p w:rsidR="00E91E1F" w:rsidRPr="00A4014C" w:rsidRDefault="0013227F" w:rsidP="001C335A">
            <w:pPr>
              <w:pStyle w:val="Bullet1"/>
            </w:pPr>
            <w:r w:rsidRPr="00A4014C">
              <w:t>Personal c</w:t>
            </w:r>
            <w:r w:rsidR="00E91E1F" w:rsidRPr="00A4014C">
              <w:t>are</w:t>
            </w:r>
          </w:p>
          <w:p w:rsidR="00E91E1F" w:rsidRPr="00A4014C" w:rsidRDefault="00E91E1F" w:rsidP="001C335A">
            <w:pPr>
              <w:pStyle w:val="Bullet1"/>
            </w:pPr>
            <w:r w:rsidRPr="00A4014C">
              <w:t xml:space="preserve">Home </w:t>
            </w:r>
            <w:r w:rsidR="00304BCB" w:rsidRPr="00A4014C">
              <w:t>m</w:t>
            </w:r>
            <w:r w:rsidRPr="00A4014C">
              <w:t>aintenance</w:t>
            </w:r>
          </w:p>
          <w:p w:rsidR="00E91E1F" w:rsidRPr="00A4014C" w:rsidRDefault="0013227F" w:rsidP="001C335A">
            <w:pPr>
              <w:pStyle w:val="Bullet1"/>
            </w:pPr>
            <w:r w:rsidRPr="00A4014C">
              <w:t>Home m</w:t>
            </w:r>
            <w:r w:rsidR="00E91E1F" w:rsidRPr="00A4014C">
              <w:t>odifications</w:t>
            </w:r>
          </w:p>
          <w:p w:rsidR="00E91E1F" w:rsidRPr="00A4014C" w:rsidRDefault="0013227F" w:rsidP="001C335A">
            <w:pPr>
              <w:pStyle w:val="Bullet1"/>
            </w:pPr>
            <w:r w:rsidRPr="00A4014C">
              <w:t>Social support-i</w:t>
            </w:r>
            <w:r w:rsidR="00E91E1F" w:rsidRPr="00A4014C">
              <w:t>ndividual</w:t>
            </w:r>
          </w:p>
          <w:p w:rsidR="00E91E1F" w:rsidRPr="00A4014C" w:rsidRDefault="0013227F" w:rsidP="001C335A">
            <w:pPr>
              <w:pStyle w:val="Bullet1"/>
            </w:pPr>
            <w:r w:rsidRPr="00A4014C">
              <w:t>Social support-group (formerly centre-based day c</w:t>
            </w:r>
            <w:r w:rsidR="00E91E1F" w:rsidRPr="00A4014C">
              <w:t>are)</w:t>
            </w:r>
          </w:p>
          <w:p w:rsidR="00E91E1F" w:rsidRPr="00A4014C" w:rsidRDefault="00E91E1F" w:rsidP="001C335A">
            <w:pPr>
              <w:pStyle w:val="Bullet1"/>
            </w:pPr>
            <w:r w:rsidRPr="00A4014C">
              <w:t xml:space="preserve">Nursing </w:t>
            </w:r>
          </w:p>
          <w:p w:rsidR="00E91E1F" w:rsidRPr="00A4014C" w:rsidRDefault="0013227F" w:rsidP="001C335A">
            <w:pPr>
              <w:pStyle w:val="Bullet1"/>
            </w:pPr>
            <w:r w:rsidRPr="00A4014C">
              <w:t>Allied health and therapy s</w:t>
            </w:r>
            <w:r w:rsidR="00E91E1F" w:rsidRPr="00A4014C">
              <w:t>ervices</w:t>
            </w:r>
          </w:p>
          <w:p w:rsidR="00E91E1F" w:rsidRPr="00A4014C" w:rsidRDefault="0013227F" w:rsidP="001C335A">
            <w:pPr>
              <w:pStyle w:val="Bullet1"/>
            </w:pPr>
            <w:r w:rsidRPr="00A4014C">
              <w:t xml:space="preserve">Goods, </w:t>
            </w:r>
            <w:r w:rsidR="00304BCB" w:rsidRPr="00A4014C">
              <w:t>e</w:t>
            </w:r>
            <w:r w:rsidRPr="00A4014C">
              <w:t>quipment and assistive t</w:t>
            </w:r>
            <w:r w:rsidR="00E91E1F" w:rsidRPr="00A4014C">
              <w:t>echnology</w:t>
            </w:r>
          </w:p>
          <w:p w:rsidR="00E91E1F" w:rsidRPr="00A4014C" w:rsidRDefault="0013227F" w:rsidP="001C335A">
            <w:pPr>
              <w:pStyle w:val="Bullet1"/>
            </w:pPr>
            <w:r w:rsidRPr="00A4014C">
              <w:t>Specialised support s</w:t>
            </w:r>
            <w:r w:rsidR="00E91E1F" w:rsidRPr="00A4014C">
              <w:t>ervices</w:t>
            </w:r>
          </w:p>
        </w:tc>
        <w:tc>
          <w:tcPr>
            <w:tcW w:w="1297" w:type="pct"/>
            <w:hideMark/>
          </w:tcPr>
          <w:p w:rsidR="00E91E1F" w:rsidRPr="00A4014C" w:rsidRDefault="00E91E1F" w:rsidP="001C335A">
            <w:r w:rsidRPr="00A4014C">
              <w:t xml:space="preserve">Flexible </w:t>
            </w:r>
            <w:r w:rsidR="0013227F" w:rsidRPr="00A4014C">
              <w:t>r</w:t>
            </w:r>
            <w:r w:rsidRPr="00A4014C">
              <w:t xml:space="preserve">espite: </w:t>
            </w:r>
          </w:p>
          <w:p w:rsidR="00E91E1F" w:rsidRPr="00A4014C" w:rsidRDefault="0013227F" w:rsidP="001C335A">
            <w:pPr>
              <w:pStyle w:val="Bullet1"/>
            </w:pPr>
            <w:r w:rsidRPr="00A4014C">
              <w:t xml:space="preserve">In-home </w:t>
            </w:r>
            <w:r w:rsidR="00E91E1F" w:rsidRPr="00A4014C">
              <w:t>day respite</w:t>
            </w:r>
          </w:p>
          <w:p w:rsidR="00E91E1F" w:rsidRPr="00A4014C" w:rsidRDefault="00E91E1F" w:rsidP="001C335A">
            <w:pPr>
              <w:pStyle w:val="Bullet1"/>
            </w:pPr>
            <w:r w:rsidRPr="00A4014C">
              <w:t>In-home overnight respite</w:t>
            </w:r>
          </w:p>
          <w:p w:rsidR="00E91E1F" w:rsidRPr="00A4014C" w:rsidRDefault="00E91E1F" w:rsidP="001C335A">
            <w:pPr>
              <w:pStyle w:val="Bullet1"/>
            </w:pPr>
            <w:r w:rsidRPr="00A4014C">
              <w:t>Community access – individual respite</w:t>
            </w:r>
          </w:p>
          <w:p w:rsidR="00E91E1F" w:rsidRPr="00A4014C" w:rsidRDefault="00E91E1F" w:rsidP="001C335A">
            <w:pPr>
              <w:pStyle w:val="Bullet1"/>
            </w:pPr>
            <w:r w:rsidRPr="00A4014C">
              <w:t>Host family day respite</w:t>
            </w:r>
          </w:p>
          <w:p w:rsidR="00E91E1F" w:rsidRPr="00A4014C" w:rsidRDefault="00E91E1F" w:rsidP="001C335A">
            <w:pPr>
              <w:pStyle w:val="Bullet1"/>
            </w:pPr>
            <w:r w:rsidRPr="00A4014C">
              <w:t>Host family overnight respite</w:t>
            </w:r>
          </w:p>
          <w:p w:rsidR="00E91E1F" w:rsidRPr="00A4014C" w:rsidRDefault="00E91E1F" w:rsidP="001C335A">
            <w:pPr>
              <w:pStyle w:val="Bullet1"/>
            </w:pPr>
            <w:r w:rsidRPr="00A4014C">
              <w:t>Mobile respite</w:t>
            </w:r>
          </w:p>
          <w:p w:rsidR="00E91E1F" w:rsidRPr="00A4014C" w:rsidRDefault="00E91E1F" w:rsidP="001C335A">
            <w:pPr>
              <w:pStyle w:val="Bullet1"/>
            </w:pPr>
            <w:r w:rsidRPr="00A4014C">
              <w:t>Other planned respite</w:t>
            </w:r>
          </w:p>
          <w:p w:rsidR="00E91E1F" w:rsidRPr="00A4014C" w:rsidRDefault="00E91E1F" w:rsidP="001C335A">
            <w:pPr>
              <w:pStyle w:val="Bullet1"/>
            </w:pPr>
            <w:r w:rsidRPr="00A4014C">
              <w:t>Centre-based respite</w:t>
            </w:r>
          </w:p>
          <w:p w:rsidR="00E91E1F" w:rsidRPr="00A4014C" w:rsidRDefault="00E91E1F" w:rsidP="001C335A">
            <w:pPr>
              <w:pStyle w:val="Bullet1"/>
            </w:pPr>
            <w:r w:rsidRPr="00A4014C">
              <w:t>Centre based day respite</w:t>
            </w:r>
          </w:p>
          <w:p w:rsidR="00E91E1F" w:rsidRPr="00A4014C" w:rsidRDefault="00E91E1F" w:rsidP="001C335A">
            <w:pPr>
              <w:pStyle w:val="Bullet1"/>
            </w:pPr>
            <w:r w:rsidRPr="00A4014C">
              <w:t>Residential day respite</w:t>
            </w:r>
          </w:p>
          <w:p w:rsidR="00E91E1F" w:rsidRPr="00A4014C" w:rsidRDefault="00E91E1F" w:rsidP="001C335A">
            <w:pPr>
              <w:pStyle w:val="Bullet1"/>
            </w:pPr>
            <w:r w:rsidRPr="00A4014C">
              <w:t>Community access-group respite</w:t>
            </w:r>
          </w:p>
          <w:p w:rsidR="00E91E1F" w:rsidRPr="00A4014C" w:rsidRDefault="00E91E1F" w:rsidP="001C335A">
            <w:pPr>
              <w:pStyle w:val="Bullet1"/>
            </w:pPr>
            <w:r w:rsidRPr="00A4014C">
              <w:t>Cottage respite (overnight community)</w:t>
            </w:r>
          </w:p>
        </w:tc>
        <w:tc>
          <w:tcPr>
            <w:tcW w:w="1189" w:type="pct"/>
          </w:tcPr>
          <w:p w:rsidR="00E91E1F" w:rsidRPr="00A4014C" w:rsidRDefault="0013227F" w:rsidP="001C335A">
            <w:r w:rsidRPr="00A4014C">
              <w:t>Assistance with care and h</w:t>
            </w:r>
            <w:r w:rsidR="00E91E1F" w:rsidRPr="00A4014C">
              <w:t>ousing</w:t>
            </w:r>
            <w:r w:rsidR="00D973BB" w:rsidRPr="00A4014C">
              <w:t xml:space="preserve"> (a person must be</w:t>
            </w:r>
            <w:r w:rsidR="00B35453" w:rsidRPr="00A4014C">
              <w:t>:</w:t>
            </w:r>
            <w:r w:rsidR="00D973BB" w:rsidRPr="00A4014C">
              <w:t xml:space="preserve"> prematurely aged</w:t>
            </w:r>
            <w:r w:rsidR="00B35453" w:rsidRPr="00A4014C">
              <w:t>;</w:t>
            </w:r>
            <w:r w:rsidR="00D973BB" w:rsidRPr="00A4014C">
              <w:t xml:space="preserve"> 50 years and over (45 years and over for Aboriginal and Torres Strait Islander people)</w:t>
            </w:r>
            <w:r w:rsidR="00B35453" w:rsidRPr="00A4014C">
              <w:t>;</w:t>
            </w:r>
            <w:r w:rsidR="00D973BB" w:rsidRPr="00A4014C">
              <w:t xml:space="preserve"> on a low income</w:t>
            </w:r>
            <w:r w:rsidR="00B35453" w:rsidRPr="00A4014C">
              <w:t>;</w:t>
            </w:r>
            <w:r w:rsidR="00D973BB" w:rsidRPr="00A4014C">
              <w:t xml:space="preserve"> and </w:t>
            </w:r>
            <w:r w:rsidR="00B35453" w:rsidRPr="00A4014C">
              <w:t xml:space="preserve">be </w:t>
            </w:r>
            <w:r w:rsidR="00D973BB" w:rsidRPr="00A4014C">
              <w:t>homeless or at risk of homelessness as a result of experiencing housing stress or not having secure accommodation)</w:t>
            </w:r>
            <w:r w:rsidR="00D8721E" w:rsidRPr="00A4014C">
              <w:t>.</w:t>
            </w:r>
          </w:p>
        </w:tc>
        <w:tc>
          <w:tcPr>
            <w:tcW w:w="953" w:type="pct"/>
            <w:hideMark/>
          </w:tcPr>
          <w:p w:rsidR="00E91E1F" w:rsidRPr="00A4014C" w:rsidRDefault="0013227F" w:rsidP="001C335A">
            <w:r w:rsidRPr="00A4014C">
              <w:t>Sector support and d</w:t>
            </w:r>
            <w:r w:rsidR="00E91E1F" w:rsidRPr="00A4014C">
              <w:t>evelopment activities</w:t>
            </w:r>
          </w:p>
        </w:tc>
      </w:tr>
    </w:tbl>
    <w:p w:rsidR="00E91E1F" w:rsidRPr="00596D01" w:rsidRDefault="00E91E1F" w:rsidP="00A4014C">
      <w:pPr>
        <w:pStyle w:val="Heading2Numbered"/>
      </w:pPr>
      <w:bookmarkStart w:id="417" w:name="_Toc457549898"/>
      <w:bookmarkStart w:id="418" w:name="_Toc487702575"/>
      <w:bookmarkStart w:id="419" w:name="_Toc487702927"/>
      <w:bookmarkStart w:id="420" w:name="_Toc487703425"/>
      <w:bookmarkStart w:id="421" w:name="_Toc487703619"/>
      <w:bookmarkStart w:id="422" w:name="_Toc524424749"/>
      <w:r w:rsidRPr="00596D01">
        <w:t>Home and Community Care</w:t>
      </w:r>
      <w:bookmarkEnd w:id="417"/>
      <w:r w:rsidR="00D973BB" w:rsidRPr="00596D01">
        <w:t xml:space="preserve"> —</w:t>
      </w:r>
      <w:r w:rsidR="00D8721E" w:rsidRPr="00596D01">
        <w:t xml:space="preserve"> </w:t>
      </w:r>
      <w:r w:rsidRPr="00596D01">
        <w:t>Western Australia</w:t>
      </w:r>
      <w:bookmarkEnd w:id="418"/>
      <w:bookmarkEnd w:id="419"/>
      <w:bookmarkEnd w:id="420"/>
      <w:bookmarkEnd w:id="421"/>
      <w:bookmarkEnd w:id="422"/>
    </w:p>
    <w:p w:rsidR="00B944CE" w:rsidRDefault="00B944CE" w:rsidP="00A4014C">
      <w:pPr>
        <w:rPr>
          <w:lang w:eastAsia="en-US"/>
        </w:rPr>
      </w:pPr>
      <w:r>
        <w:rPr>
          <w:lang w:eastAsia="en-US"/>
        </w:rPr>
        <w:t xml:space="preserve">The HACC program in Western Australia provided similar services for older people to those provided under the CHSP, but also provides support for </w:t>
      </w:r>
      <w:r w:rsidRPr="00165735">
        <w:rPr>
          <w:lang w:eastAsia="en-US"/>
        </w:rPr>
        <w:t>y</w:t>
      </w:r>
      <w:r>
        <w:rPr>
          <w:lang w:eastAsia="en-US"/>
        </w:rPr>
        <w:t>ounger people with a disability.</w:t>
      </w:r>
    </w:p>
    <w:p w:rsidR="008F3CB1" w:rsidRDefault="008F3CB1" w:rsidP="00A4014C">
      <w:pPr>
        <w:rPr>
          <w:lang w:eastAsia="en-US"/>
        </w:rPr>
      </w:pPr>
      <w:r>
        <w:rPr>
          <w:lang w:eastAsia="en-US"/>
        </w:rPr>
        <w:lastRenderedPageBreak/>
        <w:t>During</w:t>
      </w:r>
      <w:r w:rsidR="00A261F3">
        <w:rPr>
          <w:lang w:eastAsia="en-US"/>
        </w:rPr>
        <w:t> 201</w:t>
      </w:r>
      <w:r w:rsidR="00946DFB">
        <w:rPr>
          <w:lang w:eastAsia="en-US"/>
        </w:rPr>
        <w:t>6</w:t>
      </w:r>
      <w:r w:rsidR="00D8721E">
        <w:rPr>
          <w:lang w:eastAsia="en-US"/>
        </w:rPr>
        <w:t>–1</w:t>
      </w:r>
      <w:r w:rsidR="00946DFB">
        <w:rPr>
          <w:lang w:eastAsia="en-US"/>
        </w:rPr>
        <w:t>7</w:t>
      </w:r>
      <w:r>
        <w:rPr>
          <w:lang w:eastAsia="en-US"/>
        </w:rPr>
        <w:t xml:space="preserve">, </w:t>
      </w:r>
      <w:r w:rsidRPr="00165735">
        <w:rPr>
          <w:lang w:eastAsia="en-US"/>
        </w:rPr>
        <w:t>Western Australia</w:t>
      </w:r>
      <w:r>
        <w:rPr>
          <w:lang w:eastAsia="en-US"/>
        </w:rPr>
        <w:t>n HACC services were</w:t>
      </w:r>
      <w:r w:rsidRPr="00165735">
        <w:rPr>
          <w:lang w:eastAsia="en-US"/>
        </w:rPr>
        <w:t xml:space="preserve"> delivered through th</w:t>
      </w:r>
      <w:r>
        <w:rPr>
          <w:lang w:eastAsia="en-US"/>
        </w:rPr>
        <w:t>e jointly funded HACC program</w:t>
      </w:r>
      <w:r w:rsidRPr="00165735">
        <w:rPr>
          <w:lang w:eastAsia="en-US"/>
        </w:rPr>
        <w:t xml:space="preserve"> under the </w:t>
      </w:r>
      <w:r w:rsidRPr="00596D01">
        <w:rPr>
          <w:rStyle w:val="Emphasis"/>
        </w:rPr>
        <w:t>HACC Review Agreement</w:t>
      </w:r>
      <w:r w:rsidR="00A261F3" w:rsidRPr="00596D01">
        <w:rPr>
          <w:rStyle w:val="Emphasis"/>
        </w:rPr>
        <w:t> 200</w:t>
      </w:r>
      <w:r w:rsidRPr="00596D01">
        <w:rPr>
          <w:rStyle w:val="Emphasis"/>
        </w:rPr>
        <w:t>7</w:t>
      </w:r>
      <w:r>
        <w:rPr>
          <w:lang w:eastAsia="en-US"/>
        </w:rPr>
        <w:t xml:space="preserve">. </w:t>
      </w:r>
      <w:r w:rsidRPr="00165735">
        <w:rPr>
          <w:lang w:eastAsia="en-US"/>
        </w:rPr>
        <w:t>Consumers continue</w:t>
      </w:r>
      <w:r>
        <w:rPr>
          <w:lang w:eastAsia="en-US"/>
        </w:rPr>
        <w:t>d</w:t>
      </w:r>
      <w:r w:rsidRPr="00165735">
        <w:rPr>
          <w:lang w:eastAsia="en-US"/>
        </w:rPr>
        <w:t xml:space="preserve"> to be assessed for HACC services</w:t>
      </w:r>
      <w:r>
        <w:rPr>
          <w:lang w:eastAsia="en-US"/>
        </w:rPr>
        <w:t xml:space="preserve"> </w:t>
      </w:r>
      <w:r w:rsidRPr="00165735">
        <w:rPr>
          <w:lang w:eastAsia="en-US"/>
        </w:rPr>
        <w:t xml:space="preserve">through </w:t>
      </w:r>
      <w:r>
        <w:rPr>
          <w:lang w:eastAsia="en-US"/>
        </w:rPr>
        <w:t xml:space="preserve">the </w:t>
      </w:r>
      <w:r w:rsidRPr="00165735">
        <w:rPr>
          <w:lang w:eastAsia="en-US"/>
        </w:rPr>
        <w:t>HACC program assessment arrangements</w:t>
      </w:r>
      <w:r>
        <w:rPr>
          <w:lang w:eastAsia="en-US"/>
        </w:rPr>
        <w:t>.</w:t>
      </w:r>
    </w:p>
    <w:p w:rsidR="00D8721E" w:rsidRDefault="00B944CE" w:rsidP="00A4014C">
      <w:pPr>
        <w:rPr>
          <w:lang w:eastAsia="en-US"/>
        </w:rPr>
      </w:pPr>
      <w:r>
        <w:rPr>
          <w:lang w:eastAsia="en-US"/>
        </w:rPr>
        <w:t>Since</w:t>
      </w:r>
      <w:r w:rsidRPr="00165735">
        <w:rPr>
          <w:lang w:eastAsia="en-US"/>
        </w:rPr>
        <w:t xml:space="preserve"> 1</w:t>
      </w:r>
      <w:r>
        <w:rPr>
          <w:lang w:eastAsia="en-US"/>
        </w:rPr>
        <w:t> July</w:t>
      </w:r>
      <w:r w:rsidR="00A261F3">
        <w:rPr>
          <w:lang w:eastAsia="en-US"/>
        </w:rPr>
        <w:t> 201</w:t>
      </w:r>
      <w:r>
        <w:rPr>
          <w:lang w:eastAsia="en-US"/>
        </w:rPr>
        <w:t>8</w:t>
      </w:r>
      <w:r w:rsidRPr="00165735">
        <w:rPr>
          <w:lang w:eastAsia="en-US"/>
        </w:rPr>
        <w:t xml:space="preserve">, </w:t>
      </w:r>
      <w:r>
        <w:rPr>
          <w:lang w:eastAsia="en-US"/>
        </w:rPr>
        <w:t>Western Australia</w:t>
      </w:r>
      <w:r w:rsidRPr="00165735">
        <w:rPr>
          <w:lang w:eastAsia="en-US"/>
        </w:rPr>
        <w:t xml:space="preserve"> HACC </w:t>
      </w:r>
      <w:r>
        <w:rPr>
          <w:lang w:eastAsia="en-US"/>
        </w:rPr>
        <w:t>services for older people have been incorporated into</w:t>
      </w:r>
      <w:r w:rsidRPr="00165735">
        <w:rPr>
          <w:lang w:eastAsia="en-US"/>
        </w:rPr>
        <w:t xml:space="preserve"> the CHSP</w:t>
      </w:r>
      <w:r>
        <w:rPr>
          <w:lang w:eastAsia="en-US"/>
        </w:rPr>
        <w:t>.</w:t>
      </w:r>
    </w:p>
    <w:p w:rsidR="00C720A4" w:rsidRPr="00596D01" w:rsidRDefault="00F03505" w:rsidP="00A4014C">
      <w:pPr>
        <w:pStyle w:val="Heading2Numbered"/>
      </w:pPr>
      <w:bookmarkStart w:id="423" w:name="_Toc524424750"/>
      <w:r w:rsidRPr="00596D01">
        <w:t>Sector overview</w:t>
      </w:r>
      <w:bookmarkEnd w:id="423"/>
    </w:p>
    <w:p w:rsidR="00E505F4" w:rsidRPr="00596D01" w:rsidRDefault="00614D3E" w:rsidP="00A4014C">
      <w:pPr>
        <w:pStyle w:val="Heading3Numbered"/>
      </w:pPr>
      <w:bookmarkStart w:id="424" w:name="_Toc487702577"/>
      <w:bookmarkStart w:id="425" w:name="_Toc487702929"/>
      <w:bookmarkStart w:id="426" w:name="_Toc487703427"/>
      <w:bookmarkStart w:id="427" w:name="_Toc487703621"/>
      <w:bookmarkStart w:id="428" w:name="_Toc524424751"/>
      <w:r w:rsidRPr="00596D01">
        <w:t>Providers</w:t>
      </w:r>
      <w:r w:rsidR="00E505F4" w:rsidRPr="00596D01">
        <w:t xml:space="preserve"> of</w:t>
      </w:r>
      <w:r w:rsidR="00BB2360" w:rsidRPr="00596D01">
        <w:t xml:space="preserve"> </w:t>
      </w:r>
      <w:r w:rsidR="00296282" w:rsidRPr="00596D01">
        <w:t>h</w:t>
      </w:r>
      <w:r w:rsidR="00A82D73" w:rsidRPr="00596D01">
        <w:t xml:space="preserve">ome </w:t>
      </w:r>
      <w:r w:rsidR="00296282" w:rsidRPr="00596D01">
        <w:t>s</w:t>
      </w:r>
      <w:r w:rsidR="00A82D73" w:rsidRPr="00596D01">
        <w:t>upport</w:t>
      </w:r>
      <w:bookmarkEnd w:id="424"/>
      <w:bookmarkEnd w:id="425"/>
      <w:bookmarkEnd w:id="426"/>
      <w:bookmarkEnd w:id="427"/>
      <w:bookmarkEnd w:id="428"/>
    </w:p>
    <w:p w:rsidR="00B942B2" w:rsidRDefault="00B942B2" w:rsidP="00A4014C">
      <w:pPr>
        <w:rPr>
          <w:lang w:eastAsia="en-US"/>
        </w:rPr>
      </w:pPr>
      <w:bookmarkStart w:id="429" w:name="_Ref421708753"/>
      <w:bookmarkStart w:id="430" w:name="_Ref452528912"/>
      <w:r>
        <w:rPr>
          <w:lang w:eastAsia="en-US"/>
        </w:rPr>
        <w:t>In</w:t>
      </w:r>
      <w:r w:rsidR="00A261F3">
        <w:rPr>
          <w:lang w:eastAsia="en-US"/>
        </w:rPr>
        <w:t> 201</w:t>
      </w:r>
      <w:r>
        <w:rPr>
          <w:lang w:eastAsia="en-US"/>
        </w:rPr>
        <w:t>6</w:t>
      </w:r>
      <w:r w:rsidR="00D8721E">
        <w:rPr>
          <w:lang w:eastAsia="en-US"/>
        </w:rPr>
        <w:t>–1</w:t>
      </w:r>
      <w:r>
        <w:rPr>
          <w:lang w:eastAsia="en-US"/>
        </w:rPr>
        <w:t>7, there were 1,523</w:t>
      </w:r>
      <w:r w:rsidRPr="00093F37">
        <w:rPr>
          <w:lang w:eastAsia="en-US"/>
        </w:rPr>
        <w:t xml:space="preserve"> providers of home support under the CHSP</w:t>
      </w:r>
      <w:r>
        <w:rPr>
          <w:lang w:eastAsia="en-US"/>
        </w:rPr>
        <w:t>. In Western Australia, there were 98 providers of HACC. This compares with</w:t>
      </w:r>
      <w:r w:rsidR="00A261F3">
        <w:rPr>
          <w:lang w:eastAsia="en-US"/>
        </w:rPr>
        <w:t> 201</w:t>
      </w:r>
      <w:r>
        <w:rPr>
          <w:lang w:eastAsia="en-US"/>
        </w:rPr>
        <w:t>5</w:t>
      </w:r>
      <w:r w:rsidR="00D8721E">
        <w:rPr>
          <w:lang w:eastAsia="en-US"/>
        </w:rPr>
        <w:t>–1</w:t>
      </w:r>
      <w:r>
        <w:rPr>
          <w:lang w:eastAsia="en-US"/>
        </w:rPr>
        <w:t>6 where there were 1,160 CHSP providers as well as 421 HACC providers in Victoria</w:t>
      </w:r>
      <w:r w:rsidR="000B4135">
        <w:rPr>
          <w:rStyle w:val="FootnoteReference"/>
          <w:rFonts w:cs="Segoe UI"/>
          <w:color w:val="313131"/>
          <w:lang w:eastAsia="en-US"/>
        </w:rPr>
        <w:footnoteReference w:id="31"/>
      </w:r>
      <w:r>
        <w:rPr>
          <w:lang w:eastAsia="en-US"/>
        </w:rPr>
        <w:t xml:space="preserve"> and 105 HACC providers in Western Australia.</w:t>
      </w:r>
    </w:p>
    <w:p w:rsidR="00D8721E" w:rsidRDefault="00B942B2" w:rsidP="00A4014C">
      <w:pPr>
        <w:rPr>
          <w:lang w:eastAsia="en-US"/>
        </w:rPr>
      </w:pPr>
      <w:r w:rsidRPr="00093F37">
        <w:rPr>
          <w:lang w:eastAsia="en-US"/>
        </w:rPr>
        <w:t xml:space="preserve">CHSP </w:t>
      </w:r>
      <w:r>
        <w:rPr>
          <w:lang w:eastAsia="en-US"/>
        </w:rPr>
        <w:t xml:space="preserve">services are </w:t>
      </w:r>
      <w:r w:rsidRPr="00093F37">
        <w:rPr>
          <w:lang w:eastAsia="en-US"/>
        </w:rPr>
        <w:t xml:space="preserve">predominately </w:t>
      </w:r>
      <w:r>
        <w:rPr>
          <w:lang w:eastAsia="en-US"/>
        </w:rPr>
        <w:t>provided by not-for-profit organisations</w:t>
      </w:r>
      <w:r w:rsidRPr="00093F37">
        <w:rPr>
          <w:lang w:eastAsia="en-US"/>
        </w:rPr>
        <w:t xml:space="preserve"> </w:t>
      </w:r>
      <w:r>
        <w:rPr>
          <w:lang w:eastAsia="en-US"/>
        </w:rPr>
        <w:t>(6</w:t>
      </w:r>
      <w:r w:rsidR="00D00B54">
        <w:rPr>
          <w:lang w:eastAsia="en-US"/>
        </w:rPr>
        <w:t>9</w:t>
      </w:r>
      <w:r w:rsidR="00A261F3">
        <w:rPr>
          <w:lang w:eastAsia="en-US"/>
        </w:rPr>
        <w:t> per cent</w:t>
      </w:r>
      <w:r>
        <w:rPr>
          <w:lang w:eastAsia="en-US"/>
        </w:rPr>
        <w:t xml:space="preserve">), as shown in </w:t>
      </w:r>
      <w:r w:rsidR="00492BF8">
        <w:rPr>
          <w:lang w:eastAsia="en-US"/>
        </w:rPr>
        <w:fldChar w:fldCharType="begin"/>
      </w:r>
      <w:r w:rsidR="00492BF8">
        <w:rPr>
          <w:lang w:eastAsia="en-US"/>
        </w:rPr>
        <w:instrText xml:space="preserve"> REF _Ref524428283 \r \h </w:instrText>
      </w:r>
      <w:r w:rsidR="00492BF8">
        <w:rPr>
          <w:lang w:eastAsia="en-US"/>
        </w:rPr>
      </w:r>
      <w:r w:rsidR="00492BF8">
        <w:rPr>
          <w:lang w:eastAsia="en-US"/>
        </w:rPr>
        <w:fldChar w:fldCharType="separate"/>
      </w:r>
      <w:r w:rsidR="00492BF8">
        <w:rPr>
          <w:lang w:eastAsia="en-US"/>
        </w:rPr>
        <w:t>Chart 6.1</w:t>
      </w:r>
      <w:r w:rsidR="00492BF8">
        <w:rPr>
          <w:lang w:eastAsia="en-US"/>
        </w:rPr>
        <w:fldChar w:fldCharType="end"/>
      </w:r>
      <w:r>
        <w:rPr>
          <w:lang w:eastAsia="en-US"/>
        </w:rPr>
        <w:t>. In last year’s annual report ACFA reported that not</w:t>
      </w:r>
      <w:r w:rsidR="00AA2CDC">
        <w:rPr>
          <w:lang w:eastAsia="en-US"/>
        </w:rPr>
        <w:noBreakHyphen/>
      </w:r>
      <w:r>
        <w:rPr>
          <w:lang w:eastAsia="en-US"/>
        </w:rPr>
        <w:t>for</w:t>
      </w:r>
      <w:r w:rsidR="00AA2CDC">
        <w:rPr>
          <w:lang w:eastAsia="en-US"/>
        </w:rPr>
        <w:noBreakHyphen/>
      </w:r>
      <w:r>
        <w:rPr>
          <w:lang w:eastAsia="en-US"/>
        </w:rPr>
        <w:t>profit providers represented 7</w:t>
      </w:r>
      <w:r w:rsidR="00D00B54">
        <w:rPr>
          <w:lang w:eastAsia="en-US"/>
        </w:rPr>
        <w:t>7</w:t>
      </w:r>
      <w:r w:rsidR="00A261F3">
        <w:rPr>
          <w:lang w:eastAsia="en-US"/>
        </w:rPr>
        <w:t> per cent</w:t>
      </w:r>
      <w:r>
        <w:rPr>
          <w:lang w:eastAsia="en-US"/>
        </w:rPr>
        <w:t xml:space="preserve"> of CHSP providers. The reported significant drop in not</w:t>
      </w:r>
      <w:r w:rsidR="00D518FE">
        <w:rPr>
          <w:lang w:eastAsia="en-US"/>
        </w:rPr>
        <w:noBreakHyphen/>
      </w:r>
      <w:r>
        <w:rPr>
          <w:lang w:eastAsia="en-US"/>
        </w:rPr>
        <w:t>for</w:t>
      </w:r>
      <w:r w:rsidR="00D518FE">
        <w:rPr>
          <w:lang w:eastAsia="en-US"/>
        </w:rPr>
        <w:noBreakHyphen/>
      </w:r>
      <w:r>
        <w:rPr>
          <w:lang w:eastAsia="en-US"/>
        </w:rPr>
        <w:t>profit providers in</w:t>
      </w:r>
      <w:r w:rsidR="00A261F3">
        <w:rPr>
          <w:lang w:eastAsia="en-US"/>
        </w:rPr>
        <w:t> 201</w:t>
      </w:r>
      <w:r>
        <w:rPr>
          <w:lang w:eastAsia="en-US"/>
        </w:rPr>
        <w:t>6</w:t>
      </w:r>
      <w:r w:rsidR="00D8721E">
        <w:rPr>
          <w:lang w:eastAsia="en-US"/>
        </w:rPr>
        <w:t>–1</w:t>
      </w:r>
      <w:r>
        <w:rPr>
          <w:lang w:eastAsia="en-US"/>
        </w:rPr>
        <w:t>7 and commensurate increase in government</w:t>
      </w:r>
      <w:r w:rsidR="00614D3E">
        <w:rPr>
          <w:lang w:eastAsia="en-US"/>
        </w:rPr>
        <w:t>-</w:t>
      </w:r>
      <w:r>
        <w:rPr>
          <w:lang w:eastAsia="en-US"/>
        </w:rPr>
        <w:t>owned providers (2</w:t>
      </w:r>
      <w:r w:rsidR="008C2527">
        <w:rPr>
          <w:lang w:eastAsia="en-US"/>
        </w:rPr>
        <w:t>4</w:t>
      </w:r>
      <w:r w:rsidR="00A261F3">
        <w:rPr>
          <w:lang w:eastAsia="en-US"/>
        </w:rPr>
        <w:t> per cent</w:t>
      </w:r>
      <w:r>
        <w:rPr>
          <w:lang w:eastAsia="en-US"/>
        </w:rPr>
        <w:t xml:space="preserve"> up from 1</w:t>
      </w:r>
      <w:r w:rsidR="00D00B54">
        <w:rPr>
          <w:lang w:eastAsia="en-US"/>
        </w:rPr>
        <w:t>8</w:t>
      </w:r>
      <w:r w:rsidR="00A261F3">
        <w:rPr>
          <w:lang w:eastAsia="en-US"/>
        </w:rPr>
        <w:t> per cent</w:t>
      </w:r>
      <w:r>
        <w:rPr>
          <w:lang w:eastAsia="en-US"/>
        </w:rPr>
        <w:t xml:space="preserve"> in</w:t>
      </w:r>
      <w:r w:rsidR="00A261F3">
        <w:rPr>
          <w:lang w:eastAsia="en-US"/>
        </w:rPr>
        <w:t> 201</w:t>
      </w:r>
      <w:r>
        <w:rPr>
          <w:lang w:eastAsia="en-US"/>
        </w:rPr>
        <w:t>5</w:t>
      </w:r>
      <w:r w:rsidR="00D8721E">
        <w:rPr>
          <w:lang w:eastAsia="en-US"/>
        </w:rPr>
        <w:t>–1</w:t>
      </w:r>
      <w:r>
        <w:rPr>
          <w:lang w:eastAsia="en-US"/>
        </w:rPr>
        <w:t>6) is due to a large number of Victorian</w:t>
      </w:r>
      <w:r w:rsidR="00B944CE">
        <w:rPr>
          <w:lang w:eastAsia="en-US"/>
        </w:rPr>
        <w:t xml:space="preserve"> local government</w:t>
      </w:r>
      <w:r>
        <w:rPr>
          <w:lang w:eastAsia="en-US"/>
        </w:rPr>
        <w:t xml:space="preserve"> HACC providers, who were incorp</w:t>
      </w:r>
      <w:r w:rsidR="00B944CE">
        <w:rPr>
          <w:lang w:eastAsia="en-US"/>
        </w:rPr>
        <w:t>orated into the CHSP in</w:t>
      </w:r>
      <w:r w:rsidR="00A261F3">
        <w:rPr>
          <w:lang w:eastAsia="en-US"/>
        </w:rPr>
        <w:t> 201</w:t>
      </w:r>
      <w:r w:rsidR="00B944CE">
        <w:rPr>
          <w:lang w:eastAsia="en-US"/>
        </w:rPr>
        <w:t>6</w:t>
      </w:r>
      <w:r w:rsidR="00D8721E">
        <w:rPr>
          <w:lang w:eastAsia="en-US"/>
        </w:rPr>
        <w:t>–1</w:t>
      </w:r>
      <w:r w:rsidR="00B944CE">
        <w:rPr>
          <w:lang w:eastAsia="en-US"/>
        </w:rPr>
        <w:t>7</w:t>
      </w:r>
      <w:r w:rsidR="00D8721E">
        <w:rPr>
          <w:lang w:eastAsia="en-US"/>
        </w:rPr>
        <w:t>.</w:t>
      </w:r>
    </w:p>
    <w:p w:rsidR="00E505F4" w:rsidRPr="00596D01" w:rsidRDefault="007E222D" w:rsidP="00A4014C">
      <w:pPr>
        <w:pStyle w:val="ChartTitle"/>
      </w:pPr>
      <w:bookmarkStart w:id="431" w:name="_Ref524428283"/>
      <w:bookmarkEnd w:id="429"/>
      <w:bookmarkEnd w:id="430"/>
      <w:r w:rsidRPr="00596D01">
        <w:t>CHSP providers by provider ownership type</w:t>
      </w:r>
      <w:r w:rsidR="0037135D" w:rsidRPr="00596D01">
        <w:t>,</w:t>
      </w:r>
      <w:r w:rsidR="00A261F3" w:rsidRPr="00596D01">
        <w:t> 201</w:t>
      </w:r>
      <w:r w:rsidR="0037135D" w:rsidRPr="00596D01">
        <w:t>6</w:t>
      </w:r>
      <w:r w:rsidR="00D8721E" w:rsidRPr="00596D01">
        <w:t>–1</w:t>
      </w:r>
      <w:r w:rsidR="0037135D" w:rsidRPr="00596D01">
        <w:t>7</w:t>
      </w:r>
      <w:bookmarkEnd w:id="431"/>
    </w:p>
    <w:p w:rsidR="00D8721E" w:rsidRDefault="009C7698" w:rsidP="00A4014C">
      <w:pPr>
        <w:jc w:val="center"/>
      </w:pPr>
      <w:r>
        <w:rPr>
          <w:noProof/>
        </w:rPr>
        <w:drawing>
          <wp:inline distT="0" distB="0" distL="0" distR="0" wp14:anchorId="09D04136" wp14:editId="15627A14">
            <wp:extent cx="1981200" cy="2381250"/>
            <wp:effectExtent l="0" t="0" r="0" b="0"/>
            <wp:docPr id="290" name="Picture 290" descr="Chart 6.1 CHSP providers by provider ownership type,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zc0004\AppData\Local\Temp\1\7zO4D1F5CFB\Chart_6.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1200" cy="2381250"/>
                    </a:xfrm>
                    <a:prstGeom prst="rect">
                      <a:avLst/>
                    </a:prstGeom>
                    <a:noFill/>
                    <a:ln>
                      <a:noFill/>
                    </a:ln>
                  </pic:spPr>
                </pic:pic>
              </a:graphicData>
            </a:graphic>
          </wp:inline>
        </w:drawing>
      </w:r>
    </w:p>
    <w:p w:rsidR="009667B1" w:rsidRPr="00596D01" w:rsidRDefault="0069330D" w:rsidP="00A4014C">
      <w:pPr>
        <w:pStyle w:val="Heading2Numbered"/>
      </w:pPr>
      <w:bookmarkStart w:id="432" w:name="_Toc487702578"/>
      <w:bookmarkStart w:id="433" w:name="_Toc487702930"/>
      <w:bookmarkStart w:id="434" w:name="_Toc487703428"/>
      <w:bookmarkStart w:id="435" w:name="_Toc487703622"/>
      <w:bookmarkStart w:id="436" w:name="_Toc524424752"/>
      <w:bookmarkStart w:id="437" w:name="_Toc423338746"/>
      <w:bookmarkStart w:id="438" w:name="_Toc424289319"/>
      <w:bookmarkStart w:id="439" w:name="_Toc457549900"/>
      <w:bookmarkStart w:id="440" w:name="_Ref425769767"/>
      <w:r w:rsidRPr="00596D01">
        <w:t xml:space="preserve">Funding for </w:t>
      </w:r>
      <w:r w:rsidR="009667B1" w:rsidRPr="00596D01">
        <w:t>CHSP and HACC</w:t>
      </w:r>
      <w:bookmarkEnd w:id="432"/>
      <w:bookmarkEnd w:id="433"/>
      <w:bookmarkEnd w:id="434"/>
      <w:bookmarkEnd w:id="435"/>
      <w:bookmarkEnd w:id="436"/>
      <w:r w:rsidR="009667B1" w:rsidRPr="00596D01">
        <w:t xml:space="preserve"> </w:t>
      </w:r>
    </w:p>
    <w:p w:rsidR="00EC3ADF" w:rsidRPr="005E3992" w:rsidRDefault="00EC3ADF" w:rsidP="00A4014C">
      <w:r>
        <w:t>In</w:t>
      </w:r>
      <w:r w:rsidR="00A261F3">
        <w:t> 201</w:t>
      </w:r>
      <w:r>
        <w:t>6</w:t>
      </w:r>
      <w:r w:rsidR="00D8721E">
        <w:t>–1</w:t>
      </w:r>
      <w:r>
        <w:t>7, the Commonwealth contributed funding of $2.</w:t>
      </w:r>
      <w:r w:rsidR="0056555D">
        <w:t>2</w:t>
      </w:r>
      <w:r w:rsidR="00A261F3">
        <w:t> billion</w:t>
      </w:r>
      <w:r>
        <w:t xml:space="preserve"> to </w:t>
      </w:r>
      <w:r w:rsidR="000B4135">
        <w:t>the CHSP,</w:t>
      </w:r>
      <w:r>
        <w:t xml:space="preserve"> which </w:t>
      </w:r>
      <w:r w:rsidRPr="005E3992">
        <w:t>included $123.</w:t>
      </w:r>
      <w:r w:rsidR="00AB6911">
        <w:t>2</w:t>
      </w:r>
      <w:r w:rsidR="00A261F3">
        <w:t> million</w:t>
      </w:r>
      <w:r w:rsidRPr="005E3992">
        <w:t xml:space="preserve"> </w:t>
      </w:r>
      <w:r w:rsidR="00482F3A">
        <w:t>for</w:t>
      </w:r>
      <w:r w:rsidRPr="005E3992">
        <w:t xml:space="preserve"> My Aged Care</w:t>
      </w:r>
      <w:r>
        <w:t xml:space="preserve">, </w:t>
      </w:r>
      <w:r w:rsidRPr="005E3992">
        <w:t>the Regional Assessment</w:t>
      </w:r>
      <w:r>
        <w:t xml:space="preserve"> Service and other initiatives to support the</w:t>
      </w:r>
      <w:r w:rsidRPr="005E3992">
        <w:t xml:space="preserve"> CHSP</w:t>
      </w:r>
      <w:r>
        <w:t xml:space="preserve">. </w:t>
      </w:r>
      <w:r w:rsidR="000B4135">
        <w:t>Also included in the $2.2</w:t>
      </w:r>
      <w:r w:rsidR="00A261F3">
        <w:t> billion</w:t>
      </w:r>
      <w:r w:rsidR="000B4135">
        <w:t xml:space="preserve"> was </w:t>
      </w:r>
      <w:r>
        <w:t xml:space="preserve">approximately </w:t>
      </w:r>
      <w:r w:rsidRPr="005E3992">
        <w:t>$1</w:t>
      </w:r>
      <w:r>
        <w:t>1</w:t>
      </w:r>
      <w:r w:rsidR="00AB6911">
        <w:t>5</w:t>
      </w:r>
      <w:r w:rsidR="00A261F3">
        <w:t> million</w:t>
      </w:r>
      <w:r>
        <w:t xml:space="preserve"> of growth funding announced for</w:t>
      </w:r>
      <w:r w:rsidR="00A261F3">
        <w:t> 201</w:t>
      </w:r>
      <w:r>
        <w:t>6</w:t>
      </w:r>
      <w:r w:rsidR="00D8721E">
        <w:t>–1</w:t>
      </w:r>
      <w:r>
        <w:t>7 and</w:t>
      </w:r>
      <w:r w:rsidR="00A261F3">
        <w:t> 201</w:t>
      </w:r>
      <w:r>
        <w:t>7</w:t>
      </w:r>
      <w:r w:rsidR="00D8721E">
        <w:t>–1</w:t>
      </w:r>
      <w:r>
        <w:t>8 which targeted priority groups such as CALD, Indigenous Australians, rural and remote and homeless older Australians. A</w:t>
      </w:r>
      <w:r w:rsidRPr="005E3992">
        <w:t xml:space="preserve"> further $187.</w:t>
      </w:r>
      <w:r w:rsidR="00B97D56">
        <w:t>9</w:t>
      </w:r>
      <w:r w:rsidR="00A261F3">
        <w:t> million</w:t>
      </w:r>
      <w:r w:rsidRPr="005E3992">
        <w:t xml:space="preserve"> was provided to the joint Commonwealth-state funded HA</w:t>
      </w:r>
      <w:r w:rsidR="000B4135">
        <w:t>CC program in Western Australia, bringing the total Commonwealth expenditure on home support to $2.4</w:t>
      </w:r>
      <w:r w:rsidR="00A261F3">
        <w:t> billion</w:t>
      </w:r>
      <w:r w:rsidR="000B4135">
        <w:t xml:space="preserve"> in</w:t>
      </w:r>
      <w:r w:rsidR="00A261F3">
        <w:t> 201</w:t>
      </w:r>
      <w:r w:rsidR="000B4135">
        <w:t>6</w:t>
      </w:r>
      <w:r w:rsidR="00D8721E">
        <w:t>–1</w:t>
      </w:r>
      <w:r w:rsidR="000B4135">
        <w:t>7.</w:t>
      </w:r>
    </w:p>
    <w:p w:rsidR="00D8721E" w:rsidRDefault="00492BF8" w:rsidP="00A4014C">
      <w:r>
        <w:fldChar w:fldCharType="begin"/>
      </w:r>
      <w:r>
        <w:instrText xml:space="preserve"> REF _Ref524428302 \r \h </w:instrText>
      </w:r>
      <w:r>
        <w:fldChar w:fldCharType="separate"/>
      </w:r>
      <w:r>
        <w:t>Chart 6.2</w:t>
      </w:r>
      <w:r>
        <w:fldChar w:fldCharType="end"/>
      </w:r>
      <w:r>
        <w:t xml:space="preserve"> </w:t>
      </w:r>
      <w:r w:rsidR="00EC3ADF">
        <w:t xml:space="preserve">shows total expenditure on home support since </w:t>
      </w:r>
      <w:r w:rsidR="00A26C91">
        <w:t>prior to the introduction of the CHSP, along with b</w:t>
      </w:r>
      <w:r w:rsidR="00EC3ADF">
        <w:t>udgeted expenditure to</w:t>
      </w:r>
      <w:r w:rsidR="00A261F3">
        <w:t> 202</w:t>
      </w:r>
      <w:r w:rsidR="00EC3ADF">
        <w:t>0</w:t>
      </w:r>
      <w:r w:rsidR="00D8721E">
        <w:t>–2</w:t>
      </w:r>
      <w:r w:rsidR="00EC3ADF">
        <w:t>1</w:t>
      </w:r>
      <w:r w:rsidR="00A26C91">
        <w:t>.</w:t>
      </w:r>
    </w:p>
    <w:p w:rsidR="00445D67" w:rsidRPr="00596D01" w:rsidRDefault="00D01D79" w:rsidP="00A4014C">
      <w:pPr>
        <w:pStyle w:val="ChartTitle"/>
      </w:pPr>
      <w:bookmarkStart w:id="441" w:name="_Ref524428302"/>
      <w:r w:rsidRPr="00596D01">
        <w:lastRenderedPageBreak/>
        <w:t>Government expenditure</w:t>
      </w:r>
      <w:r w:rsidR="005A1E9E" w:rsidRPr="00596D01">
        <w:t xml:space="preserve"> and budgeted expenditure</w:t>
      </w:r>
      <w:r w:rsidRPr="00596D01">
        <w:t xml:space="preserve"> of CHSP</w:t>
      </w:r>
      <w:r w:rsidR="000B4135" w:rsidRPr="00A4014C">
        <w:rPr>
          <w:rStyle w:val="FootnoteReference"/>
        </w:rPr>
        <w:footnoteReference w:id="32"/>
      </w:r>
      <w:r w:rsidR="00445D67" w:rsidRPr="00596D01">
        <w:t xml:space="preserve"> </w:t>
      </w:r>
      <w:r w:rsidRPr="00596D01">
        <w:t>and Victoria</w:t>
      </w:r>
      <w:r w:rsidR="00304BCB" w:rsidRPr="00596D01">
        <w:t>n</w:t>
      </w:r>
      <w:r w:rsidRPr="00596D01">
        <w:t xml:space="preserve"> and Western Australia</w:t>
      </w:r>
      <w:r w:rsidR="00304BCB" w:rsidRPr="00596D01">
        <w:t>n</w:t>
      </w:r>
      <w:r w:rsidRPr="00596D01">
        <w:t xml:space="preserve"> HACC programs</w:t>
      </w:r>
      <w:r w:rsidR="00D737CC" w:rsidRPr="00596D01">
        <w:t>,</w:t>
      </w:r>
      <w:r w:rsidR="00A261F3" w:rsidRPr="00596D01">
        <w:t> 201</w:t>
      </w:r>
      <w:r w:rsidR="00A26C91" w:rsidRPr="00596D01">
        <w:t>2</w:t>
      </w:r>
      <w:r w:rsidR="00D8721E" w:rsidRPr="00596D01">
        <w:t>–1</w:t>
      </w:r>
      <w:r w:rsidR="00A26C91" w:rsidRPr="00596D01">
        <w:t xml:space="preserve">3 </w:t>
      </w:r>
      <w:r w:rsidR="00B87954" w:rsidRPr="00596D01">
        <w:t>to</w:t>
      </w:r>
      <w:r w:rsidR="00A261F3" w:rsidRPr="00596D01">
        <w:t> 202</w:t>
      </w:r>
      <w:r w:rsidR="00445D67" w:rsidRPr="00596D01">
        <w:t>0</w:t>
      </w:r>
      <w:r w:rsidR="00D8721E" w:rsidRPr="00596D01">
        <w:t>–2</w:t>
      </w:r>
      <w:r w:rsidR="00445D67" w:rsidRPr="00596D01">
        <w:t>1</w:t>
      </w:r>
      <w:bookmarkEnd w:id="441"/>
      <w:r w:rsidR="007C7283" w:rsidRPr="00596D01">
        <w:t xml:space="preserve"> </w:t>
      </w:r>
    </w:p>
    <w:p w:rsidR="00D8721E" w:rsidRDefault="005C6085" w:rsidP="00A4014C">
      <w:r>
        <w:rPr>
          <w:noProof/>
        </w:rPr>
        <w:drawing>
          <wp:inline distT="0" distB="0" distL="0" distR="0" wp14:anchorId="7DF21359" wp14:editId="4ADD457A">
            <wp:extent cx="6120000" cy="2009822"/>
            <wp:effectExtent l="0" t="0" r="0" b="0"/>
            <wp:docPr id="679" name="Picture 679" descr="Chart 6.2 Government expenditure and budgeted expenditure of CHSP  and Victorian and Western Australian HACC programs, 2012–13 to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6.2 (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000" cy="2009822"/>
                    </a:xfrm>
                    <a:prstGeom prst="rect">
                      <a:avLst/>
                    </a:prstGeom>
                    <a:noFill/>
                    <a:ln>
                      <a:noFill/>
                    </a:ln>
                  </pic:spPr>
                </pic:pic>
              </a:graphicData>
            </a:graphic>
          </wp:inline>
        </w:drawing>
      </w:r>
    </w:p>
    <w:p w:rsidR="00D8721E" w:rsidRDefault="00492BF8" w:rsidP="00A4014C">
      <w:r>
        <w:fldChar w:fldCharType="begin"/>
      </w:r>
      <w:r>
        <w:instrText xml:space="preserve"> REF _Ref524428310 \r \h </w:instrText>
      </w:r>
      <w:r>
        <w:fldChar w:fldCharType="separate"/>
      </w:r>
      <w:r>
        <w:t>Chart 6.3</w:t>
      </w:r>
      <w:r>
        <w:fldChar w:fldCharType="end"/>
      </w:r>
      <w:r>
        <w:t xml:space="preserve"> </w:t>
      </w:r>
      <w:r w:rsidR="00A00562" w:rsidRPr="00B37B53">
        <w:t xml:space="preserve">shows the </w:t>
      </w:r>
      <w:r w:rsidR="007D146B">
        <w:t>Commonwealth</w:t>
      </w:r>
      <w:r w:rsidR="00A00562">
        <w:t xml:space="preserve"> exp</w:t>
      </w:r>
      <w:r w:rsidR="00A00562" w:rsidRPr="00B37B53">
        <w:t>enditure for home support (including Western Australian HACC) in</w:t>
      </w:r>
      <w:r w:rsidR="00A261F3">
        <w:t> 201</w:t>
      </w:r>
      <w:r w:rsidR="00FB09F9">
        <w:t>6</w:t>
      </w:r>
      <w:r w:rsidR="00D8721E">
        <w:t>–1</w:t>
      </w:r>
      <w:r w:rsidR="00FB09F9">
        <w:t>7</w:t>
      </w:r>
      <w:r w:rsidR="00A00562" w:rsidRPr="00B37B53">
        <w:t xml:space="preserve"> by state and territory</w:t>
      </w:r>
      <w:r w:rsidR="00A00562">
        <w:t>.</w:t>
      </w:r>
    </w:p>
    <w:p w:rsidR="007E222D" w:rsidRPr="00596D01" w:rsidRDefault="007D146B" w:rsidP="00A4014C">
      <w:pPr>
        <w:pStyle w:val="ChartTitle"/>
      </w:pPr>
      <w:bookmarkStart w:id="442" w:name="_Ref524428310"/>
      <w:r w:rsidRPr="00596D01">
        <w:t>Commonwealth</w:t>
      </w:r>
      <w:r w:rsidR="009667B1" w:rsidRPr="00596D01">
        <w:t xml:space="preserve"> expenditure on CHSP</w:t>
      </w:r>
      <w:r w:rsidR="00C44029" w:rsidRPr="00596D01">
        <w:t xml:space="preserve"> and </w:t>
      </w:r>
      <w:r w:rsidR="0041139B" w:rsidRPr="00596D01">
        <w:t xml:space="preserve">WA </w:t>
      </w:r>
      <w:r w:rsidR="00C44029" w:rsidRPr="00596D01">
        <w:t>HACC</w:t>
      </w:r>
      <w:r w:rsidR="009667B1" w:rsidRPr="00596D01">
        <w:t xml:space="preserve"> services during</w:t>
      </w:r>
      <w:r w:rsidR="00A261F3" w:rsidRPr="00596D01">
        <w:t> 201</w:t>
      </w:r>
      <w:r w:rsidR="0037135D" w:rsidRPr="00596D01">
        <w:t>6</w:t>
      </w:r>
      <w:r w:rsidR="00D8721E" w:rsidRPr="00596D01">
        <w:t>–1</w:t>
      </w:r>
      <w:r w:rsidR="0037135D" w:rsidRPr="00596D01">
        <w:t>7</w:t>
      </w:r>
      <w:r w:rsidR="00B37B53" w:rsidRPr="00596D01">
        <w:t>, by state and territory</w:t>
      </w:r>
      <w:r w:rsidR="00E21B10" w:rsidRPr="00A4014C">
        <w:rPr>
          <w:rStyle w:val="FootnoteReference"/>
        </w:rPr>
        <w:footnoteReference w:id="33"/>
      </w:r>
      <w:bookmarkEnd w:id="442"/>
    </w:p>
    <w:p w:rsidR="00D8721E" w:rsidRDefault="007C7283" w:rsidP="007E222D">
      <w:pPr>
        <w:pStyle w:val="BodyText"/>
        <w:rPr>
          <w:lang w:val="en-AU"/>
        </w:rPr>
      </w:pPr>
      <w:r>
        <w:rPr>
          <w:noProof/>
          <w:lang w:val="en-AU"/>
        </w:rPr>
        <w:drawing>
          <wp:inline distT="0" distB="0" distL="0" distR="0" wp14:anchorId="25BF34CF" wp14:editId="3359BAB9">
            <wp:extent cx="6120000" cy="2165844"/>
            <wp:effectExtent l="0" t="0" r="0" b="6350"/>
            <wp:docPr id="28" name="Picture 28" descr="Chart 6.3 Commonwealth expenditure on CHSP and WA HACC services during 2016–17, by state and terri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6.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000" cy="2165844"/>
                    </a:xfrm>
                    <a:prstGeom prst="rect">
                      <a:avLst/>
                    </a:prstGeom>
                    <a:noFill/>
                    <a:ln>
                      <a:noFill/>
                    </a:ln>
                  </pic:spPr>
                </pic:pic>
              </a:graphicData>
            </a:graphic>
          </wp:inline>
        </w:drawing>
      </w:r>
    </w:p>
    <w:p w:rsidR="00D8721E" w:rsidRDefault="00615E31" w:rsidP="00A4014C">
      <w:pPr>
        <w:rPr>
          <w:lang w:val="en-GB"/>
        </w:rPr>
      </w:pPr>
      <w:r w:rsidRPr="00615E31">
        <w:rPr>
          <w:lang w:val="en-GB"/>
        </w:rPr>
        <w:t>As part of the</w:t>
      </w:r>
      <w:r w:rsidR="00A261F3">
        <w:rPr>
          <w:lang w:val="en-GB"/>
        </w:rPr>
        <w:t> 201</w:t>
      </w:r>
      <w:r w:rsidRPr="00615E31">
        <w:rPr>
          <w:lang w:val="en-GB"/>
        </w:rPr>
        <w:t>4</w:t>
      </w:r>
      <w:r w:rsidR="00D8721E">
        <w:rPr>
          <w:lang w:val="en-GB"/>
        </w:rPr>
        <w:t>–1</w:t>
      </w:r>
      <w:r w:rsidRPr="00615E31">
        <w:rPr>
          <w:lang w:val="en-GB"/>
        </w:rPr>
        <w:t>5 Budget, the Australian Government announced a reduction in the annual real rat</w:t>
      </w:r>
      <w:r>
        <w:rPr>
          <w:lang w:val="en-GB"/>
        </w:rPr>
        <w:t>e of growth for the CHSP from 6</w:t>
      </w:r>
      <w:r w:rsidR="00A261F3">
        <w:rPr>
          <w:lang w:val="en-GB"/>
        </w:rPr>
        <w:t> per cent</w:t>
      </w:r>
      <w:r w:rsidRPr="00615E31">
        <w:rPr>
          <w:lang w:val="en-GB"/>
        </w:rPr>
        <w:t xml:space="preserve"> to 2.8</w:t>
      </w:r>
      <w:r w:rsidR="00A261F3">
        <w:rPr>
          <w:lang w:val="en-GB"/>
        </w:rPr>
        <w:t> per cent</w:t>
      </w:r>
      <w:r w:rsidRPr="00615E31">
        <w:rPr>
          <w:lang w:val="en-GB"/>
        </w:rPr>
        <w:t xml:space="preserve"> in</w:t>
      </w:r>
      <w:r w:rsidR="00A261F3">
        <w:rPr>
          <w:lang w:val="en-GB"/>
        </w:rPr>
        <w:t> 201</w:t>
      </w:r>
      <w:r w:rsidRPr="00615E31">
        <w:rPr>
          <w:lang w:val="en-GB"/>
        </w:rPr>
        <w:t>5</w:t>
      </w:r>
      <w:r w:rsidR="00D8721E">
        <w:rPr>
          <w:lang w:val="en-GB"/>
        </w:rPr>
        <w:t>–1</w:t>
      </w:r>
      <w:r w:rsidRPr="00615E31">
        <w:rPr>
          <w:lang w:val="en-GB"/>
        </w:rPr>
        <w:t>6, 1.5</w:t>
      </w:r>
      <w:r w:rsidR="00A261F3">
        <w:rPr>
          <w:lang w:val="en-GB"/>
        </w:rPr>
        <w:t> per cent</w:t>
      </w:r>
      <w:r w:rsidRPr="00615E31">
        <w:rPr>
          <w:lang w:val="en-GB"/>
        </w:rPr>
        <w:t xml:space="preserve"> in</w:t>
      </w:r>
      <w:r w:rsidR="00A261F3">
        <w:rPr>
          <w:lang w:val="en-GB"/>
        </w:rPr>
        <w:t> 201</w:t>
      </w:r>
      <w:r w:rsidRPr="00615E31">
        <w:rPr>
          <w:lang w:val="en-GB"/>
        </w:rPr>
        <w:t>6</w:t>
      </w:r>
      <w:r w:rsidR="00D8721E">
        <w:rPr>
          <w:lang w:val="en-GB"/>
        </w:rPr>
        <w:t>–1</w:t>
      </w:r>
      <w:r w:rsidRPr="00615E31">
        <w:rPr>
          <w:lang w:val="en-GB"/>
        </w:rPr>
        <w:t>7</w:t>
      </w:r>
      <w:r w:rsidR="005B19CF">
        <w:rPr>
          <w:lang w:val="en-GB"/>
        </w:rPr>
        <w:t xml:space="preserve"> </w:t>
      </w:r>
      <w:r w:rsidRPr="00615E31">
        <w:rPr>
          <w:lang w:val="en-GB"/>
        </w:rPr>
        <w:t>and 2.4</w:t>
      </w:r>
      <w:r w:rsidR="00A261F3">
        <w:rPr>
          <w:lang w:val="en-GB"/>
        </w:rPr>
        <w:t> per cent</w:t>
      </w:r>
      <w:r w:rsidRPr="00615E31">
        <w:rPr>
          <w:lang w:val="en-GB"/>
        </w:rPr>
        <w:t xml:space="preserve"> in</w:t>
      </w:r>
      <w:r w:rsidR="00A261F3">
        <w:rPr>
          <w:lang w:val="en-GB"/>
        </w:rPr>
        <w:t> 201</w:t>
      </w:r>
      <w:r w:rsidRPr="00615E31">
        <w:rPr>
          <w:lang w:val="en-GB"/>
        </w:rPr>
        <w:t>7</w:t>
      </w:r>
      <w:r w:rsidR="00D8721E">
        <w:rPr>
          <w:lang w:val="en-GB"/>
        </w:rPr>
        <w:t>–1</w:t>
      </w:r>
      <w:r w:rsidRPr="00615E31">
        <w:rPr>
          <w:lang w:val="en-GB"/>
        </w:rPr>
        <w:t>8. In</w:t>
      </w:r>
      <w:r w:rsidR="00A261F3">
        <w:rPr>
          <w:lang w:val="en-GB"/>
        </w:rPr>
        <w:t> 201</w:t>
      </w:r>
      <w:r w:rsidRPr="00615E31">
        <w:rPr>
          <w:lang w:val="en-GB"/>
        </w:rPr>
        <w:t>8</w:t>
      </w:r>
      <w:r w:rsidR="00D8721E">
        <w:rPr>
          <w:lang w:val="en-GB"/>
        </w:rPr>
        <w:t>–1</w:t>
      </w:r>
      <w:r w:rsidRPr="00615E31">
        <w:rPr>
          <w:lang w:val="en-GB"/>
        </w:rPr>
        <w:t>9 the growth rate is 3.5</w:t>
      </w:r>
      <w:r w:rsidR="00A261F3">
        <w:rPr>
          <w:lang w:val="en-GB"/>
        </w:rPr>
        <w:t> per cent</w:t>
      </w:r>
      <w:r w:rsidRPr="00615E31">
        <w:rPr>
          <w:lang w:val="en-GB"/>
        </w:rPr>
        <w:t xml:space="preserve"> which aligns with the annual growth in the population aged 65 and over. Real growth is in ad</w:t>
      </w:r>
      <w:r w:rsidR="00D6484C">
        <w:rPr>
          <w:lang w:val="en-GB"/>
        </w:rPr>
        <w:t>dition to annual indexation</w:t>
      </w:r>
      <w:r w:rsidR="00D8721E">
        <w:rPr>
          <w:lang w:val="en-GB"/>
        </w:rPr>
        <w:t>.</w:t>
      </w:r>
    </w:p>
    <w:p w:rsidR="00615E31" w:rsidRDefault="00615E31" w:rsidP="00A4014C">
      <w:pPr>
        <w:rPr>
          <w:lang w:val="en-GB"/>
        </w:rPr>
      </w:pPr>
      <w:r w:rsidRPr="00615E31">
        <w:rPr>
          <w:lang w:val="en-GB"/>
        </w:rPr>
        <w:t>The reduction of the rate of growth did not affect the level of service delivery to clients. Because growth is aligned with growth in the aged population, consumer access to CHSP services should not be affected.</w:t>
      </w:r>
    </w:p>
    <w:p w:rsidR="00D8721E" w:rsidRDefault="00492BF8" w:rsidP="00A4014C">
      <w:pPr>
        <w:rPr>
          <w:lang w:val="en-GB"/>
        </w:rPr>
      </w:pPr>
      <w:r>
        <w:rPr>
          <w:lang w:val="en-GB"/>
        </w:rPr>
        <w:fldChar w:fldCharType="begin"/>
      </w:r>
      <w:r>
        <w:rPr>
          <w:lang w:val="en-GB"/>
        </w:rPr>
        <w:instrText xml:space="preserve"> REF _Ref524429300 \r \h </w:instrText>
      </w:r>
      <w:r>
        <w:rPr>
          <w:lang w:val="en-GB"/>
        </w:rPr>
      </w:r>
      <w:r>
        <w:rPr>
          <w:lang w:val="en-GB"/>
        </w:rPr>
        <w:fldChar w:fldCharType="separate"/>
      </w:r>
      <w:r>
        <w:rPr>
          <w:lang w:val="en-GB"/>
        </w:rPr>
        <w:t>Table 6.2</w:t>
      </w:r>
      <w:r>
        <w:rPr>
          <w:lang w:val="en-GB"/>
        </w:rPr>
        <w:fldChar w:fldCharType="end"/>
      </w:r>
      <w:r>
        <w:rPr>
          <w:lang w:val="en-GB"/>
        </w:rPr>
        <w:t xml:space="preserve"> </w:t>
      </w:r>
      <w:r w:rsidR="003770D2" w:rsidRPr="007F0559">
        <w:rPr>
          <w:lang w:val="en-GB"/>
        </w:rPr>
        <w:t>shows a breakdown of the size of grants provided through the CHSP i</w:t>
      </w:r>
      <w:r w:rsidR="00247D31" w:rsidRPr="007F0559">
        <w:rPr>
          <w:lang w:val="en-GB"/>
        </w:rPr>
        <w:t>n</w:t>
      </w:r>
      <w:r w:rsidR="00A261F3">
        <w:rPr>
          <w:lang w:val="en-GB"/>
        </w:rPr>
        <w:t> 201</w:t>
      </w:r>
      <w:r w:rsidR="0041139B">
        <w:rPr>
          <w:lang w:val="en-GB"/>
        </w:rPr>
        <w:t>6</w:t>
      </w:r>
      <w:r w:rsidR="00D8721E">
        <w:rPr>
          <w:lang w:val="en-GB"/>
        </w:rPr>
        <w:t>–1</w:t>
      </w:r>
      <w:r w:rsidR="0041139B">
        <w:rPr>
          <w:lang w:val="en-GB"/>
        </w:rPr>
        <w:t>7</w:t>
      </w:r>
      <w:r w:rsidR="00247D31" w:rsidRPr="007F0559">
        <w:rPr>
          <w:lang w:val="en-GB"/>
        </w:rPr>
        <w:t xml:space="preserve"> by organisation type. </w:t>
      </w:r>
      <w:r w:rsidR="006947D2">
        <w:rPr>
          <w:lang w:val="en-GB"/>
        </w:rPr>
        <w:t>Results for</w:t>
      </w:r>
      <w:r w:rsidR="00A261F3">
        <w:rPr>
          <w:lang w:val="en-GB"/>
        </w:rPr>
        <w:t> 201</w:t>
      </w:r>
      <w:r w:rsidR="006947D2">
        <w:rPr>
          <w:lang w:val="en-GB"/>
        </w:rPr>
        <w:t>6</w:t>
      </w:r>
      <w:r w:rsidR="00D8721E">
        <w:rPr>
          <w:lang w:val="en-GB"/>
        </w:rPr>
        <w:t>–1</w:t>
      </w:r>
      <w:r w:rsidR="006947D2">
        <w:rPr>
          <w:lang w:val="en-GB"/>
        </w:rPr>
        <w:t>7 are similar to</w:t>
      </w:r>
      <w:r w:rsidR="00A261F3">
        <w:rPr>
          <w:lang w:val="en-GB"/>
        </w:rPr>
        <w:t> 201</w:t>
      </w:r>
      <w:r w:rsidR="006947D2">
        <w:rPr>
          <w:lang w:val="en-GB"/>
        </w:rPr>
        <w:t>5</w:t>
      </w:r>
      <w:r w:rsidR="00D8721E">
        <w:rPr>
          <w:lang w:val="en-GB"/>
        </w:rPr>
        <w:t>–1</w:t>
      </w:r>
      <w:r w:rsidR="006947D2">
        <w:rPr>
          <w:lang w:val="en-GB"/>
        </w:rPr>
        <w:t>6. T</w:t>
      </w:r>
      <w:r w:rsidR="0041139B">
        <w:rPr>
          <w:lang w:val="en-GB"/>
        </w:rPr>
        <w:t>he vast majority (</w:t>
      </w:r>
      <w:r w:rsidR="00B10FE8">
        <w:rPr>
          <w:lang w:val="en-GB"/>
        </w:rPr>
        <w:t>7</w:t>
      </w:r>
      <w:r w:rsidR="00D00B54">
        <w:rPr>
          <w:lang w:val="en-GB"/>
        </w:rPr>
        <w:t>6</w:t>
      </w:r>
      <w:r w:rsidR="00A261F3">
        <w:rPr>
          <w:lang w:val="en-GB"/>
        </w:rPr>
        <w:t> per cent</w:t>
      </w:r>
      <w:r w:rsidR="00B62B91" w:rsidRPr="007F0559">
        <w:rPr>
          <w:lang w:val="en-GB"/>
        </w:rPr>
        <w:t>) of providers receive less than $</w:t>
      </w:r>
      <w:r w:rsidR="00AB6911">
        <w:rPr>
          <w:lang w:val="en-GB"/>
        </w:rPr>
        <w:t>1</w:t>
      </w:r>
      <w:r w:rsidR="00A261F3">
        <w:rPr>
          <w:lang w:val="en-GB"/>
        </w:rPr>
        <w:t> million</w:t>
      </w:r>
      <w:r w:rsidR="00B62B91" w:rsidRPr="007F0559">
        <w:rPr>
          <w:lang w:val="en-GB"/>
        </w:rPr>
        <w:t xml:space="preserve"> and </w:t>
      </w:r>
      <w:r w:rsidR="00B62B91" w:rsidRPr="00545CA2">
        <w:rPr>
          <w:lang w:val="en-GB"/>
        </w:rPr>
        <w:t xml:space="preserve">of those, </w:t>
      </w:r>
      <w:r w:rsidR="00322812" w:rsidRPr="00545CA2">
        <w:rPr>
          <w:lang w:val="en-GB"/>
        </w:rPr>
        <w:t>almost 80</w:t>
      </w:r>
      <w:r w:rsidR="00A261F3">
        <w:rPr>
          <w:lang w:val="en-GB"/>
        </w:rPr>
        <w:t> per cent</w:t>
      </w:r>
      <w:r w:rsidR="00322812" w:rsidRPr="00545CA2">
        <w:rPr>
          <w:lang w:val="en-GB"/>
        </w:rPr>
        <w:t xml:space="preserve"> </w:t>
      </w:r>
      <w:r w:rsidR="00B62B91" w:rsidRPr="00545CA2">
        <w:rPr>
          <w:lang w:val="en-GB"/>
        </w:rPr>
        <w:t>receive less than $500,000</w:t>
      </w:r>
      <w:r w:rsidR="00D8721E">
        <w:rPr>
          <w:lang w:val="en-GB"/>
        </w:rPr>
        <w:t>.</w:t>
      </w:r>
    </w:p>
    <w:p w:rsidR="003770D2" w:rsidRPr="00596D01" w:rsidRDefault="00B4098C" w:rsidP="00A4014C">
      <w:pPr>
        <w:pStyle w:val="TableTitle"/>
      </w:pPr>
      <w:bookmarkStart w:id="443" w:name="_Ref524429300"/>
      <w:r w:rsidRPr="00596D01">
        <w:lastRenderedPageBreak/>
        <w:t xml:space="preserve">CHSP </w:t>
      </w:r>
      <w:r w:rsidR="003770D2" w:rsidRPr="00596D01">
        <w:t>grants provided in</w:t>
      </w:r>
      <w:r w:rsidR="00A261F3" w:rsidRPr="00596D01">
        <w:t> 201</w:t>
      </w:r>
      <w:r w:rsidR="0037135D" w:rsidRPr="00596D01">
        <w:t>6</w:t>
      </w:r>
      <w:r w:rsidR="00D8721E" w:rsidRPr="00596D01">
        <w:t>–1</w:t>
      </w:r>
      <w:r w:rsidR="0037135D" w:rsidRPr="00596D01">
        <w:t>7</w:t>
      </w:r>
      <w:r w:rsidR="00D01D79" w:rsidRPr="00596D01">
        <w:t xml:space="preserve">, by size of grant and </w:t>
      </w:r>
      <w:r w:rsidR="003770D2" w:rsidRPr="00596D01">
        <w:t>organisation type</w:t>
      </w:r>
      <w:bookmarkEnd w:id="443"/>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25"/>
        <w:gridCol w:w="2089"/>
        <w:gridCol w:w="2407"/>
        <w:gridCol w:w="2407"/>
      </w:tblGrid>
      <w:tr w:rsidR="00CF26C5" w:rsidRPr="00805F7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415" w:type="pct"/>
          </w:tcPr>
          <w:p w:rsidR="00CF26C5" w:rsidRPr="00805F7E" w:rsidRDefault="00CF26C5" w:rsidP="00A4014C">
            <w:pPr>
              <w:rPr>
                <w:rFonts w:ascii="Segoe UI" w:hAnsi="Segoe UI" w:cs="Segoe UI"/>
              </w:rPr>
            </w:pPr>
            <w:r w:rsidRPr="00596D01">
              <w:t xml:space="preserve">Grant size </w:t>
            </w:r>
          </w:p>
        </w:tc>
        <w:tc>
          <w:tcPr>
            <w:tcW w:w="1085" w:type="pct"/>
          </w:tcPr>
          <w:p w:rsidR="00CF26C5" w:rsidRDefault="00CF26C5" w:rsidP="00A4014C">
            <w:pPr>
              <w:jc w:val="right"/>
              <w:rPr>
                <w:rFonts w:ascii="Segoe UI" w:hAnsi="Segoe UI" w:cs="Segoe UI"/>
              </w:rPr>
            </w:pPr>
            <w:r w:rsidRPr="00596D01">
              <w:t xml:space="preserve">Not-for-profit </w:t>
            </w:r>
          </w:p>
        </w:tc>
        <w:tc>
          <w:tcPr>
            <w:tcW w:w="1250" w:type="pct"/>
          </w:tcPr>
          <w:p w:rsidR="00CF26C5" w:rsidRDefault="00CF26C5" w:rsidP="00A4014C">
            <w:pPr>
              <w:jc w:val="right"/>
              <w:rPr>
                <w:rFonts w:ascii="Segoe UI" w:hAnsi="Segoe UI" w:cs="Segoe UI"/>
              </w:rPr>
            </w:pPr>
            <w:r w:rsidRPr="00596D01">
              <w:t>For-profit</w:t>
            </w:r>
          </w:p>
        </w:tc>
        <w:tc>
          <w:tcPr>
            <w:tcW w:w="1250" w:type="pct"/>
          </w:tcPr>
          <w:p w:rsidR="00CF26C5" w:rsidRPr="00596D01" w:rsidRDefault="00CF26C5" w:rsidP="00A4014C">
            <w:pPr>
              <w:jc w:val="right"/>
            </w:pPr>
            <w:r w:rsidRPr="00596D01">
              <w:t xml:space="preserve">Government </w:t>
            </w:r>
          </w:p>
        </w:tc>
      </w:tr>
      <w:tr w:rsidR="004033E9" w:rsidRPr="00B4098C" w:rsidTr="00A4014C">
        <w:trPr>
          <w:trHeight w:val="113"/>
        </w:trPr>
        <w:tc>
          <w:tcPr>
            <w:tcW w:w="1415" w:type="pct"/>
          </w:tcPr>
          <w:p w:rsidR="004033E9" w:rsidRPr="00805F7E" w:rsidRDefault="004033E9" w:rsidP="00A4014C">
            <w:pPr>
              <w:rPr>
                <w:rFonts w:ascii="Segoe UI" w:hAnsi="Segoe UI" w:cs="Segoe UI"/>
              </w:rPr>
            </w:pPr>
            <w:r>
              <w:rPr>
                <w:rFonts w:ascii="Segoe UI" w:hAnsi="Segoe UI" w:cs="Segoe UI"/>
              </w:rPr>
              <w:t>Less than $</w:t>
            </w:r>
            <w:r w:rsidR="00322812">
              <w:rPr>
                <w:rFonts w:ascii="Segoe UI" w:hAnsi="Segoe UI" w:cs="Segoe UI"/>
              </w:rPr>
              <w:t>500,000</w:t>
            </w:r>
          </w:p>
        </w:tc>
        <w:tc>
          <w:tcPr>
            <w:tcW w:w="1085" w:type="pct"/>
          </w:tcPr>
          <w:p w:rsidR="004033E9" w:rsidRPr="004033E9" w:rsidRDefault="00322812" w:rsidP="00A4014C">
            <w:pPr>
              <w:jc w:val="right"/>
              <w:rPr>
                <w:rFonts w:ascii="Segoe UI" w:hAnsi="Segoe UI" w:cs="Segoe UI"/>
              </w:rPr>
            </w:pPr>
            <w:r>
              <w:rPr>
                <w:rFonts w:ascii="Segoe UI" w:hAnsi="Segoe UI" w:cs="Segoe UI"/>
              </w:rPr>
              <w:t>693</w:t>
            </w:r>
          </w:p>
        </w:tc>
        <w:tc>
          <w:tcPr>
            <w:tcW w:w="1250" w:type="pct"/>
          </w:tcPr>
          <w:p w:rsidR="004033E9" w:rsidRPr="004033E9" w:rsidRDefault="00322812" w:rsidP="00A4014C">
            <w:pPr>
              <w:jc w:val="right"/>
              <w:rPr>
                <w:rFonts w:ascii="Segoe UI" w:hAnsi="Segoe UI" w:cs="Segoe UI"/>
              </w:rPr>
            </w:pPr>
            <w:r>
              <w:rPr>
                <w:rFonts w:ascii="Segoe UI" w:hAnsi="Segoe UI" w:cs="Segoe UI"/>
              </w:rPr>
              <w:t>67</w:t>
            </w:r>
          </w:p>
        </w:tc>
        <w:tc>
          <w:tcPr>
            <w:tcW w:w="1250" w:type="pct"/>
          </w:tcPr>
          <w:p w:rsidR="004033E9" w:rsidRPr="004033E9" w:rsidRDefault="00322812" w:rsidP="00A4014C">
            <w:pPr>
              <w:jc w:val="right"/>
              <w:rPr>
                <w:rFonts w:ascii="Segoe UI" w:hAnsi="Segoe UI" w:cs="Segoe UI"/>
              </w:rPr>
            </w:pPr>
            <w:r>
              <w:rPr>
                <w:rFonts w:ascii="Segoe UI" w:hAnsi="Segoe UI" w:cs="Segoe UI"/>
              </w:rPr>
              <w:t>157</w:t>
            </w:r>
          </w:p>
        </w:tc>
      </w:tr>
      <w:tr w:rsidR="00322812" w:rsidRPr="00B4098C" w:rsidTr="00A4014C">
        <w:trPr>
          <w:trHeight w:val="113"/>
        </w:trPr>
        <w:tc>
          <w:tcPr>
            <w:tcW w:w="1415" w:type="pct"/>
          </w:tcPr>
          <w:p w:rsidR="00322812" w:rsidRDefault="00322812" w:rsidP="00A4014C">
            <w:pPr>
              <w:rPr>
                <w:rFonts w:ascii="Segoe UI" w:hAnsi="Segoe UI" w:cs="Segoe UI"/>
              </w:rPr>
            </w:pPr>
            <w:r>
              <w:rPr>
                <w:rFonts w:ascii="Segoe UI" w:hAnsi="Segoe UI" w:cs="Segoe UI"/>
              </w:rPr>
              <w:t>$500,000</w:t>
            </w:r>
            <w:r w:rsidR="00D8721E">
              <w:rPr>
                <w:rFonts w:ascii="Segoe UI" w:hAnsi="Segoe UI" w:cs="Segoe UI"/>
              </w:rPr>
              <w:t xml:space="preserve"> – </w:t>
            </w:r>
            <w:r>
              <w:rPr>
                <w:rFonts w:ascii="Segoe UI" w:hAnsi="Segoe UI" w:cs="Segoe UI"/>
              </w:rPr>
              <w:t>$1</w:t>
            </w:r>
            <w:r w:rsidR="00A261F3">
              <w:rPr>
                <w:rFonts w:ascii="Segoe UI" w:hAnsi="Segoe UI" w:cs="Segoe UI"/>
              </w:rPr>
              <w:t> million</w:t>
            </w:r>
          </w:p>
        </w:tc>
        <w:tc>
          <w:tcPr>
            <w:tcW w:w="1085" w:type="pct"/>
          </w:tcPr>
          <w:p w:rsidR="00322812" w:rsidRPr="004033E9" w:rsidRDefault="00322812" w:rsidP="00A4014C">
            <w:pPr>
              <w:jc w:val="right"/>
              <w:rPr>
                <w:rFonts w:ascii="Segoe UI" w:hAnsi="Segoe UI" w:cs="Segoe UI"/>
              </w:rPr>
            </w:pPr>
            <w:r>
              <w:rPr>
                <w:rFonts w:ascii="Segoe UI" w:hAnsi="Segoe UI" w:cs="Segoe UI"/>
              </w:rPr>
              <w:t>138</w:t>
            </w:r>
          </w:p>
        </w:tc>
        <w:tc>
          <w:tcPr>
            <w:tcW w:w="1250" w:type="pct"/>
          </w:tcPr>
          <w:p w:rsidR="00322812" w:rsidRPr="004033E9" w:rsidRDefault="00322812" w:rsidP="00A4014C">
            <w:pPr>
              <w:jc w:val="right"/>
              <w:rPr>
                <w:rFonts w:ascii="Segoe UI" w:hAnsi="Segoe UI" w:cs="Segoe UI"/>
              </w:rPr>
            </w:pPr>
            <w:r>
              <w:rPr>
                <w:rFonts w:ascii="Segoe UI" w:hAnsi="Segoe UI" w:cs="Segoe UI"/>
              </w:rPr>
              <w:t>22</w:t>
            </w:r>
          </w:p>
        </w:tc>
        <w:tc>
          <w:tcPr>
            <w:tcW w:w="1250" w:type="pct"/>
          </w:tcPr>
          <w:p w:rsidR="00322812" w:rsidRPr="004033E9" w:rsidRDefault="00322812" w:rsidP="00A4014C">
            <w:pPr>
              <w:jc w:val="right"/>
              <w:rPr>
                <w:rFonts w:ascii="Segoe UI" w:hAnsi="Segoe UI" w:cs="Segoe UI"/>
              </w:rPr>
            </w:pPr>
            <w:r>
              <w:rPr>
                <w:rFonts w:ascii="Segoe UI" w:hAnsi="Segoe UI" w:cs="Segoe UI"/>
              </w:rPr>
              <w:t>83</w:t>
            </w:r>
          </w:p>
        </w:tc>
      </w:tr>
      <w:tr w:rsidR="004033E9" w:rsidRPr="00B4098C" w:rsidTr="00A4014C">
        <w:trPr>
          <w:trHeight w:val="113"/>
        </w:trPr>
        <w:tc>
          <w:tcPr>
            <w:tcW w:w="1415" w:type="pct"/>
          </w:tcPr>
          <w:p w:rsidR="004033E9" w:rsidRPr="00805F7E" w:rsidRDefault="004033E9" w:rsidP="00A4014C">
            <w:pPr>
              <w:rPr>
                <w:rFonts w:ascii="Segoe UI" w:hAnsi="Segoe UI" w:cs="Segoe UI"/>
              </w:rPr>
            </w:pPr>
            <w:r>
              <w:rPr>
                <w:rFonts w:ascii="Segoe UI" w:hAnsi="Segoe UI" w:cs="Segoe UI"/>
              </w:rPr>
              <w:t>$1</w:t>
            </w:r>
            <w:r w:rsidR="00D8721E">
              <w:rPr>
                <w:rFonts w:ascii="Segoe UI" w:hAnsi="Segoe UI" w:cs="Segoe UI"/>
              </w:rPr>
              <w:t>–1</w:t>
            </w:r>
            <w:r>
              <w:rPr>
                <w:rFonts w:ascii="Segoe UI" w:hAnsi="Segoe UI" w:cs="Segoe UI"/>
              </w:rPr>
              <w:t>0</w:t>
            </w:r>
            <w:r w:rsidR="00A261F3">
              <w:rPr>
                <w:rFonts w:ascii="Segoe UI" w:hAnsi="Segoe UI" w:cs="Segoe UI"/>
              </w:rPr>
              <w:t> million</w:t>
            </w:r>
          </w:p>
        </w:tc>
        <w:tc>
          <w:tcPr>
            <w:tcW w:w="1085" w:type="pct"/>
          </w:tcPr>
          <w:p w:rsidR="004033E9" w:rsidRPr="004033E9" w:rsidRDefault="004033E9" w:rsidP="00A4014C">
            <w:pPr>
              <w:jc w:val="right"/>
              <w:rPr>
                <w:rFonts w:ascii="Segoe UI" w:hAnsi="Segoe UI" w:cs="Segoe UI"/>
              </w:rPr>
            </w:pPr>
            <w:r w:rsidRPr="004033E9">
              <w:rPr>
                <w:rFonts w:ascii="Segoe UI" w:hAnsi="Segoe UI" w:cs="Segoe UI"/>
              </w:rPr>
              <w:t>195</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20</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118</w:t>
            </w:r>
          </w:p>
        </w:tc>
      </w:tr>
      <w:tr w:rsidR="004033E9" w:rsidRPr="00B4098C" w:rsidTr="00A4014C">
        <w:trPr>
          <w:trHeight w:val="113"/>
        </w:trPr>
        <w:tc>
          <w:tcPr>
            <w:tcW w:w="1415" w:type="pct"/>
          </w:tcPr>
          <w:p w:rsidR="004033E9" w:rsidRPr="00F61D7E" w:rsidRDefault="004033E9" w:rsidP="00A4014C">
            <w:pPr>
              <w:rPr>
                <w:rFonts w:ascii="Segoe UI" w:hAnsi="Segoe UI" w:cs="Segoe UI"/>
              </w:rPr>
            </w:pPr>
            <w:r>
              <w:rPr>
                <w:rFonts w:ascii="Segoe UI" w:hAnsi="Segoe UI" w:cs="Segoe UI"/>
              </w:rPr>
              <w:t>$10</w:t>
            </w:r>
            <w:r w:rsidR="00D8721E">
              <w:rPr>
                <w:rFonts w:ascii="Segoe UI" w:hAnsi="Segoe UI" w:cs="Segoe UI"/>
              </w:rPr>
              <w:t>–5</w:t>
            </w:r>
            <w:r>
              <w:rPr>
                <w:rFonts w:ascii="Segoe UI" w:hAnsi="Segoe UI" w:cs="Segoe UI"/>
              </w:rPr>
              <w:t>0</w:t>
            </w:r>
            <w:r w:rsidR="00A261F3">
              <w:rPr>
                <w:rFonts w:ascii="Segoe UI" w:hAnsi="Segoe UI" w:cs="Segoe UI"/>
              </w:rPr>
              <w:t> million</w:t>
            </w:r>
          </w:p>
        </w:tc>
        <w:tc>
          <w:tcPr>
            <w:tcW w:w="1085" w:type="pct"/>
          </w:tcPr>
          <w:p w:rsidR="004033E9" w:rsidRPr="004033E9" w:rsidRDefault="004033E9" w:rsidP="00A4014C">
            <w:pPr>
              <w:jc w:val="right"/>
              <w:rPr>
                <w:rFonts w:ascii="Segoe UI" w:hAnsi="Segoe UI" w:cs="Segoe UI"/>
              </w:rPr>
            </w:pPr>
            <w:r w:rsidRPr="004033E9">
              <w:rPr>
                <w:rFonts w:ascii="Segoe UI" w:hAnsi="Segoe UI" w:cs="Segoe UI"/>
              </w:rPr>
              <w:t>15</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1</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7</w:t>
            </w:r>
          </w:p>
        </w:tc>
      </w:tr>
      <w:tr w:rsidR="004033E9" w:rsidRPr="00B4098C" w:rsidTr="00A4014C">
        <w:trPr>
          <w:trHeight w:val="113"/>
        </w:trPr>
        <w:tc>
          <w:tcPr>
            <w:tcW w:w="1415" w:type="pct"/>
          </w:tcPr>
          <w:p w:rsidR="004033E9" w:rsidRDefault="004033E9" w:rsidP="00A4014C">
            <w:pPr>
              <w:rPr>
                <w:rFonts w:ascii="Segoe UI" w:hAnsi="Segoe UI" w:cs="Segoe UI"/>
              </w:rPr>
            </w:pPr>
            <w:r>
              <w:rPr>
                <w:rFonts w:ascii="Segoe UI" w:hAnsi="Segoe UI" w:cs="Segoe UI"/>
              </w:rPr>
              <w:t>Over $50</w:t>
            </w:r>
            <w:r w:rsidR="00A261F3">
              <w:rPr>
                <w:rFonts w:ascii="Segoe UI" w:hAnsi="Segoe UI" w:cs="Segoe UI"/>
              </w:rPr>
              <w:t> million</w:t>
            </w:r>
            <w:r>
              <w:rPr>
                <w:rFonts w:ascii="Segoe UI" w:hAnsi="Segoe UI" w:cs="Segoe UI"/>
              </w:rPr>
              <w:t xml:space="preserve"> </w:t>
            </w:r>
          </w:p>
        </w:tc>
        <w:tc>
          <w:tcPr>
            <w:tcW w:w="1085" w:type="pct"/>
          </w:tcPr>
          <w:p w:rsidR="004033E9" w:rsidRPr="004033E9" w:rsidRDefault="004033E9" w:rsidP="00A4014C">
            <w:pPr>
              <w:jc w:val="right"/>
              <w:rPr>
                <w:rFonts w:ascii="Segoe UI" w:hAnsi="Segoe UI" w:cs="Segoe UI"/>
              </w:rPr>
            </w:pPr>
            <w:r w:rsidRPr="004033E9">
              <w:rPr>
                <w:rFonts w:ascii="Segoe UI" w:hAnsi="Segoe UI" w:cs="Segoe UI"/>
              </w:rPr>
              <w:t>3</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1</w:t>
            </w:r>
          </w:p>
        </w:tc>
        <w:tc>
          <w:tcPr>
            <w:tcW w:w="1250" w:type="pct"/>
          </w:tcPr>
          <w:p w:rsidR="004033E9" w:rsidRPr="004033E9" w:rsidRDefault="004033E9" w:rsidP="00A4014C">
            <w:pPr>
              <w:jc w:val="right"/>
              <w:rPr>
                <w:rFonts w:ascii="Segoe UI" w:hAnsi="Segoe UI" w:cs="Segoe UI"/>
              </w:rPr>
            </w:pPr>
            <w:r w:rsidRPr="004033E9">
              <w:rPr>
                <w:rFonts w:ascii="Segoe UI" w:hAnsi="Segoe UI" w:cs="Segoe UI"/>
              </w:rPr>
              <w:t>1</w:t>
            </w:r>
          </w:p>
        </w:tc>
      </w:tr>
    </w:tbl>
    <w:p w:rsidR="009667B1" w:rsidRPr="00596D01" w:rsidRDefault="009667B1" w:rsidP="0016704B">
      <w:pPr>
        <w:pStyle w:val="Heading3Numbered"/>
        <w:numPr>
          <w:ilvl w:val="2"/>
          <w:numId w:val="19"/>
        </w:numPr>
      </w:pPr>
      <w:bookmarkStart w:id="444" w:name="_Toc487702579"/>
      <w:bookmarkStart w:id="445" w:name="_Toc487702931"/>
      <w:bookmarkStart w:id="446" w:name="_Toc487703429"/>
      <w:bookmarkStart w:id="447" w:name="_Toc487703623"/>
      <w:bookmarkStart w:id="448" w:name="_Toc524424753"/>
      <w:r w:rsidRPr="00596D01">
        <w:t>Consumer contributions</w:t>
      </w:r>
      <w:bookmarkEnd w:id="444"/>
      <w:bookmarkEnd w:id="445"/>
      <w:bookmarkEnd w:id="446"/>
      <w:bookmarkEnd w:id="447"/>
      <w:bookmarkEnd w:id="448"/>
    </w:p>
    <w:p w:rsidR="00D8721E" w:rsidRDefault="00DE34B9" w:rsidP="00A4014C">
      <w:r>
        <w:t xml:space="preserve">In the CHSP, </w:t>
      </w:r>
      <w:r w:rsidRPr="0069330D">
        <w:t xml:space="preserve">the </w:t>
      </w:r>
      <w:r w:rsidRPr="00596D01">
        <w:rPr>
          <w:rStyle w:val="Emphasis"/>
        </w:rPr>
        <w:t>Client Contribution Framework</w:t>
      </w:r>
      <w:r w:rsidRPr="0069330D">
        <w:t xml:space="preserve"> and </w:t>
      </w:r>
      <w:r w:rsidRPr="009A1115">
        <w:t>the</w:t>
      </w:r>
      <w:r w:rsidRPr="00596D01">
        <w:rPr>
          <w:rStyle w:val="Emphasis"/>
        </w:rPr>
        <w:t xml:space="preserve"> National Guide to the CHSP Client Contribution Framework </w:t>
      </w:r>
      <w:r>
        <w:t xml:space="preserve">set out </w:t>
      </w:r>
      <w:r w:rsidRPr="0069330D">
        <w:t xml:space="preserve">principles </w:t>
      </w:r>
      <w:r>
        <w:t xml:space="preserve">to guide </w:t>
      </w:r>
      <w:r w:rsidRPr="0069330D">
        <w:t xml:space="preserve">CHSP providers in setting and implementing their own </w:t>
      </w:r>
      <w:r>
        <w:t xml:space="preserve">consumer </w:t>
      </w:r>
      <w:r w:rsidRPr="0069330D">
        <w:t>contribution policy</w:t>
      </w:r>
      <w:r w:rsidR="00D8721E">
        <w:t>.</w:t>
      </w:r>
    </w:p>
    <w:p w:rsidR="00DE34B9" w:rsidRDefault="00DE34B9" w:rsidP="00A4014C">
      <w:r w:rsidRPr="0069330D">
        <w:t>The principles are designed to introduce fairness and consistency, with a view to ensuring that those who can afford to contribute do so, whilst protecting the most vulnerable.</w:t>
      </w:r>
    </w:p>
    <w:p w:rsidR="00D8721E" w:rsidRDefault="00DE34B9" w:rsidP="00A4014C">
      <w:pPr>
        <w:rPr>
          <w:lang w:val="en-GB"/>
        </w:rPr>
      </w:pPr>
      <w:r>
        <w:rPr>
          <w:lang w:val="en-GB"/>
        </w:rPr>
        <w:t>Recommendation 16 of t</w:t>
      </w:r>
      <w:r w:rsidRPr="00910B47">
        <w:rPr>
          <w:lang w:val="en-GB"/>
        </w:rPr>
        <w:t xml:space="preserve">he </w:t>
      </w:r>
      <w:r w:rsidRPr="00596D01">
        <w:rPr>
          <w:rStyle w:val="Emphasis"/>
        </w:rPr>
        <w:t>Legislated Review of Aged Care</w:t>
      </w:r>
      <w:r w:rsidR="00A261F3" w:rsidRPr="00596D01">
        <w:rPr>
          <w:rStyle w:val="Emphasis"/>
        </w:rPr>
        <w:t> 201</w:t>
      </w:r>
      <w:r w:rsidRPr="00596D01">
        <w:rPr>
          <w:rStyle w:val="Emphasis"/>
        </w:rPr>
        <w:t>7</w:t>
      </w:r>
      <w:r>
        <w:rPr>
          <w:lang w:val="en-GB"/>
        </w:rPr>
        <w:t xml:space="preserve"> </w:t>
      </w:r>
      <w:r w:rsidRPr="00910B47">
        <w:rPr>
          <w:lang w:val="en-GB"/>
        </w:rPr>
        <w:t xml:space="preserve">recommended that mandatory consumer contributions </w:t>
      </w:r>
      <w:r>
        <w:rPr>
          <w:lang w:val="en-GB"/>
        </w:rPr>
        <w:t xml:space="preserve">based on </w:t>
      </w:r>
      <w:r w:rsidRPr="00910B47">
        <w:rPr>
          <w:lang w:val="en-GB"/>
        </w:rPr>
        <w:t xml:space="preserve">an individual’s financial capacity be introduced for services under </w:t>
      </w:r>
      <w:r>
        <w:rPr>
          <w:lang w:val="en-GB"/>
        </w:rPr>
        <w:t xml:space="preserve">the </w:t>
      </w:r>
      <w:r w:rsidRPr="00910B47">
        <w:rPr>
          <w:lang w:val="en-GB"/>
        </w:rPr>
        <w:t xml:space="preserve">CHSP. This would bring the CHSP fees policy </w:t>
      </w:r>
      <w:r>
        <w:rPr>
          <w:lang w:val="en-GB"/>
        </w:rPr>
        <w:t xml:space="preserve">more </w:t>
      </w:r>
      <w:r w:rsidRPr="00910B47">
        <w:rPr>
          <w:lang w:val="en-GB"/>
        </w:rPr>
        <w:t>in line with those under other aged care programs.</w:t>
      </w:r>
      <w:r w:rsidR="0020250E">
        <w:rPr>
          <w:lang w:val="en-GB"/>
        </w:rPr>
        <w:t xml:space="preserve"> The Government has not yet responded to this recommendation.</w:t>
      </w:r>
    </w:p>
    <w:p w:rsidR="00572C74" w:rsidRPr="00596D01" w:rsidRDefault="00572C74" w:rsidP="00A4014C">
      <w:pPr>
        <w:pStyle w:val="Heading2Numbered"/>
      </w:pPr>
      <w:bookmarkStart w:id="449" w:name="_Toc487702580"/>
      <w:bookmarkStart w:id="450" w:name="_Toc487702932"/>
      <w:bookmarkStart w:id="451" w:name="_Toc487703430"/>
      <w:bookmarkStart w:id="452" w:name="_Toc487703624"/>
      <w:bookmarkStart w:id="453" w:name="_Toc524424754"/>
      <w:r w:rsidRPr="00596D01">
        <w:t>Looking forward</w:t>
      </w:r>
      <w:bookmarkEnd w:id="449"/>
      <w:bookmarkEnd w:id="450"/>
      <w:bookmarkEnd w:id="451"/>
      <w:bookmarkEnd w:id="452"/>
      <w:bookmarkEnd w:id="453"/>
    </w:p>
    <w:p w:rsidR="003F6E38" w:rsidRPr="00DE4D6F" w:rsidRDefault="003F6E38" w:rsidP="00A4014C">
      <w:r w:rsidRPr="00DE4D6F">
        <w:t xml:space="preserve">In </w:t>
      </w:r>
      <w:r>
        <w:t>the</w:t>
      </w:r>
      <w:r w:rsidR="00A261F3">
        <w:t> 201</w:t>
      </w:r>
      <w:r w:rsidRPr="00DE4D6F">
        <w:t>7</w:t>
      </w:r>
      <w:r w:rsidR="00D8721E">
        <w:t>–1</w:t>
      </w:r>
      <w:r w:rsidRPr="00DE4D6F">
        <w:t>8 Budget</w:t>
      </w:r>
      <w:r w:rsidR="00482F3A">
        <w:t>,</w:t>
      </w:r>
      <w:r>
        <w:t xml:space="preserve"> </w:t>
      </w:r>
      <w:r w:rsidRPr="00DE4D6F">
        <w:t xml:space="preserve">the </w:t>
      </w:r>
      <w:r w:rsidR="007D146B">
        <w:t xml:space="preserve">Australian </w:t>
      </w:r>
      <w:r w:rsidRPr="00DE4D6F">
        <w:t xml:space="preserve">Government extended </w:t>
      </w:r>
      <w:r>
        <w:t>funding agreements with CHSP providers by two years, which means that the Home Care Packages Program</w:t>
      </w:r>
      <w:r w:rsidR="005C4D00">
        <w:t>me</w:t>
      </w:r>
      <w:r w:rsidRPr="00DE4D6F">
        <w:t xml:space="preserve"> and CHSP </w:t>
      </w:r>
      <w:r>
        <w:t xml:space="preserve">will </w:t>
      </w:r>
      <w:r w:rsidR="00135A68">
        <w:t xml:space="preserve">continue to </w:t>
      </w:r>
      <w:r>
        <w:t>operate as separate program</w:t>
      </w:r>
      <w:r w:rsidRPr="00DE4D6F">
        <w:t>s until</w:t>
      </w:r>
      <w:r w:rsidR="00D92D1E">
        <w:t xml:space="preserve"> at least </w:t>
      </w:r>
      <w:r w:rsidRPr="00DE4D6F">
        <w:t>mid</w:t>
      </w:r>
      <w:r w:rsidR="00D8721E">
        <w:t>–2</w:t>
      </w:r>
      <w:r w:rsidRPr="00DE4D6F">
        <w:t>020.</w:t>
      </w:r>
      <w:r w:rsidR="00DD3C9C">
        <w:t xml:space="preserve"> In the</w:t>
      </w:r>
      <w:r w:rsidR="00A261F3">
        <w:t> 201</w:t>
      </w:r>
      <w:r w:rsidR="00DD3C9C">
        <w:t>5</w:t>
      </w:r>
      <w:r w:rsidR="00D8721E">
        <w:t>–1</w:t>
      </w:r>
      <w:r w:rsidR="00DD3C9C">
        <w:t xml:space="preserve">6 Budget, </w:t>
      </w:r>
      <w:r w:rsidR="00DD3C9C" w:rsidRPr="00DE4D6F">
        <w:t xml:space="preserve">the </w:t>
      </w:r>
      <w:r w:rsidR="00DD3C9C">
        <w:t xml:space="preserve">Australian </w:t>
      </w:r>
      <w:r w:rsidR="00DD3C9C" w:rsidRPr="00DE4D6F">
        <w:t xml:space="preserve">Government </w:t>
      </w:r>
      <w:r w:rsidR="00DD3C9C">
        <w:t xml:space="preserve">had </w:t>
      </w:r>
      <w:r w:rsidR="00DD3C9C" w:rsidRPr="00DE4D6F">
        <w:t xml:space="preserve">announced </w:t>
      </w:r>
      <w:r w:rsidR="00DD3C9C">
        <w:t>an i</w:t>
      </w:r>
      <w:r w:rsidR="00DD3C9C" w:rsidRPr="00DE4D6F">
        <w:t xml:space="preserve">ntention to integrate the CHSP </w:t>
      </w:r>
      <w:r w:rsidR="00DD3C9C">
        <w:t xml:space="preserve">with </w:t>
      </w:r>
      <w:r w:rsidR="00DD3C9C" w:rsidRPr="00DE4D6F">
        <w:t xml:space="preserve">the Home Care Packages Programme </w:t>
      </w:r>
      <w:r w:rsidR="00DD3C9C">
        <w:t>into a single home care and support programme by July</w:t>
      </w:r>
      <w:r w:rsidR="00A261F3">
        <w:t> 201</w:t>
      </w:r>
      <w:r w:rsidR="00DD3C9C" w:rsidRPr="00DE4D6F">
        <w:t>8.</w:t>
      </w:r>
    </w:p>
    <w:p w:rsidR="00DE34B9" w:rsidRDefault="006947D2" w:rsidP="00A4014C">
      <w:pPr>
        <w:rPr>
          <w:lang w:val="en-GB"/>
        </w:rPr>
      </w:pPr>
      <w:r w:rsidRPr="000C1549">
        <w:rPr>
          <w:lang w:val="en-GB"/>
        </w:rPr>
        <w:t>The Australian Government negotiated an agreem</w:t>
      </w:r>
      <w:r>
        <w:rPr>
          <w:lang w:val="en-GB"/>
        </w:rPr>
        <w:t>ent with the Western Australian</w:t>
      </w:r>
      <w:r w:rsidRPr="000C1549">
        <w:rPr>
          <w:lang w:val="en-GB"/>
        </w:rPr>
        <w:t xml:space="preserve"> government to transition existing W</w:t>
      </w:r>
      <w:r>
        <w:rPr>
          <w:lang w:val="en-GB"/>
        </w:rPr>
        <w:t>estern Australian</w:t>
      </w:r>
      <w:r w:rsidRPr="000C1549">
        <w:rPr>
          <w:lang w:val="en-GB"/>
        </w:rPr>
        <w:t xml:space="preserve"> HACC services for older people aged 65</w:t>
      </w:r>
      <w:r w:rsidR="00DD3C9C">
        <w:rPr>
          <w:lang w:val="en-GB"/>
        </w:rPr>
        <w:t> </w:t>
      </w:r>
      <w:r w:rsidRPr="000C1549">
        <w:rPr>
          <w:lang w:val="en-GB"/>
        </w:rPr>
        <w:t>years and over (and 50</w:t>
      </w:r>
      <w:r w:rsidR="00DD3C9C">
        <w:rPr>
          <w:lang w:val="en-GB"/>
        </w:rPr>
        <w:t> </w:t>
      </w:r>
      <w:r w:rsidRPr="000C1549">
        <w:rPr>
          <w:lang w:val="en-GB"/>
        </w:rPr>
        <w:t>years and over for Aboriginal and Torres Strait Islander people</w:t>
      </w:r>
      <w:r>
        <w:rPr>
          <w:lang w:val="en-GB"/>
        </w:rPr>
        <w:t>) to the CHSP</w:t>
      </w:r>
      <w:r w:rsidR="00A04408">
        <w:rPr>
          <w:lang w:val="en-GB"/>
        </w:rPr>
        <w:t>,</w:t>
      </w:r>
      <w:r>
        <w:rPr>
          <w:lang w:val="en-GB"/>
        </w:rPr>
        <w:t xml:space="preserve"> from 1 July</w:t>
      </w:r>
      <w:r w:rsidR="00A261F3">
        <w:rPr>
          <w:lang w:val="en-GB"/>
        </w:rPr>
        <w:t> 201</w:t>
      </w:r>
      <w:r w:rsidRPr="000C1549">
        <w:rPr>
          <w:lang w:val="en-GB"/>
        </w:rPr>
        <w:t xml:space="preserve">8. This </w:t>
      </w:r>
      <w:r w:rsidR="00C42960">
        <w:rPr>
          <w:lang w:val="en-GB"/>
        </w:rPr>
        <w:t xml:space="preserve">now </w:t>
      </w:r>
      <w:r w:rsidRPr="000C1549">
        <w:rPr>
          <w:lang w:val="en-GB"/>
        </w:rPr>
        <w:t>enable</w:t>
      </w:r>
      <w:r w:rsidR="00DD3C9C">
        <w:rPr>
          <w:lang w:val="en-GB"/>
        </w:rPr>
        <w:t>s</w:t>
      </w:r>
      <w:r w:rsidRPr="000C1549">
        <w:rPr>
          <w:lang w:val="en-GB"/>
        </w:rPr>
        <w:t xml:space="preserve"> the </w:t>
      </w:r>
      <w:r>
        <w:rPr>
          <w:lang w:val="en-GB"/>
        </w:rPr>
        <w:t>Commonwealth</w:t>
      </w:r>
      <w:r w:rsidRPr="000C1549">
        <w:rPr>
          <w:lang w:val="en-GB"/>
        </w:rPr>
        <w:t xml:space="preserve"> to have full funding, policy and operational responsibility for the delivery of home and community support services for older people nationally</w:t>
      </w:r>
      <w:r w:rsidR="00DD3C9C">
        <w:rPr>
          <w:lang w:val="en-GB"/>
        </w:rPr>
        <w:t xml:space="preserve"> for the first time</w:t>
      </w:r>
      <w:r w:rsidRPr="000C1549">
        <w:rPr>
          <w:lang w:val="en-GB"/>
        </w:rPr>
        <w:t>.</w:t>
      </w:r>
    </w:p>
    <w:p w:rsidR="00D8721E" w:rsidRDefault="00EE23CB" w:rsidP="00A4014C">
      <w:pPr>
        <w:rPr>
          <w:lang w:val="en-GB"/>
        </w:rPr>
      </w:pPr>
      <w:r w:rsidRPr="00EE23CB">
        <w:rPr>
          <w:lang w:val="en-GB"/>
        </w:rPr>
        <w:t>Following the establishment of the CHSP as a program with full national coverage, the Department issued a new Program Manual that sets out service provider</w:t>
      </w:r>
      <w:r w:rsidR="00482F3A">
        <w:rPr>
          <w:lang w:val="en-GB"/>
        </w:rPr>
        <w:t>’s</w:t>
      </w:r>
      <w:r w:rsidRPr="00EE23CB">
        <w:rPr>
          <w:lang w:val="en-GB"/>
        </w:rPr>
        <w:t xml:space="preserve"> responsibilities, including </w:t>
      </w:r>
      <w:r w:rsidR="00482F3A">
        <w:rPr>
          <w:lang w:val="en-GB"/>
        </w:rPr>
        <w:t xml:space="preserve">a </w:t>
      </w:r>
      <w:r w:rsidRPr="00EE23CB">
        <w:rPr>
          <w:lang w:val="en-GB"/>
        </w:rPr>
        <w:t>new emphasis on a wellness approach to service delivery. From October</w:t>
      </w:r>
      <w:r w:rsidR="00A261F3">
        <w:rPr>
          <w:lang w:val="en-GB"/>
        </w:rPr>
        <w:t> 201</w:t>
      </w:r>
      <w:r w:rsidRPr="00EE23CB">
        <w:rPr>
          <w:lang w:val="en-GB"/>
        </w:rPr>
        <w:t>8, providers will be required to submit a report outlining service level information regarding the implementation of a wellness approach within their organisation. These reports will be submitted annually and used to measure overall progress towards embedding a wellness approach in the CHSP.</w:t>
      </w:r>
    </w:p>
    <w:p w:rsidR="00E505F4" w:rsidRDefault="00D20F5D" w:rsidP="00A4014C">
      <w:pPr>
        <w:pStyle w:val="Heading1Numbered"/>
      </w:pPr>
      <w:bookmarkStart w:id="454" w:name="_Home_Care_Packages"/>
      <w:bookmarkStart w:id="455" w:name="_Toc421881571"/>
      <w:bookmarkStart w:id="456" w:name="_Toc423338749"/>
      <w:bookmarkStart w:id="457" w:name="_Toc424289322"/>
      <w:bookmarkStart w:id="458" w:name="_Toc457549903"/>
      <w:bookmarkStart w:id="459" w:name="_Toc487702581"/>
      <w:bookmarkStart w:id="460" w:name="_Toc487702933"/>
      <w:bookmarkStart w:id="461" w:name="_Toc487703431"/>
      <w:bookmarkStart w:id="462" w:name="_Toc487703625"/>
      <w:bookmarkStart w:id="463" w:name="_Toc524424755"/>
      <w:bookmarkEnd w:id="437"/>
      <w:bookmarkEnd w:id="438"/>
      <w:bookmarkEnd w:id="439"/>
      <w:bookmarkEnd w:id="440"/>
      <w:bookmarkEnd w:id="454"/>
      <w:r>
        <w:lastRenderedPageBreak/>
        <w:t>Home c</w:t>
      </w:r>
      <w:r w:rsidR="00E505F4" w:rsidRPr="00936325">
        <w:t>are</w:t>
      </w:r>
      <w:bookmarkEnd w:id="455"/>
      <w:bookmarkEnd w:id="456"/>
      <w:bookmarkEnd w:id="457"/>
      <w:bookmarkEnd w:id="458"/>
      <w:r w:rsidR="0080373A">
        <w:t>:</w:t>
      </w:r>
      <w:r w:rsidR="00392834">
        <w:t xml:space="preserve"> operational performance</w:t>
      </w:r>
      <w:bookmarkEnd w:id="459"/>
      <w:bookmarkEnd w:id="460"/>
      <w:bookmarkEnd w:id="461"/>
      <w:bookmarkEnd w:id="462"/>
      <w:bookmarkEnd w:id="463"/>
    </w:p>
    <w:p w:rsidR="00A4014C" w:rsidRPr="00596D01" w:rsidRDefault="00A4014C" w:rsidP="00A4014C">
      <w:pPr>
        <w:pStyle w:val="Boxed1Heading"/>
      </w:pPr>
      <w:r w:rsidRPr="00596D01">
        <w:t>This chapter provides an overview of the Home Care Packages Programme and the financial performance of home care providers.</w:t>
      </w:r>
    </w:p>
    <w:p w:rsidR="00A4014C" w:rsidRPr="00596D01" w:rsidRDefault="00A4014C" w:rsidP="00A4014C">
      <w:pPr>
        <w:pStyle w:val="Boxed1Text"/>
        <w:rPr>
          <w:rStyle w:val="Strong"/>
        </w:rPr>
      </w:pPr>
      <w:r w:rsidRPr="00596D01">
        <w:rPr>
          <w:rStyle w:val="Strong"/>
        </w:rPr>
        <w:t>This chapter discusses:</w:t>
      </w:r>
    </w:p>
    <w:p w:rsidR="00A4014C" w:rsidRPr="009552E7" w:rsidRDefault="00A4014C" w:rsidP="00A4014C">
      <w:pPr>
        <w:pStyle w:val="Boxed1Bullet"/>
        <w:rPr>
          <w:lang w:eastAsia="en-US"/>
        </w:rPr>
      </w:pPr>
      <w:r w:rsidRPr="009552E7">
        <w:rPr>
          <w:lang w:eastAsia="en-US"/>
        </w:rPr>
        <w:t>the operation of home c</w:t>
      </w:r>
      <w:r>
        <w:rPr>
          <w:lang w:eastAsia="en-US"/>
        </w:rPr>
        <w:t>are</w:t>
      </w:r>
    </w:p>
    <w:p w:rsidR="00A4014C" w:rsidRPr="009552E7" w:rsidRDefault="00A4014C" w:rsidP="00A4014C">
      <w:pPr>
        <w:pStyle w:val="Boxed1Bullet"/>
        <w:rPr>
          <w:lang w:eastAsia="en-US"/>
        </w:rPr>
      </w:pPr>
      <w:r>
        <w:rPr>
          <w:lang w:eastAsia="en-US"/>
        </w:rPr>
        <w:t>the funding of the sector</w:t>
      </w:r>
    </w:p>
    <w:p w:rsidR="00A4014C" w:rsidRDefault="00A4014C" w:rsidP="00A4014C">
      <w:pPr>
        <w:pStyle w:val="Boxed1Bullet"/>
        <w:rPr>
          <w:lang w:eastAsia="en-US"/>
        </w:rPr>
      </w:pPr>
      <w:r>
        <w:rPr>
          <w:lang w:eastAsia="en-US"/>
        </w:rPr>
        <w:t>the f</w:t>
      </w:r>
      <w:r w:rsidRPr="009552E7">
        <w:rPr>
          <w:lang w:eastAsia="en-US"/>
        </w:rPr>
        <w:t>inancial performance of</w:t>
      </w:r>
      <w:r>
        <w:rPr>
          <w:lang w:eastAsia="en-US"/>
        </w:rPr>
        <w:t xml:space="preserve"> home care providers in 2016–17</w:t>
      </w:r>
    </w:p>
    <w:p w:rsidR="00A4014C" w:rsidRPr="00596D01" w:rsidRDefault="00A4014C" w:rsidP="00A4014C">
      <w:pPr>
        <w:pStyle w:val="Boxed1Text"/>
        <w:rPr>
          <w:rStyle w:val="Strong"/>
        </w:rPr>
      </w:pPr>
      <w:r w:rsidRPr="00596D01">
        <w:rPr>
          <w:rStyle w:val="Strong"/>
        </w:rPr>
        <w:t>The chapter reports that:</w:t>
      </w:r>
    </w:p>
    <w:p w:rsidR="00A4014C" w:rsidRDefault="00A4014C" w:rsidP="00A4014C">
      <w:pPr>
        <w:pStyle w:val="Boxed1Bullet"/>
        <w:rPr>
          <w:lang w:eastAsia="en-US"/>
        </w:rPr>
      </w:pPr>
      <w:r>
        <w:rPr>
          <w:lang w:eastAsia="en-US"/>
        </w:rPr>
        <w:t>there were 702 home care providers as at 30 June 2017, up from 496 as at 30 June 2016 (data available shows there are likely to be over 800 providers by 30 June 2018);</w:t>
      </w:r>
    </w:p>
    <w:p w:rsidR="00A4014C" w:rsidRPr="00545CA2" w:rsidRDefault="00A4014C" w:rsidP="00A4014C">
      <w:pPr>
        <w:pStyle w:val="Boxed1Bullet"/>
        <w:rPr>
          <w:lang w:eastAsia="en-US"/>
        </w:rPr>
      </w:pPr>
      <w:r w:rsidRPr="00545CA2">
        <w:rPr>
          <w:lang w:eastAsia="en-US"/>
        </w:rPr>
        <w:t>the sector continues to be predominately not-for-profit with 65</w:t>
      </w:r>
      <w:r>
        <w:rPr>
          <w:lang w:eastAsia="en-US"/>
        </w:rPr>
        <w:t> per cent</w:t>
      </w:r>
      <w:r w:rsidRPr="00545CA2">
        <w:rPr>
          <w:lang w:eastAsia="en-US"/>
        </w:rPr>
        <w:t xml:space="preserve"> of providers and 81</w:t>
      </w:r>
      <w:r>
        <w:rPr>
          <w:lang w:eastAsia="en-US"/>
        </w:rPr>
        <w:t> per cent</w:t>
      </w:r>
      <w:r w:rsidRPr="00545CA2">
        <w:rPr>
          <w:lang w:eastAsia="en-US"/>
        </w:rPr>
        <w:t xml:space="preserve"> of consumers as at </w:t>
      </w:r>
      <w:r>
        <w:rPr>
          <w:lang w:eastAsia="en-US"/>
        </w:rPr>
        <w:t>30 J</w:t>
      </w:r>
      <w:r w:rsidRPr="00545CA2">
        <w:rPr>
          <w:lang w:eastAsia="en-US"/>
        </w:rPr>
        <w:t>une</w:t>
      </w:r>
      <w:r>
        <w:rPr>
          <w:lang w:eastAsia="en-US"/>
        </w:rPr>
        <w:t> 201</w:t>
      </w:r>
      <w:r w:rsidRPr="00545CA2">
        <w:rPr>
          <w:lang w:eastAsia="en-US"/>
        </w:rPr>
        <w:t>7;</w:t>
      </w:r>
    </w:p>
    <w:p w:rsidR="00A4014C" w:rsidRPr="009552E7" w:rsidRDefault="00A4014C" w:rsidP="00A4014C">
      <w:pPr>
        <w:pStyle w:val="Boxed1Bullet"/>
        <w:rPr>
          <w:lang w:eastAsia="en-US"/>
        </w:rPr>
      </w:pPr>
      <w:r w:rsidRPr="009552E7">
        <w:rPr>
          <w:lang w:eastAsia="en-US"/>
        </w:rPr>
        <w:t>home care providers received an estimated $1.8</w:t>
      </w:r>
      <w:r>
        <w:rPr>
          <w:lang w:eastAsia="en-US"/>
        </w:rPr>
        <w:t>5 billion</w:t>
      </w:r>
      <w:r w:rsidRPr="009552E7">
        <w:rPr>
          <w:lang w:eastAsia="en-US"/>
        </w:rPr>
        <w:t xml:space="preserve"> in revenue in</w:t>
      </w:r>
      <w:r>
        <w:rPr>
          <w:lang w:eastAsia="en-US"/>
        </w:rPr>
        <w:t> 201</w:t>
      </w:r>
      <w:r w:rsidRPr="009552E7">
        <w:rPr>
          <w:lang w:eastAsia="en-US"/>
        </w:rPr>
        <w:t>6</w:t>
      </w:r>
      <w:r>
        <w:rPr>
          <w:lang w:eastAsia="en-US"/>
        </w:rPr>
        <w:t>–1</w:t>
      </w:r>
      <w:r w:rsidRPr="009552E7">
        <w:rPr>
          <w:lang w:eastAsia="en-US"/>
        </w:rPr>
        <w:t>7, paid around $1.6</w:t>
      </w:r>
      <w:r>
        <w:rPr>
          <w:lang w:eastAsia="en-US"/>
        </w:rPr>
        <w:t>5 billion</w:t>
      </w:r>
      <w:r w:rsidRPr="009552E7">
        <w:rPr>
          <w:lang w:eastAsia="en-US"/>
        </w:rPr>
        <w:t xml:space="preserve"> in expenses and generated $</w:t>
      </w:r>
      <w:r>
        <w:rPr>
          <w:lang w:eastAsia="en-US"/>
        </w:rPr>
        <w:t>201 million</w:t>
      </w:r>
      <w:r w:rsidRPr="009552E7">
        <w:rPr>
          <w:lang w:eastAsia="en-US"/>
        </w:rPr>
        <w:t xml:space="preserve"> in profit</w:t>
      </w:r>
      <w:r>
        <w:rPr>
          <w:rStyle w:val="FootnoteReference"/>
          <w:rFonts w:cs="Segoe UI"/>
          <w:color w:val="404040"/>
          <w:lang w:eastAsia="en-US"/>
        </w:rPr>
        <w:footnoteReference w:id="34"/>
      </w:r>
      <w:r w:rsidRPr="009552E7">
        <w:rPr>
          <w:lang w:eastAsia="en-US"/>
        </w:rPr>
        <w:t xml:space="preserve">; </w:t>
      </w:r>
    </w:p>
    <w:p w:rsidR="00A4014C" w:rsidRPr="009552E7" w:rsidRDefault="00A4014C" w:rsidP="00A4014C">
      <w:pPr>
        <w:pStyle w:val="Boxed1Bullet"/>
        <w:rPr>
          <w:lang w:eastAsia="en-US"/>
        </w:rPr>
      </w:pPr>
      <w:r w:rsidRPr="009552E7">
        <w:rPr>
          <w:lang w:eastAsia="en-US"/>
        </w:rPr>
        <w:t>services were provided to 97,516 consumers</w:t>
      </w:r>
      <w:r>
        <w:rPr>
          <w:lang w:eastAsia="en-US"/>
        </w:rPr>
        <w:t>, up from 88,875 in 2015–16</w:t>
      </w:r>
      <w:r w:rsidRPr="009552E7">
        <w:rPr>
          <w:lang w:eastAsia="en-US"/>
        </w:rPr>
        <w:t>;</w:t>
      </w:r>
    </w:p>
    <w:p w:rsidR="00A4014C" w:rsidRPr="009552E7" w:rsidRDefault="00A4014C" w:rsidP="00A4014C">
      <w:pPr>
        <w:pStyle w:val="Boxed1Bullet"/>
        <w:rPr>
          <w:lang w:eastAsia="en-US"/>
        </w:rPr>
      </w:pPr>
      <w:r w:rsidRPr="009552E7">
        <w:rPr>
          <w:lang w:eastAsia="en-US"/>
        </w:rPr>
        <w:t>7</w:t>
      </w:r>
      <w:r>
        <w:rPr>
          <w:lang w:eastAsia="en-US"/>
        </w:rPr>
        <w:t>5 per cent</w:t>
      </w:r>
      <w:r w:rsidRPr="009552E7">
        <w:rPr>
          <w:lang w:eastAsia="en-US"/>
        </w:rPr>
        <w:t xml:space="preserve"> of home care package providers achieved net profit in</w:t>
      </w:r>
      <w:r>
        <w:rPr>
          <w:lang w:eastAsia="en-US"/>
        </w:rPr>
        <w:t> 201</w:t>
      </w:r>
      <w:r w:rsidRPr="009552E7">
        <w:rPr>
          <w:lang w:eastAsia="en-US"/>
        </w:rPr>
        <w:t>6</w:t>
      </w:r>
      <w:r>
        <w:rPr>
          <w:lang w:eastAsia="en-US"/>
        </w:rPr>
        <w:t>–1</w:t>
      </w:r>
      <w:r w:rsidRPr="009552E7">
        <w:rPr>
          <w:lang w:eastAsia="en-US"/>
        </w:rPr>
        <w:t>7, the same result as in</w:t>
      </w:r>
      <w:r>
        <w:rPr>
          <w:lang w:eastAsia="en-US"/>
        </w:rPr>
        <w:t> 201</w:t>
      </w:r>
      <w:r w:rsidRPr="009552E7">
        <w:rPr>
          <w:lang w:eastAsia="en-US"/>
        </w:rPr>
        <w:t>5</w:t>
      </w:r>
      <w:r>
        <w:rPr>
          <w:lang w:eastAsia="en-US"/>
        </w:rPr>
        <w:t>–1</w:t>
      </w:r>
      <w:r w:rsidRPr="009552E7">
        <w:rPr>
          <w:lang w:eastAsia="en-US"/>
        </w:rPr>
        <w:t xml:space="preserve">6; </w:t>
      </w:r>
    </w:p>
    <w:p w:rsidR="00A4014C" w:rsidRPr="002E1720" w:rsidRDefault="00A4014C" w:rsidP="00A4014C">
      <w:pPr>
        <w:pStyle w:val="Boxed1Bullet"/>
        <w:rPr>
          <w:lang w:eastAsia="en-US"/>
        </w:rPr>
      </w:pPr>
      <w:r w:rsidRPr="009552E7">
        <w:rPr>
          <w:lang w:eastAsia="en-US"/>
        </w:rPr>
        <w:t xml:space="preserve">average EBITDA </w:t>
      </w:r>
      <w:r>
        <w:rPr>
          <w:lang w:eastAsia="en-US"/>
        </w:rPr>
        <w:t>of</w:t>
      </w:r>
      <w:r w:rsidRPr="009552E7">
        <w:rPr>
          <w:lang w:eastAsia="en-US"/>
        </w:rPr>
        <w:t xml:space="preserve"> $2</w:t>
      </w:r>
      <w:r w:rsidRPr="002E1720">
        <w:rPr>
          <w:lang w:eastAsia="en-US"/>
        </w:rPr>
        <w:t>,989 per consumer, compared with $3,055 in</w:t>
      </w:r>
      <w:r>
        <w:rPr>
          <w:lang w:eastAsia="en-US"/>
        </w:rPr>
        <w:t> 201</w:t>
      </w:r>
      <w:r w:rsidRPr="002E1720">
        <w:rPr>
          <w:lang w:eastAsia="en-US"/>
        </w:rPr>
        <w:t>5</w:t>
      </w:r>
      <w:r>
        <w:rPr>
          <w:lang w:eastAsia="en-US"/>
        </w:rPr>
        <w:t>–1</w:t>
      </w:r>
      <w:r w:rsidRPr="002E1720">
        <w:rPr>
          <w:lang w:eastAsia="en-US"/>
        </w:rPr>
        <w:t xml:space="preserve">6, a </w:t>
      </w:r>
      <w:r>
        <w:rPr>
          <w:lang w:eastAsia="en-US"/>
        </w:rPr>
        <w:t>2 per cent</w:t>
      </w:r>
      <w:r w:rsidRPr="002E1720">
        <w:rPr>
          <w:lang w:eastAsia="en-US"/>
        </w:rPr>
        <w:t xml:space="preserve"> decrease; </w:t>
      </w:r>
    </w:p>
    <w:p w:rsidR="00A4014C" w:rsidRPr="002E1720" w:rsidRDefault="00A4014C" w:rsidP="00A4014C">
      <w:pPr>
        <w:pStyle w:val="Boxed1Bullet"/>
        <w:rPr>
          <w:lang w:eastAsia="en-US"/>
        </w:rPr>
      </w:pPr>
      <w:r w:rsidRPr="002E1720">
        <w:rPr>
          <w:lang w:eastAsia="en-US"/>
        </w:rPr>
        <w:t xml:space="preserve">EBITDA margin </w:t>
      </w:r>
      <w:r>
        <w:rPr>
          <w:lang w:eastAsia="en-US"/>
        </w:rPr>
        <w:t>of</w:t>
      </w:r>
      <w:r w:rsidRPr="002E1720">
        <w:rPr>
          <w:lang w:eastAsia="en-US"/>
        </w:rPr>
        <w:t xml:space="preserve"> 11.</w:t>
      </w:r>
      <w:r>
        <w:rPr>
          <w:lang w:eastAsia="en-US"/>
        </w:rPr>
        <w:t>3 per cent</w:t>
      </w:r>
      <w:r w:rsidRPr="002E1720">
        <w:rPr>
          <w:lang w:eastAsia="en-US"/>
        </w:rPr>
        <w:t>, compared with 10.</w:t>
      </w:r>
      <w:r>
        <w:rPr>
          <w:lang w:eastAsia="en-US"/>
        </w:rPr>
        <w:t>9 per cent in 2015–16; and</w:t>
      </w:r>
    </w:p>
    <w:p w:rsidR="00A4014C" w:rsidRDefault="00A4014C" w:rsidP="00A4014C">
      <w:pPr>
        <w:pStyle w:val="Boxed1Bullet"/>
        <w:rPr>
          <w:lang w:eastAsia="en-US"/>
        </w:rPr>
      </w:pPr>
      <w:r>
        <w:rPr>
          <w:lang w:eastAsia="en-US"/>
        </w:rPr>
        <w:t xml:space="preserve">As at 30 June 2017 </w:t>
      </w:r>
      <w:r w:rsidRPr="00545CA2">
        <w:rPr>
          <w:lang w:eastAsia="en-US"/>
        </w:rPr>
        <w:t>home care providers held $32</w:t>
      </w:r>
      <w:r>
        <w:rPr>
          <w:lang w:eastAsia="en-US"/>
        </w:rPr>
        <w:t>9 million</w:t>
      </w:r>
      <w:r w:rsidRPr="00545CA2">
        <w:rPr>
          <w:lang w:eastAsia="en-US"/>
        </w:rPr>
        <w:t xml:space="preserve"> in unspent funds</w:t>
      </w:r>
      <w:r>
        <w:rPr>
          <w:lang w:eastAsia="en-US"/>
        </w:rPr>
        <w:t>,</w:t>
      </w:r>
      <w:r w:rsidRPr="00545CA2">
        <w:rPr>
          <w:lang w:eastAsia="en-US"/>
        </w:rPr>
        <w:t xml:space="preserve"> an increase of 26</w:t>
      </w:r>
      <w:r>
        <w:rPr>
          <w:lang w:eastAsia="en-US"/>
        </w:rPr>
        <w:t> per cent</w:t>
      </w:r>
      <w:r w:rsidRPr="00545CA2">
        <w:rPr>
          <w:lang w:eastAsia="en-US"/>
        </w:rPr>
        <w:t xml:space="preserve"> from</w:t>
      </w:r>
      <w:r>
        <w:rPr>
          <w:lang w:eastAsia="en-US"/>
        </w:rPr>
        <w:t> 201</w:t>
      </w:r>
      <w:r w:rsidRPr="00545CA2">
        <w:rPr>
          <w:lang w:eastAsia="en-US"/>
        </w:rPr>
        <w:t>5</w:t>
      </w:r>
      <w:r>
        <w:rPr>
          <w:lang w:eastAsia="en-US"/>
        </w:rPr>
        <w:t>–1</w:t>
      </w:r>
      <w:r w:rsidRPr="00545CA2">
        <w:rPr>
          <w:lang w:eastAsia="en-US"/>
        </w:rPr>
        <w:t>6</w:t>
      </w:r>
      <w:r>
        <w:rPr>
          <w:lang w:eastAsia="en-US"/>
        </w:rPr>
        <w:t>.</w:t>
      </w:r>
    </w:p>
    <w:p w:rsidR="00B82BEA" w:rsidRPr="00596D01" w:rsidRDefault="008F3E8B" w:rsidP="00A4014C">
      <w:pPr>
        <w:pStyle w:val="Heading2Numbered"/>
      </w:pPr>
      <w:bookmarkStart w:id="464" w:name="_Toc450735060"/>
      <w:bookmarkStart w:id="465" w:name="_Toc457549904"/>
      <w:bookmarkStart w:id="466" w:name="_Toc487702582"/>
      <w:bookmarkStart w:id="467" w:name="_Toc487702934"/>
      <w:bookmarkStart w:id="468" w:name="_Toc487703432"/>
      <w:bookmarkStart w:id="469" w:name="_Toc487703626"/>
      <w:bookmarkStart w:id="470" w:name="_Toc524424756"/>
      <w:r w:rsidRPr="00596D01">
        <w:t>The Home Care Package</w:t>
      </w:r>
      <w:r w:rsidR="000471A7" w:rsidRPr="00596D01">
        <w:t>s</w:t>
      </w:r>
      <w:r w:rsidRPr="00596D01">
        <w:t xml:space="preserve"> Programme</w:t>
      </w:r>
      <w:bookmarkEnd w:id="464"/>
      <w:bookmarkEnd w:id="465"/>
      <w:bookmarkEnd w:id="466"/>
      <w:bookmarkEnd w:id="467"/>
      <w:bookmarkEnd w:id="468"/>
      <w:bookmarkEnd w:id="469"/>
      <w:bookmarkEnd w:id="470"/>
    </w:p>
    <w:p w:rsidR="00D8721E" w:rsidRDefault="004039A9" w:rsidP="00A4014C">
      <w:r w:rsidRPr="00DE7592">
        <w:t>The H</w:t>
      </w:r>
      <w:r>
        <w:t>ome Care Packages Programme</w:t>
      </w:r>
      <w:r w:rsidR="003C2108">
        <w:t xml:space="preserve"> commenced on 1 August</w:t>
      </w:r>
      <w:r w:rsidR="00A261F3">
        <w:t> 201</w:t>
      </w:r>
      <w:r w:rsidRPr="00DE7592">
        <w:t xml:space="preserve">3, replacing the former </w:t>
      </w:r>
      <w:r w:rsidR="00CB7E24">
        <w:t xml:space="preserve">home care </w:t>
      </w:r>
      <w:r w:rsidR="00093912">
        <w:t>program</w:t>
      </w:r>
      <w:r w:rsidRPr="00DE7592">
        <w:t>s – Community Aged Care Packages (CACPs), Extended Aged Care at Home (EACH) packages and Extended Aged Care at Home Dementia (EACH-D) packages</w:t>
      </w:r>
      <w:r w:rsidR="00D8721E">
        <w:t>.</w:t>
      </w:r>
    </w:p>
    <w:p w:rsidR="00D8721E" w:rsidRDefault="008E145B" w:rsidP="00A4014C">
      <w:r>
        <w:t>Home care packages</w:t>
      </w:r>
      <w:r w:rsidRPr="00DE7592">
        <w:t xml:space="preserve"> </w:t>
      </w:r>
      <w:r>
        <w:t xml:space="preserve">allow consumers to purchase a range of services and </w:t>
      </w:r>
      <w:r w:rsidR="00C24A9F">
        <w:t>equipment</w:t>
      </w:r>
      <w:r>
        <w:t xml:space="preserve"> which assist them living in their own home. </w:t>
      </w:r>
      <w:r w:rsidR="00214060">
        <w:t>Pa</w:t>
      </w:r>
      <w:r>
        <w:t xml:space="preserve">ckages are required to be delivered on a </w:t>
      </w:r>
      <w:r w:rsidR="00AD70A1">
        <w:t>C</w:t>
      </w:r>
      <w:r>
        <w:t xml:space="preserve">onsumer </w:t>
      </w:r>
      <w:r w:rsidR="00AD70A1">
        <w:t>D</w:t>
      </w:r>
      <w:r>
        <w:t xml:space="preserve">irected </w:t>
      </w:r>
      <w:r w:rsidR="00AD70A1">
        <w:t>C</w:t>
      </w:r>
      <w:r>
        <w:t xml:space="preserve">are </w:t>
      </w:r>
      <w:r w:rsidR="00AD70A1">
        <w:t xml:space="preserve">(CDC) </w:t>
      </w:r>
      <w:r>
        <w:t>basis, including that each consumer has an individualised budget which allows them to decide what type of care and services they purchas</w:t>
      </w:r>
      <w:r w:rsidR="007D146B">
        <w:t>e and who delivers the services</w:t>
      </w:r>
      <w:r w:rsidR="00D8721E">
        <w:t>.</w:t>
      </w:r>
    </w:p>
    <w:p w:rsidR="004039A9" w:rsidRPr="00DE7592" w:rsidRDefault="004039A9" w:rsidP="00A4014C">
      <w:r>
        <w:t>Consumers may purchase the following:</w:t>
      </w:r>
    </w:p>
    <w:p w:rsidR="004039A9" w:rsidRPr="00DE7592" w:rsidRDefault="004039A9" w:rsidP="00A4014C">
      <w:pPr>
        <w:pStyle w:val="Bullet1"/>
      </w:pPr>
      <w:r w:rsidRPr="00596D01">
        <w:rPr>
          <w:rStyle w:val="Strong"/>
        </w:rPr>
        <w:t>Personal services.</w:t>
      </w:r>
      <w:r>
        <w:t xml:space="preserve"> </w:t>
      </w:r>
      <w:r w:rsidRPr="00DE7592">
        <w:t>Examples include help with showering or bathing, dressing and mobility;</w:t>
      </w:r>
    </w:p>
    <w:p w:rsidR="004039A9" w:rsidRPr="00DE7592" w:rsidRDefault="004039A9" w:rsidP="00A4014C">
      <w:pPr>
        <w:pStyle w:val="Bullet1"/>
      </w:pPr>
      <w:r w:rsidRPr="00596D01">
        <w:rPr>
          <w:rStyle w:val="Strong"/>
        </w:rPr>
        <w:t xml:space="preserve">Support services. </w:t>
      </w:r>
      <w:r w:rsidRPr="00DE7592">
        <w:t>Examples include help with washing and ironing, house cleaning, gardening, basic home maintenance, home modifications related to care needs, transport to help with shopping, doctor visits or attending social activities;</w:t>
      </w:r>
      <w:r w:rsidR="006C0092">
        <w:t xml:space="preserve"> </w:t>
      </w:r>
    </w:p>
    <w:p w:rsidR="004039A9" w:rsidRDefault="004039A9" w:rsidP="00A4014C">
      <w:pPr>
        <w:pStyle w:val="Bullet1"/>
      </w:pPr>
      <w:r w:rsidRPr="00596D01">
        <w:rPr>
          <w:rStyle w:val="Strong"/>
        </w:rPr>
        <w:lastRenderedPageBreak/>
        <w:t xml:space="preserve">Clinical care. </w:t>
      </w:r>
      <w:r w:rsidRPr="00DE7592">
        <w:t>Examples include nursing and other health support including physiotherapy (exercise, mobility, strength and b</w:t>
      </w:r>
      <w:r>
        <w:t>alance), services of a dietitian</w:t>
      </w:r>
      <w:r w:rsidRPr="00DE7592">
        <w:t xml:space="preserve"> (nutrition assessment, food and nutrition advice, dietary changes) and hearing and vision serv</w:t>
      </w:r>
      <w:r w:rsidR="006C0092">
        <w:t xml:space="preserve">ices; and </w:t>
      </w:r>
    </w:p>
    <w:p w:rsidR="00D8721E" w:rsidRPr="00596D01" w:rsidRDefault="004039A9" w:rsidP="00A4014C">
      <w:pPr>
        <w:pStyle w:val="Bullet1"/>
        <w:rPr>
          <w:rStyle w:val="Strong"/>
        </w:rPr>
      </w:pPr>
      <w:r w:rsidRPr="00596D01">
        <w:rPr>
          <w:rStyle w:val="Strong"/>
        </w:rPr>
        <w:t>Care coordination and case management.</w:t>
      </w:r>
    </w:p>
    <w:p w:rsidR="00803EDA" w:rsidRPr="00DE7592" w:rsidRDefault="00803EDA" w:rsidP="00A4014C">
      <w:r>
        <w:t>Home care packages</w:t>
      </w:r>
      <w:r w:rsidRPr="00DE7592">
        <w:t xml:space="preserve"> a</w:t>
      </w:r>
      <w:r>
        <w:t>re categorised into four levels with level 1 bei</w:t>
      </w:r>
      <w:r w:rsidR="00214060">
        <w:t xml:space="preserve">ng for people with lower level </w:t>
      </w:r>
      <w:r>
        <w:t>care needs through to level 4 which supports people with high care needs.</w:t>
      </w:r>
      <w:r w:rsidRPr="00DE7592">
        <w:tab/>
      </w:r>
    </w:p>
    <w:p w:rsidR="00803EDA" w:rsidRPr="00736AC9" w:rsidRDefault="00803EDA" w:rsidP="00A4014C">
      <w:pPr>
        <w:rPr>
          <w:lang w:val="en-GB"/>
        </w:rPr>
      </w:pPr>
      <w:r w:rsidRPr="00736AC9">
        <w:rPr>
          <w:lang w:val="en-GB"/>
        </w:rPr>
        <w:t>For many consumers, home care packages offer an opportunity to remain living at home instead of entering residential aged care.</w:t>
      </w:r>
    </w:p>
    <w:p w:rsidR="00D8721E" w:rsidRDefault="00803EDA" w:rsidP="00A4014C">
      <w:r>
        <w:t xml:space="preserve">To obtain access to a home care package, individuals are first assessed by an Aged Care Assessment Team (ACAT) which determines eligibility for a home care package. </w:t>
      </w:r>
      <w:r w:rsidR="00DC4A08">
        <w:t>Some</w:t>
      </w:r>
      <w:r>
        <w:t xml:space="preserve"> people assessed as eligible to receive a package would also be eligible for residential care. Once assessed as eligible for home care, an individual is placed on the National Prioritisation Queue and is ass</w:t>
      </w:r>
      <w:r w:rsidR="007039E3">
        <w:t>igned a package from this queue when one becomes available.</w:t>
      </w:r>
      <w:r w:rsidR="00214060">
        <w:t xml:space="preserve"> The National Prioritisation Queue is discussed in Chapter 5.</w:t>
      </w:r>
    </w:p>
    <w:p w:rsidR="008F3E8B" w:rsidRPr="00596D01" w:rsidRDefault="002639DD" w:rsidP="00A4014C">
      <w:pPr>
        <w:pStyle w:val="Heading3Numbered"/>
      </w:pPr>
      <w:bookmarkStart w:id="471" w:name="_Toc487702583"/>
      <w:bookmarkStart w:id="472" w:name="_Toc487702935"/>
      <w:bookmarkStart w:id="473" w:name="_Toc487703433"/>
      <w:bookmarkStart w:id="474" w:name="_Toc487703627"/>
      <w:bookmarkStart w:id="475" w:name="_Toc524424757"/>
      <w:bookmarkStart w:id="476" w:name="_Toc421881573"/>
      <w:bookmarkStart w:id="477" w:name="_Toc423338751"/>
      <w:bookmarkStart w:id="478" w:name="_Toc424289324"/>
      <w:r w:rsidRPr="00596D01">
        <w:t xml:space="preserve">Measuring </w:t>
      </w:r>
      <w:r w:rsidR="00DE34B9" w:rsidRPr="00596D01">
        <w:t xml:space="preserve">financial </w:t>
      </w:r>
      <w:r w:rsidRPr="00596D01">
        <w:t>performance of home c</w:t>
      </w:r>
      <w:r w:rsidR="008F3E8B" w:rsidRPr="00596D01">
        <w:t>are</w:t>
      </w:r>
      <w:bookmarkEnd w:id="471"/>
      <w:bookmarkEnd w:id="472"/>
      <w:bookmarkEnd w:id="473"/>
      <w:bookmarkEnd w:id="474"/>
      <w:bookmarkEnd w:id="475"/>
    </w:p>
    <w:p w:rsidR="000274FC" w:rsidRDefault="000274FC" w:rsidP="00A4014C">
      <w:bookmarkStart w:id="479" w:name="_Toc457549905"/>
      <w:bookmarkStart w:id="480" w:name="_Toc487702584"/>
      <w:bookmarkStart w:id="481" w:name="_Toc487702936"/>
      <w:bookmarkStart w:id="482" w:name="_Toc487703434"/>
      <w:bookmarkStart w:id="483" w:name="_Toc487703628"/>
      <w:bookmarkEnd w:id="476"/>
      <w:bookmarkEnd w:id="477"/>
      <w:bookmarkEnd w:id="478"/>
      <w:r>
        <w:t>The discussion of financial performance in this chapter predominantly relates to Earnings Before Interest, Taxes, Depreciation and Amortisation (EBITDA). As discussed in Chapter 1,</w:t>
      </w:r>
      <w:r>
        <w:rPr>
          <w:color w:val="FF0000"/>
        </w:rPr>
        <w:t xml:space="preserve"> </w:t>
      </w:r>
      <w:r>
        <w:t>EBITDA is the commonly used metric for analysis and comparison of the profitability of providers and the sector. Net Profit Before Tax (NPBT), which takes interest, depreciation and amortisation into the calculation, is also used.</w:t>
      </w:r>
    </w:p>
    <w:p w:rsidR="000274FC" w:rsidRDefault="000274FC" w:rsidP="00A4014C">
      <w:r>
        <w:t>Financial information reported in this chapter has been collected through the</w:t>
      </w:r>
      <w:r w:rsidR="00A261F3">
        <w:t> 201</w:t>
      </w:r>
      <w:r>
        <w:t>6</w:t>
      </w:r>
      <w:r w:rsidR="00D8721E">
        <w:t>–1</w:t>
      </w:r>
      <w:r>
        <w:t xml:space="preserve">7 </w:t>
      </w:r>
      <w:r w:rsidR="00284080">
        <w:t>Aged Care Financial Report (ACFR)</w:t>
      </w:r>
      <w:r>
        <w:t>. The Accountability Principles</w:t>
      </w:r>
      <w:r w:rsidR="00A261F3">
        <w:t> 201</w:t>
      </w:r>
      <w:r>
        <w:t>4, made under Section 96</w:t>
      </w:r>
      <w:r w:rsidR="00D8721E">
        <w:t>–1</w:t>
      </w:r>
      <w:r>
        <w:t xml:space="preserve"> of the </w:t>
      </w:r>
      <w:r w:rsidRPr="00596D01">
        <w:rPr>
          <w:rStyle w:val="Emphasis"/>
        </w:rPr>
        <w:t>Aged Care Act 1997</w:t>
      </w:r>
      <w:r>
        <w:t xml:space="preserve">, require each provider to submit a financial report in a form approved by the Secretary of the Department of Health. It should be noted however that </w:t>
      </w:r>
      <w:r w:rsidR="00284080">
        <w:t>the ACFR</w:t>
      </w:r>
      <w:r>
        <w:t xml:space="preserve"> </w:t>
      </w:r>
      <w:r w:rsidR="00284080">
        <w:t>is</w:t>
      </w:r>
      <w:r>
        <w:t xml:space="preserve"> not required to be audited and should not be considered a General Purpose Financial Report.</w:t>
      </w:r>
    </w:p>
    <w:p w:rsidR="00A32EC3" w:rsidRPr="00C23DDF" w:rsidRDefault="00A32EC3" w:rsidP="00A4014C">
      <w:r w:rsidRPr="00C23DDF">
        <w:t>A</w:t>
      </w:r>
      <w:r>
        <w:t>CFA notes that in previous year</w:t>
      </w:r>
      <w:r w:rsidRPr="00C23DDF">
        <w:t>s</w:t>
      </w:r>
      <w:r>
        <w:t>’</w:t>
      </w:r>
      <w:r w:rsidRPr="00C23DDF">
        <w:t xml:space="preserve"> reports, financial performance of home care providers</w:t>
      </w:r>
      <w:r>
        <w:t xml:space="preserve"> w</w:t>
      </w:r>
      <w:r w:rsidRPr="00C23DDF">
        <w:t xml:space="preserve">as largely summarised on a ‘per package’ basis as the packages were previously </w:t>
      </w:r>
      <w:r>
        <w:t xml:space="preserve">allocated </w:t>
      </w:r>
      <w:r w:rsidRPr="00C23DDF">
        <w:t>to approved providers</w:t>
      </w:r>
      <w:r>
        <w:t xml:space="preserve"> after a competitive tender</w:t>
      </w:r>
      <w:r w:rsidR="00C42960">
        <w:t xml:space="preserve"> through an</w:t>
      </w:r>
      <w:r>
        <w:t xml:space="preserve"> ACAR</w:t>
      </w:r>
      <w:r w:rsidRPr="00C23DDF">
        <w:t>. Analysis on this basis included the provider</w:t>
      </w:r>
      <w:r>
        <w:t>’</w:t>
      </w:r>
      <w:r w:rsidRPr="00C23DDF">
        <w:t xml:space="preserve">s packages that were not fully utilised for whatever reason in a financial year. The reform changes </w:t>
      </w:r>
      <w:r>
        <w:t>of February</w:t>
      </w:r>
      <w:r w:rsidR="00A261F3">
        <w:t> 201</w:t>
      </w:r>
      <w:r>
        <w:t xml:space="preserve">7 have resulted in </w:t>
      </w:r>
      <w:r w:rsidRPr="00C23DDF">
        <w:t xml:space="preserve">packages </w:t>
      </w:r>
      <w:r>
        <w:t>being</w:t>
      </w:r>
      <w:r w:rsidRPr="00C23DDF">
        <w:t xml:space="preserve"> assigned to consumers and </w:t>
      </w:r>
      <w:r>
        <w:t>as a result</w:t>
      </w:r>
      <w:r w:rsidR="00214060">
        <w:t>,</w:t>
      </w:r>
      <w:r>
        <w:t xml:space="preserve"> the </w:t>
      </w:r>
      <w:r w:rsidRPr="00C23DDF">
        <w:t xml:space="preserve">analysis is now calculated on a </w:t>
      </w:r>
      <w:r>
        <w:t>‘</w:t>
      </w:r>
      <w:r w:rsidR="00C42960">
        <w:t xml:space="preserve">per </w:t>
      </w:r>
      <w:r w:rsidRPr="00C23DDF">
        <w:t>consumer</w:t>
      </w:r>
      <w:r>
        <w:t>’</w:t>
      </w:r>
      <w:r w:rsidRPr="00C23DDF">
        <w:t xml:space="preserve"> basis. EBITDA calculated on a ‘per</w:t>
      </w:r>
      <w:r w:rsidR="00C42960">
        <w:t xml:space="preserve"> </w:t>
      </w:r>
      <w:r w:rsidRPr="00C23DDF">
        <w:t xml:space="preserve">consumer’ basis is generally higher when compared </w:t>
      </w:r>
      <w:r>
        <w:t xml:space="preserve">with </w:t>
      </w:r>
      <w:r w:rsidRPr="00C23DDF">
        <w:t>EBITDA calculated on a ‘per</w:t>
      </w:r>
      <w:r w:rsidR="00C42960">
        <w:t xml:space="preserve"> </w:t>
      </w:r>
      <w:r w:rsidRPr="00C23DDF">
        <w:t>package’ basis as unutilised packages are excluded. When trend data is analysed, previous years have been re-calculated on the ‘per</w:t>
      </w:r>
      <w:r>
        <w:noBreakHyphen/>
      </w:r>
      <w:r w:rsidRPr="00C23DDF">
        <w:t>consumer’ basis to allow for direct comparison between years.</w:t>
      </w:r>
    </w:p>
    <w:p w:rsidR="00D8721E" w:rsidRDefault="00A32EC3" w:rsidP="00A4014C">
      <w:pPr>
        <w:rPr>
          <w:lang w:val="en-GB"/>
        </w:rPr>
      </w:pPr>
      <w:r>
        <w:rPr>
          <w:lang w:val="en-GB"/>
        </w:rPr>
        <w:t>Eighty-three</w:t>
      </w:r>
      <w:r w:rsidR="00A261F3">
        <w:rPr>
          <w:lang w:val="en-GB"/>
        </w:rPr>
        <w:t> per cent</w:t>
      </w:r>
      <w:r w:rsidRPr="00645B94">
        <w:rPr>
          <w:lang w:val="en-GB"/>
        </w:rPr>
        <w:t xml:space="preserve"> of home care providers submitted their</w:t>
      </w:r>
      <w:r w:rsidR="00A261F3">
        <w:rPr>
          <w:lang w:val="en-GB"/>
        </w:rPr>
        <w:t> 201</w:t>
      </w:r>
      <w:r w:rsidRPr="00645B94">
        <w:rPr>
          <w:lang w:val="en-GB"/>
        </w:rPr>
        <w:t>6</w:t>
      </w:r>
      <w:r w:rsidR="00D8721E">
        <w:rPr>
          <w:lang w:val="en-GB"/>
        </w:rPr>
        <w:t>–1</w:t>
      </w:r>
      <w:r w:rsidRPr="00645B94">
        <w:rPr>
          <w:lang w:val="en-GB"/>
        </w:rPr>
        <w:t>7 financial reports to the Department in a usable form. Therefore, the financial performance analysis is based on this sample. However, where appropriate, the sample data has been scaled up to estimate totals for all home care providers.</w:t>
      </w:r>
    </w:p>
    <w:p w:rsidR="008F3E8B" w:rsidRPr="00596D01" w:rsidRDefault="001370FA" w:rsidP="00A4014C">
      <w:pPr>
        <w:pStyle w:val="Heading2Numbered"/>
      </w:pPr>
      <w:bookmarkStart w:id="484" w:name="_Toc524424758"/>
      <w:r w:rsidRPr="00596D01">
        <w:t>Providers</w:t>
      </w:r>
      <w:r w:rsidR="008F3E8B" w:rsidRPr="00596D01">
        <w:t xml:space="preserve"> of home care</w:t>
      </w:r>
      <w:bookmarkEnd w:id="479"/>
      <w:bookmarkEnd w:id="480"/>
      <w:bookmarkEnd w:id="481"/>
      <w:bookmarkEnd w:id="482"/>
      <w:bookmarkEnd w:id="483"/>
      <w:bookmarkEnd w:id="484"/>
    </w:p>
    <w:p w:rsidR="004039A9" w:rsidRPr="00DE7592" w:rsidRDefault="004039A9" w:rsidP="00A4014C">
      <w:r w:rsidRPr="00DE7592">
        <w:t xml:space="preserve">In this chapter, </w:t>
      </w:r>
      <w:r>
        <w:t>home care</w:t>
      </w:r>
      <w:r w:rsidR="001370FA">
        <w:t xml:space="preserve"> providers are</w:t>
      </w:r>
      <w:r w:rsidRPr="00DE7592">
        <w:t xml:space="preserve"> discussed in four ways: </w:t>
      </w:r>
    </w:p>
    <w:p w:rsidR="004039A9" w:rsidRPr="00DE7592" w:rsidRDefault="004039A9" w:rsidP="00A4014C">
      <w:pPr>
        <w:pStyle w:val="Bullet1"/>
      </w:pPr>
      <w:r w:rsidRPr="00596D01">
        <w:rPr>
          <w:rStyle w:val="Strong"/>
        </w:rPr>
        <w:t>By whole-of-sector.</w:t>
      </w:r>
      <w:r>
        <w:t xml:space="preserve"> All home care</w:t>
      </w:r>
      <w:r w:rsidRPr="00DE7592">
        <w:t xml:space="preserve"> providers are considered together.</w:t>
      </w:r>
    </w:p>
    <w:p w:rsidR="004039A9" w:rsidRPr="00DE7592" w:rsidRDefault="004039A9" w:rsidP="00A4014C">
      <w:pPr>
        <w:pStyle w:val="Bullet1"/>
      </w:pPr>
      <w:r w:rsidRPr="00596D01">
        <w:rPr>
          <w:rStyle w:val="Strong"/>
        </w:rPr>
        <w:t xml:space="preserve">By </w:t>
      </w:r>
      <w:r w:rsidR="004638A9" w:rsidRPr="00596D01">
        <w:rPr>
          <w:rStyle w:val="Strong"/>
        </w:rPr>
        <w:t xml:space="preserve">provider </w:t>
      </w:r>
      <w:r w:rsidRPr="00596D01">
        <w:rPr>
          <w:rStyle w:val="Strong"/>
        </w:rPr>
        <w:t xml:space="preserve">ownership type. </w:t>
      </w:r>
      <w:r>
        <w:t>Providers are considered by their ownership type, that is, not</w:t>
      </w:r>
      <w:r>
        <w:noBreakHyphen/>
        <w:t>for</w:t>
      </w:r>
      <w:r>
        <w:noBreakHyphen/>
      </w:r>
      <w:r w:rsidRPr="00DE7592">
        <w:t xml:space="preserve">profit, for-profit </w:t>
      </w:r>
      <w:r>
        <w:t>or</w:t>
      </w:r>
      <w:r w:rsidRPr="00DE7592">
        <w:t xml:space="preserve"> </w:t>
      </w:r>
      <w:r>
        <w:t>g</w:t>
      </w:r>
      <w:r w:rsidRPr="00DE7592">
        <w:t>overnment.</w:t>
      </w:r>
    </w:p>
    <w:p w:rsidR="004039A9" w:rsidRPr="00DE7592" w:rsidRDefault="004039A9" w:rsidP="00A4014C">
      <w:pPr>
        <w:pStyle w:val="Bullet1"/>
      </w:pPr>
      <w:r w:rsidRPr="00596D01">
        <w:rPr>
          <w:rStyle w:val="Strong"/>
        </w:rPr>
        <w:t xml:space="preserve">By </w:t>
      </w:r>
      <w:r w:rsidR="004638A9" w:rsidRPr="00596D01">
        <w:rPr>
          <w:rStyle w:val="Strong"/>
        </w:rPr>
        <w:t xml:space="preserve">provider </w:t>
      </w:r>
      <w:r w:rsidRPr="00596D01">
        <w:rPr>
          <w:rStyle w:val="Strong"/>
        </w:rPr>
        <w:t>location.</w:t>
      </w:r>
      <w:r w:rsidRPr="00DE7592">
        <w:t xml:space="preserve"> Providers </w:t>
      </w:r>
      <w:r>
        <w:t>are considered by their location, that is, metropolitan, regional</w:t>
      </w:r>
      <w:r w:rsidRPr="00DE7592">
        <w:t xml:space="preserve"> or both</w:t>
      </w:r>
      <w:r>
        <w:t xml:space="preserve"> metropolitan and regional combined (as providers can operate multiple services in different locations).</w:t>
      </w:r>
    </w:p>
    <w:p w:rsidR="00D8721E" w:rsidRDefault="004039A9" w:rsidP="00A4014C">
      <w:pPr>
        <w:pStyle w:val="Bullet1"/>
      </w:pPr>
      <w:r w:rsidRPr="00596D01">
        <w:rPr>
          <w:rStyle w:val="Strong"/>
        </w:rPr>
        <w:t>By provider scale.</w:t>
      </w:r>
      <w:r>
        <w:t xml:space="preserve"> Providers are considered by the number of services they operate, </w:t>
      </w:r>
      <w:r w:rsidRPr="00DE7592">
        <w:t>one, two to six, and seven or more services.</w:t>
      </w:r>
    </w:p>
    <w:p w:rsidR="00D8721E" w:rsidRDefault="00492BF8" w:rsidP="00A4014C">
      <w:r>
        <w:fldChar w:fldCharType="begin"/>
      </w:r>
      <w:r>
        <w:instrText xml:space="preserve"> REF _Ref524429307 \r \h </w:instrText>
      </w:r>
      <w:r>
        <w:fldChar w:fldCharType="separate"/>
      </w:r>
      <w:r>
        <w:t>Table 7.1</w:t>
      </w:r>
      <w:r>
        <w:fldChar w:fldCharType="end"/>
      </w:r>
      <w:r>
        <w:t xml:space="preserve"> </w:t>
      </w:r>
      <w:r w:rsidR="00A32EC3" w:rsidRPr="00DE7592">
        <w:t>provides an overview of the number of</w:t>
      </w:r>
      <w:r w:rsidR="00A32EC3">
        <w:t xml:space="preserve"> home care</w:t>
      </w:r>
      <w:r w:rsidR="00A32EC3" w:rsidRPr="00DE7592">
        <w:t xml:space="preserve"> providers, services operated and </w:t>
      </w:r>
      <w:r w:rsidR="00A32EC3">
        <w:t xml:space="preserve">consumers over the last five years to </w:t>
      </w:r>
      <w:r w:rsidR="00A261F3">
        <w:t>30 J</w:t>
      </w:r>
      <w:r w:rsidR="00A32EC3">
        <w:t>une</w:t>
      </w:r>
      <w:r w:rsidR="00A261F3">
        <w:t> 201</w:t>
      </w:r>
      <w:r w:rsidR="00A32EC3">
        <w:t xml:space="preserve">7. </w:t>
      </w:r>
      <w:r>
        <w:fldChar w:fldCharType="begin"/>
      </w:r>
      <w:r>
        <w:instrText xml:space="preserve"> REF _Ref524429316 \r \h </w:instrText>
      </w:r>
      <w:r>
        <w:fldChar w:fldCharType="separate"/>
      </w:r>
      <w:r>
        <w:t>Table 7.2</w:t>
      </w:r>
      <w:r>
        <w:fldChar w:fldCharType="end"/>
      </w:r>
      <w:r>
        <w:t xml:space="preserve"> </w:t>
      </w:r>
      <w:r w:rsidR="00A32EC3">
        <w:t>presents a breakdown of home care providers by</w:t>
      </w:r>
      <w:r w:rsidR="00A32EC3" w:rsidRPr="00DE7592">
        <w:t xml:space="preserve"> ownership type,</w:t>
      </w:r>
      <w:r w:rsidR="00A32EC3">
        <w:t xml:space="preserve"> </w:t>
      </w:r>
      <w:r w:rsidR="00A32EC3" w:rsidRPr="00DE7592">
        <w:t>location and provider s</w:t>
      </w:r>
      <w:r w:rsidR="00A32EC3">
        <w:t>cale</w:t>
      </w:r>
      <w:r w:rsidR="00A32EC3" w:rsidRPr="00DE7592">
        <w:t xml:space="preserve"> for all </w:t>
      </w:r>
      <w:r w:rsidR="00A32EC3">
        <w:t>h</w:t>
      </w:r>
      <w:r w:rsidR="00A32EC3" w:rsidRPr="00DE7592">
        <w:t xml:space="preserve">ome </w:t>
      </w:r>
      <w:r w:rsidR="00A32EC3">
        <w:t>care providers in</w:t>
      </w:r>
      <w:r w:rsidR="00A261F3">
        <w:t> 201</w:t>
      </w:r>
      <w:r w:rsidR="00A32EC3">
        <w:t>6</w:t>
      </w:r>
      <w:r w:rsidR="00D8721E">
        <w:t>–1</w:t>
      </w:r>
      <w:r w:rsidR="00A32EC3">
        <w:t>7.</w:t>
      </w:r>
    </w:p>
    <w:p w:rsidR="00523FC2" w:rsidRPr="00596D01" w:rsidRDefault="00523FC2" w:rsidP="00A4014C">
      <w:pPr>
        <w:pStyle w:val="TableTitle"/>
      </w:pPr>
      <w:bookmarkStart w:id="485" w:name="_Ref524429307"/>
      <w:r w:rsidRPr="00596D01">
        <w:lastRenderedPageBreak/>
        <w:t xml:space="preserve">Provider numbers, number of services and number of consumers, </w:t>
      </w:r>
      <w:r w:rsidR="00A261F3" w:rsidRPr="00596D01">
        <w:t>30 J</w:t>
      </w:r>
      <w:r w:rsidR="007C261A" w:rsidRPr="00596D01">
        <w:t>une</w:t>
      </w:r>
      <w:r w:rsidR="00A261F3" w:rsidRPr="00596D01">
        <w:t> 201</w:t>
      </w:r>
      <w:r w:rsidRPr="00596D01">
        <w:t>3</w:t>
      </w:r>
      <w:r w:rsidR="00214060" w:rsidRPr="00596D01">
        <w:t> </w:t>
      </w:r>
      <w:r w:rsidRPr="00596D01">
        <w:t>to</w:t>
      </w:r>
      <w:r w:rsidR="00214060" w:rsidRPr="00596D01">
        <w:t> </w:t>
      </w:r>
      <w:r w:rsidR="00A261F3" w:rsidRPr="00596D01">
        <w:t>30 J</w:t>
      </w:r>
      <w:r w:rsidR="002D5DD1" w:rsidRPr="00596D01">
        <w:t>une</w:t>
      </w:r>
      <w:r w:rsidR="00A261F3" w:rsidRPr="00596D01">
        <w:t> 201</w:t>
      </w:r>
      <w:r w:rsidR="002D5DD1" w:rsidRPr="00596D01">
        <w:t>7</w:t>
      </w:r>
      <w:bookmarkEnd w:id="485"/>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604"/>
        <w:gridCol w:w="1606"/>
        <w:gridCol w:w="1606"/>
        <w:gridCol w:w="1604"/>
        <w:gridCol w:w="1606"/>
        <w:gridCol w:w="1602"/>
      </w:tblGrid>
      <w:tr w:rsidR="00966BAF" w:rsidRPr="00DE759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833" w:type="pct"/>
          </w:tcPr>
          <w:p w:rsidR="00523FC2" w:rsidRPr="003018C2" w:rsidRDefault="00523FC2" w:rsidP="00A4014C">
            <w:pPr>
              <w:rPr>
                <w:b w:val="0"/>
              </w:rPr>
            </w:pPr>
          </w:p>
        </w:tc>
        <w:tc>
          <w:tcPr>
            <w:tcW w:w="834" w:type="pct"/>
          </w:tcPr>
          <w:p w:rsidR="00523FC2" w:rsidRPr="00D44F5A" w:rsidRDefault="00A261F3" w:rsidP="00A4014C">
            <w:pPr>
              <w:jc w:val="right"/>
              <w:rPr>
                <w:b w:val="0"/>
              </w:rPr>
            </w:pPr>
            <w:r w:rsidRPr="00596D01">
              <w:t>30 J</w:t>
            </w:r>
            <w:r w:rsidR="00523FC2" w:rsidRPr="00596D01">
              <w:t>une</w:t>
            </w:r>
            <w:r w:rsidRPr="00596D01">
              <w:t> 201</w:t>
            </w:r>
            <w:r w:rsidR="00523FC2" w:rsidRPr="00596D01">
              <w:t>3</w:t>
            </w:r>
          </w:p>
        </w:tc>
        <w:tc>
          <w:tcPr>
            <w:tcW w:w="834" w:type="pct"/>
          </w:tcPr>
          <w:p w:rsidR="00523FC2" w:rsidRPr="00D44F5A" w:rsidRDefault="00A261F3" w:rsidP="00A4014C">
            <w:pPr>
              <w:jc w:val="right"/>
              <w:rPr>
                <w:b w:val="0"/>
              </w:rPr>
            </w:pPr>
            <w:r w:rsidRPr="00596D01">
              <w:t>30 J</w:t>
            </w:r>
            <w:r w:rsidR="00523FC2" w:rsidRPr="00596D01">
              <w:t>une</w:t>
            </w:r>
            <w:r w:rsidRPr="00596D01">
              <w:t> 201</w:t>
            </w:r>
            <w:r w:rsidR="00523FC2" w:rsidRPr="00596D01">
              <w:t>4</w:t>
            </w:r>
          </w:p>
        </w:tc>
        <w:tc>
          <w:tcPr>
            <w:tcW w:w="833" w:type="pct"/>
          </w:tcPr>
          <w:p w:rsidR="00523FC2" w:rsidRPr="00D44F5A" w:rsidRDefault="00A261F3" w:rsidP="00A4014C">
            <w:pPr>
              <w:jc w:val="right"/>
              <w:rPr>
                <w:b w:val="0"/>
              </w:rPr>
            </w:pPr>
            <w:r w:rsidRPr="00596D01">
              <w:t>30 J</w:t>
            </w:r>
            <w:r w:rsidR="00523FC2" w:rsidRPr="00596D01">
              <w:t>une</w:t>
            </w:r>
            <w:r w:rsidRPr="00596D01">
              <w:t> 201</w:t>
            </w:r>
            <w:r w:rsidR="00523FC2" w:rsidRPr="00596D01">
              <w:t>5</w:t>
            </w:r>
          </w:p>
        </w:tc>
        <w:tc>
          <w:tcPr>
            <w:tcW w:w="834" w:type="pct"/>
          </w:tcPr>
          <w:p w:rsidR="00523FC2" w:rsidRPr="00D44F5A" w:rsidRDefault="00A261F3" w:rsidP="00A4014C">
            <w:pPr>
              <w:jc w:val="right"/>
              <w:rPr>
                <w:b w:val="0"/>
              </w:rPr>
            </w:pPr>
            <w:r w:rsidRPr="00596D01">
              <w:t>30 J</w:t>
            </w:r>
            <w:r w:rsidR="00523FC2" w:rsidRPr="00596D01">
              <w:t>une</w:t>
            </w:r>
            <w:r w:rsidRPr="00596D01">
              <w:t> 201</w:t>
            </w:r>
            <w:r w:rsidR="00523FC2" w:rsidRPr="00596D01">
              <w:t>6</w:t>
            </w:r>
          </w:p>
        </w:tc>
        <w:tc>
          <w:tcPr>
            <w:tcW w:w="834" w:type="pct"/>
          </w:tcPr>
          <w:p w:rsidR="00523FC2" w:rsidRPr="00596D01" w:rsidRDefault="00A261F3" w:rsidP="00A4014C">
            <w:pPr>
              <w:jc w:val="right"/>
            </w:pPr>
            <w:r w:rsidRPr="00596D01">
              <w:t>30 J</w:t>
            </w:r>
            <w:r w:rsidR="00523FC2" w:rsidRPr="00596D01">
              <w:t>une</w:t>
            </w:r>
            <w:r w:rsidRPr="00596D01">
              <w:t> 201</w:t>
            </w:r>
            <w:r w:rsidR="00523FC2" w:rsidRPr="00596D01">
              <w:t>7</w:t>
            </w:r>
          </w:p>
        </w:tc>
      </w:tr>
      <w:tr w:rsidR="00523FC2" w:rsidRPr="00DE7592" w:rsidTr="00A4014C">
        <w:trPr>
          <w:trHeight w:val="113"/>
        </w:trPr>
        <w:tc>
          <w:tcPr>
            <w:tcW w:w="833" w:type="pct"/>
          </w:tcPr>
          <w:p w:rsidR="00523FC2" w:rsidRPr="00D44F5A" w:rsidRDefault="00523FC2" w:rsidP="00A4014C">
            <w:r w:rsidRPr="00D44F5A">
              <w:t>No. of providers</w:t>
            </w:r>
          </w:p>
        </w:tc>
        <w:tc>
          <w:tcPr>
            <w:tcW w:w="834" w:type="pct"/>
          </w:tcPr>
          <w:p w:rsidR="00523FC2" w:rsidRPr="00D44F5A" w:rsidRDefault="00523FC2" w:rsidP="00A4014C">
            <w:pPr>
              <w:jc w:val="right"/>
            </w:pPr>
            <w:r w:rsidRPr="00D44F5A">
              <w:t>504</w:t>
            </w:r>
          </w:p>
        </w:tc>
        <w:tc>
          <w:tcPr>
            <w:tcW w:w="834" w:type="pct"/>
          </w:tcPr>
          <w:p w:rsidR="00523FC2" w:rsidRPr="00D44F5A" w:rsidRDefault="00523FC2" w:rsidP="00A4014C">
            <w:pPr>
              <w:jc w:val="right"/>
            </w:pPr>
            <w:r w:rsidRPr="00D44F5A">
              <w:t>504</w:t>
            </w:r>
          </w:p>
        </w:tc>
        <w:tc>
          <w:tcPr>
            <w:tcW w:w="833" w:type="pct"/>
          </w:tcPr>
          <w:p w:rsidR="00523FC2" w:rsidRPr="00D44F5A" w:rsidRDefault="00523FC2" w:rsidP="00A4014C">
            <w:pPr>
              <w:jc w:val="right"/>
            </w:pPr>
            <w:r w:rsidRPr="00D44F5A">
              <w:t>504</w:t>
            </w:r>
          </w:p>
        </w:tc>
        <w:tc>
          <w:tcPr>
            <w:tcW w:w="834" w:type="pct"/>
          </w:tcPr>
          <w:p w:rsidR="00523FC2" w:rsidRPr="00D44F5A" w:rsidRDefault="00523FC2" w:rsidP="00A4014C">
            <w:pPr>
              <w:jc w:val="right"/>
            </w:pPr>
            <w:r w:rsidRPr="00D44F5A">
              <w:t>496</w:t>
            </w:r>
          </w:p>
        </w:tc>
        <w:tc>
          <w:tcPr>
            <w:tcW w:w="834" w:type="pct"/>
          </w:tcPr>
          <w:p w:rsidR="00523FC2" w:rsidRPr="00D44F5A" w:rsidRDefault="00523FC2" w:rsidP="00A4014C">
            <w:pPr>
              <w:jc w:val="right"/>
            </w:pPr>
            <w:r w:rsidRPr="00D44F5A">
              <w:t>702</w:t>
            </w:r>
          </w:p>
        </w:tc>
      </w:tr>
      <w:tr w:rsidR="00523FC2" w:rsidRPr="00DE7592" w:rsidTr="00A4014C">
        <w:trPr>
          <w:trHeight w:val="113"/>
        </w:trPr>
        <w:tc>
          <w:tcPr>
            <w:tcW w:w="833" w:type="pct"/>
          </w:tcPr>
          <w:p w:rsidR="00523FC2" w:rsidRPr="00D44F5A" w:rsidRDefault="00523FC2" w:rsidP="00A4014C">
            <w:r w:rsidRPr="00D44F5A">
              <w:t>No. of services</w:t>
            </w:r>
          </w:p>
        </w:tc>
        <w:tc>
          <w:tcPr>
            <w:tcW w:w="834" w:type="pct"/>
          </w:tcPr>
          <w:p w:rsidR="00523FC2" w:rsidRPr="00D44F5A" w:rsidRDefault="00523FC2" w:rsidP="00A4014C">
            <w:pPr>
              <w:jc w:val="right"/>
            </w:pPr>
            <w:r w:rsidRPr="00D44F5A">
              <w:t>2,131</w:t>
            </w:r>
          </w:p>
        </w:tc>
        <w:tc>
          <w:tcPr>
            <w:tcW w:w="834" w:type="pct"/>
          </w:tcPr>
          <w:p w:rsidR="00523FC2" w:rsidRPr="00D44F5A" w:rsidRDefault="00523FC2" w:rsidP="00A4014C">
            <w:pPr>
              <w:jc w:val="right"/>
            </w:pPr>
            <w:r w:rsidRPr="00D44F5A">
              <w:t>2,212</w:t>
            </w:r>
          </w:p>
        </w:tc>
        <w:tc>
          <w:tcPr>
            <w:tcW w:w="833" w:type="pct"/>
          </w:tcPr>
          <w:p w:rsidR="00523FC2" w:rsidRPr="00D44F5A" w:rsidRDefault="00523FC2" w:rsidP="00A4014C">
            <w:pPr>
              <w:jc w:val="right"/>
            </w:pPr>
            <w:r w:rsidRPr="00D44F5A">
              <w:t>2,292</w:t>
            </w:r>
          </w:p>
        </w:tc>
        <w:tc>
          <w:tcPr>
            <w:tcW w:w="834" w:type="pct"/>
          </w:tcPr>
          <w:p w:rsidR="00523FC2" w:rsidRPr="00D44F5A" w:rsidRDefault="00523FC2" w:rsidP="00A4014C">
            <w:pPr>
              <w:jc w:val="right"/>
            </w:pPr>
            <w:r w:rsidRPr="00D44F5A">
              <w:t>2,099</w:t>
            </w:r>
          </w:p>
        </w:tc>
        <w:tc>
          <w:tcPr>
            <w:tcW w:w="834" w:type="pct"/>
          </w:tcPr>
          <w:p w:rsidR="00523FC2" w:rsidRPr="00D44F5A" w:rsidRDefault="00523FC2" w:rsidP="00A4014C">
            <w:pPr>
              <w:jc w:val="right"/>
            </w:pPr>
            <w:r w:rsidRPr="00D44F5A">
              <w:t>2,367</w:t>
            </w:r>
          </w:p>
        </w:tc>
      </w:tr>
      <w:tr w:rsidR="00523FC2" w:rsidRPr="002D5DD1" w:rsidTr="00A4014C">
        <w:trPr>
          <w:trHeight w:val="113"/>
        </w:trPr>
        <w:tc>
          <w:tcPr>
            <w:tcW w:w="833" w:type="pct"/>
          </w:tcPr>
          <w:p w:rsidR="00523FC2" w:rsidRPr="00D44F5A" w:rsidRDefault="00523FC2" w:rsidP="00A4014C">
            <w:r w:rsidRPr="00D44F5A">
              <w:t>No. of consumers</w:t>
            </w:r>
          </w:p>
        </w:tc>
        <w:tc>
          <w:tcPr>
            <w:tcW w:w="834" w:type="pct"/>
          </w:tcPr>
          <w:p w:rsidR="00523FC2" w:rsidRPr="00D44F5A" w:rsidRDefault="00C54EF1" w:rsidP="00A4014C">
            <w:pPr>
              <w:jc w:val="right"/>
            </w:pPr>
            <w:r w:rsidRPr="00D44F5A">
              <w:t>56,515</w:t>
            </w:r>
          </w:p>
        </w:tc>
        <w:tc>
          <w:tcPr>
            <w:tcW w:w="834" w:type="pct"/>
          </w:tcPr>
          <w:p w:rsidR="00523FC2" w:rsidRPr="00D44F5A" w:rsidRDefault="00C54EF1" w:rsidP="00A4014C">
            <w:pPr>
              <w:jc w:val="right"/>
            </w:pPr>
            <w:r w:rsidRPr="00D44F5A">
              <w:t>59,739</w:t>
            </w:r>
          </w:p>
        </w:tc>
        <w:tc>
          <w:tcPr>
            <w:tcW w:w="833" w:type="pct"/>
          </w:tcPr>
          <w:p w:rsidR="00523FC2" w:rsidRPr="00D44F5A" w:rsidRDefault="00C54EF1" w:rsidP="00A4014C">
            <w:pPr>
              <w:jc w:val="right"/>
            </w:pPr>
            <w:r w:rsidRPr="00D44F5A">
              <w:t>59,506</w:t>
            </w:r>
          </w:p>
        </w:tc>
        <w:tc>
          <w:tcPr>
            <w:tcW w:w="834" w:type="pct"/>
          </w:tcPr>
          <w:p w:rsidR="00523FC2" w:rsidRPr="00D44F5A" w:rsidRDefault="00C54EF1" w:rsidP="00A4014C">
            <w:pPr>
              <w:jc w:val="right"/>
            </w:pPr>
            <w:r w:rsidRPr="00D44F5A">
              <w:t>64,069</w:t>
            </w:r>
          </w:p>
        </w:tc>
        <w:tc>
          <w:tcPr>
            <w:tcW w:w="834" w:type="pct"/>
          </w:tcPr>
          <w:p w:rsidR="00523FC2" w:rsidRPr="00D44F5A" w:rsidRDefault="00523FC2" w:rsidP="00A4014C">
            <w:pPr>
              <w:jc w:val="right"/>
            </w:pPr>
            <w:r w:rsidRPr="00D44F5A">
              <w:t>71,423</w:t>
            </w:r>
          </w:p>
        </w:tc>
      </w:tr>
    </w:tbl>
    <w:p w:rsidR="00256C0D" w:rsidRPr="00596D01" w:rsidRDefault="00256C0D" w:rsidP="00A4014C">
      <w:pPr>
        <w:pStyle w:val="TableTitle"/>
        <w:rPr>
          <w:rStyle w:val="Strong"/>
        </w:rPr>
      </w:pPr>
      <w:bookmarkStart w:id="486" w:name="_Ref524429316"/>
      <w:r w:rsidRPr="00596D01">
        <w:t>Provider numbers, number of services and number of consumers, at</w:t>
      </w:r>
      <w:r w:rsidR="00214060" w:rsidRPr="00596D01">
        <w:t> </w:t>
      </w:r>
      <w:r w:rsidR="00A261F3" w:rsidRPr="00596D01">
        <w:t>30 J</w:t>
      </w:r>
      <w:r w:rsidRPr="00596D01">
        <w:t>une</w:t>
      </w:r>
      <w:r w:rsidR="00A261F3" w:rsidRPr="00596D01">
        <w:t> 201</w:t>
      </w:r>
      <w:r w:rsidRPr="00596D01">
        <w:t>7</w:t>
      </w:r>
      <w:bookmarkEnd w:id="486"/>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169"/>
        <w:gridCol w:w="799"/>
        <w:gridCol w:w="798"/>
        <w:gridCol w:w="798"/>
        <w:gridCol w:w="691"/>
        <w:gridCol w:w="691"/>
        <w:gridCol w:w="798"/>
        <w:gridCol w:w="798"/>
        <w:gridCol w:w="587"/>
        <w:gridCol w:w="216"/>
        <w:gridCol w:w="687"/>
        <w:gridCol w:w="798"/>
        <w:gridCol w:w="798"/>
      </w:tblGrid>
      <w:tr w:rsidR="00C23DDF"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1428" w:type="pct"/>
            <w:gridSpan w:val="3"/>
            <w:tcBorders>
              <w:right w:val="single" w:sz="4" w:space="0" w:color="FFFFFF" w:themeColor="background1"/>
            </w:tcBorders>
          </w:tcPr>
          <w:p w:rsidR="00C23DDF" w:rsidRPr="00D44F5A" w:rsidRDefault="00C23DDF">
            <w:pPr>
              <w:keepNext/>
              <w:spacing w:before="20" w:after="20"/>
              <w:jc w:val="center"/>
              <w:rPr>
                <w:rFonts w:ascii="Segoe UI" w:hAnsi="Segoe UI" w:cs="Segoe UI"/>
                <w:b w:val="0"/>
                <w:bCs w:val="0"/>
                <w:lang w:eastAsia="en-AU"/>
              </w:rPr>
            </w:pPr>
          </w:p>
        </w:tc>
        <w:tc>
          <w:tcPr>
            <w:tcW w:w="1127" w:type="pct"/>
            <w:gridSpan w:val="3"/>
            <w:tcBorders>
              <w:left w:val="single" w:sz="4" w:space="0" w:color="FFFFFF" w:themeColor="background1"/>
              <w:right w:val="single" w:sz="4" w:space="0" w:color="FFFFFF" w:themeColor="background1"/>
            </w:tcBorders>
            <w:hideMark/>
          </w:tcPr>
          <w:p w:rsidR="00C23DDF" w:rsidRPr="00D44F5A" w:rsidRDefault="00C23DDF">
            <w:pPr>
              <w:keepNext/>
              <w:spacing w:before="20" w:after="20"/>
              <w:jc w:val="center"/>
              <w:rPr>
                <w:rFonts w:ascii="Segoe UI" w:hAnsi="Segoe UI" w:cs="Segoe UI"/>
                <w:b w:val="0"/>
                <w:bCs w:val="0"/>
                <w:lang w:eastAsia="en-AU"/>
              </w:rPr>
            </w:pPr>
            <w:r w:rsidRPr="00596D01">
              <w:t>Ownership type</w:t>
            </w:r>
          </w:p>
        </w:tc>
        <w:tc>
          <w:tcPr>
            <w:tcW w:w="1146" w:type="pct"/>
            <w:gridSpan w:val="3"/>
            <w:tcBorders>
              <w:left w:val="single" w:sz="4" w:space="0" w:color="FFFFFF" w:themeColor="background1"/>
              <w:right w:val="single" w:sz="4" w:space="0" w:color="FFFFFF" w:themeColor="background1"/>
            </w:tcBorders>
            <w:hideMark/>
          </w:tcPr>
          <w:p w:rsidR="00C23DDF" w:rsidRPr="00D44F5A" w:rsidRDefault="004638A9" w:rsidP="004638A9">
            <w:pPr>
              <w:keepNext/>
              <w:spacing w:before="20" w:after="20"/>
              <w:jc w:val="center"/>
              <w:rPr>
                <w:rFonts w:ascii="Segoe UI" w:hAnsi="Segoe UI" w:cs="Segoe UI"/>
                <w:b w:val="0"/>
                <w:bCs w:val="0"/>
                <w:lang w:eastAsia="en-AU"/>
              </w:rPr>
            </w:pPr>
            <w:r w:rsidRPr="00596D01">
              <w:t>L</w:t>
            </w:r>
            <w:r w:rsidR="00C23DDF" w:rsidRPr="00596D01">
              <w:t>ocation</w:t>
            </w:r>
          </w:p>
        </w:tc>
        <w:tc>
          <w:tcPr>
            <w:tcW w:w="1298" w:type="pct"/>
            <w:gridSpan w:val="4"/>
            <w:tcBorders>
              <w:left w:val="single" w:sz="4" w:space="0" w:color="FFFFFF" w:themeColor="background1"/>
            </w:tcBorders>
            <w:hideMark/>
          </w:tcPr>
          <w:p w:rsidR="00C23DDF" w:rsidRPr="00596D01" w:rsidRDefault="004638A9">
            <w:pPr>
              <w:keepNext/>
              <w:spacing w:before="20" w:after="20"/>
              <w:jc w:val="center"/>
            </w:pPr>
            <w:r w:rsidRPr="00596D01">
              <w:t>Scale</w:t>
            </w:r>
          </w:p>
        </w:tc>
      </w:tr>
      <w:tr w:rsidR="00A4014C" w:rsidTr="00A4014C">
        <w:trPr>
          <w:cnfStyle w:val="100000000000" w:firstRow="1" w:lastRow="0" w:firstColumn="0" w:lastColumn="0" w:oddVBand="0" w:evenVBand="0" w:oddHBand="0" w:evenHBand="0" w:firstRowFirstColumn="0" w:firstRowLastColumn="0" w:lastRowFirstColumn="0" w:lastRowLastColumn="0"/>
          <w:trHeight w:val="2928"/>
          <w:tblHeader/>
        </w:trPr>
        <w:tc>
          <w:tcPr>
            <w:tcW w:w="603" w:type="pct"/>
            <w:tcBorders>
              <w:right w:val="single" w:sz="4" w:space="0" w:color="FFFFFF" w:themeColor="background1"/>
            </w:tcBorders>
          </w:tcPr>
          <w:p w:rsidR="00C23DDF" w:rsidRDefault="00C23DDF">
            <w:pPr>
              <w:keepNext/>
              <w:spacing w:before="20" w:after="20"/>
              <w:jc w:val="center"/>
              <w:rPr>
                <w:rFonts w:ascii="Segoe UI" w:hAnsi="Segoe UI" w:cs="Segoe UI"/>
                <w:b w:val="0"/>
                <w:bCs w:val="0"/>
                <w:color w:val="FFFFFF"/>
                <w:lang w:eastAsia="en-AU"/>
              </w:rPr>
            </w:pPr>
          </w:p>
        </w:tc>
        <w:tc>
          <w:tcPr>
            <w:tcW w:w="412" w:type="pct"/>
            <w:tcBorders>
              <w:left w:val="single" w:sz="4" w:space="0" w:color="FFFFFF" w:themeColor="background1"/>
              <w:right w:val="single" w:sz="4" w:space="0" w:color="FFFFFF" w:themeColor="background1"/>
            </w:tcBorders>
            <w:textDirection w:val="btLr"/>
            <w:vAlign w:val="center"/>
            <w:hideMark/>
          </w:tcPr>
          <w:p w:rsidR="00C23DDF" w:rsidRDefault="00A261F3" w:rsidP="00A4014C">
            <w:pPr>
              <w:keepNext/>
              <w:spacing w:before="20" w:after="20"/>
              <w:ind w:left="113" w:right="113"/>
              <w:rPr>
                <w:rFonts w:ascii="Segoe UI" w:hAnsi="Segoe UI" w:cs="Segoe UI"/>
                <w:b w:val="0"/>
                <w:bCs w:val="0"/>
                <w:color w:val="FFFFFF"/>
                <w:lang w:eastAsia="en-AU"/>
              </w:rPr>
            </w:pPr>
            <w:r w:rsidRPr="00596D01">
              <w:t>30 J</w:t>
            </w:r>
            <w:r w:rsidR="00C23DDF" w:rsidRPr="00596D01">
              <w:t>une</w:t>
            </w:r>
            <w:r w:rsidRPr="00596D01">
              <w:t> 201</w:t>
            </w:r>
            <w:r w:rsidR="00C23DDF" w:rsidRPr="00596D01">
              <w:t>6</w:t>
            </w:r>
          </w:p>
        </w:tc>
        <w:tc>
          <w:tcPr>
            <w:tcW w:w="413" w:type="pct"/>
            <w:tcBorders>
              <w:left w:val="single" w:sz="4" w:space="0" w:color="FFFFFF" w:themeColor="background1"/>
              <w:right w:val="single" w:sz="4" w:space="0" w:color="FFFFFF" w:themeColor="background1"/>
            </w:tcBorders>
            <w:textDirection w:val="btLr"/>
            <w:vAlign w:val="center"/>
            <w:hideMark/>
          </w:tcPr>
          <w:p w:rsidR="00C23DDF" w:rsidRDefault="00A261F3" w:rsidP="00A4014C">
            <w:pPr>
              <w:keepNext/>
              <w:spacing w:before="20" w:after="20"/>
              <w:ind w:left="113" w:right="113"/>
              <w:rPr>
                <w:rFonts w:ascii="Segoe UI" w:hAnsi="Segoe UI" w:cs="Segoe UI"/>
                <w:b w:val="0"/>
                <w:bCs w:val="0"/>
                <w:color w:val="FFFFFF"/>
                <w:lang w:eastAsia="en-AU"/>
              </w:rPr>
            </w:pPr>
            <w:r w:rsidRPr="00596D01">
              <w:t>30 J</w:t>
            </w:r>
            <w:r w:rsidR="00C23DDF" w:rsidRPr="00596D01">
              <w:t>une</w:t>
            </w:r>
            <w:r w:rsidRPr="00596D01">
              <w:t> 201</w:t>
            </w:r>
            <w:r w:rsidR="00C23DDF" w:rsidRPr="00596D01">
              <w:t>7</w:t>
            </w:r>
          </w:p>
        </w:tc>
        <w:tc>
          <w:tcPr>
            <w:tcW w:w="413"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Not-for-profit</w:t>
            </w:r>
          </w:p>
        </w:tc>
        <w:tc>
          <w:tcPr>
            <w:tcW w:w="357"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For-profit</w:t>
            </w:r>
          </w:p>
        </w:tc>
        <w:tc>
          <w:tcPr>
            <w:tcW w:w="357"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Government</w:t>
            </w:r>
          </w:p>
        </w:tc>
        <w:tc>
          <w:tcPr>
            <w:tcW w:w="413"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Metropolitan</w:t>
            </w:r>
          </w:p>
        </w:tc>
        <w:tc>
          <w:tcPr>
            <w:tcW w:w="413"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Regional</w:t>
            </w:r>
          </w:p>
        </w:tc>
        <w:tc>
          <w:tcPr>
            <w:tcW w:w="320"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Metropolitan &amp; regional</w:t>
            </w:r>
          </w:p>
        </w:tc>
        <w:tc>
          <w:tcPr>
            <w:tcW w:w="473" w:type="pct"/>
            <w:gridSpan w:val="2"/>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Single service</w:t>
            </w:r>
          </w:p>
        </w:tc>
        <w:tc>
          <w:tcPr>
            <w:tcW w:w="413" w:type="pct"/>
            <w:tcBorders>
              <w:left w:val="single" w:sz="4" w:space="0" w:color="FFFFFF" w:themeColor="background1"/>
              <w:right w:val="single" w:sz="4" w:space="0" w:color="FFFFFF" w:themeColor="background1"/>
            </w:tcBorders>
            <w:textDirection w:val="btLr"/>
            <w:vAlign w:val="center"/>
            <w:hideMark/>
          </w:tcPr>
          <w:p w:rsidR="00C23DDF" w:rsidRDefault="00C23DDF" w:rsidP="00A4014C">
            <w:pPr>
              <w:keepNext/>
              <w:spacing w:before="20" w:after="20"/>
              <w:ind w:left="113" w:right="113"/>
              <w:rPr>
                <w:rFonts w:ascii="Segoe UI" w:hAnsi="Segoe UI" w:cs="Segoe UI"/>
                <w:b w:val="0"/>
                <w:bCs w:val="0"/>
                <w:color w:val="FFFFFF"/>
                <w:lang w:eastAsia="en-AU"/>
              </w:rPr>
            </w:pPr>
            <w:r w:rsidRPr="00596D01">
              <w:t>Two to six services</w:t>
            </w:r>
          </w:p>
        </w:tc>
        <w:tc>
          <w:tcPr>
            <w:tcW w:w="413" w:type="pct"/>
            <w:tcBorders>
              <w:left w:val="single" w:sz="4" w:space="0" w:color="FFFFFF" w:themeColor="background1"/>
            </w:tcBorders>
            <w:textDirection w:val="btLr"/>
            <w:vAlign w:val="center"/>
            <w:hideMark/>
          </w:tcPr>
          <w:p w:rsidR="00C23DDF" w:rsidRPr="00596D01" w:rsidRDefault="00C23DDF" w:rsidP="00A4014C">
            <w:pPr>
              <w:keepNext/>
              <w:spacing w:before="20" w:after="20"/>
              <w:ind w:left="113" w:right="113"/>
            </w:pPr>
            <w:r w:rsidRPr="00596D01">
              <w:t>Seven or more services</w:t>
            </w:r>
          </w:p>
        </w:tc>
      </w:tr>
      <w:tr w:rsidR="00A4014C" w:rsidTr="00A4014C">
        <w:trPr>
          <w:trHeight w:val="113"/>
        </w:trPr>
        <w:tc>
          <w:tcPr>
            <w:tcW w:w="603" w:type="pct"/>
            <w:hideMark/>
          </w:tcPr>
          <w:p w:rsidR="00C23DDF" w:rsidRPr="00D44F5A" w:rsidRDefault="00C23DDF">
            <w:pPr>
              <w:keepNext/>
              <w:spacing w:before="60"/>
              <w:rPr>
                <w:rFonts w:ascii="Segoe UI" w:hAnsi="Segoe UI" w:cs="Segoe UI"/>
                <w:lang w:eastAsia="en-AU"/>
              </w:rPr>
            </w:pPr>
            <w:r w:rsidRPr="00D44F5A">
              <w:rPr>
                <w:rFonts w:ascii="Segoe UI" w:hAnsi="Segoe UI" w:cs="Segoe UI"/>
                <w:lang w:eastAsia="en-AU"/>
              </w:rPr>
              <w:t>No. of providers</w:t>
            </w:r>
          </w:p>
        </w:tc>
        <w:tc>
          <w:tcPr>
            <w:tcW w:w="412"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496</w:t>
            </w:r>
          </w:p>
        </w:tc>
        <w:tc>
          <w:tcPr>
            <w:tcW w:w="413"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702</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453</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65%</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150</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21%</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99</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14%</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367</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52%</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291</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41%</w:t>
            </w:r>
          </w:p>
        </w:tc>
        <w:tc>
          <w:tcPr>
            <w:tcW w:w="436" w:type="pct"/>
            <w:gridSpan w:val="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44</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6%</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388</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55%</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223</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32%</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90</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13%</w:t>
            </w:r>
          </w:p>
        </w:tc>
      </w:tr>
      <w:tr w:rsidR="00A4014C" w:rsidTr="00A4014C">
        <w:trPr>
          <w:trHeight w:val="113"/>
        </w:trPr>
        <w:tc>
          <w:tcPr>
            <w:tcW w:w="603" w:type="pct"/>
            <w:hideMark/>
          </w:tcPr>
          <w:p w:rsidR="00C23DDF" w:rsidRPr="00D44F5A" w:rsidRDefault="00C23DDF">
            <w:pPr>
              <w:keepNext/>
              <w:spacing w:before="60"/>
              <w:rPr>
                <w:rFonts w:ascii="Segoe UI" w:hAnsi="Segoe UI" w:cs="Segoe UI"/>
                <w:lang w:eastAsia="en-AU"/>
              </w:rPr>
            </w:pPr>
            <w:r w:rsidRPr="00D44F5A">
              <w:rPr>
                <w:rFonts w:ascii="Segoe UI" w:hAnsi="Segoe UI" w:cs="Segoe UI"/>
                <w:lang w:eastAsia="en-AU"/>
              </w:rPr>
              <w:t>No. of services</w:t>
            </w:r>
          </w:p>
        </w:tc>
        <w:tc>
          <w:tcPr>
            <w:tcW w:w="412"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2,099</w:t>
            </w:r>
          </w:p>
        </w:tc>
        <w:tc>
          <w:tcPr>
            <w:tcW w:w="413"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2,367</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1,827</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77%</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356</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15%</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184</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8%</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1,177</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50%</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526</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22%</w:t>
            </w:r>
          </w:p>
        </w:tc>
        <w:tc>
          <w:tcPr>
            <w:tcW w:w="436" w:type="pct"/>
            <w:gridSpan w:val="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664</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28%</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334</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14%</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592</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25%</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1,440</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61%</w:t>
            </w:r>
          </w:p>
        </w:tc>
      </w:tr>
      <w:tr w:rsidR="00A4014C" w:rsidTr="00A4014C">
        <w:trPr>
          <w:trHeight w:val="113"/>
        </w:trPr>
        <w:tc>
          <w:tcPr>
            <w:tcW w:w="603" w:type="pct"/>
            <w:hideMark/>
          </w:tcPr>
          <w:p w:rsidR="00C23DDF" w:rsidRPr="00D44F5A" w:rsidRDefault="00C23DDF">
            <w:pPr>
              <w:keepNext/>
              <w:spacing w:before="60"/>
              <w:rPr>
                <w:rFonts w:ascii="Segoe UI" w:hAnsi="Segoe UI" w:cs="Segoe UI"/>
                <w:lang w:eastAsia="en-AU"/>
              </w:rPr>
            </w:pPr>
            <w:r w:rsidRPr="00D44F5A">
              <w:rPr>
                <w:rFonts w:ascii="Segoe UI" w:hAnsi="Segoe UI" w:cs="Segoe UI"/>
                <w:lang w:eastAsia="en-AU"/>
              </w:rPr>
              <w:t xml:space="preserve">No. of consumers </w:t>
            </w:r>
          </w:p>
        </w:tc>
        <w:tc>
          <w:tcPr>
            <w:tcW w:w="412"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64,069</w:t>
            </w:r>
          </w:p>
        </w:tc>
        <w:tc>
          <w:tcPr>
            <w:tcW w:w="413" w:type="pct"/>
            <w:hideMark/>
          </w:tcPr>
          <w:p w:rsidR="00C23DDF" w:rsidRPr="00D44F5A" w:rsidRDefault="00C23DDF">
            <w:pPr>
              <w:keepNext/>
              <w:spacing w:before="60"/>
              <w:jc w:val="right"/>
              <w:rPr>
                <w:rFonts w:ascii="Segoe UI" w:hAnsi="Segoe UI" w:cs="Segoe UI"/>
                <w:lang w:eastAsia="en-AU"/>
              </w:rPr>
            </w:pPr>
            <w:r w:rsidRPr="00D44F5A">
              <w:rPr>
                <w:rFonts w:ascii="Segoe UI" w:hAnsi="Segoe UI" w:cs="Segoe UI"/>
                <w:lang w:eastAsia="en-AU"/>
              </w:rPr>
              <w:t>71,423</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58,78</w:t>
            </w:r>
            <w:r w:rsidR="002D3CA6">
              <w:rPr>
                <w:rFonts w:ascii="Segoe UI" w:hAnsi="Segoe UI" w:cs="Segoe UI"/>
                <w:lang w:eastAsia="en-AU"/>
              </w:rPr>
              <w:t>3</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82%</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7,719</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11%</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4,921</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7%</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38,969</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55%</w:t>
            </w:r>
          </w:p>
        </w:tc>
        <w:tc>
          <w:tcPr>
            <w:tcW w:w="413" w:type="pct"/>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10,795</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15%</w:t>
            </w:r>
          </w:p>
        </w:tc>
        <w:tc>
          <w:tcPr>
            <w:tcW w:w="436" w:type="pct"/>
            <w:gridSpan w:val="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21,659</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30%</w:t>
            </w:r>
          </w:p>
        </w:tc>
        <w:tc>
          <w:tcPr>
            <w:tcW w:w="357"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8,291</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12%</w:t>
            </w:r>
          </w:p>
        </w:tc>
        <w:tc>
          <w:tcPr>
            <w:tcW w:w="413" w:type="pct"/>
            <w:shd w:val="clear" w:color="auto" w:fill="E8E8E8" w:themeFill="background2"/>
            <w:hideMark/>
          </w:tcPr>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18,481</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26%</w:t>
            </w:r>
          </w:p>
        </w:tc>
        <w:tc>
          <w:tcPr>
            <w:tcW w:w="413" w:type="pct"/>
            <w:shd w:val="clear" w:color="auto" w:fill="E8E8E8" w:themeFill="background2"/>
            <w:hideMark/>
          </w:tcPr>
          <w:p w:rsidR="00C23DDF" w:rsidRPr="00D44F5A" w:rsidRDefault="002D3CA6">
            <w:pPr>
              <w:keepNext/>
              <w:spacing w:before="60"/>
              <w:jc w:val="center"/>
              <w:rPr>
                <w:rFonts w:ascii="Segoe UI" w:hAnsi="Segoe UI" w:cs="Segoe UI"/>
                <w:lang w:eastAsia="en-AU"/>
              </w:rPr>
            </w:pPr>
            <w:r>
              <w:rPr>
                <w:rFonts w:ascii="Segoe UI" w:hAnsi="Segoe UI" w:cs="Segoe UI"/>
                <w:lang w:eastAsia="en-AU"/>
              </w:rPr>
              <w:t>44,651</w:t>
            </w:r>
          </w:p>
          <w:p w:rsidR="00C23DDF" w:rsidRPr="00D44F5A" w:rsidRDefault="00C23DDF">
            <w:pPr>
              <w:keepNext/>
              <w:spacing w:before="60"/>
              <w:jc w:val="center"/>
              <w:rPr>
                <w:rFonts w:ascii="Segoe UI" w:hAnsi="Segoe UI" w:cs="Segoe UI"/>
                <w:lang w:eastAsia="en-AU"/>
              </w:rPr>
            </w:pPr>
            <w:r w:rsidRPr="00D44F5A">
              <w:rPr>
                <w:rFonts w:ascii="Segoe UI" w:hAnsi="Segoe UI" w:cs="Segoe UI"/>
                <w:lang w:eastAsia="en-AU"/>
              </w:rPr>
              <w:t>63%</w:t>
            </w:r>
          </w:p>
        </w:tc>
      </w:tr>
    </w:tbl>
    <w:p w:rsidR="00A912FD" w:rsidRDefault="00A912FD" w:rsidP="00A4014C">
      <w:pPr>
        <w:rPr>
          <w:lang w:val="en-GB"/>
        </w:rPr>
      </w:pPr>
      <w:r w:rsidRPr="00050319">
        <w:rPr>
          <w:lang w:val="en-GB"/>
        </w:rPr>
        <w:t xml:space="preserve">While the number of </w:t>
      </w:r>
      <w:r>
        <w:rPr>
          <w:lang w:val="en-GB"/>
        </w:rPr>
        <w:t xml:space="preserve">approved </w:t>
      </w:r>
      <w:r w:rsidRPr="00050319">
        <w:rPr>
          <w:lang w:val="en-GB"/>
        </w:rPr>
        <w:t xml:space="preserve">home care providers was stable for the previous </w:t>
      </w:r>
      <w:r>
        <w:rPr>
          <w:lang w:val="en-GB"/>
        </w:rPr>
        <w:t xml:space="preserve">four </w:t>
      </w:r>
      <w:r w:rsidRPr="00050319">
        <w:rPr>
          <w:lang w:val="en-GB"/>
        </w:rPr>
        <w:t>years,</w:t>
      </w:r>
      <w:r w:rsidR="00A261F3">
        <w:rPr>
          <w:lang w:val="en-GB"/>
        </w:rPr>
        <w:t> 201</w:t>
      </w:r>
      <w:r w:rsidRPr="00050319">
        <w:rPr>
          <w:lang w:val="en-GB"/>
        </w:rPr>
        <w:t>6</w:t>
      </w:r>
      <w:r w:rsidR="00D8721E">
        <w:rPr>
          <w:lang w:val="en-GB"/>
        </w:rPr>
        <w:t>–1</w:t>
      </w:r>
      <w:r w:rsidRPr="00050319">
        <w:rPr>
          <w:lang w:val="en-GB"/>
        </w:rPr>
        <w:t xml:space="preserve">7 saw a significant increase from 496 to 702 providers as at </w:t>
      </w:r>
      <w:r w:rsidR="00A261F3">
        <w:rPr>
          <w:lang w:val="en-GB"/>
        </w:rPr>
        <w:t>30 J</w:t>
      </w:r>
      <w:r w:rsidRPr="00050319">
        <w:rPr>
          <w:lang w:val="en-GB"/>
        </w:rPr>
        <w:t>une</w:t>
      </w:r>
      <w:r w:rsidR="00A261F3">
        <w:rPr>
          <w:lang w:val="en-GB"/>
        </w:rPr>
        <w:t> 201</w:t>
      </w:r>
      <w:r w:rsidRPr="00050319">
        <w:rPr>
          <w:lang w:val="en-GB"/>
        </w:rPr>
        <w:t>7. Th</w:t>
      </w:r>
      <w:r>
        <w:rPr>
          <w:lang w:val="en-GB"/>
        </w:rPr>
        <w:t xml:space="preserve">e increase </w:t>
      </w:r>
      <w:r w:rsidRPr="00050319">
        <w:rPr>
          <w:lang w:val="en-GB"/>
        </w:rPr>
        <w:t xml:space="preserve">is </w:t>
      </w:r>
      <w:r>
        <w:rPr>
          <w:lang w:val="en-GB"/>
        </w:rPr>
        <w:t xml:space="preserve">mainly </w:t>
      </w:r>
      <w:r w:rsidRPr="00050319">
        <w:rPr>
          <w:lang w:val="en-GB"/>
        </w:rPr>
        <w:t>due to the changes of February</w:t>
      </w:r>
      <w:r w:rsidR="00A261F3">
        <w:rPr>
          <w:lang w:val="en-GB"/>
        </w:rPr>
        <w:t> 201</w:t>
      </w:r>
      <w:r w:rsidRPr="00050319">
        <w:rPr>
          <w:lang w:val="en-GB"/>
        </w:rPr>
        <w:t xml:space="preserve">7 </w:t>
      </w:r>
      <w:r>
        <w:rPr>
          <w:lang w:val="en-GB"/>
        </w:rPr>
        <w:t xml:space="preserve">which allow providers to </w:t>
      </w:r>
      <w:r w:rsidRPr="00050319">
        <w:rPr>
          <w:lang w:val="en-GB"/>
        </w:rPr>
        <w:t xml:space="preserve">compete in the market for consumers </w:t>
      </w:r>
      <w:r>
        <w:rPr>
          <w:lang w:val="en-GB"/>
        </w:rPr>
        <w:t xml:space="preserve">who have been assigned a package instead of </w:t>
      </w:r>
      <w:r w:rsidRPr="00050319">
        <w:rPr>
          <w:lang w:val="en-GB"/>
        </w:rPr>
        <w:t>wait</w:t>
      </w:r>
      <w:r>
        <w:rPr>
          <w:lang w:val="en-GB"/>
        </w:rPr>
        <w:t>ing</w:t>
      </w:r>
      <w:r w:rsidRPr="00050319">
        <w:rPr>
          <w:lang w:val="en-GB"/>
        </w:rPr>
        <w:t xml:space="preserve"> to be </w:t>
      </w:r>
      <w:r>
        <w:rPr>
          <w:lang w:val="en-GB"/>
        </w:rPr>
        <w:t xml:space="preserve">allocated </w:t>
      </w:r>
      <w:r w:rsidRPr="00050319">
        <w:rPr>
          <w:lang w:val="en-GB"/>
        </w:rPr>
        <w:t xml:space="preserve">a package through the ACAR. This </w:t>
      </w:r>
      <w:r>
        <w:rPr>
          <w:lang w:val="en-GB"/>
        </w:rPr>
        <w:t xml:space="preserve">change encouraged more new </w:t>
      </w:r>
      <w:r w:rsidRPr="00050319">
        <w:rPr>
          <w:lang w:val="en-GB"/>
        </w:rPr>
        <w:t xml:space="preserve">providers to enter the </w:t>
      </w:r>
      <w:r>
        <w:rPr>
          <w:lang w:val="en-GB"/>
        </w:rPr>
        <w:t xml:space="preserve">home care </w:t>
      </w:r>
      <w:r w:rsidRPr="00050319">
        <w:rPr>
          <w:lang w:val="en-GB"/>
        </w:rPr>
        <w:t>market.</w:t>
      </w:r>
    </w:p>
    <w:p w:rsidR="00D8721E" w:rsidRDefault="00A912FD" w:rsidP="00A4014C">
      <w:pPr>
        <w:rPr>
          <w:lang w:val="en-GB"/>
        </w:rPr>
      </w:pPr>
      <w:r w:rsidRPr="00050319">
        <w:rPr>
          <w:lang w:val="en-GB"/>
        </w:rPr>
        <w:t xml:space="preserve">As shown in </w:t>
      </w:r>
      <w:r w:rsidR="00492BF8">
        <w:rPr>
          <w:lang w:val="en-GB"/>
        </w:rPr>
        <w:fldChar w:fldCharType="begin"/>
      </w:r>
      <w:r w:rsidR="00492BF8">
        <w:rPr>
          <w:lang w:val="en-GB"/>
        </w:rPr>
        <w:instrText xml:space="preserve"> REF _Ref524429326 \r \h </w:instrText>
      </w:r>
      <w:r w:rsidR="00492BF8">
        <w:rPr>
          <w:lang w:val="en-GB"/>
        </w:rPr>
      </w:r>
      <w:r w:rsidR="00492BF8">
        <w:rPr>
          <w:lang w:val="en-GB"/>
        </w:rPr>
        <w:fldChar w:fldCharType="separate"/>
      </w:r>
      <w:r w:rsidR="00492BF8">
        <w:rPr>
          <w:lang w:val="en-GB"/>
        </w:rPr>
        <w:t>Table 7.3</w:t>
      </w:r>
      <w:r w:rsidR="00492BF8">
        <w:rPr>
          <w:lang w:val="en-GB"/>
        </w:rPr>
        <w:fldChar w:fldCharType="end"/>
      </w:r>
      <w:r>
        <w:rPr>
          <w:lang w:val="en-GB"/>
        </w:rPr>
        <w:t>,</w:t>
      </w:r>
      <w:r w:rsidRPr="00050319">
        <w:rPr>
          <w:lang w:val="en-GB"/>
        </w:rPr>
        <w:t xml:space="preserve"> the</w:t>
      </w:r>
      <w:r>
        <w:rPr>
          <w:lang w:val="en-GB"/>
        </w:rPr>
        <w:t xml:space="preserve"> growth in home care provider numbers mainly comprised not</w:t>
      </w:r>
      <w:r>
        <w:rPr>
          <w:lang w:val="en-GB"/>
        </w:rPr>
        <w:noBreakHyphen/>
        <w:t>for</w:t>
      </w:r>
      <w:r>
        <w:rPr>
          <w:lang w:val="en-GB"/>
        </w:rPr>
        <w:noBreakHyphen/>
        <w:t>profit and for</w:t>
      </w:r>
      <w:r>
        <w:rPr>
          <w:lang w:val="en-GB"/>
        </w:rPr>
        <w:noBreakHyphen/>
        <w:t>profit providers. However proportionally, for</w:t>
      </w:r>
      <w:r>
        <w:rPr>
          <w:lang w:val="en-GB"/>
        </w:rPr>
        <w:noBreakHyphen/>
        <w:t>profits now represent 21</w:t>
      </w:r>
      <w:r w:rsidR="00A261F3">
        <w:rPr>
          <w:lang w:val="en-GB"/>
        </w:rPr>
        <w:t> per cent</w:t>
      </w:r>
      <w:r>
        <w:rPr>
          <w:lang w:val="en-GB"/>
        </w:rPr>
        <w:t xml:space="preserve"> of the sector (up from 13</w:t>
      </w:r>
      <w:r w:rsidR="00A261F3">
        <w:rPr>
          <w:lang w:val="en-GB"/>
        </w:rPr>
        <w:t> per cent</w:t>
      </w:r>
      <w:r>
        <w:rPr>
          <w:lang w:val="en-GB"/>
        </w:rPr>
        <w:t>) whereas not</w:t>
      </w:r>
      <w:r>
        <w:rPr>
          <w:lang w:val="en-GB"/>
        </w:rPr>
        <w:noBreakHyphen/>
        <w:t>for</w:t>
      </w:r>
      <w:r>
        <w:rPr>
          <w:lang w:val="en-GB"/>
        </w:rPr>
        <w:noBreakHyphen/>
        <w:t>profit provider</w:t>
      </w:r>
      <w:r w:rsidR="00C42960">
        <w:rPr>
          <w:lang w:val="en-GB"/>
        </w:rPr>
        <w:t>s</w:t>
      </w:r>
      <w:r>
        <w:rPr>
          <w:lang w:val="en-GB"/>
        </w:rPr>
        <w:t xml:space="preserve"> dropped from 70</w:t>
      </w:r>
      <w:r w:rsidR="00A261F3">
        <w:rPr>
          <w:lang w:val="en-GB"/>
        </w:rPr>
        <w:t> per cent</w:t>
      </w:r>
      <w:r>
        <w:rPr>
          <w:lang w:val="en-GB"/>
        </w:rPr>
        <w:t xml:space="preserve"> in</w:t>
      </w:r>
      <w:r w:rsidR="00A261F3">
        <w:rPr>
          <w:lang w:val="en-GB"/>
        </w:rPr>
        <w:t> 201</w:t>
      </w:r>
      <w:r>
        <w:rPr>
          <w:lang w:val="en-GB"/>
        </w:rPr>
        <w:t>5</w:t>
      </w:r>
      <w:r w:rsidR="00D8721E">
        <w:rPr>
          <w:lang w:val="en-GB"/>
        </w:rPr>
        <w:t>–1</w:t>
      </w:r>
      <w:r>
        <w:rPr>
          <w:lang w:val="en-GB"/>
        </w:rPr>
        <w:t>6 to 65</w:t>
      </w:r>
      <w:r w:rsidR="00A261F3">
        <w:rPr>
          <w:lang w:val="en-GB"/>
        </w:rPr>
        <w:t> per cent</w:t>
      </w:r>
      <w:r>
        <w:rPr>
          <w:lang w:val="en-GB"/>
        </w:rPr>
        <w:t xml:space="preserve">. </w:t>
      </w:r>
      <w:r w:rsidRPr="00050319">
        <w:rPr>
          <w:lang w:val="en-GB"/>
        </w:rPr>
        <w:t>ACFA had noted in previous annual reports that the opening up of the home care market was likely to see for</w:t>
      </w:r>
      <w:r w:rsidRPr="00050319">
        <w:rPr>
          <w:lang w:val="en-GB"/>
        </w:rPr>
        <w:noBreakHyphen/>
        <w:t>profit providers seek to increase their share of home care consumers.</w:t>
      </w:r>
    </w:p>
    <w:p w:rsidR="00256C0D" w:rsidRPr="00596D01" w:rsidRDefault="00256C0D" w:rsidP="00A4014C">
      <w:pPr>
        <w:pStyle w:val="TableTitle"/>
        <w:rPr>
          <w:rStyle w:val="Strong"/>
        </w:rPr>
      </w:pPr>
      <w:bookmarkStart w:id="487" w:name="_Ref524429326"/>
      <w:r w:rsidRPr="00596D01">
        <w:lastRenderedPageBreak/>
        <w:t>Increase in providers,</w:t>
      </w:r>
      <w:r w:rsidR="00A261F3" w:rsidRPr="00596D01">
        <w:t> 201</w:t>
      </w:r>
      <w:r w:rsidRPr="00596D01">
        <w:t>5</w:t>
      </w:r>
      <w:r w:rsidR="00D8721E" w:rsidRPr="00596D01">
        <w:t>–1</w:t>
      </w:r>
      <w:r w:rsidRPr="00596D01">
        <w:t>6 to</w:t>
      </w:r>
      <w:r w:rsidR="00A261F3" w:rsidRPr="00596D01">
        <w:t> 201</w:t>
      </w:r>
      <w:r w:rsidRPr="00596D01">
        <w:t>6</w:t>
      </w:r>
      <w:r w:rsidR="00D8721E" w:rsidRPr="00596D01">
        <w:t>–1</w:t>
      </w:r>
      <w:r w:rsidRPr="00596D01">
        <w:t>7</w:t>
      </w:r>
      <w:bookmarkEnd w:id="487"/>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822"/>
        <w:gridCol w:w="1720"/>
        <w:gridCol w:w="1448"/>
        <w:gridCol w:w="1448"/>
        <w:gridCol w:w="1779"/>
        <w:gridCol w:w="1411"/>
      </w:tblGrid>
      <w:tr w:rsidR="00223C0F" w:rsidRPr="003B7424"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946" w:type="pct"/>
          </w:tcPr>
          <w:p w:rsidR="00223C0F" w:rsidRPr="003B7424" w:rsidRDefault="00223C0F" w:rsidP="003B7424">
            <w:pPr>
              <w:spacing w:before="60"/>
              <w:jc w:val="center"/>
              <w:rPr>
                <w:rFonts w:ascii="Segoe UI" w:hAnsi="Segoe UI" w:cs="Segoe UI"/>
                <w:bCs w:val="0"/>
                <w:lang w:eastAsia="en-AU"/>
              </w:rPr>
            </w:pPr>
          </w:p>
        </w:tc>
        <w:tc>
          <w:tcPr>
            <w:tcW w:w="893" w:type="pct"/>
          </w:tcPr>
          <w:p w:rsidR="00223C0F" w:rsidRPr="003B7424" w:rsidRDefault="00214060" w:rsidP="00A4014C">
            <w:pPr>
              <w:spacing w:before="60"/>
              <w:jc w:val="right"/>
              <w:rPr>
                <w:rFonts w:ascii="Segoe UI" w:hAnsi="Segoe UI" w:cs="Segoe UI"/>
                <w:bCs w:val="0"/>
                <w:lang w:eastAsia="en-AU"/>
              </w:rPr>
            </w:pPr>
            <w:r w:rsidRPr="00596D01">
              <w:t xml:space="preserve">Total at </w:t>
            </w:r>
            <w:r w:rsidR="00A261F3" w:rsidRPr="00596D01">
              <w:t>30 J</w:t>
            </w:r>
            <w:r w:rsidRPr="00596D01">
              <w:t>une</w:t>
            </w:r>
            <w:r w:rsidR="00A261F3" w:rsidRPr="00596D01">
              <w:t> 201</w:t>
            </w:r>
            <w:r w:rsidRPr="00596D01">
              <w:t>6</w:t>
            </w:r>
          </w:p>
        </w:tc>
        <w:tc>
          <w:tcPr>
            <w:tcW w:w="752" w:type="pct"/>
          </w:tcPr>
          <w:p w:rsidR="00223C0F" w:rsidRPr="003B7424" w:rsidRDefault="00223C0F" w:rsidP="00A4014C">
            <w:pPr>
              <w:spacing w:before="60"/>
              <w:jc w:val="right"/>
              <w:rPr>
                <w:rFonts w:ascii="Segoe UI" w:hAnsi="Segoe UI" w:cs="Segoe UI"/>
                <w:bCs w:val="0"/>
                <w:lang w:eastAsia="en-AU"/>
              </w:rPr>
            </w:pPr>
            <w:r w:rsidRPr="00596D01">
              <w:t>Proportion of total</w:t>
            </w:r>
          </w:p>
        </w:tc>
        <w:tc>
          <w:tcPr>
            <w:tcW w:w="752" w:type="pct"/>
          </w:tcPr>
          <w:p w:rsidR="00223C0F" w:rsidRPr="003B7424" w:rsidRDefault="00223C0F" w:rsidP="00A4014C">
            <w:pPr>
              <w:spacing w:before="60"/>
              <w:jc w:val="right"/>
              <w:rPr>
                <w:rFonts w:ascii="Segoe UI" w:hAnsi="Segoe UI" w:cs="Segoe UI"/>
                <w:bCs w:val="0"/>
                <w:lang w:eastAsia="en-AU"/>
              </w:rPr>
            </w:pPr>
            <w:r w:rsidRPr="00596D01">
              <w:t>Increase in</w:t>
            </w:r>
            <w:r w:rsidR="00A261F3" w:rsidRPr="00596D01">
              <w:t> 201</w:t>
            </w:r>
            <w:r w:rsidRPr="00596D01">
              <w:t>6</w:t>
            </w:r>
            <w:r w:rsidR="00D8721E" w:rsidRPr="00596D01">
              <w:t>–1</w:t>
            </w:r>
            <w:r w:rsidRPr="00596D01">
              <w:t>7</w:t>
            </w:r>
          </w:p>
        </w:tc>
        <w:tc>
          <w:tcPr>
            <w:tcW w:w="924" w:type="pct"/>
          </w:tcPr>
          <w:p w:rsidR="00223C0F" w:rsidRPr="003B7424" w:rsidRDefault="00223C0F" w:rsidP="00A4014C">
            <w:pPr>
              <w:spacing w:before="60"/>
              <w:jc w:val="right"/>
              <w:rPr>
                <w:rFonts w:ascii="Segoe UI" w:hAnsi="Segoe UI" w:cs="Segoe UI"/>
                <w:bCs w:val="0"/>
                <w:lang w:eastAsia="en-AU"/>
              </w:rPr>
            </w:pPr>
            <w:r w:rsidRPr="00596D01">
              <w:t xml:space="preserve">Total at </w:t>
            </w:r>
            <w:r w:rsidR="00A261F3" w:rsidRPr="00596D01">
              <w:t>30 J</w:t>
            </w:r>
            <w:r w:rsidRPr="00596D01">
              <w:t>une</w:t>
            </w:r>
            <w:r w:rsidR="00A261F3" w:rsidRPr="00596D01">
              <w:t> 201</w:t>
            </w:r>
            <w:r w:rsidRPr="00596D01">
              <w:t>7</w:t>
            </w:r>
          </w:p>
        </w:tc>
        <w:tc>
          <w:tcPr>
            <w:tcW w:w="734" w:type="pct"/>
          </w:tcPr>
          <w:p w:rsidR="00223C0F" w:rsidRPr="00596D01" w:rsidRDefault="00223C0F" w:rsidP="00A4014C">
            <w:pPr>
              <w:spacing w:before="60"/>
              <w:jc w:val="right"/>
            </w:pPr>
            <w:r w:rsidRPr="00596D01">
              <w:t>Proportion of total</w:t>
            </w:r>
          </w:p>
        </w:tc>
      </w:tr>
      <w:tr w:rsidR="00223C0F" w:rsidRPr="003B7424" w:rsidTr="00A4014C">
        <w:trPr>
          <w:trHeight w:val="113"/>
        </w:trPr>
        <w:tc>
          <w:tcPr>
            <w:tcW w:w="946" w:type="pct"/>
          </w:tcPr>
          <w:p w:rsidR="00223C0F" w:rsidRPr="003B7424" w:rsidRDefault="00223C0F" w:rsidP="00AB2579">
            <w:pPr>
              <w:spacing w:before="60"/>
              <w:rPr>
                <w:rFonts w:ascii="Segoe UI" w:hAnsi="Segoe UI" w:cs="Segoe UI"/>
                <w:lang w:eastAsia="en-AU"/>
              </w:rPr>
            </w:pPr>
            <w:r w:rsidRPr="003B7424">
              <w:rPr>
                <w:rFonts w:ascii="Segoe UI" w:hAnsi="Segoe UI" w:cs="Segoe UI"/>
                <w:lang w:eastAsia="en-AU"/>
              </w:rPr>
              <w:t>Not-for-profit</w:t>
            </w:r>
          </w:p>
        </w:tc>
        <w:tc>
          <w:tcPr>
            <w:tcW w:w="893"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347</w:t>
            </w:r>
          </w:p>
        </w:tc>
        <w:tc>
          <w:tcPr>
            <w:tcW w:w="752"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70%</w:t>
            </w:r>
          </w:p>
        </w:tc>
        <w:tc>
          <w:tcPr>
            <w:tcW w:w="752" w:type="pct"/>
          </w:tcPr>
          <w:p w:rsidR="00223C0F" w:rsidRPr="003B7424" w:rsidRDefault="00923794" w:rsidP="00A4014C">
            <w:pPr>
              <w:spacing w:before="60"/>
              <w:jc w:val="right"/>
              <w:rPr>
                <w:rFonts w:ascii="Segoe UI" w:hAnsi="Segoe UI" w:cs="Segoe UI"/>
                <w:lang w:eastAsia="en-AU"/>
              </w:rPr>
            </w:pPr>
            <w:r>
              <w:rPr>
                <w:rFonts w:ascii="Segoe UI" w:hAnsi="Segoe UI" w:cs="Segoe UI"/>
                <w:lang w:eastAsia="en-AU"/>
              </w:rPr>
              <w:t>60</w:t>
            </w:r>
          </w:p>
        </w:tc>
        <w:tc>
          <w:tcPr>
            <w:tcW w:w="92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407</w:t>
            </w:r>
          </w:p>
        </w:tc>
        <w:tc>
          <w:tcPr>
            <w:tcW w:w="73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65%</w:t>
            </w:r>
          </w:p>
        </w:tc>
      </w:tr>
      <w:tr w:rsidR="00223C0F" w:rsidRPr="003B7424" w:rsidTr="00A4014C">
        <w:trPr>
          <w:trHeight w:val="113"/>
        </w:trPr>
        <w:tc>
          <w:tcPr>
            <w:tcW w:w="946" w:type="pct"/>
          </w:tcPr>
          <w:p w:rsidR="00223C0F" w:rsidRPr="003B7424" w:rsidRDefault="00223C0F" w:rsidP="00AB2579">
            <w:pPr>
              <w:spacing w:before="60"/>
              <w:rPr>
                <w:rFonts w:ascii="Segoe UI" w:hAnsi="Segoe UI" w:cs="Segoe UI"/>
                <w:lang w:eastAsia="en-AU"/>
              </w:rPr>
            </w:pPr>
            <w:r w:rsidRPr="003B7424">
              <w:rPr>
                <w:rFonts w:ascii="Segoe UI" w:hAnsi="Segoe UI" w:cs="Segoe UI"/>
                <w:lang w:eastAsia="en-AU"/>
              </w:rPr>
              <w:t>For-profit</w:t>
            </w:r>
          </w:p>
        </w:tc>
        <w:tc>
          <w:tcPr>
            <w:tcW w:w="893"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65</w:t>
            </w:r>
          </w:p>
        </w:tc>
        <w:tc>
          <w:tcPr>
            <w:tcW w:w="752"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13%</w:t>
            </w:r>
          </w:p>
        </w:tc>
        <w:tc>
          <w:tcPr>
            <w:tcW w:w="752" w:type="pct"/>
          </w:tcPr>
          <w:p w:rsidR="00223C0F" w:rsidRPr="003B7424" w:rsidRDefault="00923794" w:rsidP="00A4014C">
            <w:pPr>
              <w:spacing w:before="60"/>
              <w:jc w:val="right"/>
              <w:rPr>
                <w:rFonts w:ascii="Segoe UI" w:hAnsi="Segoe UI" w:cs="Segoe UI"/>
                <w:lang w:eastAsia="en-AU"/>
              </w:rPr>
            </w:pPr>
            <w:r>
              <w:rPr>
                <w:rFonts w:ascii="Segoe UI" w:hAnsi="Segoe UI" w:cs="Segoe UI"/>
                <w:lang w:eastAsia="en-AU"/>
              </w:rPr>
              <w:t>135</w:t>
            </w:r>
          </w:p>
        </w:tc>
        <w:tc>
          <w:tcPr>
            <w:tcW w:w="92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200</w:t>
            </w:r>
          </w:p>
        </w:tc>
        <w:tc>
          <w:tcPr>
            <w:tcW w:w="73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21%</w:t>
            </w:r>
          </w:p>
        </w:tc>
      </w:tr>
      <w:tr w:rsidR="00223C0F" w:rsidRPr="003B7424" w:rsidTr="00A4014C">
        <w:trPr>
          <w:trHeight w:val="113"/>
        </w:trPr>
        <w:tc>
          <w:tcPr>
            <w:tcW w:w="946" w:type="pct"/>
          </w:tcPr>
          <w:p w:rsidR="00223C0F" w:rsidRPr="003B7424" w:rsidRDefault="00223C0F" w:rsidP="00AB2579">
            <w:pPr>
              <w:spacing w:before="60"/>
              <w:rPr>
                <w:rFonts w:ascii="Segoe UI" w:hAnsi="Segoe UI" w:cs="Segoe UI"/>
                <w:lang w:eastAsia="en-AU"/>
              </w:rPr>
            </w:pPr>
            <w:r w:rsidRPr="003B7424">
              <w:rPr>
                <w:rFonts w:ascii="Segoe UI" w:hAnsi="Segoe UI" w:cs="Segoe UI"/>
                <w:lang w:eastAsia="en-AU"/>
              </w:rPr>
              <w:t>Government</w:t>
            </w:r>
          </w:p>
        </w:tc>
        <w:tc>
          <w:tcPr>
            <w:tcW w:w="893"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84</w:t>
            </w:r>
          </w:p>
        </w:tc>
        <w:tc>
          <w:tcPr>
            <w:tcW w:w="752"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17%</w:t>
            </w:r>
          </w:p>
        </w:tc>
        <w:tc>
          <w:tcPr>
            <w:tcW w:w="752" w:type="pct"/>
          </w:tcPr>
          <w:p w:rsidR="00223C0F" w:rsidRPr="003B7424" w:rsidRDefault="00923794" w:rsidP="00A4014C">
            <w:pPr>
              <w:spacing w:before="60"/>
              <w:jc w:val="right"/>
              <w:rPr>
                <w:rFonts w:ascii="Segoe UI" w:hAnsi="Segoe UI" w:cs="Segoe UI"/>
                <w:lang w:eastAsia="en-AU"/>
              </w:rPr>
            </w:pPr>
            <w:r>
              <w:rPr>
                <w:rFonts w:ascii="Segoe UI" w:hAnsi="Segoe UI" w:cs="Segoe UI"/>
                <w:lang w:eastAsia="en-AU"/>
              </w:rPr>
              <w:t>11</w:t>
            </w:r>
          </w:p>
        </w:tc>
        <w:tc>
          <w:tcPr>
            <w:tcW w:w="92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95</w:t>
            </w:r>
          </w:p>
        </w:tc>
        <w:tc>
          <w:tcPr>
            <w:tcW w:w="734" w:type="pct"/>
          </w:tcPr>
          <w:p w:rsidR="00223C0F" w:rsidRPr="003B7424" w:rsidRDefault="00223C0F" w:rsidP="00A4014C">
            <w:pPr>
              <w:spacing w:before="60"/>
              <w:jc w:val="right"/>
              <w:rPr>
                <w:rFonts w:ascii="Segoe UI" w:hAnsi="Segoe UI" w:cs="Segoe UI"/>
                <w:lang w:eastAsia="en-AU"/>
              </w:rPr>
            </w:pPr>
            <w:r w:rsidRPr="003B7424">
              <w:rPr>
                <w:rFonts w:ascii="Segoe UI" w:hAnsi="Segoe UI" w:cs="Segoe UI"/>
                <w:lang w:eastAsia="en-AU"/>
              </w:rPr>
              <w:t>14%</w:t>
            </w:r>
          </w:p>
        </w:tc>
      </w:tr>
      <w:tr w:rsidR="00223C0F" w:rsidRPr="003B7424" w:rsidTr="00A4014C">
        <w:trPr>
          <w:trHeight w:val="113"/>
        </w:trPr>
        <w:tc>
          <w:tcPr>
            <w:tcW w:w="946" w:type="pct"/>
          </w:tcPr>
          <w:p w:rsidR="00223C0F" w:rsidRPr="003B7424" w:rsidRDefault="00223C0F" w:rsidP="00AB2579">
            <w:pPr>
              <w:spacing w:before="60"/>
              <w:rPr>
                <w:rFonts w:ascii="Segoe UI" w:hAnsi="Segoe UI" w:cs="Segoe UI"/>
                <w:b/>
                <w:lang w:eastAsia="en-AU"/>
              </w:rPr>
            </w:pPr>
            <w:r w:rsidRPr="00596D01">
              <w:rPr>
                <w:rStyle w:val="Strong"/>
              </w:rPr>
              <w:t>Total</w:t>
            </w:r>
          </w:p>
        </w:tc>
        <w:tc>
          <w:tcPr>
            <w:tcW w:w="893" w:type="pct"/>
          </w:tcPr>
          <w:p w:rsidR="00223C0F" w:rsidRPr="003B7424" w:rsidRDefault="00223C0F" w:rsidP="00A4014C">
            <w:pPr>
              <w:spacing w:before="60"/>
              <w:jc w:val="right"/>
              <w:rPr>
                <w:rFonts w:ascii="Segoe UI" w:hAnsi="Segoe UI" w:cs="Segoe UI"/>
                <w:b/>
                <w:lang w:eastAsia="en-AU"/>
              </w:rPr>
            </w:pPr>
            <w:r w:rsidRPr="00596D01">
              <w:rPr>
                <w:rStyle w:val="Strong"/>
              </w:rPr>
              <w:t>496</w:t>
            </w:r>
          </w:p>
        </w:tc>
        <w:tc>
          <w:tcPr>
            <w:tcW w:w="752" w:type="pct"/>
          </w:tcPr>
          <w:p w:rsidR="00223C0F" w:rsidRPr="003B7424" w:rsidRDefault="00223C0F" w:rsidP="00A4014C">
            <w:pPr>
              <w:spacing w:before="60"/>
              <w:jc w:val="right"/>
              <w:rPr>
                <w:rFonts w:ascii="Segoe UI" w:hAnsi="Segoe UI" w:cs="Segoe UI"/>
                <w:b/>
                <w:lang w:eastAsia="en-AU"/>
              </w:rPr>
            </w:pPr>
            <w:r w:rsidRPr="00596D01">
              <w:rPr>
                <w:rStyle w:val="Strong"/>
              </w:rPr>
              <w:t>100%</w:t>
            </w:r>
          </w:p>
        </w:tc>
        <w:tc>
          <w:tcPr>
            <w:tcW w:w="752" w:type="pct"/>
          </w:tcPr>
          <w:p w:rsidR="00223C0F" w:rsidRPr="003B7424" w:rsidRDefault="00223C0F" w:rsidP="00A4014C">
            <w:pPr>
              <w:spacing w:before="60"/>
              <w:jc w:val="right"/>
              <w:rPr>
                <w:rFonts w:ascii="Segoe UI" w:hAnsi="Segoe UI" w:cs="Segoe UI"/>
                <w:b/>
                <w:lang w:eastAsia="en-AU"/>
              </w:rPr>
            </w:pPr>
            <w:r w:rsidRPr="00596D01">
              <w:rPr>
                <w:rStyle w:val="Strong"/>
              </w:rPr>
              <w:t>206</w:t>
            </w:r>
          </w:p>
        </w:tc>
        <w:tc>
          <w:tcPr>
            <w:tcW w:w="924" w:type="pct"/>
          </w:tcPr>
          <w:p w:rsidR="00223C0F" w:rsidRPr="003B7424" w:rsidRDefault="00223C0F" w:rsidP="00A4014C">
            <w:pPr>
              <w:spacing w:before="60"/>
              <w:jc w:val="right"/>
              <w:rPr>
                <w:rFonts w:ascii="Segoe UI" w:hAnsi="Segoe UI" w:cs="Segoe UI"/>
                <w:b/>
                <w:lang w:eastAsia="en-AU"/>
              </w:rPr>
            </w:pPr>
            <w:r w:rsidRPr="00596D01">
              <w:rPr>
                <w:rStyle w:val="Strong"/>
              </w:rPr>
              <w:t>702</w:t>
            </w:r>
          </w:p>
        </w:tc>
        <w:tc>
          <w:tcPr>
            <w:tcW w:w="734" w:type="pct"/>
          </w:tcPr>
          <w:p w:rsidR="00223C0F" w:rsidRPr="00596D01" w:rsidRDefault="00223C0F" w:rsidP="00A4014C">
            <w:pPr>
              <w:spacing w:before="60"/>
              <w:jc w:val="right"/>
              <w:rPr>
                <w:rStyle w:val="Strong"/>
              </w:rPr>
            </w:pPr>
            <w:r w:rsidRPr="00596D01">
              <w:rPr>
                <w:rStyle w:val="Strong"/>
              </w:rPr>
              <w:t>100%</w:t>
            </w:r>
          </w:p>
        </w:tc>
      </w:tr>
    </w:tbl>
    <w:p w:rsidR="00D8721E" w:rsidRDefault="00803EDA" w:rsidP="00A4014C">
      <w:pPr>
        <w:rPr>
          <w:lang w:val="en-GB"/>
        </w:rPr>
      </w:pPr>
      <w:r>
        <w:rPr>
          <w:lang w:val="en-GB"/>
        </w:rPr>
        <w:t xml:space="preserve">At </w:t>
      </w:r>
      <w:r w:rsidR="00A261F3">
        <w:rPr>
          <w:lang w:val="en-GB"/>
        </w:rPr>
        <w:t>30 J</w:t>
      </w:r>
      <w:r>
        <w:rPr>
          <w:lang w:val="en-GB"/>
        </w:rPr>
        <w:t>une</w:t>
      </w:r>
      <w:r w:rsidR="00A261F3">
        <w:rPr>
          <w:lang w:val="en-GB"/>
        </w:rPr>
        <w:t> 201</w:t>
      </w:r>
      <w:r>
        <w:rPr>
          <w:lang w:val="en-GB"/>
        </w:rPr>
        <w:t xml:space="preserve">7 there were 71,423 consumers in home care, compared with 64,069 at </w:t>
      </w:r>
      <w:r w:rsidR="00A261F3">
        <w:rPr>
          <w:lang w:val="en-GB"/>
        </w:rPr>
        <w:t>30 J</w:t>
      </w:r>
      <w:r>
        <w:rPr>
          <w:lang w:val="en-GB"/>
        </w:rPr>
        <w:t>une</w:t>
      </w:r>
      <w:r w:rsidR="00A261F3">
        <w:rPr>
          <w:lang w:val="en-GB"/>
        </w:rPr>
        <w:t> 201</w:t>
      </w:r>
      <w:r>
        <w:rPr>
          <w:lang w:val="en-GB"/>
        </w:rPr>
        <w:t>6.</w:t>
      </w:r>
      <w:r w:rsidR="00A95DF1">
        <w:rPr>
          <w:lang w:val="en-GB"/>
        </w:rPr>
        <w:t xml:space="preserve"> </w:t>
      </w:r>
      <w:r w:rsidR="006947D2">
        <w:rPr>
          <w:lang w:val="en-GB"/>
        </w:rPr>
        <w:t>The number of services operated by all providers also increased in</w:t>
      </w:r>
      <w:r w:rsidR="00A261F3">
        <w:rPr>
          <w:lang w:val="en-GB"/>
        </w:rPr>
        <w:t> 201</w:t>
      </w:r>
      <w:r w:rsidR="006947D2">
        <w:rPr>
          <w:lang w:val="en-GB"/>
        </w:rPr>
        <w:t>6</w:t>
      </w:r>
      <w:r w:rsidR="00D8721E">
        <w:rPr>
          <w:lang w:val="en-GB"/>
        </w:rPr>
        <w:t>–1</w:t>
      </w:r>
      <w:r w:rsidR="006947D2">
        <w:rPr>
          <w:lang w:val="en-GB"/>
        </w:rPr>
        <w:t>7 compared with</w:t>
      </w:r>
      <w:r w:rsidR="00A261F3">
        <w:rPr>
          <w:lang w:val="en-GB"/>
        </w:rPr>
        <w:t> 201</w:t>
      </w:r>
      <w:r w:rsidR="006947D2">
        <w:rPr>
          <w:lang w:val="en-GB"/>
        </w:rPr>
        <w:t>5</w:t>
      </w:r>
      <w:r w:rsidR="00D8721E">
        <w:rPr>
          <w:lang w:val="en-GB"/>
        </w:rPr>
        <w:t>–1</w:t>
      </w:r>
      <w:r w:rsidR="006947D2">
        <w:rPr>
          <w:lang w:val="en-GB"/>
        </w:rPr>
        <w:t xml:space="preserve">6 (2,367 up from 2,099). </w:t>
      </w:r>
      <w:r w:rsidR="000F510E">
        <w:rPr>
          <w:lang w:val="en-GB"/>
        </w:rPr>
        <w:t xml:space="preserve">The majority of the increase in services was due to new single service providers entering the market. At </w:t>
      </w:r>
      <w:r w:rsidR="00A261F3">
        <w:rPr>
          <w:lang w:val="en-GB"/>
        </w:rPr>
        <w:t>30 J</w:t>
      </w:r>
      <w:r w:rsidR="000F510E">
        <w:rPr>
          <w:lang w:val="en-GB"/>
        </w:rPr>
        <w:t>une</w:t>
      </w:r>
      <w:r w:rsidR="00A261F3">
        <w:rPr>
          <w:lang w:val="en-GB"/>
        </w:rPr>
        <w:t> 201</w:t>
      </w:r>
      <w:r w:rsidR="000F510E">
        <w:rPr>
          <w:lang w:val="en-GB"/>
        </w:rPr>
        <w:t>7 there were 388 single service providers (5</w:t>
      </w:r>
      <w:r w:rsidR="009C307B">
        <w:rPr>
          <w:lang w:val="en-GB"/>
        </w:rPr>
        <w:t>5</w:t>
      </w:r>
      <w:r w:rsidR="00A261F3">
        <w:rPr>
          <w:lang w:val="en-GB"/>
        </w:rPr>
        <w:t> per cent</w:t>
      </w:r>
      <w:r w:rsidR="000F510E">
        <w:rPr>
          <w:lang w:val="en-GB"/>
        </w:rPr>
        <w:t xml:space="preserve"> of all providers) compared with 223 (4</w:t>
      </w:r>
      <w:r w:rsidR="009C307B">
        <w:rPr>
          <w:lang w:val="en-GB"/>
        </w:rPr>
        <w:t>5</w:t>
      </w:r>
      <w:r w:rsidR="00A261F3">
        <w:rPr>
          <w:lang w:val="en-GB"/>
        </w:rPr>
        <w:t> per cent</w:t>
      </w:r>
      <w:r w:rsidR="000F510E">
        <w:rPr>
          <w:lang w:val="en-GB"/>
        </w:rPr>
        <w:t xml:space="preserve">) at </w:t>
      </w:r>
      <w:r w:rsidR="00A261F3">
        <w:rPr>
          <w:lang w:val="en-GB"/>
        </w:rPr>
        <w:t>30 J</w:t>
      </w:r>
      <w:r w:rsidR="000F510E">
        <w:rPr>
          <w:lang w:val="en-GB"/>
        </w:rPr>
        <w:t>une</w:t>
      </w:r>
      <w:r w:rsidR="00A261F3">
        <w:rPr>
          <w:lang w:val="en-GB"/>
        </w:rPr>
        <w:t> 201</w:t>
      </w:r>
      <w:r w:rsidR="000F510E">
        <w:rPr>
          <w:lang w:val="en-GB"/>
        </w:rPr>
        <w:t>6</w:t>
      </w:r>
      <w:r w:rsidR="00D8721E">
        <w:rPr>
          <w:lang w:val="en-GB"/>
        </w:rPr>
        <w:t>.</w:t>
      </w:r>
    </w:p>
    <w:p w:rsidR="00D8721E" w:rsidRDefault="006947D2" w:rsidP="00A4014C">
      <w:pPr>
        <w:rPr>
          <w:lang w:val="en-GB"/>
        </w:rPr>
      </w:pPr>
      <w:r>
        <w:rPr>
          <w:lang w:val="en-GB"/>
        </w:rPr>
        <w:t>Throughout</w:t>
      </w:r>
      <w:r w:rsidR="00A261F3">
        <w:rPr>
          <w:lang w:val="en-GB"/>
        </w:rPr>
        <w:t> 201</w:t>
      </w:r>
      <w:r>
        <w:rPr>
          <w:lang w:val="en-GB"/>
        </w:rPr>
        <w:t>6</w:t>
      </w:r>
      <w:r w:rsidR="00D8721E">
        <w:rPr>
          <w:lang w:val="en-GB"/>
        </w:rPr>
        <w:t>–1</w:t>
      </w:r>
      <w:r>
        <w:rPr>
          <w:lang w:val="en-GB"/>
        </w:rPr>
        <w:t>7, 97,516 older Australians were in receipt of a home care package at some time (up from 88,875</w:t>
      </w:r>
      <w:r w:rsidR="00A912FD">
        <w:rPr>
          <w:lang w:val="en-GB"/>
        </w:rPr>
        <w:t xml:space="preserve"> in</w:t>
      </w:r>
      <w:r w:rsidR="00A261F3">
        <w:rPr>
          <w:lang w:val="en-GB"/>
        </w:rPr>
        <w:t> 201</w:t>
      </w:r>
      <w:r w:rsidR="00A912FD">
        <w:rPr>
          <w:lang w:val="en-GB"/>
        </w:rPr>
        <w:t>5</w:t>
      </w:r>
      <w:r w:rsidR="00D8721E">
        <w:rPr>
          <w:lang w:val="en-GB"/>
        </w:rPr>
        <w:t>–1</w:t>
      </w:r>
      <w:r w:rsidR="00A912FD">
        <w:rPr>
          <w:lang w:val="en-GB"/>
        </w:rPr>
        <w:t>6</w:t>
      </w:r>
      <w:r>
        <w:rPr>
          <w:lang w:val="en-GB"/>
        </w:rPr>
        <w:t>).</w:t>
      </w:r>
      <w:r w:rsidR="000F510E">
        <w:rPr>
          <w:lang w:val="en-GB"/>
        </w:rPr>
        <w:t xml:space="preserve"> </w:t>
      </w:r>
      <w:r w:rsidRPr="00DC34DB">
        <w:rPr>
          <w:lang w:val="en-GB"/>
        </w:rPr>
        <w:t>In</w:t>
      </w:r>
      <w:r w:rsidR="00A261F3">
        <w:rPr>
          <w:lang w:val="en-GB"/>
        </w:rPr>
        <w:t> 201</w:t>
      </w:r>
      <w:r w:rsidRPr="00DC34DB">
        <w:rPr>
          <w:lang w:val="en-GB"/>
        </w:rPr>
        <w:t>6</w:t>
      </w:r>
      <w:r w:rsidR="00D8721E">
        <w:rPr>
          <w:lang w:val="en-GB"/>
        </w:rPr>
        <w:t>–1</w:t>
      </w:r>
      <w:r w:rsidRPr="00DC34DB">
        <w:rPr>
          <w:lang w:val="en-GB"/>
        </w:rPr>
        <w:t>7, level 2 packages once again comprised the majority of all home care packages (6</w:t>
      </w:r>
      <w:r w:rsidR="00D00B54">
        <w:rPr>
          <w:lang w:val="en-GB"/>
        </w:rPr>
        <w:t>6</w:t>
      </w:r>
      <w:r w:rsidR="00A261F3">
        <w:rPr>
          <w:lang w:val="en-GB"/>
        </w:rPr>
        <w:t> per cent</w:t>
      </w:r>
      <w:r w:rsidRPr="00DC34DB">
        <w:rPr>
          <w:lang w:val="en-GB"/>
        </w:rPr>
        <w:t>), followed by level 4 (2</w:t>
      </w:r>
      <w:r w:rsidR="00341DAB">
        <w:rPr>
          <w:lang w:val="en-GB"/>
        </w:rPr>
        <w:t>3</w:t>
      </w:r>
      <w:r w:rsidR="00A261F3">
        <w:rPr>
          <w:lang w:val="en-GB"/>
        </w:rPr>
        <w:t> per cent</w:t>
      </w:r>
      <w:r w:rsidRPr="00DC34DB">
        <w:rPr>
          <w:lang w:val="en-GB"/>
        </w:rPr>
        <w:t>). Level 3 and level 1 packages comprised 10</w:t>
      </w:r>
      <w:r w:rsidR="00A261F3">
        <w:rPr>
          <w:lang w:val="en-GB"/>
        </w:rPr>
        <w:t> per cent</w:t>
      </w:r>
      <w:r w:rsidRPr="00DC34DB">
        <w:rPr>
          <w:lang w:val="en-GB"/>
        </w:rPr>
        <w:t xml:space="preserve"> and </w:t>
      </w:r>
      <w:r w:rsidR="00341DAB">
        <w:rPr>
          <w:lang w:val="en-GB"/>
        </w:rPr>
        <w:t>2</w:t>
      </w:r>
      <w:r w:rsidR="00A261F3">
        <w:rPr>
          <w:lang w:val="en-GB"/>
        </w:rPr>
        <w:t> per cent</w:t>
      </w:r>
      <w:r w:rsidRPr="00DC34DB">
        <w:rPr>
          <w:lang w:val="en-GB"/>
        </w:rPr>
        <w:t xml:space="preserve"> respectively</w:t>
      </w:r>
      <w:r>
        <w:rPr>
          <w:lang w:val="en-GB"/>
        </w:rPr>
        <w:t xml:space="preserve"> (</w:t>
      </w:r>
      <w:r w:rsidR="00492BF8">
        <w:rPr>
          <w:lang w:val="en-GB"/>
        </w:rPr>
        <w:fldChar w:fldCharType="begin"/>
      </w:r>
      <w:r w:rsidR="00492BF8">
        <w:rPr>
          <w:lang w:val="en-GB"/>
        </w:rPr>
        <w:instrText xml:space="preserve"> REF _Ref524429337 \r \h </w:instrText>
      </w:r>
      <w:r w:rsidR="00492BF8">
        <w:rPr>
          <w:lang w:val="en-GB"/>
        </w:rPr>
      </w:r>
      <w:r w:rsidR="00492BF8">
        <w:rPr>
          <w:lang w:val="en-GB"/>
        </w:rPr>
        <w:fldChar w:fldCharType="separate"/>
      </w:r>
      <w:r w:rsidR="00492BF8">
        <w:rPr>
          <w:lang w:val="en-GB"/>
        </w:rPr>
        <w:t>Table 7.4</w:t>
      </w:r>
      <w:r w:rsidR="00492BF8">
        <w:rPr>
          <w:lang w:val="en-GB"/>
        </w:rPr>
        <w:fldChar w:fldCharType="end"/>
      </w:r>
      <w:r>
        <w:rPr>
          <w:lang w:val="en-GB"/>
        </w:rPr>
        <w:t>)</w:t>
      </w:r>
      <w:r w:rsidR="00D8721E">
        <w:rPr>
          <w:lang w:val="en-GB"/>
        </w:rPr>
        <w:t>.</w:t>
      </w:r>
    </w:p>
    <w:p w:rsidR="006947D2" w:rsidRDefault="00650120" w:rsidP="00A4014C">
      <w:pPr>
        <w:rPr>
          <w:lang w:val="en-GB"/>
        </w:rPr>
      </w:pPr>
      <w:r w:rsidRPr="00650120">
        <w:rPr>
          <w:lang w:val="en-GB"/>
        </w:rPr>
        <w:t>Despite the significant increase in the number of for</w:t>
      </w:r>
      <w:r w:rsidRPr="00650120">
        <w:rPr>
          <w:lang w:val="en-GB"/>
        </w:rPr>
        <w:noBreakHyphen/>
        <w:t>profit providers</w:t>
      </w:r>
      <w:r w:rsidR="00833D80">
        <w:rPr>
          <w:lang w:val="en-GB"/>
        </w:rPr>
        <w:t>,</w:t>
      </w:r>
      <w:r>
        <w:rPr>
          <w:lang w:val="en-GB"/>
        </w:rPr>
        <w:t xml:space="preserve"> </w:t>
      </w:r>
      <w:r w:rsidR="006947D2">
        <w:rPr>
          <w:lang w:val="en-GB"/>
        </w:rPr>
        <w:t>n</w:t>
      </w:r>
      <w:r>
        <w:rPr>
          <w:lang w:val="en-GB"/>
        </w:rPr>
        <w:t xml:space="preserve">ot-for-profit providers continued </w:t>
      </w:r>
      <w:r w:rsidR="006947D2">
        <w:rPr>
          <w:lang w:val="en-GB"/>
        </w:rPr>
        <w:t>to provide the majority of home c</w:t>
      </w:r>
      <w:r>
        <w:rPr>
          <w:lang w:val="en-GB"/>
        </w:rPr>
        <w:t xml:space="preserve">are packages across all levels </w:t>
      </w:r>
      <w:r w:rsidRPr="00650120">
        <w:rPr>
          <w:lang w:val="en-GB"/>
        </w:rPr>
        <w:t>in</w:t>
      </w:r>
      <w:r w:rsidR="00A261F3">
        <w:rPr>
          <w:lang w:val="en-GB"/>
        </w:rPr>
        <w:t> 201</w:t>
      </w:r>
      <w:r w:rsidRPr="00650120">
        <w:rPr>
          <w:lang w:val="en-GB"/>
        </w:rPr>
        <w:t>6</w:t>
      </w:r>
      <w:r w:rsidR="00D8721E">
        <w:rPr>
          <w:lang w:val="en-GB"/>
        </w:rPr>
        <w:t>–1</w:t>
      </w:r>
      <w:r w:rsidRPr="00650120">
        <w:rPr>
          <w:lang w:val="en-GB"/>
        </w:rPr>
        <w:t xml:space="preserve">7, as illustrated in </w:t>
      </w:r>
      <w:r w:rsidR="00492BF8">
        <w:rPr>
          <w:lang w:val="en-GB"/>
        </w:rPr>
        <w:fldChar w:fldCharType="begin"/>
      </w:r>
      <w:r w:rsidR="00492BF8">
        <w:rPr>
          <w:lang w:val="en-GB"/>
        </w:rPr>
        <w:instrText xml:space="preserve"> REF _Ref524428321 \r \h </w:instrText>
      </w:r>
      <w:r w:rsidR="00492BF8">
        <w:rPr>
          <w:lang w:val="en-GB"/>
        </w:rPr>
      </w:r>
      <w:r w:rsidR="00492BF8">
        <w:rPr>
          <w:lang w:val="en-GB"/>
        </w:rPr>
        <w:fldChar w:fldCharType="separate"/>
      </w:r>
      <w:r w:rsidR="00492BF8">
        <w:rPr>
          <w:lang w:val="en-GB"/>
        </w:rPr>
        <w:t>Chart 7.1</w:t>
      </w:r>
      <w:r w:rsidR="00492BF8">
        <w:rPr>
          <w:lang w:val="en-GB"/>
        </w:rPr>
        <w:fldChar w:fldCharType="end"/>
      </w:r>
      <w:r w:rsidR="00492BF8">
        <w:rPr>
          <w:lang w:val="en-GB"/>
        </w:rPr>
        <w:t xml:space="preserve"> </w:t>
      </w:r>
      <w:r w:rsidRPr="00650120">
        <w:rPr>
          <w:lang w:val="en-GB"/>
        </w:rPr>
        <w:t xml:space="preserve">and </w:t>
      </w:r>
      <w:r w:rsidR="00492BF8">
        <w:rPr>
          <w:lang w:val="en-GB"/>
        </w:rPr>
        <w:fldChar w:fldCharType="begin"/>
      </w:r>
      <w:r w:rsidR="00492BF8">
        <w:rPr>
          <w:lang w:val="en-GB"/>
        </w:rPr>
        <w:instrText xml:space="preserve"> REF _Ref524429337 \r \h </w:instrText>
      </w:r>
      <w:r w:rsidR="00492BF8">
        <w:rPr>
          <w:lang w:val="en-GB"/>
        </w:rPr>
      </w:r>
      <w:r w:rsidR="00492BF8">
        <w:rPr>
          <w:lang w:val="en-GB"/>
        </w:rPr>
        <w:fldChar w:fldCharType="separate"/>
      </w:r>
      <w:r w:rsidR="00492BF8">
        <w:rPr>
          <w:lang w:val="en-GB"/>
        </w:rPr>
        <w:t>Table 7.4</w:t>
      </w:r>
      <w:r w:rsidR="00492BF8">
        <w:rPr>
          <w:lang w:val="en-GB"/>
        </w:rPr>
        <w:fldChar w:fldCharType="end"/>
      </w:r>
      <w:r w:rsidR="00492BF8">
        <w:rPr>
          <w:lang w:val="en-GB"/>
        </w:rPr>
        <w:t>.</w:t>
      </w:r>
    </w:p>
    <w:p w:rsidR="00D8721E" w:rsidRDefault="00A912FD" w:rsidP="00A4014C">
      <w:r>
        <w:t>However, as was the case last year, for-profit providers had a proportionally larger share of level 1 and level 3 package consumers than they did for level 2 and level 4, with 25</w:t>
      </w:r>
      <w:r w:rsidR="00247BB3">
        <w:t xml:space="preserve"> and 16</w:t>
      </w:r>
      <w:r w:rsidR="00A261F3">
        <w:t> per cent</w:t>
      </w:r>
      <w:r w:rsidR="00247BB3">
        <w:t xml:space="preserve"> compared with </w:t>
      </w:r>
      <w:r w:rsidR="00833D80">
        <w:t xml:space="preserve">9 </w:t>
      </w:r>
      <w:r>
        <w:t>and 13</w:t>
      </w:r>
      <w:r w:rsidR="00A261F3">
        <w:t> per cent</w:t>
      </w:r>
      <w:r>
        <w:t xml:space="preserve">. This is likely a result of for-profit providers having greater success in more recent ACARs, coinciding with the recent introduction of level 1 and 3 packages. Overall, the total share of consumers receiving care from for-profit providers increased </w:t>
      </w:r>
      <w:r w:rsidRPr="008E2988">
        <w:t>from 10.</w:t>
      </w:r>
      <w:r>
        <w:t>1</w:t>
      </w:r>
      <w:r w:rsidR="00A261F3">
        <w:t> per cent</w:t>
      </w:r>
      <w:r>
        <w:t xml:space="preserve"> in</w:t>
      </w:r>
      <w:r w:rsidR="00A261F3">
        <w:t> 201</w:t>
      </w:r>
      <w:r>
        <w:t>5</w:t>
      </w:r>
      <w:r w:rsidR="00D8721E">
        <w:t>–1</w:t>
      </w:r>
      <w:r>
        <w:t>6 to 11.6</w:t>
      </w:r>
      <w:r w:rsidR="00A261F3">
        <w:t> per cent</w:t>
      </w:r>
      <w:r>
        <w:t xml:space="preserve"> in</w:t>
      </w:r>
      <w:r w:rsidR="00A261F3">
        <w:t> 201</w:t>
      </w:r>
      <w:r>
        <w:t>6</w:t>
      </w:r>
      <w:r w:rsidR="00D8721E">
        <w:t>–1</w:t>
      </w:r>
      <w:r>
        <w:t>7. This continues the trend noted in previous reports of for-profit providers gradually increasing their share of the home care market</w:t>
      </w:r>
      <w:r w:rsidR="00D8721E">
        <w:t>.</w:t>
      </w:r>
    </w:p>
    <w:p w:rsidR="008F3E8B" w:rsidRPr="00596D01" w:rsidRDefault="00E85D18" w:rsidP="00A4014C">
      <w:pPr>
        <w:pStyle w:val="ChartTitle"/>
      </w:pPr>
      <w:bookmarkStart w:id="488" w:name="_Ref450206236"/>
      <w:bookmarkStart w:id="489" w:name="_Ref524428321"/>
      <w:r w:rsidRPr="00596D01">
        <w:t>Home care c</w:t>
      </w:r>
      <w:r w:rsidR="00DC34DB" w:rsidRPr="00596D01">
        <w:t>onsumers</w:t>
      </w:r>
      <w:r w:rsidRPr="00596D01">
        <w:t xml:space="preserve">, by </w:t>
      </w:r>
      <w:r w:rsidR="00032CC0" w:rsidRPr="00596D01">
        <w:t>package</w:t>
      </w:r>
      <w:r w:rsidR="00200DCD" w:rsidRPr="00596D01">
        <w:t xml:space="preserve"> level</w:t>
      </w:r>
      <w:r w:rsidRPr="00596D01">
        <w:t xml:space="preserve"> and </w:t>
      </w:r>
      <w:r w:rsidR="006F2928" w:rsidRPr="00596D01">
        <w:t xml:space="preserve">provider </w:t>
      </w:r>
      <w:r w:rsidR="00200DCD" w:rsidRPr="00596D01">
        <w:t xml:space="preserve">ownership </w:t>
      </w:r>
      <w:r w:rsidR="006F2928" w:rsidRPr="00596D01">
        <w:t xml:space="preserve">type, </w:t>
      </w:r>
      <w:bookmarkEnd w:id="488"/>
      <w:r w:rsidR="006C3504" w:rsidRPr="00596D01">
        <w:t>at </w:t>
      </w:r>
      <w:r w:rsidR="00A261F3" w:rsidRPr="00596D01">
        <w:t>30 J</w:t>
      </w:r>
      <w:r w:rsidR="0037135D" w:rsidRPr="00596D01">
        <w:t>une</w:t>
      </w:r>
      <w:r w:rsidR="00A261F3" w:rsidRPr="00596D01">
        <w:t> 201</w:t>
      </w:r>
      <w:r w:rsidR="0037135D" w:rsidRPr="00596D01">
        <w:t>7</w:t>
      </w:r>
      <w:bookmarkEnd w:id="489"/>
    </w:p>
    <w:p w:rsidR="00D8721E" w:rsidRDefault="003F7DD1" w:rsidP="00A4014C">
      <w:r w:rsidRPr="00596D01">
        <w:rPr>
          <w:noProof/>
        </w:rPr>
        <w:drawing>
          <wp:inline distT="0" distB="0" distL="0" distR="0" wp14:anchorId="145D16AA" wp14:editId="523B27DC">
            <wp:extent cx="6120000" cy="1932632"/>
            <wp:effectExtent l="0" t="0" r="0" b="0"/>
            <wp:docPr id="27" name="Picture 27" descr="Chart 7.1 Home care consumers, by package level and provider ownership type, at 30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7.1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1932632"/>
                    </a:xfrm>
                    <a:prstGeom prst="rect">
                      <a:avLst/>
                    </a:prstGeom>
                    <a:noFill/>
                    <a:ln>
                      <a:noFill/>
                    </a:ln>
                  </pic:spPr>
                </pic:pic>
              </a:graphicData>
            </a:graphic>
          </wp:inline>
        </w:drawing>
      </w:r>
    </w:p>
    <w:p w:rsidR="00A4014C" w:rsidRDefault="00A4014C">
      <w:pPr>
        <w:suppressAutoHyphens w:val="0"/>
        <w:spacing w:before="60" w:after="0"/>
        <w:jc w:val="both"/>
      </w:pPr>
      <w:r>
        <w:br w:type="page"/>
      </w:r>
    </w:p>
    <w:p w:rsidR="000F510E" w:rsidRPr="00596D01" w:rsidRDefault="000F510E" w:rsidP="00A4014C">
      <w:pPr>
        <w:pStyle w:val="TableTitle"/>
      </w:pPr>
      <w:bookmarkStart w:id="490" w:name="_Ref524429337"/>
      <w:r w:rsidRPr="00596D01">
        <w:lastRenderedPageBreak/>
        <w:t xml:space="preserve">Home care consumers, by package level and ownership, </w:t>
      </w:r>
      <w:r w:rsidR="006C3504" w:rsidRPr="00596D01">
        <w:t xml:space="preserve">at </w:t>
      </w:r>
      <w:r w:rsidR="00A261F3" w:rsidRPr="00596D01">
        <w:t>30 J</w:t>
      </w:r>
      <w:r w:rsidRPr="00596D01">
        <w:t>une</w:t>
      </w:r>
      <w:r w:rsidR="00A261F3" w:rsidRPr="00596D01">
        <w:t> 201</w:t>
      </w:r>
      <w:r w:rsidRPr="00596D01">
        <w:t>7</w:t>
      </w:r>
      <w:bookmarkEnd w:id="49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25"/>
        <w:gridCol w:w="1925"/>
        <w:gridCol w:w="1926"/>
        <w:gridCol w:w="1926"/>
        <w:gridCol w:w="1926"/>
      </w:tblGrid>
      <w:tr w:rsidR="00E85D18" w:rsidRPr="00DE759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00" w:type="pct"/>
          </w:tcPr>
          <w:p w:rsidR="00E85D18" w:rsidRPr="00DE7592" w:rsidRDefault="00E85D18" w:rsidP="00A4014C">
            <w:pPr>
              <w:rPr>
                <w:rFonts w:ascii="Segoe UI" w:hAnsi="Segoe UI" w:cs="Segoe UI"/>
              </w:rPr>
            </w:pPr>
            <w:r w:rsidRPr="00596D01">
              <w:t>Level</w:t>
            </w:r>
          </w:p>
        </w:tc>
        <w:tc>
          <w:tcPr>
            <w:tcW w:w="1000" w:type="pct"/>
          </w:tcPr>
          <w:p w:rsidR="00E85D18" w:rsidRPr="00DE7592" w:rsidRDefault="00E85D18" w:rsidP="00A4014C">
            <w:pPr>
              <w:jc w:val="right"/>
              <w:rPr>
                <w:rFonts w:ascii="Segoe UI" w:hAnsi="Segoe UI" w:cs="Segoe UI"/>
              </w:rPr>
            </w:pPr>
            <w:r w:rsidRPr="00596D01">
              <w:t>Not-for-profit</w:t>
            </w:r>
          </w:p>
        </w:tc>
        <w:tc>
          <w:tcPr>
            <w:tcW w:w="1000" w:type="pct"/>
          </w:tcPr>
          <w:p w:rsidR="00E85D18" w:rsidRPr="00DE7592" w:rsidRDefault="00E85D18" w:rsidP="00A4014C">
            <w:pPr>
              <w:jc w:val="right"/>
              <w:rPr>
                <w:rFonts w:ascii="Segoe UI" w:hAnsi="Segoe UI" w:cs="Segoe UI"/>
              </w:rPr>
            </w:pPr>
            <w:r w:rsidRPr="00596D01">
              <w:t>For-profit</w:t>
            </w:r>
          </w:p>
        </w:tc>
        <w:tc>
          <w:tcPr>
            <w:tcW w:w="1000" w:type="pct"/>
          </w:tcPr>
          <w:p w:rsidR="00E85D18" w:rsidRPr="00DE7592" w:rsidRDefault="00E85D18" w:rsidP="00A4014C">
            <w:pPr>
              <w:jc w:val="right"/>
              <w:rPr>
                <w:rFonts w:ascii="Segoe UI" w:hAnsi="Segoe UI" w:cs="Segoe UI"/>
              </w:rPr>
            </w:pPr>
            <w:r w:rsidRPr="00596D01">
              <w:t>Government</w:t>
            </w:r>
          </w:p>
        </w:tc>
        <w:tc>
          <w:tcPr>
            <w:tcW w:w="1000" w:type="pct"/>
          </w:tcPr>
          <w:p w:rsidR="00E85D18" w:rsidRPr="00596D01" w:rsidRDefault="00E85D18" w:rsidP="00A4014C">
            <w:pPr>
              <w:jc w:val="right"/>
            </w:pPr>
            <w:r w:rsidRPr="00596D01">
              <w:t>Total</w:t>
            </w:r>
          </w:p>
        </w:tc>
      </w:tr>
      <w:tr w:rsidR="00E85D18" w:rsidRPr="003B7424" w:rsidTr="00A4014C">
        <w:trPr>
          <w:trHeight w:val="113"/>
        </w:trPr>
        <w:tc>
          <w:tcPr>
            <w:tcW w:w="1000" w:type="pct"/>
          </w:tcPr>
          <w:p w:rsidR="00E85D18" w:rsidRPr="00D44F5A" w:rsidRDefault="00E85D18" w:rsidP="00A4014C">
            <w:pPr>
              <w:rPr>
                <w:rFonts w:ascii="Segoe UI" w:hAnsi="Segoe UI" w:cs="Segoe UI"/>
                <w:lang w:val="en-GB"/>
              </w:rPr>
            </w:pPr>
            <w:r w:rsidRPr="00D44F5A">
              <w:rPr>
                <w:rFonts w:ascii="Segoe UI" w:hAnsi="Segoe UI" w:cs="Segoe UI"/>
                <w:lang w:val="en-GB"/>
              </w:rPr>
              <w:t>Level 1</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795</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289</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84</w:t>
            </w:r>
          </w:p>
        </w:tc>
        <w:tc>
          <w:tcPr>
            <w:tcW w:w="1000" w:type="pct"/>
          </w:tcPr>
          <w:p w:rsidR="00E85D18" w:rsidRPr="00596D01" w:rsidRDefault="00E85D18" w:rsidP="00A4014C">
            <w:pPr>
              <w:jc w:val="right"/>
              <w:rPr>
                <w:rStyle w:val="Strong"/>
              </w:rPr>
            </w:pPr>
            <w:r w:rsidRPr="00596D01">
              <w:rPr>
                <w:rStyle w:val="Strong"/>
              </w:rPr>
              <w:t>1,168</w:t>
            </w:r>
          </w:p>
        </w:tc>
      </w:tr>
      <w:tr w:rsidR="00E85D18" w:rsidRPr="003B7424" w:rsidTr="00A4014C">
        <w:trPr>
          <w:trHeight w:val="113"/>
        </w:trPr>
        <w:tc>
          <w:tcPr>
            <w:tcW w:w="1000" w:type="pct"/>
          </w:tcPr>
          <w:p w:rsidR="00E85D18" w:rsidRPr="00D44F5A" w:rsidRDefault="00E85D18" w:rsidP="00A4014C">
            <w:pPr>
              <w:rPr>
                <w:rFonts w:ascii="Segoe UI" w:hAnsi="Segoe UI" w:cs="Segoe UI"/>
                <w:lang w:val="en-GB"/>
              </w:rPr>
            </w:pPr>
            <w:r w:rsidRPr="00D44F5A">
              <w:rPr>
                <w:rFonts w:ascii="Segoe UI" w:hAnsi="Segoe UI" w:cs="Segoe UI"/>
                <w:lang w:val="en-GB"/>
              </w:rPr>
              <w:t>Level 2</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38,763</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4,691</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3,814</w:t>
            </w:r>
          </w:p>
        </w:tc>
        <w:tc>
          <w:tcPr>
            <w:tcW w:w="1000" w:type="pct"/>
          </w:tcPr>
          <w:p w:rsidR="00E85D18" w:rsidRPr="00596D01" w:rsidRDefault="00E85D18" w:rsidP="00A4014C">
            <w:pPr>
              <w:jc w:val="right"/>
              <w:rPr>
                <w:rStyle w:val="Strong"/>
              </w:rPr>
            </w:pPr>
            <w:r w:rsidRPr="00596D01">
              <w:rPr>
                <w:rStyle w:val="Strong"/>
              </w:rPr>
              <w:t>47,268</w:t>
            </w:r>
          </w:p>
        </w:tc>
      </w:tr>
      <w:tr w:rsidR="00E85D18" w:rsidRPr="003B7424" w:rsidTr="00A4014C">
        <w:trPr>
          <w:trHeight w:val="113"/>
        </w:trPr>
        <w:tc>
          <w:tcPr>
            <w:tcW w:w="1000" w:type="pct"/>
          </w:tcPr>
          <w:p w:rsidR="00E85D18" w:rsidRPr="00D44F5A" w:rsidRDefault="00E85D18" w:rsidP="00A4014C">
            <w:pPr>
              <w:rPr>
                <w:rFonts w:ascii="Segoe UI" w:hAnsi="Segoe UI" w:cs="Segoe UI"/>
                <w:lang w:val="en-GB"/>
              </w:rPr>
            </w:pPr>
            <w:r w:rsidRPr="00D44F5A">
              <w:rPr>
                <w:rFonts w:ascii="Segoe UI" w:hAnsi="Segoe UI" w:cs="Segoe UI"/>
                <w:lang w:val="en-GB"/>
              </w:rPr>
              <w:t>Level 3</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5,235</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1,115</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400</w:t>
            </w:r>
          </w:p>
        </w:tc>
        <w:tc>
          <w:tcPr>
            <w:tcW w:w="1000" w:type="pct"/>
          </w:tcPr>
          <w:p w:rsidR="00E85D18" w:rsidRPr="00596D01" w:rsidRDefault="00E85D18" w:rsidP="00A4014C">
            <w:pPr>
              <w:jc w:val="right"/>
              <w:rPr>
                <w:rStyle w:val="Strong"/>
              </w:rPr>
            </w:pPr>
            <w:r w:rsidRPr="00596D01">
              <w:rPr>
                <w:rStyle w:val="Strong"/>
              </w:rPr>
              <w:t>6,750</w:t>
            </w:r>
          </w:p>
        </w:tc>
      </w:tr>
      <w:tr w:rsidR="00E85D18" w:rsidRPr="003B7424" w:rsidTr="00A4014C">
        <w:trPr>
          <w:trHeight w:val="113"/>
        </w:trPr>
        <w:tc>
          <w:tcPr>
            <w:tcW w:w="1000" w:type="pct"/>
          </w:tcPr>
          <w:p w:rsidR="00E85D18" w:rsidRPr="00D44F5A" w:rsidRDefault="00E85D18" w:rsidP="00A4014C">
            <w:pPr>
              <w:rPr>
                <w:rFonts w:ascii="Segoe UI" w:hAnsi="Segoe UI" w:cs="Segoe UI"/>
                <w:lang w:val="en-GB"/>
              </w:rPr>
            </w:pPr>
            <w:r w:rsidRPr="00D44F5A">
              <w:rPr>
                <w:rFonts w:ascii="Segoe UI" w:hAnsi="Segoe UI" w:cs="Segoe UI"/>
                <w:lang w:val="en-GB"/>
              </w:rPr>
              <w:t>Level 4</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13,390</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2,219</w:t>
            </w:r>
          </w:p>
        </w:tc>
        <w:tc>
          <w:tcPr>
            <w:tcW w:w="1000" w:type="pct"/>
          </w:tcPr>
          <w:p w:rsidR="00E85D18" w:rsidRPr="003B7424" w:rsidRDefault="00E85D18" w:rsidP="00A4014C">
            <w:pPr>
              <w:jc w:val="right"/>
              <w:rPr>
                <w:rFonts w:ascii="Segoe UI" w:hAnsi="Segoe UI" w:cs="Segoe UI"/>
                <w:color w:val="313131"/>
              </w:rPr>
            </w:pPr>
            <w:r w:rsidRPr="003B7424">
              <w:rPr>
                <w:rFonts w:ascii="Segoe UI" w:hAnsi="Segoe UI" w:cs="Segoe UI"/>
                <w:color w:val="313131"/>
              </w:rPr>
              <w:t>628</w:t>
            </w:r>
          </w:p>
        </w:tc>
        <w:tc>
          <w:tcPr>
            <w:tcW w:w="1000" w:type="pct"/>
          </w:tcPr>
          <w:p w:rsidR="00E85D18" w:rsidRPr="00596D01" w:rsidRDefault="00E85D18" w:rsidP="00A4014C">
            <w:pPr>
              <w:jc w:val="right"/>
              <w:rPr>
                <w:rStyle w:val="Strong"/>
              </w:rPr>
            </w:pPr>
            <w:r w:rsidRPr="00596D01">
              <w:rPr>
                <w:rStyle w:val="Strong"/>
              </w:rPr>
              <w:t>16,237</w:t>
            </w:r>
          </w:p>
        </w:tc>
      </w:tr>
      <w:tr w:rsidR="00E85D18" w:rsidRPr="003B7424" w:rsidTr="00A4014C">
        <w:trPr>
          <w:trHeight w:val="113"/>
        </w:trPr>
        <w:tc>
          <w:tcPr>
            <w:tcW w:w="1000" w:type="pct"/>
          </w:tcPr>
          <w:p w:rsidR="00E85D18" w:rsidRPr="003B7424" w:rsidRDefault="00E85D18" w:rsidP="00A4014C">
            <w:pPr>
              <w:rPr>
                <w:rFonts w:ascii="Segoe UI" w:hAnsi="Segoe UI" w:cs="Segoe UI"/>
                <w:lang w:val="en-GB"/>
              </w:rPr>
            </w:pPr>
            <w:r w:rsidRPr="00596D01">
              <w:rPr>
                <w:rStyle w:val="Strong"/>
              </w:rPr>
              <w:t>Total</w:t>
            </w:r>
          </w:p>
        </w:tc>
        <w:tc>
          <w:tcPr>
            <w:tcW w:w="1000" w:type="pct"/>
          </w:tcPr>
          <w:p w:rsidR="00E85D18" w:rsidRPr="003B7424" w:rsidRDefault="00E85D18" w:rsidP="00A4014C">
            <w:pPr>
              <w:jc w:val="right"/>
              <w:rPr>
                <w:rFonts w:ascii="Segoe UI" w:hAnsi="Segoe UI" w:cs="Segoe UI"/>
                <w:color w:val="313131"/>
              </w:rPr>
            </w:pPr>
            <w:r w:rsidRPr="00596D01">
              <w:rPr>
                <w:rStyle w:val="Strong"/>
              </w:rPr>
              <w:t>58,183</w:t>
            </w:r>
          </w:p>
        </w:tc>
        <w:tc>
          <w:tcPr>
            <w:tcW w:w="1000" w:type="pct"/>
          </w:tcPr>
          <w:p w:rsidR="00E85D18" w:rsidRPr="003B7424" w:rsidRDefault="00E85D18" w:rsidP="00A4014C">
            <w:pPr>
              <w:jc w:val="right"/>
              <w:rPr>
                <w:rFonts w:ascii="Segoe UI" w:hAnsi="Segoe UI" w:cs="Segoe UI"/>
                <w:color w:val="313131"/>
              </w:rPr>
            </w:pPr>
            <w:r w:rsidRPr="00596D01">
              <w:rPr>
                <w:rStyle w:val="Strong"/>
              </w:rPr>
              <w:t>8,314</w:t>
            </w:r>
          </w:p>
        </w:tc>
        <w:tc>
          <w:tcPr>
            <w:tcW w:w="1000" w:type="pct"/>
          </w:tcPr>
          <w:p w:rsidR="00E85D18" w:rsidRPr="003B7424" w:rsidRDefault="00E85D18" w:rsidP="00A4014C">
            <w:pPr>
              <w:jc w:val="right"/>
              <w:rPr>
                <w:rFonts w:ascii="Segoe UI" w:hAnsi="Segoe UI" w:cs="Segoe UI"/>
                <w:color w:val="313131"/>
              </w:rPr>
            </w:pPr>
            <w:r w:rsidRPr="00596D01">
              <w:rPr>
                <w:rStyle w:val="Strong"/>
              </w:rPr>
              <w:t>4,926</w:t>
            </w:r>
          </w:p>
        </w:tc>
        <w:tc>
          <w:tcPr>
            <w:tcW w:w="1000" w:type="pct"/>
          </w:tcPr>
          <w:p w:rsidR="00E85D18" w:rsidRPr="00596D01" w:rsidRDefault="00E85D18" w:rsidP="00A4014C">
            <w:pPr>
              <w:jc w:val="right"/>
              <w:rPr>
                <w:rStyle w:val="Strong"/>
              </w:rPr>
            </w:pPr>
            <w:r w:rsidRPr="00596D01">
              <w:rPr>
                <w:rStyle w:val="Strong"/>
              </w:rPr>
              <w:t>71,423</w:t>
            </w:r>
          </w:p>
        </w:tc>
      </w:tr>
    </w:tbl>
    <w:p w:rsidR="00D8721E" w:rsidRDefault="005876F5" w:rsidP="00A4014C">
      <w:r>
        <w:t xml:space="preserve">In previous years, the </w:t>
      </w:r>
      <w:r w:rsidRPr="00D50CDC">
        <w:t xml:space="preserve">share of </w:t>
      </w:r>
      <w:r>
        <w:t xml:space="preserve">packages held by ownership type </w:t>
      </w:r>
      <w:r w:rsidRPr="00D50CDC">
        <w:t>refl</w:t>
      </w:r>
      <w:r>
        <w:t>ected previous ACAR allocations. However due to the February</w:t>
      </w:r>
      <w:r w:rsidR="00A261F3">
        <w:t> 201</w:t>
      </w:r>
      <w:r>
        <w:t>7 changes that allow consumers to direct their package to their provider of choice, providers’ market shares will no longer be determined by the ACAR but by consumer choice. The February</w:t>
      </w:r>
      <w:r w:rsidR="00A261F3">
        <w:t> 201</w:t>
      </w:r>
      <w:r>
        <w:t>7 changes would only be starting t</w:t>
      </w:r>
      <w:r w:rsidR="00A912FD">
        <w:t>o have an impact in</w:t>
      </w:r>
      <w:r w:rsidR="00A261F3">
        <w:t> 201</w:t>
      </w:r>
      <w:r w:rsidR="00A912FD">
        <w:t>6</w:t>
      </w:r>
      <w:r w:rsidR="00D8721E">
        <w:t>–1</w:t>
      </w:r>
      <w:r w:rsidR="00A912FD">
        <w:t>7</w:t>
      </w:r>
      <w:r w:rsidR="00FF4857">
        <w:t>.</w:t>
      </w:r>
      <w:r w:rsidR="00A912FD">
        <w:t xml:space="preserve"> </w:t>
      </w:r>
      <w:r>
        <w:t xml:space="preserve">ACFA will monitor the implications of this more competitive environment on provider market shares. </w:t>
      </w:r>
      <w:r w:rsidR="00492BF8">
        <w:fldChar w:fldCharType="begin"/>
      </w:r>
      <w:r w:rsidR="00492BF8">
        <w:instrText xml:space="preserve"> REF _Ref524429365 \r \h </w:instrText>
      </w:r>
      <w:r w:rsidR="00492BF8">
        <w:fldChar w:fldCharType="separate"/>
      </w:r>
      <w:r w:rsidR="00492BF8">
        <w:t>Table 7.5</w:t>
      </w:r>
      <w:r w:rsidR="00492BF8">
        <w:fldChar w:fldCharType="end"/>
      </w:r>
      <w:r w:rsidR="00492BF8">
        <w:t xml:space="preserve"> </w:t>
      </w:r>
      <w:r>
        <w:t xml:space="preserve">shows all consumers in </w:t>
      </w:r>
      <w:r w:rsidR="00A95DF1">
        <w:t>packages</w:t>
      </w:r>
      <w:r>
        <w:t xml:space="preserve"> as at </w:t>
      </w:r>
      <w:r w:rsidR="00A261F3">
        <w:t>30 J</w:t>
      </w:r>
      <w:r>
        <w:t>une</w:t>
      </w:r>
      <w:r w:rsidR="00A261F3">
        <w:t> 201</w:t>
      </w:r>
      <w:r>
        <w:t>7 by ownership type, state and territory and by package level.</w:t>
      </w:r>
    </w:p>
    <w:p w:rsidR="00A35CB4" w:rsidRPr="00596D01" w:rsidRDefault="00A35CB4" w:rsidP="00A4014C">
      <w:pPr>
        <w:pStyle w:val="TableTitle"/>
        <w:rPr>
          <w:rStyle w:val="Strong"/>
        </w:rPr>
      </w:pPr>
      <w:bookmarkStart w:id="491" w:name="_Ref524429365"/>
      <w:r w:rsidRPr="00596D01">
        <w:t xml:space="preserve">Number of consumers in packages, by provider type and state/territory, </w:t>
      </w:r>
      <w:r w:rsidR="006C3504" w:rsidRPr="00596D01">
        <w:t>at </w:t>
      </w:r>
      <w:r w:rsidR="00A261F3" w:rsidRPr="00596D01">
        <w:t>30 J</w:t>
      </w:r>
      <w:r w:rsidRPr="00596D01">
        <w:t>une</w:t>
      </w:r>
      <w:r w:rsidR="00A261F3" w:rsidRPr="00596D01">
        <w:t> 201</w:t>
      </w:r>
      <w:r w:rsidRPr="00596D01">
        <w:t>7</w:t>
      </w:r>
      <w:bookmarkEnd w:id="491"/>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25"/>
        <w:gridCol w:w="1925"/>
        <w:gridCol w:w="1926"/>
        <w:gridCol w:w="1926"/>
        <w:gridCol w:w="1926"/>
      </w:tblGrid>
      <w:tr w:rsidR="002129A6" w:rsidRPr="00DE759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00" w:type="pct"/>
          </w:tcPr>
          <w:p w:rsidR="002129A6" w:rsidRPr="00DE7592" w:rsidRDefault="002129A6" w:rsidP="00A4014C">
            <w:pPr>
              <w:rPr>
                <w:rFonts w:ascii="Segoe UI" w:hAnsi="Segoe UI" w:cs="Segoe UI"/>
              </w:rPr>
            </w:pPr>
            <w:r w:rsidRPr="00596D01">
              <w:t>State/territory</w:t>
            </w:r>
          </w:p>
        </w:tc>
        <w:tc>
          <w:tcPr>
            <w:tcW w:w="1000" w:type="pct"/>
          </w:tcPr>
          <w:p w:rsidR="002129A6" w:rsidRPr="00DE7592" w:rsidRDefault="002129A6" w:rsidP="00A4014C">
            <w:pPr>
              <w:jc w:val="right"/>
              <w:rPr>
                <w:rFonts w:ascii="Segoe UI" w:hAnsi="Segoe UI" w:cs="Segoe UI"/>
              </w:rPr>
            </w:pPr>
            <w:r w:rsidRPr="00596D01">
              <w:t>Not-for-profit</w:t>
            </w:r>
          </w:p>
        </w:tc>
        <w:tc>
          <w:tcPr>
            <w:tcW w:w="1000" w:type="pct"/>
          </w:tcPr>
          <w:p w:rsidR="002129A6" w:rsidRPr="00DE7592" w:rsidRDefault="002129A6" w:rsidP="00A4014C">
            <w:pPr>
              <w:jc w:val="right"/>
              <w:rPr>
                <w:rFonts w:ascii="Segoe UI" w:hAnsi="Segoe UI" w:cs="Segoe UI"/>
              </w:rPr>
            </w:pPr>
            <w:r w:rsidRPr="00596D01">
              <w:t>For-profit</w:t>
            </w:r>
          </w:p>
        </w:tc>
        <w:tc>
          <w:tcPr>
            <w:tcW w:w="1000" w:type="pct"/>
          </w:tcPr>
          <w:p w:rsidR="002129A6" w:rsidRPr="00DE7592" w:rsidRDefault="002129A6" w:rsidP="00A4014C">
            <w:pPr>
              <w:jc w:val="right"/>
              <w:rPr>
                <w:rFonts w:ascii="Segoe UI" w:hAnsi="Segoe UI" w:cs="Segoe UI"/>
              </w:rPr>
            </w:pPr>
            <w:r w:rsidRPr="00596D01">
              <w:t xml:space="preserve">Government </w:t>
            </w:r>
          </w:p>
        </w:tc>
        <w:tc>
          <w:tcPr>
            <w:tcW w:w="1000" w:type="pct"/>
          </w:tcPr>
          <w:p w:rsidR="002129A6" w:rsidRPr="00596D01" w:rsidRDefault="002129A6" w:rsidP="00A4014C">
            <w:pPr>
              <w:jc w:val="right"/>
            </w:pPr>
            <w:r w:rsidRPr="00596D01">
              <w:t>Total</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NSW</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19,449</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3,331</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623</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23,403</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VIC</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14,278</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1,255</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3,008</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18,541</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QLD</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11,645</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1,401</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247</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13,293</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WA</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5,152</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1,315</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285</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6,752</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SA</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4,742</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354</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513</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5,609</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TAS</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1,578</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319</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10</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1,907</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ACT</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940</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201</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0</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1,141</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NT</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399</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138</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240</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777</w:t>
            </w:r>
          </w:p>
        </w:tc>
      </w:tr>
      <w:tr w:rsidR="002129A6" w:rsidRPr="00DE7592" w:rsidTr="00A4014C">
        <w:trPr>
          <w:trHeight w:val="113"/>
        </w:trPr>
        <w:tc>
          <w:tcPr>
            <w:tcW w:w="1000" w:type="pct"/>
          </w:tcPr>
          <w:p w:rsidR="002129A6" w:rsidRPr="00DE7592" w:rsidRDefault="002129A6" w:rsidP="00A4014C">
            <w:pPr>
              <w:rPr>
                <w:rFonts w:ascii="Segoe UI" w:hAnsi="Segoe UI" w:cs="Segoe UI"/>
                <w:szCs w:val="22"/>
                <w:lang w:val="en-GB"/>
              </w:rPr>
            </w:pPr>
            <w:r w:rsidRPr="00DE7592">
              <w:rPr>
                <w:rFonts w:ascii="Segoe UI" w:hAnsi="Segoe UI" w:cs="Segoe UI"/>
                <w:szCs w:val="22"/>
                <w:lang w:val="en-GB"/>
              </w:rPr>
              <w:t>Australia</w:t>
            </w:r>
          </w:p>
        </w:tc>
        <w:tc>
          <w:tcPr>
            <w:tcW w:w="1000" w:type="pct"/>
          </w:tcPr>
          <w:p w:rsidR="002129A6" w:rsidRPr="002129A6" w:rsidRDefault="002129A6" w:rsidP="00A4014C">
            <w:pPr>
              <w:jc w:val="right"/>
              <w:rPr>
                <w:rFonts w:ascii="Segoe UI" w:hAnsi="Segoe UI" w:cs="Segoe UI"/>
                <w:szCs w:val="22"/>
                <w:lang w:val="en-GB"/>
              </w:rPr>
            </w:pPr>
            <w:r w:rsidRPr="002129A6">
              <w:rPr>
                <w:rFonts w:ascii="Segoe UI" w:hAnsi="Segoe UI" w:cs="Segoe UI"/>
                <w:szCs w:val="22"/>
                <w:lang w:val="en-GB"/>
              </w:rPr>
              <w:t>58,183</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8,314</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4,926</w:t>
            </w:r>
          </w:p>
        </w:tc>
        <w:tc>
          <w:tcPr>
            <w:tcW w:w="1000" w:type="pct"/>
          </w:tcPr>
          <w:p w:rsidR="002129A6" w:rsidRPr="00BB3A49" w:rsidRDefault="002129A6" w:rsidP="00A4014C">
            <w:pPr>
              <w:jc w:val="right"/>
              <w:rPr>
                <w:rFonts w:ascii="Segoe UI" w:hAnsi="Segoe UI" w:cs="Segoe UI"/>
                <w:szCs w:val="22"/>
                <w:lang w:val="en-GB"/>
              </w:rPr>
            </w:pPr>
            <w:r w:rsidRPr="00BB3A49">
              <w:rPr>
                <w:rFonts w:ascii="Segoe UI" w:hAnsi="Segoe UI" w:cs="Segoe UI"/>
                <w:szCs w:val="22"/>
                <w:lang w:val="en-GB"/>
              </w:rPr>
              <w:t>71,423</w:t>
            </w:r>
          </w:p>
        </w:tc>
      </w:tr>
      <w:tr w:rsidR="002129A6" w:rsidRPr="00BB3A49" w:rsidTr="00A4014C">
        <w:trPr>
          <w:trHeight w:val="113"/>
        </w:trPr>
        <w:tc>
          <w:tcPr>
            <w:tcW w:w="1000" w:type="pct"/>
          </w:tcPr>
          <w:p w:rsidR="002129A6" w:rsidRPr="00DE7592" w:rsidRDefault="002129A6" w:rsidP="00A4014C">
            <w:pPr>
              <w:rPr>
                <w:rFonts w:ascii="Segoe UI" w:hAnsi="Segoe UI" w:cs="Segoe UI"/>
                <w:b/>
                <w:szCs w:val="22"/>
                <w:lang w:val="en-GB"/>
              </w:rPr>
            </w:pPr>
            <w:r w:rsidRPr="00596D01">
              <w:rPr>
                <w:rStyle w:val="Strong"/>
              </w:rPr>
              <w:t>% of Total</w:t>
            </w:r>
          </w:p>
        </w:tc>
        <w:tc>
          <w:tcPr>
            <w:tcW w:w="1000" w:type="pct"/>
          </w:tcPr>
          <w:p w:rsidR="002129A6" w:rsidRPr="00BB3A49" w:rsidRDefault="002129A6" w:rsidP="00A4014C">
            <w:pPr>
              <w:jc w:val="right"/>
              <w:rPr>
                <w:rFonts w:ascii="Segoe UI" w:hAnsi="Segoe UI" w:cs="Segoe UI"/>
                <w:b/>
                <w:szCs w:val="22"/>
                <w:lang w:val="en-GB"/>
              </w:rPr>
            </w:pPr>
            <w:r w:rsidRPr="00596D01">
              <w:rPr>
                <w:rStyle w:val="Strong"/>
              </w:rPr>
              <w:t>81.5</w:t>
            </w:r>
            <w:r w:rsidR="00747A70" w:rsidRPr="00596D01">
              <w:rPr>
                <w:rStyle w:val="Strong"/>
              </w:rPr>
              <w:t>%</w:t>
            </w:r>
          </w:p>
        </w:tc>
        <w:tc>
          <w:tcPr>
            <w:tcW w:w="1000" w:type="pct"/>
          </w:tcPr>
          <w:p w:rsidR="002129A6" w:rsidRPr="00BB3A49" w:rsidRDefault="002129A6" w:rsidP="00A4014C">
            <w:pPr>
              <w:jc w:val="right"/>
              <w:rPr>
                <w:rFonts w:ascii="Segoe UI" w:hAnsi="Segoe UI" w:cs="Segoe UI"/>
                <w:b/>
                <w:szCs w:val="22"/>
                <w:lang w:val="en-GB"/>
              </w:rPr>
            </w:pPr>
            <w:r w:rsidRPr="00596D01">
              <w:rPr>
                <w:rStyle w:val="Strong"/>
              </w:rPr>
              <w:t>11.6</w:t>
            </w:r>
            <w:r w:rsidR="00747A70" w:rsidRPr="00596D01">
              <w:rPr>
                <w:rStyle w:val="Strong"/>
              </w:rPr>
              <w:t>%</w:t>
            </w:r>
          </w:p>
        </w:tc>
        <w:tc>
          <w:tcPr>
            <w:tcW w:w="1000" w:type="pct"/>
          </w:tcPr>
          <w:p w:rsidR="002129A6" w:rsidRPr="00BB3A49" w:rsidRDefault="002129A6" w:rsidP="00A4014C">
            <w:pPr>
              <w:jc w:val="right"/>
              <w:rPr>
                <w:rFonts w:ascii="Segoe UI" w:hAnsi="Segoe UI" w:cs="Segoe UI"/>
                <w:b/>
                <w:szCs w:val="22"/>
                <w:lang w:val="en-GB"/>
              </w:rPr>
            </w:pPr>
            <w:r w:rsidRPr="00596D01">
              <w:rPr>
                <w:rStyle w:val="Strong"/>
              </w:rPr>
              <w:t>6.9</w:t>
            </w:r>
            <w:r w:rsidR="00747A70" w:rsidRPr="00596D01">
              <w:rPr>
                <w:rStyle w:val="Strong"/>
              </w:rPr>
              <w:t>%</w:t>
            </w:r>
          </w:p>
        </w:tc>
        <w:tc>
          <w:tcPr>
            <w:tcW w:w="1000" w:type="pct"/>
          </w:tcPr>
          <w:p w:rsidR="002129A6" w:rsidRPr="00596D01" w:rsidRDefault="002129A6" w:rsidP="00A4014C">
            <w:pPr>
              <w:jc w:val="right"/>
              <w:rPr>
                <w:rStyle w:val="Strong"/>
              </w:rPr>
            </w:pPr>
            <w:r w:rsidRPr="00596D01">
              <w:rPr>
                <w:rStyle w:val="Strong"/>
              </w:rPr>
              <w:t>100.0</w:t>
            </w:r>
            <w:r w:rsidR="00747A70" w:rsidRPr="00596D01">
              <w:rPr>
                <w:rStyle w:val="Strong"/>
              </w:rPr>
              <w:t>%</w:t>
            </w:r>
          </w:p>
        </w:tc>
      </w:tr>
    </w:tbl>
    <w:p w:rsidR="00D8721E" w:rsidRDefault="004039A9" w:rsidP="00A4014C">
      <w:pPr>
        <w:rPr>
          <w:lang w:val="en-GB"/>
        </w:rPr>
      </w:pPr>
      <w:bookmarkStart w:id="492" w:name="_Toc457549906"/>
      <w:r w:rsidRPr="002E106C">
        <w:rPr>
          <w:lang w:val="en-GB"/>
        </w:rPr>
        <w:t>Across Australia, almost 6</w:t>
      </w:r>
      <w:r w:rsidR="00D00B54">
        <w:rPr>
          <w:lang w:val="en-GB"/>
        </w:rPr>
        <w:t>9</w:t>
      </w:r>
      <w:r w:rsidR="00A261F3">
        <w:rPr>
          <w:lang w:val="en-GB"/>
        </w:rPr>
        <w:t> per cent</w:t>
      </w:r>
      <w:r w:rsidRPr="002E106C">
        <w:rPr>
          <w:lang w:val="en-GB"/>
        </w:rPr>
        <w:t xml:space="preserve"> of home care</w:t>
      </w:r>
      <w:r w:rsidR="001D6CF5">
        <w:rPr>
          <w:lang w:val="en-GB"/>
        </w:rPr>
        <w:t xml:space="preserve"> consumers</w:t>
      </w:r>
      <w:r w:rsidRPr="002E106C">
        <w:rPr>
          <w:lang w:val="en-GB"/>
        </w:rPr>
        <w:t xml:space="preserve"> are in major cities</w:t>
      </w:r>
      <w:r>
        <w:rPr>
          <w:lang w:val="en-GB"/>
        </w:rPr>
        <w:t xml:space="preserve"> with just under 2</w:t>
      </w:r>
      <w:r w:rsidR="00341DAB">
        <w:rPr>
          <w:lang w:val="en-GB"/>
        </w:rPr>
        <w:t>1</w:t>
      </w:r>
      <w:r w:rsidR="00A261F3">
        <w:rPr>
          <w:lang w:val="en-GB"/>
        </w:rPr>
        <w:t> per cent</w:t>
      </w:r>
      <w:r w:rsidRPr="002E106C">
        <w:rPr>
          <w:lang w:val="en-GB"/>
        </w:rPr>
        <w:t xml:space="preserve"> </w:t>
      </w:r>
      <w:r>
        <w:rPr>
          <w:lang w:val="en-GB"/>
        </w:rPr>
        <w:t xml:space="preserve">in </w:t>
      </w:r>
      <w:r w:rsidRPr="002E106C">
        <w:rPr>
          <w:lang w:val="en-GB"/>
        </w:rPr>
        <w:t xml:space="preserve">inner regional locations. Around </w:t>
      </w:r>
      <w:r w:rsidR="00D00B54">
        <w:rPr>
          <w:lang w:val="en-GB"/>
        </w:rPr>
        <w:t>8</w:t>
      </w:r>
      <w:r w:rsidR="00A261F3">
        <w:rPr>
          <w:lang w:val="en-GB"/>
        </w:rPr>
        <w:t> per cent</w:t>
      </w:r>
      <w:r w:rsidRPr="002E106C">
        <w:rPr>
          <w:lang w:val="en-GB"/>
        </w:rPr>
        <w:t xml:space="preserve"> </w:t>
      </w:r>
      <w:r w:rsidR="001D6CF5">
        <w:rPr>
          <w:lang w:val="en-GB"/>
        </w:rPr>
        <w:t>of consumers</w:t>
      </w:r>
      <w:r w:rsidRPr="002E106C">
        <w:rPr>
          <w:lang w:val="en-GB"/>
        </w:rPr>
        <w:t xml:space="preserve"> a</w:t>
      </w:r>
      <w:r>
        <w:rPr>
          <w:lang w:val="en-GB"/>
        </w:rPr>
        <w:t xml:space="preserve">re in outer regional locations, </w:t>
      </w:r>
      <w:r w:rsidR="00C36923">
        <w:rPr>
          <w:lang w:val="en-GB"/>
        </w:rPr>
        <w:t xml:space="preserve">and the remaining </w:t>
      </w:r>
      <w:r w:rsidR="00853876">
        <w:rPr>
          <w:lang w:val="en-GB"/>
        </w:rPr>
        <w:t>2</w:t>
      </w:r>
      <w:r w:rsidR="00A261F3">
        <w:rPr>
          <w:lang w:val="en-GB"/>
        </w:rPr>
        <w:t> per cent</w:t>
      </w:r>
      <w:r w:rsidRPr="002E106C">
        <w:rPr>
          <w:lang w:val="en-GB"/>
        </w:rPr>
        <w:t xml:space="preserve"> in remote and very remote areas.</w:t>
      </w:r>
    </w:p>
    <w:p w:rsidR="008F3E8B" w:rsidRPr="00596D01" w:rsidRDefault="007821CC" w:rsidP="00A4014C">
      <w:pPr>
        <w:pStyle w:val="Heading2Numbered"/>
      </w:pPr>
      <w:bookmarkStart w:id="493" w:name="_Toc421881574"/>
      <w:bookmarkStart w:id="494" w:name="_Toc423338752"/>
      <w:bookmarkStart w:id="495" w:name="_Toc424289325"/>
      <w:bookmarkStart w:id="496" w:name="_Toc426120765"/>
      <w:bookmarkStart w:id="497" w:name="_Toc450735062"/>
      <w:bookmarkStart w:id="498" w:name="_Toc457549908"/>
      <w:bookmarkStart w:id="499" w:name="_Toc487702585"/>
      <w:bookmarkStart w:id="500" w:name="_Toc487702937"/>
      <w:bookmarkStart w:id="501" w:name="_Toc487703435"/>
      <w:bookmarkStart w:id="502" w:name="_Toc487703629"/>
      <w:bookmarkStart w:id="503" w:name="_Toc524424759"/>
      <w:bookmarkEnd w:id="492"/>
      <w:r w:rsidRPr="00596D01">
        <w:lastRenderedPageBreak/>
        <w:t>Analysis of</w:t>
      </w:r>
      <w:r w:rsidR="00A261F3" w:rsidRPr="00596D01">
        <w:t> 201</w:t>
      </w:r>
      <w:r w:rsidR="00EF4773" w:rsidRPr="00596D01">
        <w:t>6</w:t>
      </w:r>
      <w:r w:rsidR="00D8721E" w:rsidRPr="00596D01">
        <w:t>–1</w:t>
      </w:r>
      <w:r w:rsidR="00EF4773" w:rsidRPr="00596D01">
        <w:t>7</w:t>
      </w:r>
      <w:r w:rsidR="008F3E8B" w:rsidRPr="00596D01">
        <w:t xml:space="preserve"> </w:t>
      </w:r>
      <w:r w:rsidR="00CB2827" w:rsidRPr="00596D01">
        <w:t>f</w:t>
      </w:r>
      <w:r w:rsidR="008F3E8B" w:rsidRPr="00596D01">
        <w:t xml:space="preserve">inancial </w:t>
      </w:r>
      <w:r w:rsidR="00CB2827" w:rsidRPr="00596D01">
        <w:t>p</w:t>
      </w:r>
      <w:r w:rsidR="008F3E8B" w:rsidRPr="00596D01">
        <w:t xml:space="preserve">erformance of </w:t>
      </w:r>
      <w:r w:rsidR="00CB2827" w:rsidRPr="00596D01">
        <w:t>h</w:t>
      </w:r>
      <w:r w:rsidR="008F3E8B" w:rsidRPr="00596D01">
        <w:t xml:space="preserve">ome </w:t>
      </w:r>
      <w:r w:rsidR="00CB2827" w:rsidRPr="00596D01">
        <w:t>c</w:t>
      </w:r>
      <w:r w:rsidR="003363D0" w:rsidRPr="00596D01">
        <w:t xml:space="preserve">are </w:t>
      </w:r>
      <w:r w:rsidR="008F3E8B" w:rsidRPr="00596D01">
        <w:t>providers</w:t>
      </w:r>
      <w:bookmarkEnd w:id="493"/>
      <w:bookmarkEnd w:id="494"/>
      <w:bookmarkEnd w:id="495"/>
      <w:bookmarkEnd w:id="496"/>
      <w:bookmarkEnd w:id="497"/>
      <w:bookmarkEnd w:id="498"/>
      <w:bookmarkEnd w:id="499"/>
      <w:bookmarkEnd w:id="500"/>
      <w:bookmarkEnd w:id="501"/>
      <w:bookmarkEnd w:id="502"/>
      <w:bookmarkEnd w:id="503"/>
    </w:p>
    <w:p w:rsidR="00D8721E" w:rsidRDefault="000C6F09" w:rsidP="00A4014C">
      <w:r>
        <w:t>In</w:t>
      </w:r>
      <w:r w:rsidR="00A261F3">
        <w:t> 201</w:t>
      </w:r>
      <w:r>
        <w:t>6</w:t>
      </w:r>
      <w:r w:rsidR="00D8721E">
        <w:t>–1</w:t>
      </w:r>
      <w:r>
        <w:t>7, h</w:t>
      </w:r>
      <w:r w:rsidR="00260430">
        <w:t>ome care providers submit</w:t>
      </w:r>
      <w:r>
        <w:t>ted their</w:t>
      </w:r>
      <w:r w:rsidR="00260430">
        <w:t xml:space="preserve"> financial performance reports to the Department of Health using the </w:t>
      </w:r>
      <w:r>
        <w:t>Aged Care Financial Reports (</w:t>
      </w:r>
      <w:r w:rsidR="00284080">
        <w:t>ACFR</w:t>
      </w:r>
      <w:r>
        <w:t>)</w:t>
      </w:r>
      <w:r w:rsidR="00284080">
        <w:t xml:space="preserve">. The ACFR incorporates the </w:t>
      </w:r>
      <w:r w:rsidR="00260430">
        <w:t>home care financial report</w:t>
      </w:r>
      <w:r w:rsidR="00284080">
        <w:t xml:space="preserve">, which </w:t>
      </w:r>
      <w:r w:rsidR="00260430">
        <w:t>was introduced in</w:t>
      </w:r>
      <w:r w:rsidR="00A261F3">
        <w:t> 201</w:t>
      </w:r>
      <w:r w:rsidR="00260430">
        <w:t>3</w:t>
      </w:r>
      <w:r w:rsidR="00D8721E">
        <w:t>–1</w:t>
      </w:r>
      <w:r w:rsidR="00260430">
        <w:t>4</w:t>
      </w:r>
      <w:r w:rsidR="00D8721E">
        <w:t>.</w:t>
      </w:r>
    </w:p>
    <w:bookmarkStart w:id="504" w:name="_Ref450734142"/>
    <w:p w:rsidR="00D8721E" w:rsidRDefault="00492BF8" w:rsidP="00A4014C">
      <w:r>
        <w:fldChar w:fldCharType="begin"/>
      </w:r>
      <w:r>
        <w:instrText xml:space="preserve"> REF _Ref524429373 \r \h </w:instrText>
      </w:r>
      <w:r>
        <w:fldChar w:fldCharType="separate"/>
      </w:r>
      <w:r>
        <w:t>Table 7.6</w:t>
      </w:r>
      <w:r>
        <w:fldChar w:fldCharType="end"/>
      </w:r>
      <w:r>
        <w:t xml:space="preserve"> </w:t>
      </w:r>
      <w:r w:rsidR="00D209AC">
        <w:t>provides an overview of the</w:t>
      </w:r>
      <w:r w:rsidR="00A261F3">
        <w:t> 201</w:t>
      </w:r>
      <w:r w:rsidR="00EF4773">
        <w:t>6</w:t>
      </w:r>
      <w:r w:rsidR="00D8721E">
        <w:t>–1</w:t>
      </w:r>
      <w:r w:rsidR="00EF4773">
        <w:t>7</w:t>
      </w:r>
      <w:r w:rsidR="00D209AC">
        <w:t xml:space="preserve"> financial performance of home care providers whose </w:t>
      </w:r>
      <w:r w:rsidR="00284080">
        <w:t xml:space="preserve">ACFRs </w:t>
      </w:r>
      <w:r w:rsidR="00D209AC">
        <w:t xml:space="preserve">were submitted in a useable form. Further analysis is then presented </w:t>
      </w:r>
      <w:r w:rsidR="003E4628">
        <w:t>by</w:t>
      </w:r>
      <w:r w:rsidR="00D209AC">
        <w:t xml:space="preserve"> ownership type, location and scale. While much of the analysis and commentary regarding the profitability and financial performance of providers relates </w:t>
      </w:r>
      <w:r w:rsidR="00E85D18">
        <w:t xml:space="preserve">only to </w:t>
      </w:r>
      <w:r w:rsidR="00D209AC">
        <w:t xml:space="preserve">those who submitted their useable financial reports, </w:t>
      </w:r>
      <w:r w:rsidR="00D209AC" w:rsidRPr="00E6434D">
        <w:t>where possible and appropriate</w:t>
      </w:r>
      <w:r w:rsidR="009F7190">
        <w:t>,</w:t>
      </w:r>
      <w:r w:rsidR="00D209AC" w:rsidRPr="00E6434D">
        <w:t xml:space="preserve"> the results have been scaled up to represent all home care providers.</w:t>
      </w:r>
    </w:p>
    <w:p w:rsidR="00AB5F8E" w:rsidRPr="00596D01" w:rsidRDefault="00AB5F8E" w:rsidP="00A4014C">
      <w:pPr>
        <w:pStyle w:val="TableTitle"/>
        <w:rPr>
          <w:rStyle w:val="Strong"/>
        </w:rPr>
      </w:pPr>
      <w:bookmarkStart w:id="505" w:name="_Ref524429373"/>
      <w:r w:rsidRPr="00596D01">
        <w:t>Summary of financial performance of home care providers who submitted their</w:t>
      </w:r>
      <w:r w:rsidR="00284080" w:rsidRPr="00596D01">
        <w:t> ACFRs</w:t>
      </w:r>
      <w:r w:rsidRPr="00596D01">
        <w:t>,</w:t>
      </w:r>
      <w:r w:rsidR="00A261F3" w:rsidRPr="00596D01">
        <w:t> 201</w:t>
      </w:r>
      <w:r w:rsidRPr="00596D01">
        <w:t>6</w:t>
      </w:r>
      <w:r w:rsidR="00D8721E" w:rsidRPr="00596D01">
        <w:t>–1</w:t>
      </w:r>
      <w:r w:rsidRPr="00596D01">
        <w:t>7</w:t>
      </w:r>
      <w:bookmarkEnd w:id="505"/>
    </w:p>
    <w:tbl>
      <w:tblPr>
        <w:tblStyle w:val="DefaultTable1"/>
        <w:tblW w:w="5000" w:type="pct"/>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034"/>
        <w:gridCol w:w="848"/>
        <w:gridCol w:w="862"/>
        <w:gridCol w:w="862"/>
        <w:gridCol w:w="716"/>
        <w:gridCol w:w="716"/>
        <w:gridCol w:w="862"/>
        <w:gridCol w:w="716"/>
        <w:gridCol w:w="716"/>
        <w:gridCol w:w="716"/>
        <w:gridCol w:w="717"/>
        <w:gridCol w:w="863"/>
      </w:tblGrid>
      <w:tr w:rsidR="00A4014C" w:rsidTr="00303CD5">
        <w:trPr>
          <w:cnfStyle w:val="100000000000" w:firstRow="1" w:lastRow="0" w:firstColumn="0" w:lastColumn="0" w:oddVBand="0" w:evenVBand="0" w:oddHBand="0" w:evenHBand="0" w:firstRowFirstColumn="0" w:firstRowLastColumn="0" w:lastRowFirstColumn="0" w:lastRowLastColumn="0"/>
          <w:trHeight w:val="2151"/>
          <w:tblHeader/>
        </w:trPr>
        <w:tc>
          <w:tcPr>
            <w:tcW w:w="467" w:type="pct"/>
            <w:noWrap/>
            <w:hideMark/>
          </w:tcPr>
          <w:bookmarkEnd w:id="504"/>
          <w:p w:rsidR="00B628D6" w:rsidRPr="00C410A8" w:rsidRDefault="00D8721E" w:rsidP="00A4014C">
            <w:pPr>
              <w:rPr>
                <w:rFonts w:ascii="Segoe UI" w:hAnsi="Segoe UI" w:cs="Segoe UI"/>
              </w:rPr>
            </w:pPr>
            <w:r>
              <w:tab/>
            </w:r>
          </w:p>
        </w:tc>
        <w:tc>
          <w:tcPr>
            <w:tcW w:w="425" w:type="pct"/>
            <w:textDirection w:val="btLr"/>
            <w:vAlign w:val="center"/>
            <w:hideMark/>
          </w:tcPr>
          <w:p w:rsidR="00B628D6" w:rsidRPr="00C410A8" w:rsidRDefault="00284080" w:rsidP="00A4014C">
            <w:pPr>
              <w:rPr>
                <w:rFonts w:ascii="Segoe UI" w:hAnsi="Segoe UI" w:cs="Segoe UI"/>
                <w:b w:val="0"/>
                <w:bCs w:val="0"/>
              </w:rPr>
            </w:pPr>
            <w:r w:rsidRPr="00596D01">
              <w:t>Whole</w:t>
            </w:r>
            <w:r w:rsidR="00D8721E" w:rsidRPr="00596D01">
              <w:t xml:space="preserve"> </w:t>
            </w:r>
            <w:r w:rsidRPr="00596D01">
              <w:t>sector</w:t>
            </w:r>
            <w:r w:rsidR="00A261F3" w:rsidRPr="00596D01">
              <w:t> 201</w:t>
            </w:r>
            <w:r w:rsidR="00B628D6" w:rsidRPr="00596D01">
              <w:t>5</w:t>
            </w:r>
            <w:r w:rsidR="00D8721E" w:rsidRPr="00596D01">
              <w:t>–1</w:t>
            </w:r>
            <w:r w:rsidR="00B628D6" w:rsidRPr="00596D01">
              <w:t>6</w:t>
            </w:r>
          </w:p>
        </w:tc>
        <w:tc>
          <w:tcPr>
            <w:tcW w:w="456" w:type="pct"/>
            <w:textDirection w:val="btLr"/>
            <w:vAlign w:val="center"/>
            <w:hideMark/>
          </w:tcPr>
          <w:p w:rsidR="00B628D6" w:rsidRPr="00C410A8" w:rsidRDefault="00284080" w:rsidP="00A4014C">
            <w:pPr>
              <w:rPr>
                <w:rFonts w:ascii="Segoe UI" w:hAnsi="Segoe UI" w:cs="Segoe UI"/>
                <w:b w:val="0"/>
                <w:bCs w:val="0"/>
              </w:rPr>
            </w:pPr>
            <w:r w:rsidRPr="00596D01">
              <w:t>Whole sector</w:t>
            </w:r>
            <w:r w:rsidR="00A261F3" w:rsidRPr="00596D01">
              <w:t> 201</w:t>
            </w:r>
            <w:r w:rsidR="00B628D6" w:rsidRPr="00596D01">
              <w:t>6</w:t>
            </w:r>
            <w:r w:rsidR="00D8721E" w:rsidRPr="00596D01">
              <w:t>–1</w:t>
            </w:r>
            <w:r w:rsidR="00B628D6" w:rsidRPr="00596D01">
              <w:t>7</w:t>
            </w:r>
          </w:p>
        </w:tc>
        <w:tc>
          <w:tcPr>
            <w:tcW w:w="456" w:type="pct"/>
            <w:textDirection w:val="btLr"/>
            <w:vAlign w:val="center"/>
            <w:hideMark/>
          </w:tcPr>
          <w:p w:rsidR="00B628D6" w:rsidRPr="00C410A8" w:rsidRDefault="00B628D6" w:rsidP="00A4014C">
            <w:pPr>
              <w:rPr>
                <w:rFonts w:ascii="Segoe UI" w:hAnsi="Segoe UI" w:cs="Segoe UI"/>
                <w:b w:val="0"/>
                <w:bCs w:val="0"/>
              </w:rPr>
            </w:pPr>
            <w:r w:rsidRPr="00596D01">
              <w:t>Not-for-profit</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For-profit</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Government</w:t>
            </w:r>
          </w:p>
        </w:tc>
        <w:tc>
          <w:tcPr>
            <w:tcW w:w="456" w:type="pct"/>
            <w:textDirection w:val="btLr"/>
            <w:vAlign w:val="center"/>
            <w:hideMark/>
          </w:tcPr>
          <w:p w:rsidR="00B628D6" w:rsidRPr="00C410A8" w:rsidRDefault="00B628D6" w:rsidP="00A4014C">
            <w:pPr>
              <w:rPr>
                <w:rFonts w:ascii="Segoe UI" w:hAnsi="Segoe UI" w:cs="Segoe UI"/>
                <w:b w:val="0"/>
                <w:bCs w:val="0"/>
              </w:rPr>
            </w:pPr>
            <w:r w:rsidRPr="00596D01">
              <w:t>Metropolitan</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Regional</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Metropolitan &amp; regional</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Single service</w:t>
            </w:r>
          </w:p>
        </w:tc>
        <w:tc>
          <w:tcPr>
            <w:tcW w:w="380" w:type="pct"/>
            <w:textDirection w:val="btLr"/>
            <w:vAlign w:val="center"/>
            <w:hideMark/>
          </w:tcPr>
          <w:p w:rsidR="00B628D6" w:rsidRPr="00C410A8" w:rsidRDefault="00B628D6" w:rsidP="00A4014C">
            <w:pPr>
              <w:rPr>
                <w:rFonts w:ascii="Segoe UI" w:hAnsi="Segoe UI" w:cs="Segoe UI"/>
                <w:b w:val="0"/>
                <w:bCs w:val="0"/>
              </w:rPr>
            </w:pPr>
            <w:r w:rsidRPr="00596D01">
              <w:t>2 to 6 services</w:t>
            </w:r>
          </w:p>
        </w:tc>
        <w:tc>
          <w:tcPr>
            <w:tcW w:w="456" w:type="pct"/>
            <w:textDirection w:val="btLr"/>
            <w:vAlign w:val="center"/>
            <w:hideMark/>
          </w:tcPr>
          <w:p w:rsidR="00B628D6" w:rsidRPr="00596D01" w:rsidRDefault="00B628D6" w:rsidP="00A4014C">
            <w:r w:rsidRPr="00596D01">
              <w:t>Seven or more services</w:t>
            </w:r>
          </w:p>
        </w:tc>
      </w:tr>
      <w:tr w:rsidR="00A4014C" w:rsidTr="00A4014C">
        <w:trPr>
          <w:trHeight w:val="113"/>
        </w:trPr>
        <w:tc>
          <w:tcPr>
            <w:tcW w:w="467" w:type="pct"/>
            <w:hideMark/>
          </w:tcPr>
          <w:p w:rsidR="00353133" w:rsidRPr="00596D01" w:rsidRDefault="00353133" w:rsidP="00A4014C">
            <w:pPr>
              <w:rPr>
                <w:rStyle w:val="Strong"/>
              </w:rPr>
            </w:pPr>
            <w:r w:rsidRPr="00596D01">
              <w:rPr>
                <w:rStyle w:val="Strong"/>
              </w:rPr>
              <w:t>Total revenue ($ m)</w:t>
            </w:r>
          </w:p>
        </w:tc>
        <w:tc>
          <w:tcPr>
            <w:tcW w:w="425"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$1,390.0</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$1,733.6</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$1,397.2</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$239.5</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$96.8</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$1,042.2</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$250.0</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$441.4</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$169.4</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$441.2</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$1,123.0</w:t>
            </w:r>
          </w:p>
        </w:tc>
      </w:tr>
      <w:tr w:rsidR="00A4014C" w:rsidTr="00A4014C">
        <w:trPr>
          <w:trHeight w:val="113"/>
        </w:trPr>
        <w:tc>
          <w:tcPr>
            <w:tcW w:w="467" w:type="pct"/>
            <w:hideMark/>
          </w:tcPr>
          <w:p w:rsidR="00353133" w:rsidRPr="00596D01" w:rsidRDefault="00353133" w:rsidP="00A4014C">
            <w:pPr>
              <w:rPr>
                <w:rStyle w:val="Strong"/>
              </w:rPr>
            </w:pPr>
            <w:r w:rsidRPr="00596D01">
              <w:rPr>
                <w:rStyle w:val="Strong"/>
              </w:rPr>
              <w:t>Total expenses ($ m)</w:t>
            </w:r>
          </w:p>
        </w:tc>
        <w:tc>
          <w:tcPr>
            <w:tcW w:w="425"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$1,248.3</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$1,548.4</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$1,264.3</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$195.7</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$88.5</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$917.6</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$222.1</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$408.8</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$152.5</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$385.7</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$1,010.3</w:t>
            </w:r>
          </w:p>
        </w:tc>
      </w:tr>
      <w:tr w:rsidR="00A4014C" w:rsidTr="00A4014C">
        <w:trPr>
          <w:trHeight w:val="113"/>
        </w:trPr>
        <w:tc>
          <w:tcPr>
            <w:tcW w:w="467" w:type="pct"/>
            <w:hideMark/>
          </w:tcPr>
          <w:p w:rsidR="00353133" w:rsidRPr="00596D01" w:rsidRDefault="00353133" w:rsidP="00A4014C">
            <w:pPr>
              <w:rPr>
                <w:rStyle w:val="Strong"/>
              </w:rPr>
            </w:pPr>
            <w:r w:rsidRPr="00596D01">
              <w:rPr>
                <w:rStyle w:val="Strong"/>
              </w:rPr>
              <w:t xml:space="preserve">Profit </w:t>
            </w:r>
          </w:p>
          <w:p w:rsidR="00353133" w:rsidRPr="00596D01" w:rsidRDefault="00353133" w:rsidP="00A4014C">
            <w:pPr>
              <w:rPr>
                <w:rStyle w:val="Strong"/>
              </w:rPr>
            </w:pPr>
            <w:r w:rsidRPr="00596D01">
              <w:rPr>
                <w:rStyle w:val="Strong"/>
              </w:rPr>
              <w:t>($</w:t>
            </w:r>
            <w:r w:rsidR="00BE31BB" w:rsidRPr="00596D01">
              <w:rPr>
                <w:rStyle w:val="Strong"/>
              </w:rPr>
              <w:t xml:space="preserve"> </w:t>
            </w:r>
            <w:r w:rsidRPr="00596D01">
              <w:rPr>
                <w:rStyle w:val="Strong"/>
              </w:rPr>
              <w:t>m)</w:t>
            </w:r>
          </w:p>
        </w:tc>
        <w:tc>
          <w:tcPr>
            <w:tcW w:w="425"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$141.7</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$185.1</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$132.9</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$43.8</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$8.3</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$124.7</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$27.9</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$32.6</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$16.9</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$55.5</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$112.7</w:t>
            </w:r>
          </w:p>
        </w:tc>
      </w:tr>
      <w:tr w:rsidR="00A4014C" w:rsidTr="00A4014C">
        <w:trPr>
          <w:trHeight w:val="113"/>
        </w:trPr>
        <w:tc>
          <w:tcPr>
            <w:tcW w:w="467" w:type="pct"/>
          </w:tcPr>
          <w:p w:rsidR="00BE31BB" w:rsidRPr="00596D01" w:rsidRDefault="00BE31BB" w:rsidP="00A4014C">
            <w:pPr>
              <w:rPr>
                <w:rStyle w:val="Strong"/>
              </w:rPr>
            </w:pPr>
            <w:r w:rsidRPr="00596D01">
              <w:rPr>
                <w:rStyle w:val="Strong"/>
              </w:rPr>
              <w:t>EBITDA ($ m)</w:t>
            </w:r>
          </w:p>
        </w:tc>
        <w:tc>
          <w:tcPr>
            <w:tcW w:w="425"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$151.6</w:t>
            </w:r>
          </w:p>
        </w:tc>
        <w:tc>
          <w:tcPr>
            <w:tcW w:w="456"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$195.2</w:t>
            </w:r>
          </w:p>
        </w:tc>
        <w:tc>
          <w:tcPr>
            <w:tcW w:w="456"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$141.7</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$44.8</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$8.7</w:t>
            </w:r>
          </w:p>
        </w:tc>
        <w:tc>
          <w:tcPr>
            <w:tcW w:w="456"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$130.6</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$29.7</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$34.9</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$18.7</w:t>
            </w:r>
          </w:p>
        </w:tc>
        <w:tc>
          <w:tcPr>
            <w:tcW w:w="380"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$58.0</w:t>
            </w:r>
          </w:p>
        </w:tc>
        <w:tc>
          <w:tcPr>
            <w:tcW w:w="456" w:type="pct"/>
            <w:noWrap/>
            <w:vAlign w:val="center"/>
          </w:tcPr>
          <w:p w:rsidR="00BE31BB" w:rsidRPr="00D44F5A" w:rsidRDefault="00BE31BB" w:rsidP="00A4014C">
            <w:pPr>
              <w:rPr>
                <w:rFonts w:ascii="Segoe UI" w:hAnsi="Segoe UI" w:cs="Segoe UI"/>
                <w:color w:val="000000"/>
              </w:rPr>
            </w:pPr>
            <w:r w:rsidRPr="00D44F5A">
              <w:rPr>
                <w:rFonts w:ascii="Segoe UI" w:hAnsi="Segoe UI" w:cs="Segoe UI"/>
                <w:color w:val="000000"/>
              </w:rPr>
              <w:t>$118.5</w:t>
            </w:r>
          </w:p>
        </w:tc>
      </w:tr>
      <w:tr w:rsidR="00A4014C" w:rsidTr="00A4014C">
        <w:trPr>
          <w:trHeight w:val="113"/>
        </w:trPr>
        <w:tc>
          <w:tcPr>
            <w:tcW w:w="467" w:type="pct"/>
            <w:hideMark/>
          </w:tcPr>
          <w:p w:rsidR="00353133" w:rsidRPr="00596D01" w:rsidRDefault="00353133" w:rsidP="00A4014C">
            <w:pPr>
              <w:rPr>
                <w:rStyle w:val="Strong"/>
              </w:rPr>
            </w:pPr>
            <w:r w:rsidRPr="00596D01">
              <w:rPr>
                <w:rStyle w:val="Strong"/>
              </w:rPr>
              <w:t>Average EBITDA per consumer</w:t>
            </w:r>
          </w:p>
        </w:tc>
        <w:tc>
          <w:tcPr>
            <w:tcW w:w="425"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$3,055</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$2,989</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$2,621</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$6,767</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$1,883</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$3,431</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$2,960</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$2,026</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$2,803</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$3,420</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$2,843</w:t>
            </w:r>
          </w:p>
        </w:tc>
      </w:tr>
      <w:tr w:rsidR="00A4014C" w:rsidTr="00A4014C">
        <w:trPr>
          <w:trHeight w:val="113"/>
        </w:trPr>
        <w:tc>
          <w:tcPr>
            <w:tcW w:w="467" w:type="pct"/>
          </w:tcPr>
          <w:p w:rsidR="00353133" w:rsidRPr="00596D01" w:rsidRDefault="00353133" w:rsidP="00A4014C">
            <w:pPr>
              <w:rPr>
                <w:rStyle w:val="Strong"/>
              </w:rPr>
            </w:pPr>
            <w:r w:rsidRPr="00596D01">
              <w:rPr>
                <w:rStyle w:val="Strong"/>
              </w:rPr>
              <w:t>Average NPBT per consumer</w:t>
            </w:r>
          </w:p>
        </w:tc>
        <w:tc>
          <w:tcPr>
            <w:tcW w:w="425"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$2,854</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$2,832</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$2,460</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$6,617</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$1,803</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$3,274</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$2,778</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$1,891</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$2,533</w:t>
            </w:r>
          </w:p>
        </w:tc>
        <w:tc>
          <w:tcPr>
            <w:tcW w:w="380"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$3,267</w:t>
            </w:r>
          </w:p>
        </w:tc>
        <w:tc>
          <w:tcPr>
            <w:tcW w:w="456" w:type="pct"/>
            <w:noWrap/>
            <w:vAlign w:val="center"/>
          </w:tcPr>
          <w:p w:rsidR="00353133" w:rsidRPr="00D44F5A" w:rsidRDefault="00353133" w:rsidP="00A4014C">
            <w:pPr>
              <w:rPr>
                <w:rFonts w:ascii="Segoe UI" w:hAnsi="Segoe UI" w:cs="Segoe UI"/>
                <w:color w:val="000000"/>
              </w:rPr>
            </w:pPr>
            <w:r w:rsidRPr="00D44F5A">
              <w:rPr>
                <w:rFonts w:ascii="Segoe UI" w:hAnsi="Segoe UI" w:cs="Segoe UI"/>
                <w:color w:val="000000"/>
              </w:rPr>
              <w:t>$2,705</w:t>
            </w:r>
          </w:p>
        </w:tc>
      </w:tr>
      <w:tr w:rsidR="00A4014C" w:rsidTr="00A4014C">
        <w:trPr>
          <w:trHeight w:val="113"/>
        </w:trPr>
        <w:tc>
          <w:tcPr>
            <w:tcW w:w="467" w:type="pct"/>
          </w:tcPr>
          <w:p w:rsidR="00353133" w:rsidRPr="00596D01" w:rsidRDefault="00353133" w:rsidP="00A4014C">
            <w:pPr>
              <w:rPr>
                <w:rStyle w:val="Strong"/>
              </w:rPr>
            </w:pPr>
            <w:r w:rsidRPr="00596D01">
              <w:rPr>
                <w:rStyle w:val="Strong"/>
              </w:rPr>
              <w:t>EBITDA margin</w:t>
            </w:r>
          </w:p>
        </w:tc>
        <w:tc>
          <w:tcPr>
            <w:tcW w:w="425"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10.9%</w:t>
            </w:r>
          </w:p>
        </w:tc>
        <w:tc>
          <w:tcPr>
            <w:tcW w:w="456"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11.3%</w:t>
            </w:r>
          </w:p>
        </w:tc>
        <w:tc>
          <w:tcPr>
            <w:tcW w:w="456"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10.1%</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18.7%</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9.0%</w:t>
            </w:r>
          </w:p>
        </w:tc>
        <w:tc>
          <w:tcPr>
            <w:tcW w:w="456"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12.5%</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11.9%</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7.9%</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11.0%</w:t>
            </w:r>
          </w:p>
        </w:tc>
        <w:tc>
          <w:tcPr>
            <w:tcW w:w="380"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13.2%</w:t>
            </w:r>
          </w:p>
        </w:tc>
        <w:tc>
          <w:tcPr>
            <w:tcW w:w="456" w:type="pct"/>
            <w:noWrap/>
            <w:vAlign w:val="center"/>
          </w:tcPr>
          <w:p w:rsidR="00353133" w:rsidRPr="00D44F5A" w:rsidRDefault="00353133" w:rsidP="00A4014C">
            <w:pPr>
              <w:rPr>
                <w:rFonts w:ascii="Segoe UI" w:hAnsi="Segoe UI" w:cs="Segoe UI"/>
                <w:color w:val="000000"/>
                <w:lang w:eastAsia="en-AU"/>
              </w:rPr>
            </w:pPr>
            <w:r w:rsidRPr="00D44F5A">
              <w:rPr>
                <w:rFonts w:ascii="Segoe UI" w:hAnsi="Segoe UI" w:cs="Segoe UI"/>
                <w:color w:val="000000"/>
                <w:lang w:eastAsia="en-AU"/>
              </w:rPr>
              <w:t>10.6%</w:t>
            </w:r>
          </w:p>
        </w:tc>
      </w:tr>
      <w:tr w:rsidR="00A4014C" w:rsidTr="00A4014C">
        <w:trPr>
          <w:trHeight w:val="113"/>
        </w:trPr>
        <w:tc>
          <w:tcPr>
            <w:tcW w:w="467" w:type="pct"/>
          </w:tcPr>
          <w:p w:rsidR="00F429E9" w:rsidRPr="00596D01" w:rsidRDefault="00F429E9" w:rsidP="00A4014C">
            <w:pPr>
              <w:rPr>
                <w:rStyle w:val="Strong"/>
              </w:rPr>
            </w:pPr>
            <w:r w:rsidRPr="00596D01">
              <w:rPr>
                <w:rStyle w:val="Strong"/>
              </w:rPr>
              <w:t>NPBT margin</w:t>
            </w:r>
          </w:p>
        </w:tc>
        <w:tc>
          <w:tcPr>
            <w:tcW w:w="425"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10.2%</w:t>
            </w:r>
          </w:p>
        </w:tc>
        <w:tc>
          <w:tcPr>
            <w:tcW w:w="456"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10.7%</w:t>
            </w:r>
          </w:p>
        </w:tc>
        <w:tc>
          <w:tcPr>
            <w:tcW w:w="456"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9.5%</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18.3%</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8.6%</w:t>
            </w:r>
          </w:p>
        </w:tc>
        <w:tc>
          <w:tcPr>
            <w:tcW w:w="456"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12.0%</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11.1%</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7.4%</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10.0%</w:t>
            </w:r>
          </w:p>
        </w:tc>
        <w:tc>
          <w:tcPr>
            <w:tcW w:w="380"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12.6%</w:t>
            </w:r>
          </w:p>
        </w:tc>
        <w:tc>
          <w:tcPr>
            <w:tcW w:w="456" w:type="pct"/>
            <w:noWrap/>
            <w:vAlign w:val="center"/>
          </w:tcPr>
          <w:p w:rsidR="00F429E9" w:rsidRPr="00D44F5A" w:rsidRDefault="00F429E9" w:rsidP="00A4014C">
            <w:pPr>
              <w:rPr>
                <w:rFonts w:ascii="Segoe UI" w:hAnsi="Segoe UI" w:cs="Segoe UI"/>
                <w:color w:val="000000"/>
                <w:lang w:eastAsia="en-AU"/>
              </w:rPr>
            </w:pPr>
            <w:r w:rsidRPr="00D44F5A">
              <w:rPr>
                <w:rFonts w:ascii="Segoe UI" w:hAnsi="Segoe UI" w:cs="Segoe UI"/>
                <w:color w:val="000000"/>
                <w:lang w:eastAsia="en-AU"/>
              </w:rPr>
              <w:t>10.0%</w:t>
            </w:r>
          </w:p>
        </w:tc>
      </w:tr>
    </w:tbl>
    <w:p w:rsidR="008F3E8B" w:rsidRPr="00596D01" w:rsidRDefault="004F4EDD" w:rsidP="0016704B">
      <w:pPr>
        <w:pStyle w:val="Heading3Numbered"/>
        <w:numPr>
          <w:ilvl w:val="2"/>
          <w:numId w:val="20"/>
        </w:numPr>
      </w:pPr>
      <w:bookmarkStart w:id="506" w:name="_Toc487702586"/>
      <w:bookmarkStart w:id="507" w:name="_Toc487702938"/>
      <w:bookmarkStart w:id="508" w:name="_Toc487703436"/>
      <w:bookmarkStart w:id="509" w:name="_Toc487703630"/>
      <w:bookmarkStart w:id="510" w:name="_Toc524424760"/>
      <w:r w:rsidRPr="00596D01">
        <w:lastRenderedPageBreak/>
        <w:t>Home care funding sources</w:t>
      </w:r>
      <w:bookmarkEnd w:id="506"/>
      <w:bookmarkEnd w:id="507"/>
      <w:bookmarkEnd w:id="508"/>
      <w:bookmarkEnd w:id="509"/>
      <w:bookmarkEnd w:id="510"/>
    </w:p>
    <w:p w:rsidR="00D8721E" w:rsidRDefault="00A912FD" w:rsidP="00A4014C">
      <w:pPr>
        <w:rPr>
          <w:lang w:val="en-GB"/>
        </w:rPr>
      </w:pPr>
      <w:bookmarkStart w:id="511" w:name="_Toc423338753"/>
      <w:bookmarkStart w:id="512" w:name="_Toc423602226"/>
      <w:bookmarkStart w:id="513" w:name="_Toc424289327"/>
      <w:bookmarkStart w:id="514" w:name="_Toc425243143"/>
      <w:bookmarkStart w:id="515" w:name="_Toc425696547"/>
      <w:bookmarkStart w:id="516" w:name="_Toc425778847"/>
      <w:bookmarkStart w:id="517" w:name="_Toc425861642"/>
      <w:bookmarkStart w:id="518" w:name="_Toc426111664"/>
      <w:bookmarkStart w:id="519" w:name="_Toc426120766"/>
      <w:bookmarkStart w:id="520" w:name="_Toc450149022"/>
      <w:bookmarkStart w:id="521" w:name="_Toc450735063"/>
      <w:r>
        <w:rPr>
          <w:lang w:val="en-GB"/>
        </w:rPr>
        <w:t>Home care funding sources predominantly comprise Commonwealth subsidies and supplements paid on behalf of consumers, and a lesser contribution from consumers</w:t>
      </w:r>
      <w:r w:rsidR="00D8721E">
        <w:rPr>
          <w:lang w:val="en-GB"/>
        </w:rPr>
        <w:t>.</w:t>
      </w:r>
    </w:p>
    <w:p w:rsidR="00D8721E" w:rsidRDefault="00247BB3" w:rsidP="00A4014C">
      <w:pPr>
        <w:rPr>
          <w:lang w:val="en-GB"/>
        </w:rPr>
      </w:pPr>
      <w:r>
        <w:rPr>
          <w:lang w:val="en-GB"/>
        </w:rPr>
        <w:t>In</w:t>
      </w:r>
      <w:r w:rsidR="00A261F3">
        <w:rPr>
          <w:lang w:val="en-GB"/>
        </w:rPr>
        <w:t> 201</w:t>
      </w:r>
      <w:r>
        <w:rPr>
          <w:lang w:val="en-GB"/>
        </w:rPr>
        <w:t>6</w:t>
      </w:r>
      <w:r w:rsidR="00D8721E">
        <w:rPr>
          <w:lang w:val="en-GB"/>
        </w:rPr>
        <w:t>–1</w:t>
      </w:r>
      <w:r>
        <w:rPr>
          <w:lang w:val="en-GB"/>
        </w:rPr>
        <w:t xml:space="preserve">7, </w:t>
      </w:r>
      <w:r w:rsidR="00A912FD" w:rsidRPr="004F4EDD">
        <w:rPr>
          <w:lang w:val="en-GB"/>
        </w:rPr>
        <w:t>total Commonwealth expenditure on home care subsidies and supplements was $1.68</w:t>
      </w:r>
      <w:r w:rsidR="00A261F3">
        <w:rPr>
          <w:lang w:val="en-GB"/>
        </w:rPr>
        <w:t> billion</w:t>
      </w:r>
      <w:r w:rsidR="00A912FD" w:rsidRPr="004F4EDD">
        <w:rPr>
          <w:lang w:val="en-GB"/>
        </w:rPr>
        <w:t>, comprising of $1.6</w:t>
      </w:r>
      <w:r w:rsidR="00271A36">
        <w:rPr>
          <w:lang w:val="en-GB"/>
        </w:rPr>
        <w:t>4</w:t>
      </w:r>
      <w:r w:rsidR="00A261F3">
        <w:rPr>
          <w:lang w:val="en-GB"/>
        </w:rPr>
        <w:t> billion</w:t>
      </w:r>
      <w:r w:rsidR="00A912FD" w:rsidRPr="004F4EDD">
        <w:rPr>
          <w:lang w:val="en-GB"/>
        </w:rPr>
        <w:t xml:space="preserve"> in subsidies and $4</w:t>
      </w:r>
      <w:r w:rsidR="00AB6911">
        <w:rPr>
          <w:lang w:val="en-GB"/>
        </w:rPr>
        <w:t>1</w:t>
      </w:r>
      <w:r w:rsidR="00A261F3">
        <w:rPr>
          <w:lang w:val="en-GB"/>
        </w:rPr>
        <w:t> million</w:t>
      </w:r>
      <w:r w:rsidR="00A912FD" w:rsidRPr="004F4EDD">
        <w:rPr>
          <w:lang w:val="en-GB"/>
        </w:rPr>
        <w:t xml:space="preserve"> in supplements, an increase of 12.8</w:t>
      </w:r>
      <w:r w:rsidR="00A261F3">
        <w:rPr>
          <w:lang w:val="en-GB"/>
        </w:rPr>
        <w:t> per cent</w:t>
      </w:r>
      <w:r w:rsidR="00A912FD" w:rsidRPr="004F4EDD">
        <w:rPr>
          <w:lang w:val="en-GB"/>
        </w:rPr>
        <w:t xml:space="preserve"> on $1.49</w:t>
      </w:r>
      <w:r w:rsidR="00A261F3">
        <w:rPr>
          <w:lang w:val="en-GB"/>
        </w:rPr>
        <w:t> billion</w:t>
      </w:r>
      <w:r w:rsidR="00A912FD" w:rsidRPr="004F4EDD">
        <w:rPr>
          <w:lang w:val="en-GB"/>
        </w:rPr>
        <w:t xml:space="preserve"> in</w:t>
      </w:r>
      <w:r w:rsidR="00A261F3">
        <w:rPr>
          <w:lang w:val="en-GB"/>
        </w:rPr>
        <w:t> 201</w:t>
      </w:r>
      <w:r w:rsidR="00A912FD" w:rsidRPr="004F4EDD">
        <w:rPr>
          <w:lang w:val="en-GB"/>
        </w:rPr>
        <w:t>5</w:t>
      </w:r>
      <w:r w:rsidR="00D8721E">
        <w:rPr>
          <w:lang w:val="en-GB"/>
        </w:rPr>
        <w:t>–1</w:t>
      </w:r>
      <w:r w:rsidR="00A912FD" w:rsidRPr="004F4EDD">
        <w:rPr>
          <w:lang w:val="en-GB"/>
        </w:rPr>
        <w:t>6</w:t>
      </w:r>
      <w:r w:rsidR="00D8721E">
        <w:rPr>
          <w:lang w:val="en-GB"/>
        </w:rPr>
        <w:t>.</w:t>
      </w:r>
    </w:p>
    <w:p w:rsidR="00A912FD" w:rsidRPr="004F4EDD" w:rsidRDefault="00A912FD" w:rsidP="00A4014C">
      <w:pPr>
        <w:rPr>
          <w:lang w:val="en-GB"/>
        </w:rPr>
      </w:pPr>
      <w:r>
        <w:rPr>
          <w:lang w:val="en-GB"/>
        </w:rPr>
        <w:t>Consumer contributions in</w:t>
      </w:r>
      <w:r w:rsidR="00A261F3">
        <w:rPr>
          <w:lang w:val="en-GB"/>
        </w:rPr>
        <w:t> 201</w:t>
      </w:r>
      <w:r>
        <w:rPr>
          <w:lang w:val="en-GB"/>
        </w:rPr>
        <w:t>6</w:t>
      </w:r>
      <w:r w:rsidR="00D8721E">
        <w:rPr>
          <w:lang w:val="en-GB"/>
        </w:rPr>
        <w:t>–1</w:t>
      </w:r>
      <w:r>
        <w:rPr>
          <w:lang w:val="en-GB"/>
        </w:rPr>
        <w:t>7 totalled around $15</w:t>
      </w:r>
      <w:r w:rsidR="00AB6911">
        <w:rPr>
          <w:lang w:val="en-GB"/>
        </w:rPr>
        <w:t>0</w:t>
      </w:r>
      <w:r w:rsidR="00A261F3">
        <w:rPr>
          <w:lang w:val="en-GB"/>
        </w:rPr>
        <w:t> million</w:t>
      </w:r>
      <w:r>
        <w:rPr>
          <w:lang w:val="en-GB"/>
        </w:rPr>
        <w:t xml:space="preserve"> compared with around $14</w:t>
      </w:r>
      <w:r w:rsidR="00AB6911">
        <w:rPr>
          <w:lang w:val="en-GB"/>
        </w:rPr>
        <w:t>0</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w:t>
      </w:r>
    </w:p>
    <w:p w:rsidR="00D8721E" w:rsidRDefault="00A912FD" w:rsidP="00A4014C">
      <w:r w:rsidRPr="004F4EDD">
        <w:t>Commonwealth subsidy</w:t>
      </w:r>
      <w:r>
        <w:t xml:space="preserve"> and</w:t>
      </w:r>
      <w:r w:rsidRPr="004F4EDD">
        <w:t xml:space="preserve"> supplement revenue, consumer contributions and other revenue sources reported by home care providers who submitted their financial reports for</w:t>
      </w:r>
      <w:r w:rsidR="00A261F3">
        <w:t> 201</w:t>
      </w:r>
      <w:r w:rsidRPr="004F4EDD">
        <w:t>6</w:t>
      </w:r>
      <w:r w:rsidR="00D8721E">
        <w:t>–1</w:t>
      </w:r>
      <w:r w:rsidRPr="004F4EDD">
        <w:t xml:space="preserve">7 </w:t>
      </w:r>
      <w:r>
        <w:t>totalled</w:t>
      </w:r>
      <w:r w:rsidRPr="004F4EDD">
        <w:t xml:space="preserve"> $1.7</w:t>
      </w:r>
      <w:r w:rsidR="00271A36">
        <w:t>3</w:t>
      </w:r>
      <w:r w:rsidR="00A261F3">
        <w:t> billion</w:t>
      </w:r>
      <w:r w:rsidR="00D8721E">
        <w:t>.</w:t>
      </w:r>
    </w:p>
    <w:p w:rsidR="00D8721E" w:rsidRDefault="00A912FD" w:rsidP="00A4014C">
      <w:r>
        <w:t>It is estimated that the total home care sector generated $1.85</w:t>
      </w:r>
      <w:r w:rsidR="00A261F3">
        <w:t> billion</w:t>
      </w:r>
      <w:r>
        <w:t xml:space="preserve"> in revenue in</w:t>
      </w:r>
      <w:r w:rsidR="00A261F3">
        <w:t> 201</w:t>
      </w:r>
      <w:r>
        <w:t>6</w:t>
      </w:r>
      <w:r w:rsidR="00D8721E">
        <w:t>–1</w:t>
      </w:r>
      <w:r>
        <w:t>7. This has been</w:t>
      </w:r>
      <w:r w:rsidRPr="004F4EDD">
        <w:t xml:space="preserve"> derived by scaling up the $1.7</w:t>
      </w:r>
      <w:r w:rsidR="00271A36">
        <w:t>3</w:t>
      </w:r>
      <w:r w:rsidR="00A261F3">
        <w:t> billion</w:t>
      </w:r>
      <w:r w:rsidRPr="004F4EDD">
        <w:t xml:space="preserve"> that was reported by </w:t>
      </w:r>
      <w:r w:rsidR="00284080">
        <w:t>those providers who submitted their ACFRs to the Department</w:t>
      </w:r>
      <w:r w:rsidR="00D8721E">
        <w:t>.</w:t>
      </w:r>
    </w:p>
    <w:p w:rsidR="004F3F75" w:rsidRPr="00596D01" w:rsidRDefault="008F3E8B" w:rsidP="00944018">
      <w:pPr>
        <w:pStyle w:val="Heading5"/>
      </w:pPr>
      <w:r w:rsidRPr="00596D01">
        <w:t>Commonwealth funding</w:t>
      </w:r>
      <w:bookmarkEnd w:id="511"/>
      <w:bookmarkEnd w:id="512"/>
      <w:bookmarkEnd w:id="513"/>
      <w:bookmarkEnd w:id="514"/>
      <w:bookmarkEnd w:id="515"/>
      <w:bookmarkEnd w:id="516"/>
      <w:bookmarkEnd w:id="517"/>
      <w:bookmarkEnd w:id="518"/>
      <w:bookmarkEnd w:id="519"/>
      <w:bookmarkEnd w:id="520"/>
      <w:bookmarkEnd w:id="521"/>
    </w:p>
    <w:p w:rsidR="00D8721E" w:rsidRDefault="00A912FD" w:rsidP="00A4014C">
      <w:r w:rsidRPr="00223430">
        <w:t>Commonwealth funding is determined per consumer based on the level of package accessed. It is calculated on a daily basis and paid monthly. Each package level has a fixed maximum amount of annual funding set by the Commonwealth (</w:t>
      </w:r>
      <w:r w:rsidR="00492BF8">
        <w:fldChar w:fldCharType="begin"/>
      </w:r>
      <w:r w:rsidR="00492BF8">
        <w:instrText xml:space="preserve"> REF _Ref524429382 \r \h </w:instrText>
      </w:r>
      <w:r w:rsidR="00492BF8">
        <w:fldChar w:fldCharType="separate"/>
      </w:r>
      <w:r w:rsidR="00492BF8">
        <w:t>Table 7.7</w:t>
      </w:r>
      <w:r w:rsidR="00492BF8">
        <w:fldChar w:fldCharType="end"/>
      </w:r>
      <w:r w:rsidRPr="00223430">
        <w:t>). Supplements can also be paid in circumstances where the consumer requires additional care and/or services</w:t>
      </w:r>
      <w:r w:rsidR="00D8721E">
        <w:t>.</w:t>
      </w:r>
    </w:p>
    <w:p w:rsidR="00D8721E" w:rsidRDefault="00A912FD" w:rsidP="00A4014C">
      <w:r>
        <w:t>Prior to the changes that occurred in home care in February</w:t>
      </w:r>
      <w:r w:rsidR="00A261F3">
        <w:t> 201</w:t>
      </w:r>
      <w:r>
        <w:t>7, when consumers moved between home care providers or exited care (often to enter residential care), unspent package funds could be retained by the former home care provider. As part of the changes introduced in February</w:t>
      </w:r>
      <w:r w:rsidR="00A261F3">
        <w:t> 201</w:t>
      </w:r>
      <w:r>
        <w:t>7, unspent package funds now follow the consumer to their new home care provider or are returned to the Commonwealth</w:t>
      </w:r>
      <w:r w:rsidRPr="00455CCB">
        <w:t xml:space="preserve"> and the consumer </w:t>
      </w:r>
      <w:r w:rsidR="00A95DF1">
        <w:t xml:space="preserve">(based on their respective proportions) </w:t>
      </w:r>
      <w:r>
        <w:t>when the consumer leaves care</w:t>
      </w:r>
      <w:r w:rsidR="00D8721E">
        <w:t>.</w:t>
      </w:r>
    </w:p>
    <w:p w:rsidR="00D8721E" w:rsidRDefault="00A912FD" w:rsidP="00A4014C">
      <w:r w:rsidRPr="00455CCB">
        <w:t xml:space="preserve">The unspent home care amount is the total amount of </w:t>
      </w:r>
      <w:r>
        <w:t xml:space="preserve">each consumer’s individual budget (comprising </w:t>
      </w:r>
      <w:r w:rsidRPr="00455CCB">
        <w:t>home care subsidy, supplements and home care fees</w:t>
      </w:r>
      <w:r>
        <w:t xml:space="preserve">) </w:t>
      </w:r>
      <w:r w:rsidRPr="00455CCB">
        <w:t>that ha</w:t>
      </w:r>
      <w:r>
        <w:t xml:space="preserve">s </w:t>
      </w:r>
      <w:r w:rsidRPr="00455CCB">
        <w:t xml:space="preserve">not been spent or committed </w:t>
      </w:r>
      <w:r>
        <w:t xml:space="preserve">for </w:t>
      </w:r>
      <w:r w:rsidRPr="00455CCB">
        <w:t>th</w:t>
      </w:r>
      <w:r>
        <w:t xml:space="preserve">e </w:t>
      </w:r>
      <w:r w:rsidRPr="00455CCB">
        <w:t>consumer’s care</w:t>
      </w:r>
      <w:r w:rsidR="00D43B23">
        <w:t>, less any agreed exit amount</w:t>
      </w:r>
      <w:r w:rsidRPr="00455CCB">
        <w:t>.</w:t>
      </w:r>
      <w:r>
        <w:t xml:space="preserve"> </w:t>
      </w:r>
      <w:r w:rsidRPr="00455CCB">
        <w:t xml:space="preserve">The steps and requirements for calculating a </w:t>
      </w:r>
      <w:r>
        <w:t xml:space="preserve">consumer’s </w:t>
      </w:r>
      <w:r w:rsidRPr="00455CCB">
        <w:t>unspent home care amount is detailed in the User Rights Principles</w:t>
      </w:r>
      <w:r w:rsidR="00A261F3">
        <w:t> 201</w:t>
      </w:r>
      <w:r w:rsidRPr="00455CCB">
        <w:t>4.</w:t>
      </w:r>
      <w:r>
        <w:t xml:space="preserve"> Unspent </w:t>
      </w:r>
      <w:r w:rsidRPr="00455CCB">
        <w:t>package</w:t>
      </w:r>
      <w:r>
        <w:t xml:space="preserve"> funds will not generally, and should not, be recognised as income until the funds have been spent or are committed for the consumer’s care</w:t>
      </w:r>
      <w:r w:rsidR="00D8721E">
        <w:t>.</w:t>
      </w:r>
    </w:p>
    <w:p w:rsidR="00B37929" w:rsidRPr="00596D01" w:rsidRDefault="00197E4F" w:rsidP="00A4014C">
      <w:pPr>
        <w:pStyle w:val="TableTitle"/>
        <w:rPr>
          <w:rStyle w:val="Strong"/>
        </w:rPr>
      </w:pPr>
      <w:bookmarkStart w:id="522" w:name="_Ref524429382"/>
      <w:r w:rsidRPr="00596D01">
        <w:t>Maximum home care subsidy payments per annum,</w:t>
      </w:r>
      <w:r w:rsidR="00A261F3" w:rsidRPr="00596D01">
        <w:t> 201</w:t>
      </w:r>
      <w:r w:rsidRPr="00596D01">
        <w:t>6</w:t>
      </w:r>
      <w:r w:rsidR="00D8721E" w:rsidRPr="00596D01">
        <w:t>–1</w:t>
      </w:r>
      <w:r w:rsidRPr="00596D01">
        <w:t>7</w:t>
      </w:r>
      <w:bookmarkEnd w:id="52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743"/>
        <w:gridCol w:w="4885"/>
      </w:tblGrid>
      <w:tr w:rsidR="00B37929"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463" w:type="pct"/>
          </w:tcPr>
          <w:p w:rsidR="00B37929" w:rsidRPr="00805F7E" w:rsidRDefault="00B37929" w:rsidP="00A4014C">
            <w:pPr>
              <w:rPr>
                <w:rFonts w:ascii="Segoe UI" w:hAnsi="Segoe UI" w:cs="Segoe UI"/>
              </w:rPr>
            </w:pPr>
            <w:r w:rsidRPr="00596D01">
              <w:t xml:space="preserve">Package level </w:t>
            </w:r>
          </w:p>
        </w:tc>
        <w:tc>
          <w:tcPr>
            <w:tcW w:w="2537" w:type="pct"/>
          </w:tcPr>
          <w:p w:rsidR="00B37929" w:rsidRPr="00596D01" w:rsidRDefault="00E56F40" w:rsidP="00A4014C">
            <w:pPr>
              <w:jc w:val="right"/>
            </w:pPr>
            <w:r w:rsidRPr="00596D01">
              <w:t>201</w:t>
            </w:r>
            <w:r w:rsidR="00292AF6" w:rsidRPr="00596D01">
              <w:t>6</w:t>
            </w:r>
            <w:r w:rsidR="00D8721E" w:rsidRPr="00596D01">
              <w:t>–1</w:t>
            </w:r>
            <w:r w:rsidR="00292AF6" w:rsidRPr="00596D01">
              <w:t>7</w:t>
            </w:r>
            <w:r w:rsidR="00B37929" w:rsidRPr="00596D01">
              <w:t xml:space="preserve"> annualised subsidy</w:t>
            </w:r>
          </w:p>
        </w:tc>
      </w:tr>
      <w:tr w:rsidR="00292AF6" w:rsidTr="00A4014C">
        <w:trPr>
          <w:trHeight w:val="113"/>
        </w:trPr>
        <w:tc>
          <w:tcPr>
            <w:tcW w:w="2463" w:type="pct"/>
          </w:tcPr>
          <w:p w:rsidR="00292AF6" w:rsidRPr="00D44F5A" w:rsidRDefault="00292AF6" w:rsidP="00A4014C">
            <w:pPr>
              <w:rPr>
                <w:rFonts w:ascii="Segoe UI" w:hAnsi="Segoe UI" w:cs="Segoe UI"/>
              </w:rPr>
            </w:pPr>
            <w:r w:rsidRPr="00D44F5A">
              <w:rPr>
                <w:sz w:val="22"/>
                <w:szCs w:val="22"/>
              </w:rPr>
              <w:t>Level 1</w:t>
            </w:r>
          </w:p>
        </w:tc>
        <w:tc>
          <w:tcPr>
            <w:tcW w:w="2537" w:type="pct"/>
          </w:tcPr>
          <w:p w:rsidR="00292AF6" w:rsidRDefault="00292AF6" w:rsidP="00A4014C">
            <w:pPr>
              <w:jc w:val="right"/>
              <w:rPr>
                <w:rFonts w:ascii="Segoe UI" w:hAnsi="Segoe UI" w:cs="Segoe UI"/>
              </w:rPr>
            </w:pPr>
            <w:r>
              <w:rPr>
                <w:rFonts w:ascii="Segoe UI" w:hAnsi="Segoe UI" w:cs="Segoe UI"/>
                <w:lang w:eastAsia="en-AU"/>
              </w:rPr>
              <w:t>$8,045</w:t>
            </w:r>
          </w:p>
        </w:tc>
      </w:tr>
      <w:tr w:rsidR="00292AF6" w:rsidTr="00A4014C">
        <w:trPr>
          <w:trHeight w:val="113"/>
        </w:trPr>
        <w:tc>
          <w:tcPr>
            <w:tcW w:w="2463" w:type="pct"/>
          </w:tcPr>
          <w:p w:rsidR="00292AF6" w:rsidRPr="00D44F5A" w:rsidRDefault="00292AF6" w:rsidP="00A4014C">
            <w:pPr>
              <w:rPr>
                <w:rFonts w:ascii="Segoe UI" w:hAnsi="Segoe UI" w:cs="Segoe UI"/>
              </w:rPr>
            </w:pPr>
            <w:r w:rsidRPr="00D44F5A">
              <w:rPr>
                <w:sz w:val="22"/>
                <w:szCs w:val="22"/>
              </w:rPr>
              <w:t>Level 2</w:t>
            </w:r>
          </w:p>
        </w:tc>
        <w:tc>
          <w:tcPr>
            <w:tcW w:w="2537" w:type="pct"/>
          </w:tcPr>
          <w:p w:rsidR="00292AF6" w:rsidRDefault="00292AF6" w:rsidP="00A4014C">
            <w:pPr>
              <w:jc w:val="right"/>
              <w:rPr>
                <w:rFonts w:ascii="Segoe UI" w:hAnsi="Segoe UI" w:cs="Segoe UI"/>
              </w:rPr>
            </w:pPr>
            <w:r>
              <w:rPr>
                <w:rFonts w:ascii="Segoe UI" w:hAnsi="Segoe UI" w:cs="Segoe UI"/>
                <w:lang w:eastAsia="en-AU"/>
              </w:rPr>
              <w:t>$14,633</w:t>
            </w:r>
          </w:p>
        </w:tc>
      </w:tr>
      <w:tr w:rsidR="00292AF6" w:rsidTr="00A4014C">
        <w:trPr>
          <w:trHeight w:val="113"/>
        </w:trPr>
        <w:tc>
          <w:tcPr>
            <w:tcW w:w="2463" w:type="pct"/>
          </w:tcPr>
          <w:p w:rsidR="00292AF6" w:rsidRPr="00D44F5A" w:rsidRDefault="00292AF6" w:rsidP="00A4014C">
            <w:pPr>
              <w:rPr>
                <w:rFonts w:ascii="Segoe UI" w:hAnsi="Segoe UI" w:cs="Segoe UI"/>
              </w:rPr>
            </w:pPr>
            <w:r w:rsidRPr="00D44F5A">
              <w:rPr>
                <w:sz w:val="22"/>
                <w:szCs w:val="22"/>
              </w:rPr>
              <w:t>Level 3</w:t>
            </w:r>
          </w:p>
        </w:tc>
        <w:tc>
          <w:tcPr>
            <w:tcW w:w="2537" w:type="pct"/>
          </w:tcPr>
          <w:p w:rsidR="00292AF6" w:rsidRDefault="00292AF6" w:rsidP="00A4014C">
            <w:pPr>
              <w:jc w:val="right"/>
              <w:rPr>
                <w:rFonts w:ascii="Segoe UI" w:hAnsi="Segoe UI" w:cs="Segoe UI"/>
              </w:rPr>
            </w:pPr>
            <w:r>
              <w:rPr>
                <w:rFonts w:ascii="Segoe UI" w:hAnsi="Segoe UI" w:cs="Segoe UI"/>
                <w:lang w:eastAsia="en-AU"/>
              </w:rPr>
              <w:t>$32,171</w:t>
            </w:r>
          </w:p>
        </w:tc>
      </w:tr>
      <w:tr w:rsidR="00292AF6" w:rsidTr="00A4014C">
        <w:trPr>
          <w:trHeight w:val="113"/>
        </w:trPr>
        <w:tc>
          <w:tcPr>
            <w:tcW w:w="2463" w:type="pct"/>
          </w:tcPr>
          <w:p w:rsidR="00292AF6" w:rsidRPr="00D44F5A" w:rsidRDefault="00292AF6" w:rsidP="00A4014C">
            <w:pPr>
              <w:rPr>
                <w:rFonts w:ascii="Segoe UI" w:hAnsi="Segoe UI" w:cs="Segoe UI"/>
              </w:rPr>
            </w:pPr>
            <w:r w:rsidRPr="00D44F5A">
              <w:rPr>
                <w:sz w:val="22"/>
                <w:szCs w:val="22"/>
              </w:rPr>
              <w:t>Level 4</w:t>
            </w:r>
          </w:p>
        </w:tc>
        <w:tc>
          <w:tcPr>
            <w:tcW w:w="2537" w:type="pct"/>
          </w:tcPr>
          <w:p w:rsidR="00292AF6" w:rsidRDefault="00292AF6" w:rsidP="00A4014C">
            <w:pPr>
              <w:jc w:val="right"/>
              <w:rPr>
                <w:rFonts w:ascii="Segoe UI" w:hAnsi="Segoe UI" w:cs="Segoe UI"/>
              </w:rPr>
            </w:pPr>
            <w:r>
              <w:rPr>
                <w:rFonts w:ascii="Segoe UI" w:hAnsi="Segoe UI" w:cs="Segoe UI"/>
                <w:lang w:eastAsia="en-AU"/>
              </w:rPr>
              <w:t>$48,906</w:t>
            </w:r>
          </w:p>
        </w:tc>
      </w:tr>
    </w:tbl>
    <w:p w:rsidR="00F62D31" w:rsidRPr="00596D01" w:rsidRDefault="00C723E0" w:rsidP="00944018">
      <w:pPr>
        <w:pStyle w:val="Heading5"/>
      </w:pPr>
      <w:r w:rsidRPr="00596D01">
        <w:t>Home care s</w:t>
      </w:r>
      <w:r w:rsidR="00F62D31" w:rsidRPr="00596D01">
        <w:t>upplements</w:t>
      </w:r>
    </w:p>
    <w:p w:rsidR="00D8721E" w:rsidRDefault="004039A9" w:rsidP="00A4014C">
      <w:pPr>
        <w:rPr>
          <w:lang w:val="en-GB"/>
        </w:rPr>
      </w:pPr>
      <w:r w:rsidRPr="00774BAF">
        <w:rPr>
          <w:lang w:val="en-GB"/>
        </w:rPr>
        <w:t xml:space="preserve">Supplements in home care are paid in addition to the amount of basic subsidy applicable at each package level. Supplements are paid if a consumer is eligible due to </w:t>
      </w:r>
      <w:r w:rsidR="009C08DC">
        <w:rPr>
          <w:lang w:val="en-GB"/>
        </w:rPr>
        <w:t>a specific care need or circumstance.</w:t>
      </w:r>
      <w:r>
        <w:rPr>
          <w:lang w:val="en-GB"/>
        </w:rPr>
        <w:t xml:space="preserve"> The </w:t>
      </w:r>
      <w:r w:rsidRPr="00774BAF">
        <w:rPr>
          <w:lang w:val="en-GB"/>
        </w:rPr>
        <w:t>supplements that apply to home care are set out below.</w:t>
      </w:r>
      <w:r w:rsidR="003A3A14">
        <w:rPr>
          <w:lang w:val="en-GB"/>
        </w:rPr>
        <w:t xml:space="preserve"> </w:t>
      </w:r>
      <w:r w:rsidR="00CD0D7C" w:rsidRPr="00005216">
        <w:rPr>
          <w:lang w:val="en-GB"/>
        </w:rPr>
        <w:t>The amount of expenditure on each suppleme</w:t>
      </w:r>
      <w:r w:rsidR="00740EB3">
        <w:rPr>
          <w:lang w:val="en-GB"/>
        </w:rPr>
        <w:t>nt in</w:t>
      </w:r>
      <w:r w:rsidR="00A261F3">
        <w:rPr>
          <w:lang w:val="en-GB"/>
        </w:rPr>
        <w:t> 201</w:t>
      </w:r>
      <w:r w:rsidR="00280B84">
        <w:rPr>
          <w:lang w:val="en-GB"/>
        </w:rPr>
        <w:t>6</w:t>
      </w:r>
      <w:r w:rsidR="00D8721E">
        <w:rPr>
          <w:lang w:val="en-GB"/>
        </w:rPr>
        <w:t>–1</w:t>
      </w:r>
      <w:r w:rsidR="00280B84">
        <w:rPr>
          <w:lang w:val="en-GB"/>
        </w:rPr>
        <w:t>7</w:t>
      </w:r>
      <w:r w:rsidR="00740EB3">
        <w:rPr>
          <w:lang w:val="en-GB"/>
        </w:rPr>
        <w:t xml:space="preserve"> is at </w:t>
      </w:r>
      <w:r w:rsidR="0069205E">
        <w:rPr>
          <w:lang w:val="en-GB"/>
        </w:rPr>
        <w:fldChar w:fldCharType="begin"/>
      </w:r>
      <w:r w:rsidR="0069205E">
        <w:rPr>
          <w:lang w:val="en-GB"/>
        </w:rPr>
        <w:instrText xml:space="preserve"> REF _Ref457549339 \r \h </w:instrText>
      </w:r>
      <w:r w:rsidR="0069205E">
        <w:rPr>
          <w:lang w:val="en-GB"/>
        </w:rPr>
      </w:r>
      <w:r w:rsidR="0069205E">
        <w:rPr>
          <w:lang w:val="en-GB"/>
        </w:rPr>
        <w:fldChar w:fldCharType="separate"/>
      </w:r>
      <w:r w:rsidR="0069205E">
        <w:rPr>
          <w:lang w:val="en-GB"/>
        </w:rPr>
        <w:t>Appendix L</w:t>
      </w:r>
      <w:r w:rsidR="0069205E">
        <w:rPr>
          <w:lang w:val="en-GB"/>
        </w:rPr>
        <w:fldChar w:fldCharType="end"/>
      </w:r>
      <w:r w:rsidR="00CD0D7C" w:rsidRPr="00005216">
        <w:rPr>
          <w:lang w:val="en-GB"/>
        </w:rPr>
        <w:t xml:space="preserve">. </w:t>
      </w:r>
      <w:r w:rsidR="003A3A14">
        <w:rPr>
          <w:lang w:val="en-GB"/>
        </w:rPr>
        <w:t>All supplements</w:t>
      </w:r>
      <w:r w:rsidR="00A912FD">
        <w:rPr>
          <w:lang w:val="en-GB"/>
        </w:rPr>
        <w:t xml:space="preserve"> payable</w:t>
      </w:r>
      <w:r w:rsidR="003A3A14">
        <w:rPr>
          <w:lang w:val="en-GB"/>
        </w:rPr>
        <w:t xml:space="preserve"> are included in the </w:t>
      </w:r>
      <w:r w:rsidR="009C08DC">
        <w:rPr>
          <w:lang w:val="en-GB"/>
        </w:rPr>
        <w:t>consumer’s</w:t>
      </w:r>
      <w:r w:rsidR="003A3A14">
        <w:rPr>
          <w:lang w:val="en-GB"/>
        </w:rPr>
        <w:t xml:space="preserve"> </w:t>
      </w:r>
      <w:r w:rsidR="003A3A14" w:rsidRPr="009C08DC">
        <w:rPr>
          <w:lang w:val="en-GB"/>
        </w:rPr>
        <w:t>individualised budget</w:t>
      </w:r>
      <w:r w:rsidR="00D8721E">
        <w:rPr>
          <w:lang w:val="en-GB"/>
        </w:rPr>
        <w:t>.</w:t>
      </w:r>
    </w:p>
    <w:p w:rsidR="001A185A" w:rsidRPr="003A3A14" w:rsidRDefault="00FF4857" w:rsidP="00A4014C">
      <w:pPr>
        <w:rPr>
          <w:lang w:val="en-GB"/>
        </w:rPr>
      </w:pPr>
      <w:r>
        <w:rPr>
          <w:lang w:val="en-GB"/>
        </w:rPr>
        <w:lastRenderedPageBreak/>
        <w:t>Supplements in home care include:</w:t>
      </w:r>
    </w:p>
    <w:p w:rsidR="00D8721E" w:rsidRDefault="00C723E0" w:rsidP="00A4014C">
      <w:r w:rsidRPr="00596D01">
        <w:rPr>
          <w:rStyle w:val="Strong"/>
        </w:rPr>
        <w:t xml:space="preserve">Dementia and </w:t>
      </w:r>
      <w:r w:rsidR="00763098" w:rsidRPr="00596D01">
        <w:rPr>
          <w:rStyle w:val="Strong"/>
        </w:rPr>
        <w:t>C</w:t>
      </w:r>
      <w:r w:rsidRPr="00596D01">
        <w:rPr>
          <w:rStyle w:val="Strong"/>
        </w:rPr>
        <w:t>ognition supplement</w:t>
      </w:r>
      <w:r w:rsidR="00D43B23" w:rsidRPr="00596D01">
        <w:rPr>
          <w:rStyle w:val="Strong"/>
        </w:rPr>
        <w:t xml:space="preserve">: </w:t>
      </w:r>
      <w:r w:rsidR="004039A9">
        <w:t xml:space="preserve">provides additional funding in recognition of the extra costs of caring for </w:t>
      </w:r>
      <w:r w:rsidR="004039A9" w:rsidRPr="00774BAF">
        <w:t>people with cognitive</w:t>
      </w:r>
      <w:r w:rsidR="004039A9">
        <w:t xml:space="preserve"> impairment associated with dementia and other conditions. This supplement is available across a</w:t>
      </w:r>
      <w:r w:rsidR="00BA7177">
        <w:t>ll levels of home care packages</w:t>
      </w:r>
      <w:r w:rsidR="004039A9">
        <w:t>. The supplement is payable at a rate of 10</w:t>
      </w:r>
      <w:r w:rsidR="00A261F3">
        <w:t> per cent</w:t>
      </w:r>
      <w:r w:rsidR="004039A9">
        <w:t xml:space="preserve"> of the basic subsidy payable for the level of home care package</w:t>
      </w:r>
      <w:r w:rsidR="00D8721E">
        <w:t>.</w:t>
      </w:r>
    </w:p>
    <w:p w:rsidR="00D8721E" w:rsidRDefault="00C72F1B" w:rsidP="00A4014C">
      <w:r w:rsidRPr="00596D01">
        <w:rPr>
          <w:rStyle w:val="Strong"/>
        </w:rPr>
        <w:t>Veterans’ s</w:t>
      </w:r>
      <w:r w:rsidR="00D43B23" w:rsidRPr="00596D01">
        <w:rPr>
          <w:rStyle w:val="Strong"/>
        </w:rPr>
        <w:t xml:space="preserve">upplement: </w:t>
      </w:r>
      <w:r w:rsidR="004039A9">
        <w:t>provides additional funding for veterans with a mental health condition accepted by the Department of Veterans’ Affairs (DVA) a</w:t>
      </w:r>
      <w:r w:rsidR="003A3A14">
        <w:t>s related to their service</w:t>
      </w:r>
      <w:r w:rsidR="00D8721E">
        <w:t>.</w:t>
      </w:r>
    </w:p>
    <w:p w:rsidR="00D8721E" w:rsidRDefault="00C72F1B" w:rsidP="00A4014C">
      <w:pPr>
        <w:rPr>
          <w:color w:val="2C2A29"/>
          <w:sz w:val="22"/>
          <w:szCs w:val="22"/>
          <w:lang w:val="en"/>
        </w:rPr>
      </w:pPr>
      <w:r w:rsidRPr="00596D01">
        <w:rPr>
          <w:rStyle w:val="Strong"/>
        </w:rPr>
        <w:t>Oxygen s</w:t>
      </w:r>
      <w:r w:rsidR="00871A75" w:rsidRPr="00596D01">
        <w:rPr>
          <w:rStyle w:val="Strong"/>
        </w:rPr>
        <w:t>upplement</w:t>
      </w:r>
      <w:r w:rsidR="00D43B23" w:rsidRPr="00596D01">
        <w:rPr>
          <w:rStyle w:val="Strong"/>
        </w:rPr>
        <w:t xml:space="preserve">: </w:t>
      </w:r>
      <w:r w:rsidR="004039A9" w:rsidRPr="00D43B23">
        <w:rPr>
          <w:color w:val="2C2A29"/>
          <w:sz w:val="22"/>
          <w:szCs w:val="22"/>
          <w:lang w:val="en"/>
        </w:rPr>
        <w:t>provides additional funding for consumers who have a specified medical need for the continual administration of oxygen</w:t>
      </w:r>
      <w:r w:rsidR="00D8721E">
        <w:rPr>
          <w:color w:val="2C2A29"/>
          <w:sz w:val="22"/>
          <w:szCs w:val="22"/>
          <w:lang w:val="en"/>
        </w:rPr>
        <w:t>.</w:t>
      </w:r>
    </w:p>
    <w:p w:rsidR="00D8721E" w:rsidRDefault="00461965" w:rsidP="00A4014C">
      <w:pPr>
        <w:rPr>
          <w:color w:val="2C2A29"/>
          <w:lang w:val="en"/>
        </w:rPr>
      </w:pPr>
      <w:r w:rsidRPr="00596D01">
        <w:rPr>
          <w:rStyle w:val="Strong"/>
        </w:rPr>
        <w:t>Enteral Feeding s</w:t>
      </w:r>
      <w:r w:rsidR="00774BAF" w:rsidRPr="00596D01">
        <w:rPr>
          <w:rStyle w:val="Strong"/>
        </w:rPr>
        <w:t>upplement</w:t>
      </w:r>
      <w:r w:rsidR="00D43B23" w:rsidRPr="00596D01">
        <w:rPr>
          <w:rStyle w:val="Strong"/>
        </w:rPr>
        <w:t xml:space="preserve">: </w:t>
      </w:r>
      <w:r w:rsidR="004039A9" w:rsidRPr="00774BAF">
        <w:rPr>
          <w:color w:val="2C2A29"/>
          <w:lang w:val="en"/>
        </w:rPr>
        <w:t>provides additional funding for care recipients with a specified medical need for enteral feeding</w:t>
      </w:r>
      <w:r w:rsidR="00D8721E">
        <w:rPr>
          <w:color w:val="2C2A29"/>
          <w:lang w:val="en"/>
        </w:rPr>
        <w:t>.</w:t>
      </w:r>
    </w:p>
    <w:p w:rsidR="009C08DC" w:rsidRPr="009C08DC" w:rsidRDefault="009C08DC" w:rsidP="00A4014C">
      <w:pPr>
        <w:rPr>
          <w:color w:val="2C2A29"/>
          <w:sz w:val="22"/>
          <w:szCs w:val="22"/>
          <w:lang w:val="en"/>
        </w:rPr>
      </w:pPr>
      <w:r w:rsidRPr="00596D01">
        <w:rPr>
          <w:rStyle w:val="Strong"/>
        </w:rPr>
        <w:t>Viabili</w:t>
      </w:r>
      <w:r w:rsidR="00461965" w:rsidRPr="00596D01">
        <w:rPr>
          <w:rStyle w:val="Strong"/>
        </w:rPr>
        <w:t>ty s</w:t>
      </w:r>
      <w:r w:rsidRPr="00596D01">
        <w:rPr>
          <w:rStyle w:val="Strong"/>
        </w:rPr>
        <w:t>upplement</w:t>
      </w:r>
      <w:r w:rsidR="00D43B23" w:rsidRPr="00596D01">
        <w:rPr>
          <w:rStyle w:val="Strong"/>
        </w:rPr>
        <w:t xml:space="preserve">: </w:t>
      </w:r>
      <w:r w:rsidRPr="009C08DC">
        <w:rPr>
          <w:color w:val="2C2A29"/>
          <w:sz w:val="22"/>
          <w:szCs w:val="22"/>
          <w:lang w:val="en"/>
        </w:rPr>
        <w:t>is paid in recognition of the higher costs of providing services in rural and remote areas.</w:t>
      </w:r>
    </w:p>
    <w:p w:rsidR="00D8721E" w:rsidRDefault="00461965" w:rsidP="00A4014C">
      <w:pPr>
        <w:rPr>
          <w:color w:val="2C2A29"/>
          <w:sz w:val="22"/>
          <w:szCs w:val="22"/>
          <w:lang w:val="en"/>
        </w:rPr>
      </w:pPr>
      <w:r w:rsidRPr="00596D01">
        <w:rPr>
          <w:rStyle w:val="Strong"/>
        </w:rPr>
        <w:t>Hardship s</w:t>
      </w:r>
      <w:r w:rsidR="00D43B23" w:rsidRPr="00596D01">
        <w:rPr>
          <w:rStyle w:val="Strong"/>
        </w:rPr>
        <w:t xml:space="preserve">upplement: </w:t>
      </w:r>
      <w:r w:rsidR="006F07AE">
        <w:rPr>
          <w:color w:val="2C2A29"/>
          <w:sz w:val="22"/>
          <w:szCs w:val="22"/>
          <w:lang w:val="en"/>
        </w:rPr>
        <w:t>is available to home care consumers</w:t>
      </w:r>
      <w:r w:rsidR="00675E6C" w:rsidRPr="00675E6C">
        <w:rPr>
          <w:color w:val="2C2A29"/>
          <w:sz w:val="22"/>
          <w:szCs w:val="22"/>
          <w:lang w:val="en"/>
        </w:rPr>
        <w:t xml:space="preserve"> who ar</w:t>
      </w:r>
      <w:r w:rsidR="00905F26">
        <w:rPr>
          <w:color w:val="2C2A29"/>
          <w:sz w:val="22"/>
          <w:szCs w:val="22"/>
          <w:lang w:val="en"/>
        </w:rPr>
        <w:t>e having difficulty paying their</w:t>
      </w:r>
      <w:r w:rsidR="00675E6C" w:rsidRPr="00675E6C">
        <w:rPr>
          <w:color w:val="2C2A29"/>
          <w:sz w:val="22"/>
          <w:szCs w:val="22"/>
          <w:lang w:val="en"/>
        </w:rPr>
        <w:t xml:space="preserve"> aged care fees for reasons beyond their control.</w:t>
      </w:r>
    </w:p>
    <w:p w:rsidR="00EC58FD" w:rsidRPr="00596D01" w:rsidRDefault="00EC58FD" w:rsidP="00944018">
      <w:pPr>
        <w:pStyle w:val="Heading5"/>
      </w:pPr>
      <w:r w:rsidRPr="00596D01">
        <w:t xml:space="preserve">Consumer contributions </w:t>
      </w:r>
    </w:p>
    <w:p w:rsidR="00BF6E82" w:rsidRDefault="00EF4773" w:rsidP="00A4014C">
      <w:r>
        <w:t>Consumers may be asked</w:t>
      </w:r>
      <w:r w:rsidR="00BF6E82">
        <w:t xml:space="preserve"> to pay a basic daily fee up</w:t>
      </w:r>
      <w:r w:rsidR="00BF6E82">
        <w:rPr>
          <w:color w:val="FF0000"/>
        </w:rPr>
        <w:t xml:space="preserve"> </w:t>
      </w:r>
      <w:r w:rsidR="00BF6E82">
        <w:t>to 17.</w:t>
      </w:r>
      <w:r w:rsidR="009C307B">
        <w:t>5</w:t>
      </w:r>
      <w:r w:rsidR="00A261F3">
        <w:t> per cent</w:t>
      </w:r>
      <w:r w:rsidR="00BF6E82">
        <w:t xml:space="preserve"> of the sin</w:t>
      </w:r>
      <w:r>
        <w:t>gle basic age pension (</w:t>
      </w:r>
      <w:r w:rsidR="00353085">
        <w:t>$10.32</w:t>
      </w:r>
      <w:r w:rsidR="00BF6E82">
        <w:t xml:space="preserve"> a day/</w:t>
      </w:r>
      <w:r w:rsidR="00353085">
        <w:t>$3,766</w:t>
      </w:r>
      <w:r w:rsidR="00BF6E82">
        <w:t xml:space="preserve"> per annum</w:t>
      </w:r>
      <w:r>
        <w:t xml:space="preserve"> as at 1 July</w:t>
      </w:r>
      <w:r w:rsidR="00A261F3">
        <w:t> 201</w:t>
      </w:r>
      <w:r>
        <w:t>8</w:t>
      </w:r>
      <w:r w:rsidR="00247BB3">
        <w:t>).</w:t>
      </w:r>
      <w:r w:rsidR="00BF6E82">
        <w:t>The basic daily fee is not subject to an income or asset test and all consumers can be asked to pay unless they prove financial hardship, in which case the Commonwealth pays the provider on their behalf. The basic daily fee, when charged by the service provider, must be included in the individualised budget for the consumer.</w:t>
      </w:r>
    </w:p>
    <w:p w:rsidR="00D8721E" w:rsidRDefault="00BF6E82" w:rsidP="00A4014C">
      <w:r>
        <w:t xml:space="preserve">Additionally, </w:t>
      </w:r>
      <w:r w:rsidR="008D5D4F">
        <w:t>consumers</w:t>
      </w:r>
      <w:r>
        <w:t xml:space="preserve"> may be asked to make a contribution toward</w:t>
      </w:r>
      <w:r w:rsidR="006F07AE">
        <w:t>s</w:t>
      </w:r>
      <w:r>
        <w:t xml:space="preserve"> the co</w:t>
      </w:r>
      <w:r w:rsidR="00905F26">
        <w:t>st of their care through an income</w:t>
      </w:r>
      <w:r w:rsidR="00247BB3">
        <w:t xml:space="preserve"> tested fee. T</w:t>
      </w:r>
      <w:r>
        <w:t>he amount paid by the Commonwealth on behalf of a consumer is reduced by the amou</w:t>
      </w:r>
      <w:r w:rsidR="00905F26">
        <w:t>nt of the income</w:t>
      </w:r>
      <w:r w:rsidR="0046180A">
        <w:t xml:space="preserve"> tested fee</w:t>
      </w:r>
      <w:r w:rsidR="003D52A4">
        <w:t xml:space="preserve"> regardless of whether the fee is collected by the provider or not</w:t>
      </w:r>
      <w:r w:rsidR="0046180A">
        <w:t>.</w:t>
      </w:r>
    </w:p>
    <w:p w:rsidR="00223430" w:rsidRPr="00596D01" w:rsidRDefault="00223430" w:rsidP="00A4014C">
      <w:pPr>
        <w:pStyle w:val="Heading3Numbered"/>
      </w:pPr>
      <w:bookmarkStart w:id="523" w:name="_Toc524424761"/>
      <w:r w:rsidRPr="00596D01">
        <w:t>Revenue</w:t>
      </w:r>
      <w:bookmarkEnd w:id="523"/>
    </w:p>
    <w:p w:rsidR="00223430" w:rsidRDefault="00223430" w:rsidP="00A4014C">
      <w:pPr>
        <w:rPr>
          <w:lang w:val="en-GB"/>
        </w:rPr>
      </w:pPr>
      <w:r w:rsidRPr="0095491D">
        <w:rPr>
          <w:lang w:val="en-GB"/>
        </w:rPr>
        <w:t>In</w:t>
      </w:r>
      <w:r w:rsidR="00A261F3">
        <w:rPr>
          <w:lang w:val="en-GB"/>
        </w:rPr>
        <w:t> 201</w:t>
      </w:r>
      <w:r>
        <w:rPr>
          <w:lang w:val="en-GB"/>
        </w:rPr>
        <w:t>6</w:t>
      </w:r>
      <w:r w:rsidR="00D8721E">
        <w:rPr>
          <w:lang w:val="en-GB"/>
        </w:rPr>
        <w:t>–1</w:t>
      </w:r>
      <w:r>
        <w:rPr>
          <w:lang w:val="en-GB"/>
        </w:rPr>
        <w:t>7</w:t>
      </w:r>
      <w:r w:rsidR="00247BB3">
        <w:rPr>
          <w:lang w:val="en-GB"/>
        </w:rPr>
        <w:t xml:space="preserve">, </w:t>
      </w:r>
      <w:r w:rsidRPr="0095491D">
        <w:rPr>
          <w:lang w:val="en-GB"/>
        </w:rPr>
        <w:t>total sector revenue for all home care providers is</w:t>
      </w:r>
      <w:r>
        <w:rPr>
          <w:lang w:val="en-GB"/>
        </w:rPr>
        <w:t xml:space="preserve"> estimated</w:t>
      </w:r>
      <w:r w:rsidRPr="0095491D">
        <w:rPr>
          <w:lang w:val="en-GB"/>
        </w:rPr>
        <w:t xml:space="preserve"> at </w:t>
      </w:r>
      <w:r w:rsidRPr="00B03767">
        <w:rPr>
          <w:lang w:val="en-GB"/>
        </w:rPr>
        <w:t>approximately $1.85</w:t>
      </w:r>
      <w:r w:rsidR="00A261F3">
        <w:rPr>
          <w:lang w:val="en-GB"/>
        </w:rPr>
        <w:t> billion</w:t>
      </w:r>
      <w:r w:rsidRPr="00B03767">
        <w:rPr>
          <w:lang w:val="en-GB"/>
        </w:rPr>
        <w:t>, up from an estimated $1.75</w:t>
      </w:r>
      <w:r w:rsidR="00A261F3">
        <w:rPr>
          <w:lang w:val="en-GB"/>
        </w:rPr>
        <w:t> billion</w:t>
      </w:r>
      <w:r w:rsidRPr="00B03767">
        <w:rPr>
          <w:lang w:val="en-GB"/>
        </w:rPr>
        <w:t xml:space="preserve"> in</w:t>
      </w:r>
      <w:r w:rsidR="00A261F3">
        <w:rPr>
          <w:lang w:val="en-GB"/>
        </w:rPr>
        <w:t> 201</w:t>
      </w:r>
      <w:r w:rsidRPr="00B03767">
        <w:rPr>
          <w:lang w:val="en-GB"/>
        </w:rPr>
        <w:t>5</w:t>
      </w:r>
      <w:r w:rsidR="00D8721E">
        <w:rPr>
          <w:lang w:val="en-GB"/>
        </w:rPr>
        <w:t>–1</w:t>
      </w:r>
      <w:r w:rsidRPr="00B03767">
        <w:rPr>
          <w:lang w:val="en-GB"/>
        </w:rPr>
        <w:t>6, an increase of</w:t>
      </w:r>
      <w:r w:rsidR="00853876">
        <w:rPr>
          <w:lang w:val="en-GB"/>
        </w:rPr>
        <w:t xml:space="preserve"> 6</w:t>
      </w:r>
      <w:r w:rsidR="00A261F3">
        <w:rPr>
          <w:lang w:val="en-GB"/>
        </w:rPr>
        <w:t> per cent</w:t>
      </w:r>
      <w:r w:rsidRPr="00B03767">
        <w:rPr>
          <w:lang w:val="en-GB"/>
        </w:rPr>
        <w:t>.</w:t>
      </w:r>
      <w:r w:rsidR="00D8721E">
        <w:rPr>
          <w:lang w:val="en-GB"/>
        </w:rPr>
        <w:t xml:space="preserve"> </w:t>
      </w:r>
      <w:r w:rsidRPr="00B03767">
        <w:rPr>
          <w:lang w:val="en-GB"/>
        </w:rPr>
        <w:t>Commonwealth</w:t>
      </w:r>
      <w:r w:rsidRPr="00786580">
        <w:rPr>
          <w:lang w:val="en-GB"/>
        </w:rPr>
        <w:t xml:space="preserve"> contributions represent more than 80</w:t>
      </w:r>
      <w:r w:rsidR="00A261F3">
        <w:rPr>
          <w:lang w:val="en-GB"/>
        </w:rPr>
        <w:t> per cent</w:t>
      </w:r>
      <w:r w:rsidRPr="00786580">
        <w:rPr>
          <w:lang w:val="en-GB"/>
        </w:rPr>
        <w:t xml:space="preserve"> of the total revenue received by home care service providers</w:t>
      </w:r>
      <w:r w:rsidR="005876F5">
        <w:rPr>
          <w:lang w:val="en-GB"/>
        </w:rPr>
        <w:t xml:space="preserve"> in</w:t>
      </w:r>
      <w:r w:rsidR="00A261F3">
        <w:rPr>
          <w:lang w:val="en-GB"/>
        </w:rPr>
        <w:t> 201</w:t>
      </w:r>
      <w:r w:rsidR="005876F5">
        <w:rPr>
          <w:lang w:val="en-GB"/>
        </w:rPr>
        <w:t>6</w:t>
      </w:r>
      <w:r w:rsidR="00D8721E">
        <w:rPr>
          <w:lang w:val="en-GB"/>
        </w:rPr>
        <w:t>–1</w:t>
      </w:r>
      <w:r w:rsidR="005876F5">
        <w:rPr>
          <w:lang w:val="en-GB"/>
        </w:rPr>
        <w:t>7</w:t>
      </w:r>
      <w:r w:rsidRPr="00786580">
        <w:rPr>
          <w:lang w:val="en-GB"/>
        </w:rPr>
        <w:t>, about the same as in</w:t>
      </w:r>
      <w:r w:rsidR="00A261F3">
        <w:rPr>
          <w:lang w:val="en-GB"/>
        </w:rPr>
        <w:t> 201</w:t>
      </w:r>
      <w:r w:rsidRPr="00786580">
        <w:rPr>
          <w:lang w:val="en-GB"/>
        </w:rPr>
        <w:t>5</w:t>
      </w:r>
      <w:r w:rsidR="00D8721E">
        <w:rPr>
          <w:lang w:val="en-GB"/>
        </w:rPr>
        <w:t>–1</w:t>
      </w:r>
      <w:r w:rsidRPr="00786580">
        <w:rPr>
          <w:lang w:val="en-GB"/>
        </w:rPr>
        <w:t>6.</w:t>
      </w:r>
    </w:p>
    <w:p w:rsidR="00D8721E" w:rsidRDefault="00223430" w:rsidP="00A4014C">
      <w:pPr>
        <w:rPr>
          <w:lang w:val="en-GB"/>
        </w:rPr>
      </w:pPr>
      <w:r w:rsidRPr="0095491D">
        <w:rPr>
          <w:lang w:val="en-GB"/>
        </w:rPr>
        <w:t xml:space="preserve">Total </w:t>
      </w:r>
      <w:r w:rsidRPr="00223430">
        <w:rPr>
          <w:lang w:val="en-GB"/>
        </w:rPr>
        <w:t xml:space="preserve">revenue for home care providers </w:t>
      </w:r>
      <w:r w:rsidRPr="0095491D">
        <w:rPr>
          <w:lang w:val="en-GB"/>
        </w:rPr>
        <w:t>consists of Commonwealth contributions in the form of subsidies and supplements, contributions from consumers (the basic daily fee and income tested fees) and other revenue sources (such as consumer contributions for non-home care related services, interest income and state and territory government payments)</w:t>
      </w:r>
      <w:r w:rsidR="00D8721E">
        <w:rPr>
          <w:lang w:val="en-GB"/>
        </w:rPr>
        <w:t>.</w:t>
      </w:r>
    </w:p>
    <w:p w:rsidR="00D8721E" w:rsidRDefault="00223430" w:rsidP="00A4014C">
      <w:pPr>
        <w:rPr>
          <w:lang w:val="en-GB"/>
        </w:rPr>
      </w:pPr>
      <w:r>
        <w:rPr>
          <w:lang w:val="en-GB"/>
        </w:rPr>
        <w:t>The average income per consumer per day</w:t>
      </w:r>
      <w:r w:rsidR="00D43B23">
        <w:rPr>
          <w:lang w:val="en-GB"/>
        </w:rPr>
        <w:t xml:space="preserve"> in</w:t>
      </w:r>
      <w:r w:rsidR="00A261F3">
        <w:rPr>
          <w:lang w:val="en-GB"/>
        </w:rPr>
        <w:t> 201</w:t>
      </w:r>
      <w:r w:rsidR="00D43B23">
        <w:rPr>
          <w:lang w:val="en-GB"/>
        </w:rPr>
        <w:t>6</w:t>
      </w:r>
      <w:r w:rsidR="00D8721E">
        <w:rPr>
          <w:lang w:val="en-GB"/>
        </w:rPr>
        <w:t>–1</w:t>
      </w:r>
      <w:r w:rsidR="00D43B23">
        <w:rPr>
          <w:lang w:val="en-GB"/>
        </w:rPr>
        <w:t>7</w:t>
      </w:r>
      <w:r>
        <w:rPr>
          <w:lang w:val="en-GB"/>
        </w:rPr>
        <w:t xml:space="preserve"> </w:t>
      </w:r>
      <w:r w:rsidRPr="00327E7F">
        <w:rPr>
          <w:lang w:val="en-GB"/>
        </w:rPr>
        <w:t>for home care providers who submitted their</w:t>
      </w:r>
      <w:r w:rsidR="00B56296">
        <w:rPr>
          <w:lang w:val="en-GB"/>
        </w:rPr>
        <w:t xml:space="preserve"> ACFRs </w:t>
      </w:r>
      <w:r>
        <w:rPr>
          <w:lang w:val="en-GB"/>
        </w:rPr>
        <w:t>was $72.71 ($26,539 per consumer for the year) down from $76.70 in</w:t>
      </w:r>
      <w:r w:rsidR="00A261F3">
        <w:rPr>
          <w:lang w:val="en-GB"/>
        </w:rPr>
        <w:t> 201</w:t>
      </w:r>
      <w:r>
        <w:rPr>
          <w:lang w:val="en-GB"/>
        </w:rPr>
        <w:t>5</w:t>
      </w:r>
      <w:r w:rsidR="00D8721E">
        <w:rPr>
          <w:lang w:val="en-GB"/>
        </w:rPr>
        <w:t>–1</w:t>
      </w:r>
      <w:r>
        <w:rPr>
          <w:lang w:val="en-GB"/>
        </w:rPr>
        <w:t xml:space="preserve">6, a decrease of </w:t>
      </w:r>
      <w:r w:rsidR="00853876">
        <w:rPr>
          <w:lang w:val="en-GB"/>
        </w:rPr>
        <w:t>5</w:t>
      </w:r>
      <w:r w:rsidR="00A261F3">
        <w:rPr>
          <w:lang w:val="en-GB"/>
        </w:rPr>
        <w:t> per cent</w:t>
      </w:r>
      <w:r>
        <w:rPr>
          <w:lang w:val="en-GB"/>
        </w:rPr>
        <w:t xml:space="preserve">. </w:t>
      </w:r>
      <w:r w:rsidR="00492BF8">
        <w:rPr>
          <w:lang w:val="en-GB"/>
        </w:rPr>
        <w:fldChar w:fldCharType="begin"/>
      </w:r>
      <w:r w:rsidR="00492BF8">
        <w:rPr>
          <w:lang w:val="en-GB"/>
        </w:rPr>
        <w:instrText xml:space="preserve"> REF _Ref524429390 \r \h </w:instrText>
      </w:r>
      <w:r w:rsidR="00492BF8">
        <w:rPr>
          <w:lang w:val="en-GB"/>
        </w:rPr>
      </w:r>
      <w:r w:rsidR="00492BF8">
        <w:rPr>
          <w:lang w:val="en-GB"/>
        </w:rPr>
        <w:fldChar w:fldCharType="separate"/>
      </w:r>
      <w:r w:rsidR="00492BF8">
        <w:rPr>
          <w:lang w:val="en-GB"/>
        </w:rPr>
        <w:t>Table 7.8</w:t>
      </w:r>
      <w:r w:rsidR="00492BF8">
        <w:rPr>
          <w:lang w:val="en-GB"/>
        </w:rPr>
        <w:fldChar w:fldCharType="end"/>
      </w:r>
      <w:r w:rsidR="00492BF8">
        <w:rPr>
          <w:lang w:val="en-GB"/>
        </w:rPr>
        <w:t xml:space="preserve"> </w:t>
      </w:r>
      <w:r w:rsidRPr="00472976">
        <w:rPr>
          <w:lang w:val="en-GB"/>
        </w:rPr>
        <w:t xml:space="preserve">shows provider income </w:t>
      </w:r>
      <w:r w:rsidR="00383ED0" w:rsidRPr="00472976">
        <w:rPr>
          <w:lang w:val="en-GB"/>
        </w:rPr>
        <w:t xml:space="preserve">per consumer per day </w:t>
      </w:r>
      <w:r w:rsidRPr="00472976">
        <w:rPr>
          <w:lang w:val="en-GB"/>
        </w:rPr>
        <w:t xml:space="preserve">for the </w:t>
      </w:r>
      <w:r w:rsidR="00B577B8" w:rsidRPr="00472976">
        <w:rPr>
          <w:lang w:val="en-GB"/>
        </w:rPr>
        <w:t>two</w:t>
      </w:r>
      <w:r w:rsidRPr="00472976">
        <w:rPr>
          <w:lang w:val="en-GB"/>
        </w:rPr>
        <w:t xml:space="preserve"> years to</w:t>
      </w:r>
      <w:r w:rsidR="00A261F3">
        <w:rPr>
          <w:lang w:val="en-GB"/>
        </w:rPr>
        <w:t> 201</w:t>
      </w:r>
      <w:r w:rsidRPr="00472976">
        <w:rPr>
          <w:lang w:val="en-GB"/>
        </w:rPr>
        <w:t>6</w:t>
      </w:r>
      <w:r w:rsidR="00D8721E">
        <w:rPr>
          <w:lang w:val="en-GB"/>
        </w:rPr>
        <w:t>–1</w:t>
      </w:r>
      <w:r w:rsidRPr="00472976">
        <w:rPr>
          <w:lang w:val="en-GB"/>
        </w:rPr>
        <w:t>7 split by the major types of income.</w:t>
      </w:r>
      <w:r w:rsidR="00B577B8" w:rsidRPr="00472976">
        <w:rPr>
          <w:lang w:val="en-GB"/>
        </w:rPr>
        <w:t xml:space="preserve"> ACFA is not able to compare</w:t>
      </w:r>
      <w:r w:rsidR="00A261F3">
        <w:rPr>
          <w:lang w:val="en-GB"/>
        </w:rPr>
        <w:t> 201</w:t>
      </w:r>
      <w:r w:rsidR="00B577B8" w:rsidRPr="00472976">
        <w:rPr>
          <w:lang w:val="en-GB"/>
        </w:rPr>
        <w:t>5</w:t>
      </w:r>
      <w:r w:rsidR="00D8721E">
        <w:rPr>
          <w:lang w:val="en-GB"/>
        </w:rPr>
        <w:t>–1</w:t>
      </w:r>
      <w:r w:rsidR="00B577B8" w:rsidRPr="00472976">
        <w:rPr>
          <w:lang w:val="en-GB"/>
        </w:rPr>
        <w:t>6 and</w:t>
      </w:r>
      <w:r w:rsidR="00A261F3">
        <w:rPr>
          <w:lang w:val="en-GB"/>
        </w:rPr>
        <w:t> 201</w:t>
      </w:r>
      <w:r w:rsidR="00B577B8" w:rsidRPr="00472976">
        <w:rPr>
          <w:lang w:val="en-GB"/>
        </w:rPr>
        <w:t>6</w:t>
      </w:r>
      <w:r w:rsidR="00D8721E">
        <w:rPr>
          <w:lang w:val="en-GB"/>
        </w:rPr>
        <w:t>–1</w:t>
      </w:r>
      <w:r w:rsidR="00B577B8" w:rsidRPr="00472976">
        <w:rPr>
          <w:lang w:val="en-GB"/>
        </w:rPr>
        <w:t>7 with</w:t>
      </w:r>
      <w:r w:rsidR="00A261F3">
        <w:rPr>
          <w:lang w:val="en-GB"/>
        </w:rPr>
        <w:t> 201</w:t>
      </w:r>
      <w:r w:rsidR="00B577B8" w:rsidRPr="00472976">
        <w:rPr>
          <w:lang w:val="en-GB"/>
        </w:rPr>
        <w:t>4</w:t>
      </w:r>
      <w:r w:rsidR="00D8721E">
        <w:rPr>
          <w:lang w:val="en-GB"/>
        </w:rPr>
        <w:t>–1</w:t>
      </w:r>
      <w:r w:rsidR="00B577B8" w:rsidRPr="00472976">
        <w:rPr>
          <w:lang w:val="en-GB"/>
        </w:rPr>
        <w:t>5 as some providers operated on a CDC basis</w:t>
      </w:r>
      <w:r w:rsidR="00B820B5">
        <w:rPr>
          <w:lang w:val="en-GB"/>
        </w:rPr>
        <w:t>,</w:t>
      </w:r>
      <w:r w:rsidR="00B577B8" w:rsidRPr="00472976">
        <w:rPr>
          <w:lang w:val="en-GB"/>
        </w:rPr>
        <w:t xml:space="preserve"> while others did not</w:t>
      </w:r>
      <w:r w:rsidR="00B820B5">
        <w:rPr>
          <w:lang w:val="en-GB"/>
        </w:rPr>
        <w:t>,</w:t>
      </w:r>
      <w:r w:rsidR="00B577B8" w:rsidRPr="00472976">
        <w:rPr>
          <w:lang w:val="en-GB"/>
        </w:rPr>
        <w:t xml:space="preserve"> which resulted in differences in the treatment of some revenue items</w:t>
      </w:r>
      <w:r w:rsidR="00D8721E">
        <w:rPr>
          <w:lang w:val="en-GB"/>
        </w:rPr>
        <w:t>.</w:t>
      </w:r>
    </w:p>
    <w:p w:rsidR="00D8721E" w:rsidRDefault="00A912FD" w:rsidP="00A4014C">
      <w:pPr>
        <w:rPr>
          <w:lang w:val="en-GB"/>
        </w:rPr>
      </w:pPr>
      <w:r>
        <w:rPr>
          <w:lang w:val="en-GB"/>
        </w:rPr>
        <w:t xml:space="preserve">As shown in </w:t>
      </w:r>
      <w:r w:rsidR="00492BF8">
        <w:rPr>
          <w:lang w:val="en-GB"/>
        </w:rPr>
        <w:fldChar w:fldCharType="begin"/>
      </w:r>
      <w:r w:rsidR="00492BF8">
        <w:rPr>
          <w:lang w:val="en-GB"/>
        </w:rPr>
        <w:instrText xml:space="preserve"> REF _Ref524429390 \r \h </w:instrText>
      </w:r>
      <w:r w:rsidR="00492BF8">
        <w:rPr>
          <w:lang w:val="en-GB"/>
        </w:rPr>
      </w:r>
      <w:r w:rsidR="00492BF8">
        <w:rPr>
          <w:lang w:val="en-GB"/>
        </w:rPr>
        <w:fldChar w:fldCharType="separate"/>
      </w:r>
      <w:r w:rsidR="00492BF8">
        <w:rPr>
          <w:lang w:val="en-GB"/>
        </w:rPr>
        <w:t>Table 7.8</w:t>
      </w:r>
      <w:r w:rsidR="00492BF8">
        <w:rPr>
          <w:lang w:val="en-GB"/>
        </w:rPr>
        <w:fldChar w:fldCharType="end"/>
      </w:r>
      <w:r w:rsidR="00B820B5">
        <w:rPr>
          <w:lang w:val="en-GB"/>
        </w:rPr>
        <w:t>,</w:t>
      </w:r>
      <w:r>
        <w:rPr>
          <w:lang w:val="en-GB"/>
        </w:rPr>
        <w:t xml:space="preserve"> there </w:t>
      </w:r>
      <w:r w:rsidR="00B820B5">
        <w:rPr>
          <w:lang w:val="en-GB"/>
        </w:rPr>
        <w:t xml:space="preserve">was </w:t>
      </w:r>
      <w:r>
        <w:rPr>
          <w:lang w:val="en-GB"/>
        </w:rPr>
        <w:t xml:space="preserve">a significant </w:t>
      </w:r>
      <w:r w:rsidR="00B820B5">
        <w:rPr>
          <w:lang w:val="en-GB"/>
        </w:rPr>
        <w:t>amount charged</w:t>
      </w:r>
      <w:r>
        <w:rPr>
          <w:lang w:val="en-GB"/>
        </w:rPr>
        <w:t xml:space="preserve"> in</w:t>
      </w:r>
      <w:r w:rsidR="00A261F3">
        <w:rPr>
          <w:lang w:val="en-GB"/>
        </w:rPr>
        <w:t> 201</w:t>
      </w:r>
      <w:r>
        <w:rPr>
          <w:lang w:val="en-GB"/>
        </w:rPr>
        <w:t>5</w:t>
      </w:r>
      <w:r w:rsidR="00D8721E">
        <w:rPr>
          <w:lang w:val="en-GB"/>
        </w:rPr>
        <w:t>–1</w:t>
      </w:r>
      <w:r>
        <w:rPr>
          <w:lang w:val="en-GB"/>
        </w:rPr>
        <w:t>6 and</w:t>
      </w:r>
      <w:r w:rsidR="00A261F3">
        <w:rPr>
          <w:lang w:val="en-GB"/>
        </w:rPr>
        <w:t> 201</w:t>
      </w:r>
      <w:r>
        <w:rPr>
          <w:lang w:val="en-GB"/>
        </w:rPr>
        <w:t>6</w:t>
      </w:r>
      <w:r w:rsidR="00D8721E">
        <w:rPr>
          <w:lang w:val="en-GB"/>
        </w:rPr>
        <w:t>–1</w:t>
      </w:r>
      <w:r>
        <w:rPr>
          <w:lang w:val="en-GB"/>
        </w:rPr>
        <w:t xml:space="preserve">7 </w:t>
      </w:r>
      <w:r w:rsidR="00B820B5">
        <w:rPr>
          <w:lang w:val="en-GB"/>
        </w:rPr>
        <w:t xml:space="preserve">for management </w:t>
      </w:r>
      <w:r>
        <w:rPr>
          <w:lang w:val="en-GB"/>
        </w:rPr>
        <w:t>and administration costs</w:t>
      </w:r>
      <w:r w:rsidR="00B820B5">
        <w:rPr>
          <w:lang w:val="en-GB"/>
        </w:rPr>
        <w:t>,</w:t>
      </w:r>
      <w:r>
        <w:rPr>
          <w:lang w:val="en-GB"/>
        </w:rPr>
        <w:t xml:space="preserve"> </w:t>
      </w:r>
      <w:r w:rsidR="00B820B5">
        <w:rPr>
          <w:lang w:val="en-GB"/>
        </w:rPr>
        <w:t xml:space="preserve">which coincided with CDC and portable packages taking </w:t>
      </w:r>
      <w:r>
        <w:rPr>
          <w:lang w:val="en-GB"/>
        </w:rPr>
        <w:t>full effect. This is likely due to consumers having full choice on what they spend their funds on</w:t>
      </w:r>
      <w:r w:rsidR="00B820B5">
        <w:rPr>
          <w:lang w:val="en-GB"/>
        </w:rPr>
        <w:t>,</w:t>
      </w:r>
      <w:r>
        <w:rPr>
          <w:lang w:val="en-GB"/>
        </w:rPr>
        <w:t xml:space="preserve"> and providers being required to provide consumers with full transparency regarding their packages, including </w:t>
      </w:r>
      <w:r w:rsidR="00B820B5">
        <w:rPr>
          <w:lang w:val="en-GB"/>
        </w:rPr>
        <w:t xml:space="preserve">negotiating </w:t>
      </w:r>
      <w:r>
        <w:rPr>
          <w:lang w:val="en-GB"/>
        </w:rPr>
        <w:t xml:space="preserve">an individualised budget and </w:t>
      </w:r>
      <w:r w:rsidR="00B820B5">
        <w:rPr>
          <w:lang w:val="en-GB"/>
        </w:rPr>
        <w:t xml:space="preserve">providing </w:t>
      </w:r>
      <w:r>
        <w:rPr>
          <w:lang w:val="en-GB"/>
        </w:rPr>
        <w:t>monthly expenditure statement</w:t>
      </w:r>
      <w:r w:rsidR="00B820B5">
        <w:rPr>
          <w:lang w:val="en-GB"/>
        </w:rPr>
        <w:t>s</w:t>
      </w:r>
      <w:r>
        <w:rPr>
          <w:lang w:val="en-GB"/>
        </w:rPr>
        <w:t>, as well as having to administer unspent funds in a prudentially appropriate way. Conversely, there has been a decrease in charges to the package for care and service delivered</w:t>
      </w:r>
      <w:r w:rsidR="00D8721E">
        <w:rPr>
          <w:lang w:val="en-GB"/>
        </w:rPr>
        <w:t>.</w:t>
      </w:r>
    </w:p>
    <w:p w:rsidR="00EB6052" w:rsidRPr="00596D01" w:rsidRDefault="00EB6052" w:rsidP="00A4014C">
      <w:pPr>
        <w:pStyle w:val="TableTitle"/>
        <w:rPr>
          <w:rStyle w:val="Strong"/>
        </w:rPr>
      </w:pPr>
      <w:bookmarkStart w:id="524" w:name="_Ref524429390"/>
      <w:r w:rsidRPr="00596D01">
        <w:lastRenderedPageBreak/>
        <w:t>Home care provider income,</w:t>
      </w:r>
      <w:r w:rsidR="00A261F3" w:rsidRPr="00596D01">
        <w:t> 201</w:t>
      </w:r>
      <w:r w:rsidR="00B577B8" w:rsidRPr="00596D01">
        <w:t>5</w:t>
      </w:r>
      <w:r w:rsidR="00D8721E" w:rsidRPr="00596D01">
        <w:t>–1</w:t>
      </w:r>
      <w:r w:rsidR="00B577B8" w:rsidRPr="00596D01">
        <w:t>6</w:t>
      </w:r>
      <w:r w:rsidRPr="00596D01">
        <w:t xml:space="preserve"> to</w:t>
      </w:r>
      <w:r w:rsidR="00A261F3" w:rsidRPr="00596D01">
        <w:t> 201</w:t>
      </w:r>
      <w:r w:rsidRPr="00596D01">
        <w:t>6</w:t>
      </w:r>
      <w:r w:rsidR="00D8721E" w:rsidRPr="00596D01">
        <w:t>–1</w:t>
      </w:r>
      <w:r w:rsidRPr="00596D01">
        <w:t>7</w:t>
      </w:r>
      <w:bookmarkEnd w:id="524"/>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964"/>
        <w:gridCol w:w="1899"/>
        <w:gridCol w:w="1440"/>
        <w:gridCol w:w="1829"/>
        <w:gridCol w:w="1496"/>
      </w:tblGrid>
      <w:tr w:rsidR="00B577B8" w:rsidRPr="00527A23"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539" w:type="pct"/>
          </w:tcPr>
          <w:p w:rsidR="00B577B8" w:rsidRPr="00CB09CF" w:rsidRDefault="00B577B8" w:rsidP="00A4014C">
            <w:pPr>
              <w:rPr>
                <w:rFonts w:ascii="Segoe UI" w:hAnsi="Segoe UI" w:cs="Segoe UI"/>
              </w:rPr>
            </w:pPr>
            <w:r w:rsidRPr="00596D01">
              <w:t>Income type</w:t>
            </w:r>
          </w:p>
        </w:tc>
        <w:tc>
          <w:tcPr>
            <w:tcW w:w="986" w:type="pct"/>
          </w:tcPr>
          <w:p w:rsidR="00B577B8" w:rsidRPr="00527A23" w:rsidRDefault="00B577B8" w:rsidP="00303CD5">
            <w:pPr>
              <w:jc w:val="right"/>
              <w:rPr>
                <w:rFonts w:ascii="Segoe UI" w:hAnsi="Segoe UI" w:cs="Segoe UI"/>
                <w:b w:val="0"/>
              </w:rPr>
            </w:pPr>
            <w:r w:rsidRPr="00596D01">
              <w:t>2015</w:t>
            </w:r>
            <w:r w:rsidR="00D8721E" w:rsidRPr="00596D01">
              <w:t>–1</w:t>
            </w:r>
            <w:r w:rsidRPr="00596D01">
              <w:t>6</w:t>
            </w:r>
          </w:p>
        </w:tc>
        <w:tc>
          <w:tcPr>
            <w:tcW w:w="748" w:type="pct"/>
          </w:tcPr>
          <w:p w:rsidR="00B577B8" w:rsidRDefault="00B577B8" w:rsidP="00303CD5">
            <w:pPr>
              <w:jc w:val="right"/>
              <w:rPr>
                <w:rFonts w:ascii="Segoe UI" w:hAnsi="Segoe UI" w:cs="Segoe UI"/>
                <w:b w:val="0"/>
              </w:rPr>
            </w:pPr>
            <w:r w:rsidRPr="00596D01">
              <w:t>% of total</w:t>
            </w:r>
          </w:p>
        </w:tc>
        <w:tc>
          <w:tcPr>
            <w:tcW w:w="950" w:type="pct"/>
          </w:tcPr>
          <w:p w:rsidR="00B577B8" w:rsidRPr="00527A23" w:rsidRDefault="00B577B8" w:rsidP="00303CD5">
            <w:pPr>
              <w:jc w:val="right"/>
              <w:rPr>
                <w:rFonts w:ascii="Segoe UI" w:hAnsi="Segoe UI" w:cs="Segoe UI"/>
                <w:b w:val="0"/>
              </w:rPr>
            </w:pPr>
            <w:r w:rsidRPr="00596D01">
              <w:t>2016</w:t>
            </w:r>
            <w:r w:rsidR="00D8721E" w:rsidRPr="00596D01">
              <w:t>–1</w:t>
            </w:r>
            <w:r w:rsidRPr="00596D01">
              <w:t>7</w:t>
            </w:r>
          </w:p>
        </w:tc>
        <w:tc>
          <w:tcPr>
            <w:tcW w:w="778" w:type="pct"/>
          </w:tcPr>
          <w:p w:rsidR="00B577B8" w:rsidRPr="00596D01" w:rsidRDefault="00B577B8" w:rsidP="00303CD5">
            <w:pPr>
              <w:jc w:val="right"/>
            </w:pPr>
            <w:r w:rsidRPr="00596D01">
              <w:t>% of total</w:t>
            </w:r>
          </w:p>
        </w:tc>
      </w:tr>
      <w:tr w:rsidR="00B577B8" w:rsidRPr="0090064F" w:rsidTr="00303CD5">
        <w:trPr>
          <w:trHeight w:val="113"/>
        </w:trPr>
        <w:tc>
          <w:tcPr>
            <w:tcW w:w="1539" w:type="pct"/>
          </w:tcPr>
          <w:p w:rsidR="00B577B8" w:rsidRPr="000A0DDE" w:rsidRDefault="00B577B8" w:rsidP="00A4014C">
            <w:pPr>
              <w:rPr>
                <w:rFonts w:ascii="Segoe UI" w:hAnsi="Segoe UI" w:cs="Segoe UI"/>
                <w:color w:val="000000"/>
              </w:rPr>
            </w:pPr>
            <w:r>
              <w:rPr>
                <w:rFonts w:ascii="Segoe UI" w:hAnsi="Segoe UI" w:cs="Segoe UI"/>
                <w:color w:val="000000"/>
              </w:rPr>
              <w:t>Provision of care / services charged to consumers</w:t>
            </w:r>
            <w:r w:rsidRPr="000A0DDE">
              <w:rPr>
                <w:rFonts w:ascii="Segoe UI" w:hAnsi="Segoe UI" w:cs="Segoe UI"/>
                <w:color w:val="000000"/>
              </w:rPr>
              <w:t xml:space="preserve"> </w:t>
            </w:r>
          </w:p>
        </w:tc>
        <w:tc>
          <w:tcPr>
            <w:tcW w:w="986" w:type="pct"/>
          </w:tcPr>
          <w:p w:rsidR="00B577B8" w:rsidRPr="008641A3" w:rsidRDefault="00B577B8" w:rsidP="00303CD5">
            <w:pPr>
              <w:jc w:val="right"/>
              <w:rPr>
                <w:rFonts w:ascii="Segoe UI" w:hAnsi="Segoe UI" w:cs="Segoe UI"/>
                <w:color w:val="000000"/>
              </w:rPr>
            </w:pPr>
            <w:r>
              <w:rPr>
                <w:rFonts w:ascii="Segoe UI" w:hAnsi="Segoe UI" w:cs="Segoe UI"/>
                <w:color w:val="000000"/>
              </w:rPr>
              <w:t>$47.15</w:t>
            </w:r>
          </w:p>
        </w:tc>
        <w:tc>
          <w:tcPr>
            <w:tcW w:w="748" w:type="pct"/>
          </w:tcPr>
          <w:p w:rsidR="00B577B8" w:rsidRDefault="00B577B8" w:rsidP="00303CD5">
            <w:pPr>
              <w:jc w:val="right"/>
              <w:rPr>
                <w:rFonts w:ascii="Segoe UI" w:hAnsi="Segoe UI" w:cs="Segoe UI"/>
                <w:color w:val="000000"/>
              </w:rPr>
            </w:pPr>
            <w:r>
              <w:rPr>
                <w:rFonts w:ascii="Segoe UI" w:hAnsi="Segoe UI" w:cs="Segoe UI"/>
                <w:color w:val="000000"/>
              </w:rPr>
              <w:t>61.5</w:t>
            </w:r>
          </w:p>
        </w:tc>
        <w:tc>
          <w:tcPr>
            <w:tcW w:w="950" w:type="pct"/>
          </w:tcPr>
          <w:p w:rsidR="00B577B8" w:rsidRPr="008935CE" w:rsidRDefault="00B577B8" w:rsidP="00303CD5">
            <w:pPr>
              <w:jc w:val="right"/>
              <w:rPr>
                <w:rFonts w:ascii="Segoe UI" w:hAnsi="Segoe UI" w:cs="Segoe UI"/>
                <w:color w:val="000000" w:themeColor="text1"/>
              </w:rPr>
            </w:pPr>
            <w:r w:rsidRPr="008935CE">
              <w:rPr>
                <w:rFonts w:ascii="Segoe UI" w:hAnsi="Segoe UI" w:cs="Segoe UI"/>
                <w:color w:val="000000" w:themeColor="text1"/>
              </w:rPr>
              <w:t>$44.71</w:t>
            </w:r>
          </w:p>
        </w:tc>
        <w:tc>
          <w:tcPr>
            <w:tcW w:w="778" w:type="pct"/>
          </w:tcPr>
          <w:p w:rsidR="00B577B8" w:rsidRDefault="00B577B8" w:rsidP="00303CD5">
            <w:pPr>
              <w:jc w:val="right"/>
              <w:rPr>
                <w:rFonts w:ascii="Segoe UI" w:hAnsi="Segoe UI" w:cs="Segoe UI"/>
                <w:color w:val="000000"/>
              </w:rPr>
            </w:pPr>
            <w:r>
              <w:rPr>
                <w:rFonts w:ascii="Segoe UI" w:hAnsi="Segoe UI" w:cs="Segoe UI"/>
                <w:color w:val="000000"/>
              </w:rPr>
              <w:t>61.5</w:t>
            </w:r>
          </w:p>
        </w:tc>
      </w:tr>
      <w:tr w:rsidR="00B577B8" w:rsidRPr="0090064F" w:rsidTr="00303CD5">
        <w:trPr>
          <w:trHeight w:val="113"/>
        </w:trPr>
        <w:tc>
          <w:tcPr>
            <w:tcW w:w="1539" w:type="pct"/>
          </w:tcPr>
          <w:p w:rsidR="00B577B8" w:rsidRDefault="00B577B8" w:rsidP="00A4014C">
            <w:pPr>
              <w:rPr>
                <w:rFonts w:ascii="Segoe UI" w:hAnsi="Segoe UI" w:cs="Segoe UI"/>
                <w:color w:val="000000"/>
              </w:rPr>
            </w:pPr>
            <w:r>
              <w:rPr>
                <w:rFonts w:ascii="Segoe UI" w:hAnsi="Segoe UI" w:cs="Segoe UI"/>
                <w:color w:val="000000"/>
              </w:rPr>
              <w:t>Management fees charged to consumers</w:t>
            </w:r>
          </w:p>
        </w:tc>
        <w:tc>
          <w:tcPr>
            <w:tcW w:w="986" w:type="pct"/>
          </w:tcPr>
          <w:p w:rsidR="00B577B8" w:rsidRPr="008641A3" w:rsidRDefault="00B577B8" w:rsidP="00303CD5">
            <w:pPr>
              <w:jc w:val="right"/>
              <w:rPr>
                <w:rFonts w:ascii="Segoe UI" w:hAnsi="Segoe UI" w:cs="Segoe UI"/>
                <w:color w:val="000000"/>
              </w:rPr>
            </w:pPr>
            <w:r>
              <w:rPr>
                <w:rFonts w:ascii="Segoe UI" w:hAnsi="Segoe UI" w:cs="Segoe UI"/>
                <w:color w:val="000000"/>
              </w:rPr>
              <w:t>$11.12</w:t>
            </w:r>
          </w:p>
        </w:tc>
        <w:tc>
          <w:tcPr>
            <w:tcW w:w="748" w:type="pct"/>
          </w:tcPr>
          <w:p w:rsidR="00B577B8" w:rsidRDefault="00B577B8" w:rsidP="00303CD5">
            <w:pPr>
              <w:jc w:val="right"/>
              <w:rPr>
                <w:rFonts w:ascii="Segoe UI" w:hAnsi="Segoe UI" w:cs="Segoe UI"/>
                <w:color w:val="000000"/>
              </w:rPr>
            </w:pPr>
            <w:r>
              <w:rPr>
                <w:rFonts w:ascii="Segoe UI" w:hAnsi="Segoe UI" w:cs="Segoe UI"/>
                <w:color w:val="000000"/>
              </w:rPr>
              <w:t>14.5</w:t>
            </w:r>
          </w:p>
        </w:tc>
        <w:tc>
          <w:tcPr>
            <w:tcW w:w="950" w:type="pct"/>
          </w:tcPr>
          <w:p w:rsidR="00B577B8" w:rsidRPr="008935CE" w:rsidRDefault="00B577B8" w:rsidP="00303CD5">
            <w:pPr>
              <w:jc w:val="right"/>
              <w:rPr>
                <w:rFonts w:ascii="Segoe UI" w:hAnsi="Segoe UI" w:cs="Segoe UI"/>
                <w:color w:val="000000" w:themeColor="text1"/>
              </w:rPr>
            </w:pPr>
            <w:r w:rsidRPr="008935CE">
              <w:rPr>
                <w:rFonts w:ascii="Segoe UI" w:hAnsi="Segoe UI" w:cs="Segoe UI"/>
                <w:color w:val="000000" w:themeColor="text1"/>
              </w:rPr>
              <w:t>$10.27</w:t>
            </w:r>
          </w:p>
        </w:tc>
        <w:tc>
          <w:tcPr>
            <w:tcW w:w="778" w:type="pct"/>
          </w:tcPr>
          <w:p w:rsidR="00B577B8" w:rsidRDefault="00B577B8" w:rsidP="00303CD5">
            <w:pPr>
              <w:jc w:val="right"/>
              <w:rPr>
                <w:rFonts w:ascii="Segoe UI" w:hAnsi="Segoe UI" w:cs="Segoe UI"/>
                <w:color w:val="000000"/>
              </w:rPr>
            </w:pPr>
            <w:r>
              <w:rPr>
                <w:rFonts w:ascii="Segoe UI" w:hAnsi="Segoe UI" w:cs="Segoe UI"/>
                <w:color w:val="000000"/>
              </w:rPr>
              <w:t>14.1</w:t>
            </w:r>
          </w:p>
        </w:tc>
      </w:tr>
      <w:tr w:rsidR="00B577B8" w:rsidRPr="0090064F" w:rsidTr="00303CD5">
        <w:trPr>
          <w:trHeight w:val="113"/>
        </w:trPr>
        <w:tc>
          <w:tcPr>
            <w:tcW w:w="1539" w:type="pct"/>
          </w:tcPr>
          <w:p w:rsidR="00B577B8" w:rsidRPr="000A0DDE" w:rsidRDefault="00B577B8" w:rsidP="00A4014C">
            <w:pPr>
              <w:rPr>
                <w:rFonts w:ascii="Segoe UI" w:hAnsi="Segoe UI" w:cs="Segoe UI"/>
                <w:color w:val="000000"/>
              </w:rPr>
            </w:pPr>
            <w:r>
              <w:rPr>
                <w:rFonts w:ascii="Segoe UI" w:hAnsi="Segoe UI" w:cs="Segoe UI"/>
                <w:color w:val="000000"/>
              </w:rPr>
              <w:t>Administration of packages charged to consumers</w:t>
            </w:r>
          </w:p>
        </w:tc>
        <w:tc>
          <w:tcPr>
            <w:tcW w:w="986" w:type="pct"/>
          </w:tcPr>
          <w:p w:rsidR="00B577B8" w:rsidRPr="008641A3" w:rsidRDefault="00B577B8" w:rsidP="00303CD5">
            <w:pPr>
              <w:jc w:val="right"/>
              <w:rPr>
                <w:rFonts w:ascii="Segoe UI" w:hAnsi="Segoe UI" w:cs="Segoe UI"/>
                <w:color w:val="000000"/>
              </w:rPr>
            </w:pPr>
            <w:r>
              <w:rPr>
                <w:rFonts w:ascii="Segoe UI" w:hAnsi="Segoe UI" w:cs="Segoe UI"/>
                <w:color w:val="000000"/>
              </w:rPr>
              <w:t>$13.63</w:t>
            </w:r>
          </w:p>
        </w:tc>
        <w:tc>
          <w:tcPr>
            <w:tcW w:w="748" w:type="pct"/>
          </w:tcPr>
          <w:p w:rsidR="00B577B8" w:rsidRDefault="00B577B8" w:rsidP="00303CD5">
            <w:pPr>
              <w:jc w:val="right"/>
              <w:rPr>
                <w:rFonts w:ascii="Segoe UI" w:hAnsi="Segoe UI" w:cs="Segoe UI"/>
                <w:color w:val="000000"/>
              </w:rPr>
            </w:pPr>
            <w:r>
              <w:rPr>
                <w:rFonts w:ascii="Segoe UI" w:hAnsi="Segoe UI" w:cs="Segoe UI"/>
                <w:color w:val="000000"/>
              </w:rPr>
              <w:t>17.8</w:t>
            </w:r>
          </w:p>
        </w:tc>
        <w:tc>
          <w:tcPr>
            <w:tcW w:w="950" w:type="pct"/>
          </w:tcPr>
          <w:p w:rsidR="00B577B8" w:rsidRPr="008935CE" w:rsidRDefault="00B577B8" w:rsidP="00303CD5">
            <w:pPr>
              <w:jc w:val="right"/>
              <w:rPr>
                <w:rFonts w:ascii="Segoe UI" w:hAnsi="Segoe UI" w:cs="Segoe UI"/>
                <w:color w:val="000000" w:themeColor="text1"/>
              </w:rPr>
            </w:pPr>
            <w:r w:rsidRPr="008935CE">
              <w:rPr>
                <w:rFonts w:ascii="Segoe UI" w:hAnsi="Segoe UI" w:cs="Segoe UI"/>
                <w:color w:val="000000" w:themeColor="text1"/>
              </w:rPr>
              <w:t>$12.88</w:t>
            </w:r>
          </w:p>
        </w:tc>
        <w:tc>
          <w:tcPr>
            <w:tcW w:w="778" w:type="pct"/>
          </w:tcPr>
          <w:p w:rsidR="00B577B8" w:rsidRDefault="00B577B8" w:rsidP="00303CD5">
            <w:pPr>
              <w:jc w:val="right"/>
              <w:rPr>
                <w:rFonts w:ascii="Segoe UI" w:hAnsi="Segoe UI" w:cs="Segoe UI"/>
                <w:color w:val="000000"/>
              </w:rPr>
            </w:pPr>
            <w:r>
              <w:rPr>
                <w:rFonts w:ascii="Segoe UI" w:hAnsi="Segoe UI" w:cs="Segoe UI"/>
                <w:color w:val="000000"/>
              </w:rPr>
              <w:t>17.7</w:t>
            </w:r>
          </w:p>
        </w:tc>
      </w:tr>
      <w:tr w:rsidR="00B577B8" w:rsidRPr="0090064F" w:rsidTr="00303CD5">
        <w:trPr>
          <w:trHeight w:val="113"/>
        </w:trPr>
        <w:tc>
          <w:tcPr>
            <w:tcW w:w="1539" w:type="pct"/>
          </w:tcPr>
          <w:p w:rsidR="00B577B8" w:rsidRPr="000A0DDE" w:rsidRDefault="00B577B8" w:rsidP="00A4014C">
            <w:pPr>
              <w:rPr>
                <w:rFonts w:ascii="Segoe UI" w:hAnsi="Segoe UI" w:cs="Segoe UI"/>
                <w:color w:val="000000"/>
              </w:rPr>
            </w:pPr>
            <w:r>
              <w:rPr>
                <w:rFonts w:ascii="Segoe UI" w:hAnsi="Segoe UI" w:cs="Segoe UI"/>
                <w:color w:val="000000"/>
              </w:rPr>
              <w:t>Unspent funds and exit amounts deducted</w:t>
            </w:r>
          </w:p>
        </w:tc>
        <w:tc>
          <w:tcPr>
            <w:tcW w:w="986" w:type="pct"/>
          </w:tcPr>
          <w:p w:rsidR="00B577B8" w:rsidRPr="008641A3" w:rsidRDefault="00B577B8" w:rsidP="00303CD5">
            <w:pPr>
              <w:jc w:val="right"/>
              <w:rPr>
                <w:rFonts w:ascii="Segoe UI" w:hAnsi="Segoe UI" w:cs="Segoe UI"/>
                <w:color w:val="000000"/>
              </w:rPr>
            </w:pPr>
            <w:r>
              <w:rPr>
                <w:rFonts w:ascii="Segoe UI" w:hAnsi="Segoe UI" w:cs="Segoe UI"/>
                <w:color w:val="000000"/>
              </w:rPr>
              <w:t>$3.64</w:t>
            </w:r>
          </w:p>
        </w:tc>
        <w:tc>
          <w:tcPr>
            <w:tcW w:w="748" w:type="pct"/>
          </w:tcPr>
          <w:p w:rsidR="00B577B8" w:rsidRDefault="00B577B8" w:rsidP="00303CD5">
            <w:pPr>
              <w:jc w:val="right"/>
              <w:rPr>
                <w:rFonts w:ascii="Segoe UI" w:hAnsi="Segoe UI" w:cs="Segoe UI"/>
                <w:color w:val="000000"/>
              </w:rPr>
            </w:pPr>
            <w:r>
              <w:rPr>
                <w:rFonts w:ascii="Segoe UI" w:hAnsi="Segoe UI" w:cs="Segoe UI"/>
                <w:color w:val="000000"/>
              </w:rPr>
              <w:t>4.7</w:t>
            </w:r>
          </w:p>
        </w:tc>
        <w:tc>
          <w:tcPr>
            <w:tcW w:w="950" w:type="pct"/>
          </w:tcPr>
          <w:p w:rsidR="00B577B8" w:rsidRPr="008935CE" w:rsidRDefault="00B577B8" w:rsidP="00303CD5">
            <w:pPr>
              <w:jc w:val="right"/>
              <w:rPr>
                <w:rFonts w:ascii="Segoe UI" w:hAnsi="Segoe UI" w:cs="Segoe UI"/>
                <w:color w:val="000000" w:themeColor="text1"/>
              </w:rPr>
            </w:pPr>
            <w:r w:rsidRPr="008935CE">
              <w:rPr>
                <w:rFonts w:ascii="Segoe UI" w:hAnsi="Segoe UI" w:cs="Segoe UI"/>
                <w:color w:val="000000" w:themeColor="text1"/>
              </w:rPr>
              <w:t>$2.98</w:t>
            </w:r>
          </w:p>
        </w:tc>
        <w:tc>
          <w:tcPr>
            <w:tcW w:w="778" w:type="pct"/>
          </w:tcPr>
          <w:p w:rsidR="00B577B8" w:rsidRDefault="00B577B8" w:rsidP="00303CD5">
            <w:pPr>
              <w:jc w:val="right"/>
              <w:rPr>
                <w:rFonts w:ascii="Segoe UI" w:hAnsi="Segoe UI" w:cs="Segoe UI"/>
                <w:color w:val="000000"/>
              </w:rPr>
            </w:pPr>
            <w:r>
              <w:rPr>
                <w:rFonts w:ascii="Segoe UI" w:hAnsi="Segoe UI" w:cs="Segoe UI"/>
                <w:color w:val="000000"/>
              </w:rPr>
              <w:t>4.1</w:t>
            </w:r>
          </w:p>
        </w:tc>
      </w:tr>
      <w:tr w:rsidR="00B577B8" w:rsidRPr="0090064F" w:rsidTr="00303CD5">
        <w:trPr>
          <w:trHeight w:val="113"/>
        </w:trPr>
        <w:tc>
          <w:tcPr>
            <w:tcW w:w="1539" w:type="pct"/>
          </w:tcPr>
          <w:p w:rsidR="00B577B8" w:rsidRPr="000A0DDE" w:rsidRDefault="00B577B8" w:rsidP="00A4014C">
            <w:pPr>
              <w:rPr>
                <w:rFonts w:ascii="Segoe UI" w:hAnsi="Segoe UI" w:cs="Segoe UI"/>
                <w:color w:val="000000"/>
              </w:rPr>
            </w:pPr>
            <w:r>
              <w:rPr>
                <w:rFonts w:ascii="Segoe UI" w:hAnsi="Segoe UI" w:cs="Segoe UI"/>
                <w:color w:val="000000"/>
              </w:rPr>
              <w:t>Other revenue</w:t>
            </w:r>
          </w:p>
        </w:tc>
        <w:tc>
          <w:tcPr>
            <w:tcW w:w="986" w:type="pct"/>
          </w:tcPr>
          <w:p w:rsidR="00B577B8" w:rsidRPr="008641A3" w:rsidRDefault="00B577B8" w:rsidP="00303CD5">
            <w:pPr>
              <w:jc w:val="right"/>
              <w:rPr>
                <w:rFonts w:ascii="Segoe UI" w:hAnsi="Segoe UI" w:cs="Segoe UI"/>
                <w:color w:val="000000"/>
              </w:rPr>
            </w:pPr>
            <w:r>
              <w:rPr>
                <w:rFonts w:ascii="Segoe UI" w:hAnsi="Segoe UI" w:cs="Segoe UI"/>
                <w:color w:val="000000"/>
              </w:rPr>
              <w:t>$1.16</w:t>
            </w:r>
          </w:p>
        </w:tc>
        <w:tc>
          <w:tcPr>
            <w:tcW w:w="748" w:type="pct"/>
          </w:tcPr>
          <w:p w:rsidR="00B577B8" w:rsidRDefault="00B577B8" w:rsidP="00303CD5">
            <w:pPr>
              <w:jc w:val="right"/>
              <w:rPr>
                <w:rFonts w:ascii="Segoe UI" w:hAnsi="Segoe UI" w:cs="Segoe UI"/>
                <w:color w:val="000000"/>
              </w:rPr>
            </w:pPr>
            <w:r>
              <w:rPr>
                <w:rFonts w:ascii="Segoe UI" w:hAnsi="Segoe UI" w:cs="Segoe UI"/>
                <w:color w:val="000000"/>
              </w:rPr>
              <w:t>1.5</w:t>
            </w:r>
          </w:p>
        </w:tc>
        <w:tc>
          <w:tcPr>
            <w:tcW w:w="950" w:type="pct"/>
          </w:tcPr>
          <w:p w:rsidR="00B577B8" w:rsidRPr="008935CE" w:rsidRDefault="00B577B8" w:rsidP="00303CD5">
            <w:pPr>
              <w:jc w:val="right"/>
              <w:rPr>
                <w:rFonts w:ascii="Segoe UI" w:hAnsi="Segoe UI" w:cs="Segoe UI"/>
                <w:color w:val="000000" w:themeColor="text1"/>
              </w:rPr>
            </w:pPr>
            <w:r w:rsidRPr="008935CE">
              <w:rPr>
                <w:rFonts w:ascii="Segoe UI" w:hAnsi="Segoe UI" w:cs="Segoe UI"/>
                <w:color w:val="000000" w:themeColor="text1"/>
              </w:rPr>
              <w:t>$1.87</w:t>
            </w:r>
          </w:p>
        </w:tc>
        <w:tc>
          <w:tcPr>
            <w:tcW w:w="778" w:type="pct"/>
          </w:tcPr>
          <w:p w:rsidR="00B577B8" w:rsidRDefault="00B577B8" w:rsidP="00303CD5">
            <w:pPr>
              <w:jc w:val="right"/>
              <w:rPr>
                <w:rFonts w:ascii="Segoe UI" w:hAnsi="Segoe UI" w:cs="Segoe UI"/>
                <w:color w:val="000000"/>
              </w:rPr>
            </w:pPr>
            <w:r>
              <w:rPr>
                <w:rFonts w:ascii="Segoe UI" w:hAnsi="Segoe UI" w:cs="Segoe UI"/>
                <w:color w:val="000000"/>
              </w:rPr>
              <w:t>2.6</w:t>
            </w:r>
          </w:p>
        </w:tc>
      </w:tr>
      <w:tr w:rsidR="00B577B8" w:rsidRPr="0090064F" w:rsidTr="00303CD5">
        <w:trPr>
          <w:trHeight w:val="113"/>
        </w:trPr>
        <w:tc>
          <w:tcPr>
            <w:tcW w:w="1539" w:type="pct"/>
          </w:tcPr>
          <w:p w:rsidR="00B577B8" w:rsidRPr="00B87954" w:rsidRDefault="00B577B8" w:rsidP="00A4014C">
            <w:pPr>
              <w:rPr>
                <w:rFonts w:ascii="Segoe UI" w:hAnsi="Segoe UI" w:cs="Segoe UI"/>
                <w:color w:val="000000"/>
              </w:rPr>
            </w:pPr>
            <w:r w:rsidRPr="00596D01">
              <w:rPr>
                <w:rStyle w:val="Strong"/>
              </w:rPr>
              <w:t>Total</w:t>
            </w:r>
          </w:p>
        </w:tc>
        <w:tc>
          <w:tcPr>
            <w:tcW w:w="986" w:type="pct"/>
          </w:tcPr>
          <w:p w:rsidR="00B577B8" w:rsidRPr="00B87954" w:rsidRDefault="00B577B8" w:rsidP="00303CD5">
            <w:pPr>
              <w:jc w:val="right"/>
              <w:rPr>
                <w:rFonts w:ascii="Segoe UI" w:hAnsi="Segoe UI" w:cs="Segoe UI"/>
                <w:color w:val="000000"/>
              </w:rPr>
            </w:pPr>
            <w:r w:rsidRPr="00596D01">
              <w:rPr>
                <w:rStyle w:val="Strong"/>
              </w:rPr>
              <w:t>$76.70</w:t>
            </w:r>
          </w:p>
        </w:tc>
        <w:tc>
          <w:tcPr>
            <w:tcW w:w="748" w:type="pct"/>
          </w:tcPr>
          <w:p w:rsidR="00B577B8" w:rsidRPr="008935CE" w:rsidRDefault="00B577B8" w:rsidP="00303CD5">
            <w:pPr>
              <w:jc w:val="right"/>
              <w:rPr>
                <w:rFonts w:ascii="Segoe UI" w:hAnsi="Segoe UI" w:cs="Segoe UI"/>
                <w:color w:val="000000" w:themeColor="text1"/>
              </w:rPr>
            </w:pPr>
            <w:r w:rsidRPr="00596D01">
              <w:rPr>
                <w:rStyle w:val="Strong"/>
              </w:rPr>
              <w:t>100</w:t>
            </w:r>
          </w:p>
        </w:tc>
        <w:tc>
          <w:tcPr>
            <w:tcW w:w="950" w:type="pct"/>
          </w:tcPr>
          <w:p w:rsidR="00B577B8" w:rsidRPr="008935CE" w:rsidRDefault="00B577B8" w:rsidP="00303CD5">
            <w:pPr>
              <w:jc w:val="right"/>
              <w:rPr>
                <w:rFonts w:ascii="Segoe UI" w:hAnsi="Segoe UI" w:cs="Segoe UI"/>
                <w:color w:val="000000" w:themeColor="text1"/>
              </w:rPr>
            </w:pPr>
            <w:r w:rsidRPr="00596D01">
              <w:rPr>
                <w:rStyle w:val="Strong"/>
              </w:rPr>
              <w:t>$72.71</w:t>
            </w:r>
          </w:p>
        </w:tc>
        <w:tc>
          <w:tcPr>
            <w:tcW w:w="778" w:type="pct"/>
          </w:tcPr>
          <w:p w:rsidR="00B577B8" w:rsidRPr="00596D01" w:rsidRDefault="00B577B8" w:rsidP="00303CD5">
            <w:pPr>
              <w:jc w:val="right"/>
              <w:rPr>
                <w:rStyle w:val="Strong"/>
              </w:rPr>
            </w:pPr>
            <w:r w:rsidRPr="00596D01">
              <w:rPr>
                <w:rStyle w:val="Strong"/>
              </w:rPr>
              <w:t>100</w:t>
            </w:r>
          </w:p>
        </w:tc>
      </w:tr>
    </w:tbl>
    <w:p w:rsidR="00A4014C" w:rsidRDefault="00A4014C" w:rsidP="00A4014C">
      <w:pPr>
        <w:pStyle w:val="SourceNotesHeading"/>
      </w:pPr>
      <w:r>
        <w:t>Notes</w:t>
      </w:r>
    </w:p>
    <w:p w:rsidR="00D8721E" w:rsidRDefault="00E85677" w:rsidP="0016704B">
      <w:pPr>
        <w:pStyle w:val="SourceNotesNumbered"/>
        <w:numPr>
          <w:ilvl w:val="0"/>
          <w:numId w:val="21"/>
        </w:numPr>
      </w:pPr>
      <w:r>
        <w:t>Provision of care/s</w:t>
      </w:r>
      <w:r w:rsidRPr="00E85677">
        <w:t xml:space="preserve">ervices charged to </w:t>
      </w:r>
      <w:r>
        <w:t xml:space="preserve">consumers </w:t>
      </w:r>
      <w:r w:rsidRPr="00E85677">
        <w:t>includes income recognised from c</w:t>
      </w:r>
      <w:r>
        <w:t>onsumer</w:t>
      </w:r>
      <w:r w:rsidRPr="00E85677">
        <w:t xml:space="preserve">s' packages and private home care </w:t>
      </w:r>
      <w:r>
        <w:t>consumers</w:t>
      </w:r>
      <w:r w:rsidRPr="00E85677">
        <w:t xml:space="preserve"> as care and services are provided. This amount will include Government subsidies and supplements, </w:t>
      </w:r>
      <w:r>
        <w:t>consumer</w:t>
      </w:r>
      <w:r w:rsidRPr="00E85677">
        <w:t xml:space="preserve"> contributions in the form of the basic daily fee, income tested care fees, top-ups and private contributions as well as funds transferred in with a </w:t>
      </w:r>
      <w:r>
        <w:t>consumer</w:t>
      </w:r>
      <w:r w:rsidRPr="00E85677">
        <w:t xml:space="preserve"> when they transfer from another home care provider</w:t>
      </w:r>
      <w:r>
        <w:t xml:space="preserve"> (after the February</w:t>
      </w:r>
      <w:r w:rsidR="00A261F3">
        <w:t> 201</w:t>
      </w:r>
      <w:r>
        <w:t>7 changes)</w:t>
      </w:r>
      <w:r w:rsidR="00D8721E">
        <w:t>.</w:t>
      </w:r>
    </w:p>
    <w:p w:rsidR="00D8721E" w:rsidRDefault="00E85677" w:rsidP="00A4014C">
      <w:pPr>
        <w:pStyle w:val="SourceNotesNumbered"/>
      </w:pPr>
      <w:r>
        <w:t>M</w:t>
      </w:r>
      <w:r w:rsidRPr="00E85677">
        <w:t xml:space="preserve">anagement fees charged to consumers is the amount of income recognised for on-going management and coordination of the </w:t>
      </w:r>
      <w:r>
        <w:t>consumers’</w:t>
      </w:r>
      <w:r w:rsidRPr="00E85677">
        <w:t xml:space="preserve"> packages and care requirements. This will include both Commonwealth funded home care package </w:t>
      </w:r>
      <w:r>
        <w:t>consumers</w:t>
      </w:r>
      <w:r w:rsidRPr="00E85677">
        <w:t xml:space="preserve"> and private </w:t>
      </w:r>
      <w:r>
        <w:t>consumers</w:t>
      </w:r>
      <w:r w:rsidR="00D8721E">
        <w:t>.</w:t>
      </w:r>
    </w:p>
    <w:p w:rsidR="00D8721E" w:rsidRDefault="00E85677" w:rsidP="00A4014C">
      <w:pPr>
        <w:pStyle w:val="SourceNotesNumbered"/>
      </w:pPr>
      <w:r w:rsidRPr="00E85677">
        <w:t xml:space="preserve">Administration fees charged to consumers is the amount of income recognised for on-going administration of </w:t>
      </w:r>
      <w:r>
        <w:t>consumers’</w:t>
      </w:r>
      <w:r w:rsidRPr="00E85677">
        <w:t xml:space="preserve"> packages. This will include both Commonwealth funded home care package </w:t>
      </w:r>
      <w:r>
        <w:t>consumers</w:t>
      </w:r>
      <w:r w:rsidRPr="00E85677">
        <w:t xml:space="preserve"> and private </w:t>
      </w:r>
      <w:r>
        <w:t>consumers</w:t>
      </w:r>
      <w:r w:rsidR="00D8721E">
        <w:t>.</w:t>
      </w:r>
    </w:p>
    <w:p w:rsidR="00D8721E" w:rsidRDefault="00E85677" w:rsidP="00A4014C">
      <w:pPr>
        <w:pStyle w:val="SourceNotesNumbered"/>
      </w:pPr>
      <w:r w:rsidRPr="00E85677">
        <w:t xml:space="preserve">Unspent package funds reflect income remaining from a </w:t>
      </w:r>
      <w:r>
        <w:t>consumer’s</w:t>
      </w:r>
      <w:r w:rsidRPr="00E85677">
        <w:t xml:space="preserve"> care package when a </w:t>
      </w:r>
      <w:r>
        <w:t>consumer</w:t>
      </w:r>
      <w:r w:rsidRPr="00E85677">
        <w:t xml:space="preserve"> leaves the home care service</w:t>
      </w:r>
      <w:r>
        <w:t xml:space="preserve"> (prior to the February</w:t>
      </w:r>
      <w:r w:rsidR="00A261F3">
        <w:t> 201</w:t>
      </w:r>
      <w:r>
        <w:t>7 changes)</w:t>
      </w:r>
      <w:r w:rsidRPr="00E85677">
        <w:t xml:space="preserve">. After this date, unspent package funds follow the consumer to their new home care provider or are returned to the Commonwealth when the consumer leaves care. Exit amounts deducted by the approved provider when ceasing to provide home care to a </w:t>
      </w:r>
      <w:r>
        <w:t>consumer</w:t>
      </w:r>
      <w:r w:rsidRPr="00E85677">
        <w:t xml:space="preserve"> may also be charged after this date</w:t>
      </w:r>
      <w:r w:rsidR="00D8721E">
        <w:t>.</w:t>
      </w:r>
    </w:p>
    <w:p w:rsidR="00D8721E" w:rsidRDefault="00E85677" w:rsidP="00A4014C">
      <w:pPr>
        <w:pStyle w:val="SourceNotesNumbered"/>
      </w:pPr>
      <w:r w:rsidRPr="00E85677">
        <w:t xml:space="preserve">Other revenue include other sources of income generated from running the home care services such as State and Territory payments, </w:t>
      </w:r>
      <w:r>
        <w:t xml:space="preserve">consumer </w:t>
      </w:r>
      <w:r w:rsidRPr="00E85677">
        <w:t>payments for non-home care services, trust distribution, donations and bequests, interest earned on investments, insurance and work cover compensations and gains from the sale of assets.</w:t>
      </w:r>
    </w:p>
    <w:p w:rsidR="008F3E8B" w:rsidRPr="00596D01" w:rsidRDefault="008F3E8B" w:rsidP="00A4014C">
      <w:pPr>
        <w:pStyle w:val="Heading3Numbered"/>
      </w:pPr>
      <w:bookmarkStart w:id="525" w:name="_Toc487702587"/>
      <w:bookmarkStart w:id="526" w:name="_Toc487702939"/>
      <w:bookmarkStart w:id="527" w:name="_Toc487703437"/>
      <w:bookmarkStart w:id="528" w:name="_Toc487703631"/>
      <w:bookmarkStart w:id="529" w:name="_Toc524424762"/>
      <w:r w:rsidRPr="00596D01">
        <w:t>Expenditure</w:t>
      </w:r>
      <w:bookmarkEnd w:id="525"/>
      <w:bookmarkEnd w:id="526"/>
      <w:bookmarkEnd w:id="527"/>
      <w:bookmarkEnd w:id="528"/>
      <w:bookmarkEnd w:id="529"/>
      <w:r w:rsidRPr="00596D01">
        <w:t xml:space="preserve"> </w:t>
      </w:r>
    </w:p>
    <w:p w:rsidR="00D8721E" w:rsidRDefault="0082284B" w:rsidP="00A4014C">
      <w:r>
        <w:t>Total sector expenditure in</w:t>
      </w:r>
      <w:r w:rsidR="00A261F3">
        <w:t> 201</w:t>
      </w:r>
      <w:r>
        <w:t>6</w:t>
      </w:r>
      <w:r w:rsidR="00D8721E">
        <w:t>–1</w:t>
      </w:r>
      <w:r>
        <w:t>7 is estimated to be around $1.65</w:t>
      </w:r>
      <w:r w:rsidR="00A261F3">
        <w:t> billion</w:t>
      </w:r>
      <w:r>
        <w:t xml:space="preserve"> for all home care providers. This</w:t>
      </w:r>
      <w:r w:rsidR="00F55C9E">
        <w:t xml:space="preserve"> figure has been</w:t>
      </w:r>
      <w:r>
        <w:t xml:space="preserve"> scaled up </w:t>
      </w:r>
      <w:r w:rsidR="00F55C9E">
        <w:t xml:space="preserve">to cover </w:t>
      </w:r>
      <w:r>
        <w:t xml:space="preserve">all providers based on those that provided their </w:t>
      </w:r>
      <w:r w:rsidR="00B56296">
        <w:t>ACFRs</w:t>
      </w:r>
      <w:r w:rsidR="00D8721E">
        <w:t>.</w:t>
      </w:r>
    </w:p>
    <w:p w:rsidR="00D8721E" w:rsidRDefault="00B56296" w:rsidP="00A4014C">
      <w:r>
        <w:t>In</w:t>
      </w:r>
      <w:r w:rsidR="00A261F3">
        <w:t> 201</w:t>
      </w:r>
      <w:r w:rsidR="0082284B">
        <w:t>6</w:t>
      </w:r>
      <w:r w:rsidR="00D8721E">
        <w:t>–1</w:t>
      </w:r>
      <w:r w:rsidR="0082284B">
        <w:t>7, the average expenditure per consumer per day was $64.94 ($23,703 per consumer for the year), down from $68.88 in</w:t>
      </w:r>
      <w:r w:rsidR="00A261F3">
        <w:t> 201</w:t>
      </w:r>
      <w:r w:rsidR="0082284B">
        <w:t>5</w:t>
      </w:r>
      <w:r w:rsidR="00D8721E">
        <w:t>–1</w:t>
      </w:r>
      <w:r w:rsidR="0082284B">
        <w:t>6, a decrease of around</w:t>
      </w:r>
      <w:r w:rsidR="00853876">
        <w:t xml:space="preserve"> 6</w:t>
      </w:r>
      <w:r w:rsidR="00A261F3">
        <w:t> per cent</w:t>
      </w:r>
      <w:r w:rsidR="00D8721E">
        <w:t>.</w:t>
      </w:r>
    </w:p>
    <w:p w:rsidR="00D8721E" w:rsidRDefault="0082284B" w:rsidP="00A4014C">
      <w:r>
        <w:t xml:space="preserve">As </w:t>
      </w:r>
      <w:r w:rsidR="00492BF8">
        <w:fldChar w:fldCharType="begin"/>
      </w:r>
      <w:r w:rsidR="00492BF8">
        <w:instrText xml:space="preserve"> REF _Ref524429409 \r \h </w:instrText>
      </w:r>
      <w:r w:rsidR="00492BF8">
        <w:fldChar w:fldCharType="separate"/>
      </w:r>
      <w:r w:rsidR="00492BF8">
        <w:t>Table 7.9</w:t>
      </w:r>
      <w:r w:rsidR="00492BF8">
        <w:fldChar w:fldCharType="end"/>
      </w:r>
      <w:r w:rsidR="00492BF8">
        <w:t xml:space="preserve"> </w:t>
      </w:r>
      <w:r>
        <w:t xml:space="preserve">shows, the main drivers behind the decrease in expenses </w:t>
      </w:r>
      <w:r w:rsidR="00F55C9E">
        <w:t>in</w:t>
      </w:r>
      <w:r w:rsidR="00A261F3">
        <w:t> 201</w:t>
      </w:r>
      <w:r w:rsidR="00F55C9E">
        <w:t>6</w:t>
      </w:r>
      <w:r w:rsidR="00D8721E">
        <w:t>–1</w:t>
      </w:r>
      <w:r w:rsidR="00F55C9E">
        <w:t xml:space="preserve">7 </w:t>
      </w:r>
      <w:r>
        <w:t>compared with</w:t>
      </w:r>
      <w:r w:rsidR="00A261F3">
        <w:t> 201</w:t>
      </w:r>
      <w:r>
        <w:t>5</w:t>
      </w:r>
      <w:r w:rsidR="00D8721E">
        <w:t>–1</w:t>
      </w:r>
      <w:r>
        <w:t>6 were a 4.</w:t>
      </w:r>
      <w:r w:rsidR="009C307B">
        <w:t>5</w:t>
      </w:r>
      <w:r w:rsidR="00A261F3">
        <w:t> per cent</w:t>
      </w:r>
      <w:r>
        <w:t xml:space="preserve"> decrease in care costs </w:t>
      </w:r>
      <w:r w:rsidR="00F55C9E">
        <w:t xml:space="preserve">and </w:t>
      </w:r>
      <w:r>
        <w:t>an 1</w:t>
      </w:r>
      <w:r w:rsidR="00341DAB">
        <w:t>1</w:t>
      </w:r>
      <w:r w:rsidR="00A261F3">
        <w:t> per cent</w:t>
      </w:r>
      <w:r>
        <w:t xml:space="preserve"> decrease in administration</w:t>
      </w:r>
      <w:r w:rsidR="000552E9">
        <w:t xml:space="preserve"> and other</w:t>
      </w:r>
      <w:r>
        <w:t xml:space="preserve"> costs</w:t>
      </w:r>
      <w:r w:rsidR="00D8721E">
        <w:t>.</w:t>
      </w:r>
    </w:p>
    <w:p w:rsidR="00D8721E" w:rsidRDefault="0082284B" w:rsidP="00A4014C">
      <w:r>
        <w:t xml:space="preserve">Within the </w:t>
      </w:r>
      <w:r w:rsidR="00F55C9E">
        <w:t xml:space="preserve">overall </w:t>
      </w:r>
      <w:r>
        <w:t>decrease in care costs in</w:t>
      </w:r>
      <w:r w:rsidR="00A261F3">
        <w:t> 201</w:t>
      </w:r>
      <w:r>
        <w:t>6</w:t>
      </w:r>
      <w:r w:rsidR="00D8721E">
        <w:t>–1</w:t>
      </w:r>
      <w:r>
        <w:t>7</w:t>
      </w:r>
      <w:r w:rsidR="00F55C9E">
        <w:t>, there</w:t>
      </w:r>
      <w:r>
        <w:t xml:space="preserve"> was an increase in care</w:t>
      </w:r>
      <w:r w:rsidR="00F55C9E">
        <w:t>-</w:t>
      </w:r>
      <w:r>
        <w:t xml:space="preserve">related expenses </w:t>
      </w:r>
      <w:r w:rsidR="00F55C9E">
        <w:t>of</w:t>
      </w:r>
      <w:r>
        <w:t xml:space="preserve"> 1</w:t>
      </w:r>
      <w:r w:rsidR="00341DAB">
        <w:t>2</w:t>
      </w:r>
      <w:r w:rsidR="00A261F3">
        <w:t> per cent</w:t>
      </w:r>
      <w:r>
        <w:t xml:space="preserve"> and an increase in sub</w:t>
      </w:r>
      <w:r w:rsidR="00F55C9E">
        <w:t>-</w:t>
      </w:r>
      <w:r>
        <w:t>contracted and brokered customer services</w:t>
      </w:r>
      <w:r w:rsidR="00F55C9E">
        <w:t xml:space="preserve"> of</w:t>
      </w:r>
      <w:r>
        <w:t xml:space="preserve"> </w:t>
      </w:r>
      <w:r w:rsidR="00853876">
        <w:t>9</w:t>
      </w:r>
      <w:r w:rsidR="00A261F3">
        <w:t> per cent</w:t>
      </w:r>
      <w:r>
        <w:t xml:space="preserve">, offset </w:t>
      </w:r>
      <w:r w:rsidR="00F55C9E">
        <w:t xml:space="preserve">by </w:t>
      </w:r>
      <w:r>
        <w:t xml:space="preserve">the drop in care staff costs </w:t>
      </w:r>
      <w:r w:rsidR="00F55C9E">
        <w:t>of</w:t>
      </w:r>
      <w:r>
        <w:t xml:space="preserve"> 1</w:t>
      </w:r>
      <w:r w:rsidR="00341DAB">
        <w:t>1</w:t>
      </w:r>
      <w:r w:rsidR="00A261F3">
        <w:t> per cent</w:t>
      </w:r>
      <w:r w:rsidR="00F55C9E">
        <w:t xml:space="preserve">. This suggests </w:t>
      </w:r>
      <w:r>
        <w:t>that</w:t>
      </w:r>
      <w:r w:rsidR="00F55C9E">
        <w:t xml:space="preserve"> the reduction in wages and</w:t>
      </w:r>
      <w:r>
        <w:t xml:space="preserve"> salaries for staff costs in</w:t>
      </w:r>
      <w:r w:rsidR="00A261F3">
        <w:t> 201</w:t>
      </w:r>
      <w:r>
        <w:t>6</w:t>
      </w:r>
      <w:r w:rsidR="00D8721E">
        <w:t>–1</w:t>
      </w:r>
      <w:r>
        <w:t xml:space="preserve">7 </w:t>
      </w:r>
      <w:r w:rsidR="00F55C9E">
        <w:t xml:space="preserve">was due to greater use of </w:t>
      </w:r>
      <w:r>
        <w:t>sub</w:t>
      </w:r>
      <w:r w:rsidR="00F55C9E">
        <w:t>-</w:t>
      </w:r>
      <w:r>
        <w:t>contracted or brokered services.</w:t>
      </w:r>
      <w:r w:rsidR="00B35A11">
        <w:t xml:space="preserve"> This could reflect the change in provider operating models, where providers seek to employ a more flexible workforce that can adapt and respond to changing demand levels following both the CDC and packages following the consumer reforms. Given the increase in competition with more providers entering the market this trend is likely to continue.</w:t>
      </w:r>
    </w:p>
    <w:p w:rsidR="00B35A11" w:rsidRPr="00596D01" w:rsidRDefault="00B35A11" w:rsidP="00A4014C">
      <w:pPr>
        <w:pStyle w:val="TableTitle"/>
        <w:rPr>
          <w:rStyle w:val="Strong"/>
        </w:rPr>
      </w:pPr>
      <w:bookmarkStart w:id="530" w:name="_Ref524429409"/>
      <w:r w:rsidRPr="00596D01">
        <w:lastRenderedPageBreak/>
        <w:t>Home care expenditure per consumer per day,</w:t>
      </w:r>
      <w:r w:rsidR="00A261F3" w:rsidRPr="00596D01">
        <w:t> 201</w:t>
      </w:r>
      <w:r w:rsidRPr="00596D01">
        <w:t>4</w:t>
      </w:r>
      <w:r w:rsidR="00D8721E" w:rsidRPr="00596D01">
        <w:t>–1</w:t>
      </w:r>
      <w:r w:rsidRPr="00596D01">
        <w:t>5 to</w:t>
      </w:r>
      <w:r w:rsidR="00A261F3" w:rsidRPr="00596D01">
        <w:t> 201</w:t>
      </w:r>
      <w:r w:rsidRPr="00596D01">
        <w:t>6</w:t>
      </w:r>
      <w:r w:rsidR="00D8721E" w:rsidRPr="00596D01">
        <w:t>–1</w:t>
      </w:r>
      <w:r w:rsidRPr="00596D01">
        <w:t>7</w:t>
      </w:r>
      <w:bookmarkEnd w:id="53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814"/>
        <w:gridCol w:w="2275"/>
        <w:gridCol w:w="2274"/>
        <w:gridCol w:w="2265"/>
      </w:tblGrid>
      <w:tr w:rsidR="00C02E72" w:rsidRPr="00A4014C"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461" w:type="pct"/>
          </w:tcPr>
          <w:p w:rsidR="00C02E72" w:rsidRPr="00A4014C" w:rsidRDefault="00C02E72" w:rsidP="00A4014C">
            <w:r w:rsidRPr="00A4014C">
              <w:t xml:space="preserve">Expenses </w:t>
            </w:r>
          </w:p>
        </w:tc>
        <w:tc>
          <w:tcPr>
            <w:tcW w:w="1181" w:type="pct"/>
          </w:tcPr>
          <w:p w:rsidR="00C02E72" w:rsidRPr="00A4014C" w:rsidRDefault="00C02E72" w:rsidP="00A4014C">
            <w:pPr>
              <w:jc w:val="right"/>
            </w:pPr>
            <w:r w:rsidRPr="00A4014C">
              <w:t>2014</w:t>
            </w:r>
            <w:r w:rsidR="00D8721E" w:rsidRPr="00A4014C">
              <w:t>–1</w:t>
            </w:r>
            <w:r w:rsidRPr="00A4014C">
              <w:t>5</w:t>
            </w:r>
          </w:p>
        </w:tc>
        <w:tc>
          <w:tcPr>
            <w:tcW w:w="1181" w:type="pct"/>
          </w:tcPr>
          <w:p w:rsidR="00C02E72" w:rsidRPr="00A4014C" w:rsidRDefault="00C02E72" w:rsidP="00A4014C">
            <w:pPr>
              <w:jc w:val="right"/>
            </w:pPr>
            <w:r w:rsidRPr="00A4014C">
              <w:t>2015</w:t>
            </w:r>
            <w:r w:rsidR="00D8721E" w:rsidRPr="00A4014C">
              <w:t>–1</w:t>
            </w:r>
            <w:r w:rsidRPr="00A4014C">
              <w:t>6</w:t>
            </w:r>
          </w:p>
        </w:tc>
        <w:tc>
          <w:tcPr>
            <w:tcW w:w="1176" w:type="pct"/>
          </w:tcPr>
          <w:p w:rsidR="00C02E72" w:rsidRPr="00A4014C" w:rsidRDefault="00C02E72" w:rsidP="00A4014C">
            <w:pPr>
              <w:jc w:val="right"/>
            </w:pPr>
            <w:r w:rsidRPr="00A4014C">
              <w:t>2016</w:t>
            </w:r>
            <w:r w:rsidR="00D8721E" w:rsidRPr="00A4014C">
              <w:t>–1</w:t>
            </w:r>
            <w:r w:rsidRPr="00A4014C">
              <w:t>7</w:t>
            </w:r>
          </w:p>
        </w:tc>
      </w:tr>
      <w:tr w:rsidR="00C02E72" w:rsidRPr="00A4014C" w:rsidTr="00A4014C">
        <w:trPr>
          <w:trHeight w:val="113"/>
        </w:trPr>
        <w:tc>
          <w:tcPr>
            <w:tcW w:w="1461" w:type="pct"/>
            <w:shd w:val="clear" w:color="auto" w:fill="E8E8E8" w:themeFill="background2"/>
          </w:tcPr>
          <w:p w:rsidR="00C02E72" w:rsidRPr="00A4014C" w:rsidRDefault="00C02E72" w:rsidP="00A4014C">
            <w:pPr>
              <w:rPr>
                <w:rStyle w:val="Strong"/>
              </w:rPr>
            </w:pPr>
            <w:r w:rsidRPr="00A4014C">
              <w:rPr>
                <w:rStyle w:val="Strong"/>
              </w:rPr>
              <w:t>Care costs</w:t>
            </w:r>
          </w:p>
        </w:tc>
        <w:tc>
          <w:tcPr>
            <w:tcW w:w="1181" w:type="pct"/>
            <w:shd w:val="clear" w:color="auto" w:fill="E8E8E8" w:themeFill="background2"/>
          </w:tcPr>
          <w:p w:rsidR="00C02E72" w:rsidRPr="00A4014C" w:rsidRDefault="00C02E72" w:rsidP="00A4014C">
            <w:pPr>
              <w:jc w:val="right"/>
              <w:rPr>
                <w:rStyle w:val="Strong"/>
              </w:rPr>
            </w:pPr>
          </w:p>
        </w:tc>
        <w:tc>
          <w:tcPr>
            <w:tcW w:w="1181" w:type="pct"/>
            <w:shd w:val="clear" w:color="auto" w:fill="E8E8E8" w:themeFill="background2"/>
          </w:tcPr>
          <w:p w:rsidR="00C02E72" w:rsidRPr="00A4014C" w:rsidRDefault="00C02E72" w:rsidP="00A4014C">
            <w:pPr>
              <w:jc w:val="right"/>
              <w:rPr>
                <w:rStyle w:val="Strong"/>
              </w:rPr>
            </w:pPr>
          </w:p>
        </w:tc>
        <w:tc>
          <w:tcPr>
            <w:tcW w:w="1176" w:type="pct"/>
            <w:shd w:val="clear" w:color="auto" w:fill="E8E8E8" w:themeFill="background2"/>
          </w:tcPr>
          <w:p w:rsidR="00C02E72" w:rsidRPr="00A4014C" w:rsidRDefault="00C02E72" w:rsidP="00A4014C">
            <w:pPr>
              <w:jc w:val="right"/>
              <w:rPr>
                <w:rStyle w:val="Strong"/>
              </w:rPr>
            </w:pPr>
          </w:p>
        </w:tc>
      </w:tr>
      <w:tr w:rsidR="00C02E72" w:rsidRPr="00A4014C" w:rsidTr="00A4014C">
        <w:trPr>
          <w:trHeight w:val="113"/>
        </w:trPr>
        <w:tc>
          <w:tcPr>
            <w:tcW w:w="1461" w:type="pct"/>
          </w:tcPr>
          <w:p w:rsidR="00C02E72" w:rsidRPr="00A4014C" w:rsidRDefault="00C02E72" w:rsidP="00A4014C">
            <w:r w:rsidRPr="00A4014C">
              <w:t xml:space="preserve">Wages and salaries – care staff </w:t>
            </w:r>
          </w:p>
        </w:tc>
        <w:tc>
          <w:tcPr>
            <w:tcW w:w="1181" w:type="pct"/>
          </w:tcPr>
          <w:p w:rsidR="00C02E72" w:rsidRPr="00A4014C" w:rsidRDefault="00C02E72" w:rsidP="00A4014C">
            <w:pPr>
              <w:jc w:val="right"/>
            </w:pPr>
            <w:r w:rsidRPr="00A4014C">
              <w:t>$29.08</w:t>
            </w:r>
          </w:p>
        </w:tc>
        <w:tc>
          <w:tcPr>
            <w:tcW w:w="1181" w:type="pct"/>
          </w:tcPr>
          <w:p w:rsidR="00C02E72" w:rsidRPr="00A4014C" w:rsidRDefault="00C02E72" w:rsidP="00A4014C">
            <w:pPr>
              <w:jc w:val="right"/>
            </w:pPr>
            <w:r w:rsidRPr="00A4014C">
              <w:t>$31.98</w:t>
            </w:r>
          </w:p>
        </w:tc>
        <w:tc>
          <w:tcPr>
            <w:tcW w:w="1176" w:type="pct"/>
          </w:tcPr>
          <w:p w:rsidR="00C02E72" w:rsidRPr="00A4014C" w:rsidRDefault="00C02E72" w:rsidP="00A4014C">
            <w:pPr>
              <w:jc w:val="right"/>
            </w:pPr>
            <w:r w:rsidRPr="00A4014C">
              <w:t>$28.78</w:t>
            </w:r>
          </w:p>
        </w:tc>
      </w:tr>
      <w:tr w:rsidR="009B3A94" w:rsidRPr="00A4014C" w:rsidTr="00A4014C">
        <w:trPr>
          <w:trHeight w:val="113"/>
        </w:trPr>
        <w:tc>
          <w:tcPr>
            <w:tcW w:w="1461" w:type="pct"/>
          </w:tcPr>
          <w:p w:rsidR="009B3A94" w:rsidRPr="00A4014C" w:rsidRDefault="009B3A94" w:rsidP="00A4014C">
            <w:r w:rsidRPr="00A4014C">
              <w:t>Subcontracted or brokered customer services</w:t>
            </w:r>
          </w:p>
        </w:tc>
        <w:tc>
          <w:tcPr>
            <w:tcW w:w="1181" w:type="pct"/>
          </w:tcPr>
          <w:p w:rsidR="009B3A94" w:rsidRPr="00A4014C" w:rsidRDefault="009B3A94" w:rsidP="00A4014C">
            <w:pPr>
              <w:jc w:val="right"/>
            </w:pPr>
            <w:r w:rsidRPr="00A4014C">
              <w:t>$7.07</w:t>
            </w:r>
          </w:p>
        </w:tc>
        <w:tc>
          <w:tcPr>
            <w:tcW w:w="1181" w:type="pct"/>
          </w:tcPr>
          <w:p w:rsidR="009B3A94" w:rsidRPr="00A4014C" w:rsidRDefault="009B3A94" w:rsidP="00A4014C">
            <w:pPr>
              <w:jc w:val="right"/>
            </w:pPr>
            <w:r w:rsidRPr="00A4014C">
              <w:t>$9.44</w:t>
            </w:r>
          </w:p>
        </w:tc>
        <w:tc>
          <w:tcPr>
            <w:tcW w:w="1176" w:type="pct"/>
          </w:tcPr>
          <w:p w:rsidR="009B3A94" w:rsidRPr="00A4014C" w:rsidRDefault="009B3A94" w:rsidP="00A4014C">
            <w:pPr>
              <w:jc w:val="right"/>
            </w:pPr>
            <w:r w:rsidRPr="00A4014C">
              <w:t>$10.30</w:t>
            </w:r>
          </w:p>
        </w:tc>
      </w:tr>
      <w:tr w:rsidR="00C02E72" w:rsidRPr="00A4014C" w:rsidTr="00A4014C">
        <w:trPr>
          <w:trHeight w:val="113"/>
        </w:trPr>
        <w:tc>
          <w:tcPr>
            <w:tcW w:w="1461" w:type="pct"/>
          </w:tcPr>
          <w:p w:rsidR="00C02E72" w:rsidRPr="00A4014C" w:rsidRDefault="00C02E72" w:rsidP="00A4014C">
            <w:r w:rsidRPr="00A4014C">
              <w:t>Care related expenses</w:t>
            </w:r>
          </w:p>
        </w:tc>
        <w:tc>
          <w:tcPr>
            <w:tcW w:w="1181" w:type="pct"/>
          </w:tcPr>
          <w:p w:rsidR="00C02E72" w:rsidRPr="00A4014C" w:rsidRDefault="00C02E72" w:rsidP="00A4014C">
            <w:pPr>
              <w:jc w:val="right"/>
            </w:pPr>
            <w:r w:rsidRPr="00A4014C">
              <w:t>$4.43</w:t>
            </w:r>
          </w:p>
        </w:tc>
        <w:tc>
          <w:tcPr>
            <w:tcW w:w="1181" w:type="pct"/>
          </w:tcPr>
          <w:p w:rsidR="00C02E72" w:rsidRPr="00A4014C" w:rsidRDefault="00C02E72" w:rsidP="00A4014C">
            <w:pPr>
              <w:jc w:val="right"/>
            </w:pPr>
            <w:r w:rsidRPr="00A4014C">
              <w:t>$5.01</w:t>
            </w:r>
          </w:p>
        </w:tc>
        <w:tc>
          <w:tcPr>
            <w:tcW w:w="1176" w:type="pct"/>
          </w:tcPr>
          <w:p w:rsidR="00C02E72" w:rsidRPr="00A4014C" w:rsidRDefault="00C02E72" w:rsidP="00A4014C">
            <w:pPr>
              <w:jc w:val="right"/>
            </w:pPr>
            <w:r w:rsidRPr="00A4014C">
              <w:t>$5.64</w:t>
            </w:r>
          </w:p>
        </w:tc>
      </w:tr>
      <w:tr w:rsidR="00197E4F" w:rsidRPr="00A4014C" w:rsidTr="00A4014C">
        <w:trPr>
          <w:trHeight w:val="113"/>
        </w:trPr>
        <w:tc>
          <w:tcPr>
            <w:tcW w:w="1461" w:type="pct"/>
          </w:tcPr>
          <w:p w:rsidR="00197E4F" w:rsidRPr="00A4014C" w:rsidRDefault="00197E4F" w:rsidP="00A4014C">
            <w:r w:rsidRPr="00A4014C">
              <w:t>Total care costs</w:t>
            </w:r>
          </w:p>
        </w:tc>
        <w:tc>
          <w:tcPr>
            <w:tcW w:w="1181" w:type="pct"/>
          </w:tcPr>
          <w:p w:rsidR="00197E4F" w:rsidRPr="00A4014C" w:rsidRDefault="00197E4F" w:rsidP="00A4014C">
            <w:pPr>
              <w:jc w:val="right"/>
            </w:pPr>
            <w:r w:rsidRPr="00A4014C">
              <w:t>$40.58</w:t>
            </w:r>
          </w:p>
        </w:tc>
        <w:tc>
          <w:tcPr>
            <w:tcW w:w="1181" w:type="pct"/>
          </w:tcPr>
          <w:p w:rsidR="00197E4F" w:rsidRPr="00A4014C" w:rsidRDefault="00197E4F" w:rsidP="00A4014C">
            <w:pPr>
              <w:jc w:val="right"/>
            </w:pPr>
            <w:r w:rsidRPr="00A4014C">
              <w:t>$46.43</w:t>
            </w:r>
          </w:p>
        </w:tc>
        <w:tc>
          <w:tcPr>
            <w:tcW w:w="1176" w:type="pct"/>
          </w:tcPr>
          <w:p w:rsidR="00197E4F" w:rsidRPr="00A4014C" w:rsidRDefault="00197E4F" w:rsidP="00A4014C">
            <w:pPr>
              <w:jc w:val="right"/>
            </w:pPr>
            <w:r w:rsidRPr="00A4014C">
              <w:t>$44.72</w:t>
            </w:r>
          </w:p>
        </w:tc>
      </w:tr>
      <w:tr w:rsidR="00C02E72" w:rsidRPr="00A4014C" w:rsidTr="00A4014C">
        <w:trPr>
          <w:trHeight w:val="113"/>
        </w:trPr>
        <w:tc>
          <w:tcPr>
            <w:tcW w:w="1461" w:type="pct"/>
            <w:shd w:val="clear" w:color="auto" w:fill="E8E8E8" w:themeFill="background2"/>
          </w:tcPr>
          <w:p w:rsidR="00C02E72" w:rsidRPr="00A4014C" w:rsidRDefault="00C02E72" w:rsidP="00A4014C">
            <w:pPr>
              <w:rPr>
                <w:rStyle w:val="Strong"/>
              </w:rPr>
            </w:pPr>
            <w:r w:rsidRPr="00A4014C">
              <w:rPr>
                <w:rStyle w:val="Strong"/>
              </w:rPr>
              <w:t>Administration costs</w:t>
            </w:r>
          </w:p>
        </w:tc>
        <w:tc>
          <w:tcPr>
            <w:tcW w:w="1181" w:type="pct"/>
            <w:shd w:val="clear" w:color="auto" w:fill="E8E8E8" w:themeFill="background2"/>
          </w:tcPr>
          <w:p w:rsidR="00C02E72" w:rsidRPr="00A4014C" w:rsidRDefault="00C02E72" w:rsidP="00A4014C">
            <w:pPr>
              <w:jc w:val="right"/>
              <w:rPr>
                <w:rStyle w:val="Strong"/>
              </w:rPr>
            </w:pPr>
          </w:p>
        </w:tc>
        <w:tc>
          <w:tcPr>
            <w:tcW w:w="1181" w:type="pct"/>
            <w:shd w:val="clear" w:color="auto" w:fill="E8E8E8" w:themeFill="background2"/>
          </w:tcPr>
          <w:p w:rsidR="00C02E72" w:rsidRPr="00A4014C" w:rsidRDefault="00C02E72" w:rsidP="00A4014C">
            <w:pPr>
              <w:jc w:val="right"/>
              <w:rPr>
                <w:rStyle w:val="Strong"/>
              </w:rPr>
            </w:pPr>
          </w:p>
        </w:tc>
        <w:tc>
          <w:tcPr>
            <w:tcW w:w="1176" w:type="pct"/>
            <w:shd w:val="clear" w:color="auto" w:fill="E8E8E8" w:themeFill="background2"/>
          </w:tcPr>
          <w:p w:rsidR="00C02E72" w:rsidRPr="00A4014C" w:rsidRDefault="00C02E72" w:rsidP="00A4014C">
            <w:pPr>
              <w:jc w:val="right"/>
              <w:rPr>
                <w:rStyle w:val="Strong"/>
              </w:rPr>
            </w:pPr>
          </w:p>
        </w:tc>
      </w:tr>
      <w:tr w:rsidR="00C02E72" w:rsidRPr="00A4014C" w:rsidTr="00A4014C">
        <w:trPr>
          <w:trHeight w:val="113"/>
        </w:trPr>
        <w:tc>
          <w:tcPr>
            <w:tcW w:w="1461" w:type="pct"/>
          </w:tcPr>
          <w:p w:rsidR="00C02E72" w:rsidRPr="00A4014C" w:rsidRDefault="00C02E72" w:rsidP="00A4014C">
            <w:r w:rsidRPr="00A4014C">
              <w:t>Wages and salaries – administration staff</w:t>
            </w:r>
          </w:p>
        </w:tc>
        <w:tc>
          <w:tcPr>
            <w:tcW w:w="1181" w:type="pct"/>
          </w:tcPr>
          <w:p w:rsidR="00C02E72" w:rsidRPr="00A4014C" w:rsidRDefault="00C02E72" w:rsidP="00A4014C">
            <w:pPr>
              <w:jc w:val="right"/>
            </w:pPr>
            <w:r w:rsidRPr="00A4014C">
              <w:t>$7.10</w:t>
            </w:r>
          </w:p>
        </w:tc>
        <w:tc>
          <w:tcPr>
            <w:tcW w:w="1181" w:type="pct"/>
          </w:tcPr>
          <w:p w:rsidR="00C02E72" w:rsidRPr="00A4014C" w:rsidRDefault="00C02E72" w:rsidP="00A4014C">
            <w:pPr>
              <w:jc w:val="right"/>
            </w:pPr>
            <w:r w:rsidRPr="00A4014C">
              <w:t>$8.77</w:t>
            </w:r>
          </w:p>
        </w:tc>
        <w:tc>
          <w:tcPr>
            <w:tcW w:w="1176" w:type="pct"/>
          </w:tcPr>
          <w:p w:rsidR="00C02E72" w:rsidRPr="00A4014C" w:rsidRDefault="00C02E72" w:rsidP="00A4014C">
            <w:pPr>
              <w:jc w:val="right"/>
            </w:pPr>
            <w:r w:rsidRPr="00A4014C">
              <w:t>$8.00</w:t>
            </w:r>
          </w:p>
        </w:tc>
      </w:tr>
      <w:tr w:rsidR="00C02E72" w:rsidRPr="00A4014C" w:rsidTr="00A4014C">
        <w:trPr>
          <w:trHeight w:val="113"/>
        </w:trPr>
        <w:tc>
          <w:tcPr>
            <w:tcW w:w="1461" w:type="pct"/>
          </w:tcPr>
          <w:p w:rsidR="00C02E72" w:rsidRPr="00A4014C" w:rsidRDefault="00C02E72" w:rsidP="00A4014C">
            <w:r w:rsidRPr="00A4014C">
              <w:t>Administration costs and management fees</w:t>
            </w:r>
          </w:p>
        </w:tc>
        <w:tc>
          <w:tcPr>
            <w:tcW w:w="1181" w:type="pct"/>
          </w:tcPr>
          <w:p w:rsidR="00C02E72" w:rsidRPr="00A4014C" w:rsidRDefault="00C02E72" w:rsidP="00A4014C">
            <w:pPr>
              <w:jc w:val="right"/>
            </w:pPr>
            <w:r w:rsidRPr="00A4014C">
              <w:t>$10.08</w:t>
            </w:r>
          </w:p>
        </w:tc>
        <w:tc>
          <w:tcPr>
            <w:tcW w:w="1181" w:type="pct"/>
          </w:tcPr>
          <w:p w:rsidR="00C02E72" w:rsidRPr="00A4014C" w:rsidRDefault="00C02E72" w:rsidP="00A4014C">
            <w:pPr>
              <w:jc w:val="right"/>
            </w:pPr>
            <w:r w:rsidRPr="00A4014C">
              <w:t>$10.55</w:t>
            </w:r>
          </w:p>
        </w:tc>
        <w:tc>
          <w:tcPr>
            <w:tcW w:w="1176" w:type="pct"/>
          </w:tcPr>
          <w:p w:rsidR="00C02E72" w:rsidRPr="00A4014C" w:rsidRDefault="00C02E72" w:rsidP="00A4014C">
            <w:pPr>
              <w:jc w:val="right"/>
            </w:pPr>
            <w:r w:rsidRPr="00A4014C">
              <w:t>$10.18</w:t>
            </w:r>
          </w:p>
        </w:tc>
      </w:tr>
      <w:tr w:rsidR="00C02E72" w:rsidRPr="00A4014C" w:rsidTr="00A4014C">
        <w:trPr>
          <w:trHeight w:val="113"/>
        </w:trPr>
        <w:tc>
          <w:tcPr>
            <w:tcW w:w="1461" w:type="pct"/>
          </w:tcPr>
          <w:p w:rsidR="00C02E72" w:rsidRPr="00A4014C" w:rsidRDefault="00C02E72" w:rsidP="00A4014C">
            <w:r w:rsidRPr="00A4014C">
              <w:t>Depreciation and interest costs</w:t>
            </w:r>
          </w:p>
        </w:tc>
        <w:tc>
          <w:tcPr>
            <w:tcW w:w="1181" w:type="pct"/>
          </w:tcPr>
          <w:p w:rsidR="00C02E72" w:rsidRPr="00A4014C" w:rsidRDefault="00C02E72" w:rsidP="00A4014C">
            <w:pPr>
              <w:jc w:val="right"/>
            </w:pPr>
            <w:r w:rsidRPr="00A4014C">
              <w:t>$0.54</w:t>
            </w:r>
          </w:p>
        </w:tc>
        <w:tc>
          <w:tcPr>
            <w:tcW w:w="1181" w:type="pct"/>
          </w:tcPr>
          <w:p w:rsidR="00C02E72" w:rsidRPr="00A4014C" w:rsidRDefault="00C02E72" w:rsidP="00A4014C">
            <w:pPr>
              <w:jc w:val="right"/>
            </w:pPr>
            <w:r w:rsidRPr="00A4014C">
              <w:t>$0.55</w:t>
            </w:r>
          </w:p>
        </w:tc>
        <w:tc>
          <w:tcPr>
            <w:tcW w:w="1176" w:type="pct"/>
          </w:tcPr>
          <w:p w:rsidR="00C02E72" w:rsidRPr="00A4014C" w:rsidRDefault="00C02E72" w:rsidP="00A4014C">
            <w:pPr>
              <w:jc w:val="right"/>
            </w:pPr>
            <w:r w:rsidRPr="00A4014C">
              <w:t>$0.42</w:t>
            </w:r>
          </w:p>
        </w:tc>
      </w:tr>
      <w:tr w:rsidR="00C02E72" w:rsidRPr="00A4014C" w:rsidTr="00A4014C">
        <w:trPr>
          <w:trHeight w:val="113"/>
        </w:trPr>
        <w:tc>
          <w:tcPr>
            <w:tcW w:w="1461" w:type="pct"/>
          </w:tcPr>
          <w:p w:rsidR="00C02E72" w:rsidRPr="00A4014C" w:rsidRDefault="00C02E72" w:rsidP="00A4014C">
            <w:r w:rsidRPr="00A4014C">
              <w:t>Other expenses</w:t>
            </w:r>
          </w:p>
        </w:tc>
        <w:tc>
          <w:tcPr>
            <w:tcW w:w="1181" w:type="pct"/>
          </w:tcPr>
          <w:p w:rsidR="00C02E72" w:rsidRPr="00A4014C" w:rsidRDefault="00C02E72" w:rsidP="00A4014C">
            <w:pPr>
              <w:jc w:val="right"/>
            </w:pPr>
            <w:r w:rsidRPr="00A4014C">
              <w:t>1.53</w:t>
            </w:r>
          </w:p>
        </w:tc>
        <w:tc>
          <w:tcPr>
            <w:tcW w:w="1181" w:type="pct"/>
          </w:tcPr>
          <w:p w:rsidR="00C02E72" w:rsidRPr="00A4014C" w:rsidRDefault="00C02E72" w:rsidP="00A4014C">
            <w:pPr>
              <w:jc w:val="right"/>
            </w:pPr>
            <w:r w:rsidRPr="00A4014C">
              <w:t>$2.57</w:t>
            </w:r>
          </w:p>
        </w:tc>
        <w:tc>
          <w:tcPr>
            <w:tcW w:w="1176" w:type="pct"/>
          </w:tcPr>
          <w:p w:rsidR="00C02E72" w:rsidRPr="00A4014C" w:rsidRDefault="00C02E72" w:rsidP="00A4014C">
            <w:pPr>
              <w:jc w:val="right"/>
            </w:pPr>
            <w:r w:rsidRPr="00A4014C">
              <w:t>$1.62</w:t>
            </w:r>
          </w:p>
        </w:tc>
      </w:tr>
      <w:tr w:rsidR="00197E4F" w:rsidRPr="00A4014C" w:rsidTr="00A4014C">
        <w:trPr>
          <w:trHeight w:val="113"/>
        </w:trPr>
        <w:tc>
          <w:tcPr>
            <w:tcW w:w="1461" w:type="pct"/>
          </w:tcPr>
          <w:p w:rsidR="00197E4F" w:rsidRPr="00A4014C" w:rsidRDefault="00197E4F" w:rsidP="00A4014C">
            <w:r w:rsidRPr="00A4014C">
              <w:t>Total administration costs</w:t>
            </w:r>
          </w:p>
        </w:tc>
        <w:tc>
          <w:tcPr>
            <w:tcW w:w="1181" w:type="pct"/>
          </w:tcPr>
          <w:p w:rsidR="00197E4F" w:rsidRPr="00A4014C" w:rsidRDefault="00197E4F" w:rsidP="00A4014C">
            <w:pPr>
              <w:jc w:val="right"/>
            </w:pPr>
            <w:r w:rsidRPr="00A4014C">
              <w:t>$19.25</w:t>
            </w:r>
          </w:p>
        </w:tc>
        <w:tc>
          <w:tcPr>
            <w:tcW w:w="1181" w:type="pct"/>
          </w:tcPr>
          <w:p w:rsidR="00197E4F" w:rsidRPr="00A4014C" w:rsidRDefault="00197E4F" w:rsidP="00A4014C">
            <w:pPr>
              <w:jc w:val="right"/>
            </w:pPr>
            <w:r w:rsidRPr="00A4014C">
              <w:t>$22.44</w:t>
            </w:r>
          </w:p>
        </w:tc>
        <w:tc>
          <w:tcPr>
            <w:tcW w:w="1176" w:type="pct"/>
          </w:tcPr>
          <w:p w:rsidR="00197E4F" w:rsidRPr="00A4014C" w:rsidRDefault="00197E4F" w:rsidP="00A4014C">
            <w:pPr>
              <w:jc w:val="right"/>
            </w:pPr>
            <w:r w:rsidRPr="00A4014C">
              <w:t>$20.22</w:t>
            </w:r>
          </w:p>
        </w:tc>
      </w:tr>
      <w:tr w:rsidR="00C02E72" w:rsidRPr="00A4014C" w:rsidTr="00A4014C">
        <w:trPr>
          <w:trHeight w:val="113"/>
        </w:trPr>
        <w:tc>
          <w:tcPr>
            <w:tcW w:w="1461" w:type="pct"/>
            <w:shd w:val="clear" w:color="auto" w:fill="E8E8E8" w:themeFill="background2"/>
          </w:tcPr>
          <w:p w:rsidR="00C02E72" w:rsidRPr="00A4014C" w:rsidRDefault="00197E4F" w:rsidP="00A4014C">
            <w:pPr>
              <w:rPr>
                <w:rStyle w:val="Strong"/>
              </w:rPr>
            </w:pPr>
            <w:r w:rsidRPr="00A4014C">
              <w:rPr>
                <w:rStyle w:val="Strong"/>
              </w:rPr>
              <w:t>Total costs</w:t>
            </w:r>
          </w:p>
        </w:tc>
        <w:tc>
          <w:tcPr>
            <w:tcW w:w="1181" w:type="pct"/>
            <w:shd w:val="clear" w:color="auto" w:fill="E8E8E8" w:themeFill="background2"/>
          </w:tcPr>
          <w:p w:rsidR="00C02E72" w:rsidRPr="00A4014C" w:rsidRDefault="00C02E72" w:rsidP="00A4014C">
            <w:pPr>
              <w:jc w:val="right"/>
              <w:rPr>
                <w:rStyle w:val="Strong"/>
              </w:rPr>
            </w:pPr>
            <w:r w:rsidRPr="00A4014C">
              <w:rPr>
                <w:rStyle w:val="Strong"/>
              </w:rPr>
              <w:t>$59.84</w:t>
            </w:r>
          </w:p>
        </w:tc>
        <w:tc>
          <w:tcPr>
            <w:tcW w:w="1181" w:type="pct"/>
            <w:shd w:val="clear" w:color="auto" w:fill="E8E8E8" w:themeFill="background2"/>
          </w:tcPr>
          <w:p w:rsidR="00C02E72" w:rsidRPr="00A4014C" w:rsidRDefault="00C02E72" w:rsidP="00A4014C">
            <w:pPr>
              <w:jc w:val="right"/>
              <w:rPr>
                <w:rStyle w:val="Strong"/>
              </w:rPr>
            </w:pPr>
            <w:r w:rsidRPr="00A4014C">
              <w:rPr>
                <w:rStyle w:val="Strong"/>
              </w:rPr>
              <w:t>$68.88</w:t>
            </w:r>
          </w:p>
        </w:tc>
        <w:tc>
          <w:tcPr>
            <w:tcW w:w="1176" w:type="pct"/>
            <w:shd w:val="clear" w:color="auto" w:fill="E8E8E8" w:themeFill="background2"/>
          </w:tcPr>
          <w:p w:rsidR="00C02E72" w:rsidRPr="00A4014C" w:rsidRDefault="00C02E72" w:rsidP="00A4014C">
            <w:pPr>
              <w:jc w:val="right"/>
              <w:rPr>
                <w:rStyle w:val="Strong"/>
              </w:rPr>
            </w:pPr>
            <w:r w:rsidRPr="00A4014C">
              <w:rPr>
                <w:rStyle w:val="Strong"/>
              </w:rPr>
              <w:t>$64.94</w:t>
            </w:r>
          </w:p>
        </w:tc>
      </w:tr>
    </w:tbl>
    <w:p w:rsidR="00D8721E" w:rsidRDefault="0082284B" w:rsidP="00A4014C">
      <w:r w:rsidRPr="00163A5E">
        <w:t>C</w:t>
      </w:r>
      <w:r w:rsidR="00C02E72" w:rsidRPr="00163A5E">
        <w:t>are</w:t>
      </w:r>
      <w:r w:rsidR="003124A0" w:rsidRPr="00163A5E">
        <w:t>-</w:t>
      </w:r>
      <w:r w:rsidR="00C02E72" w:rsidRPr="00163A5E">
        <w:t>related salary costs</w:t>
      </w:r>
      <w:r w:rsidR="00084C3F" w:rsidRPr="00163A5E">
        <w:t xml:space="preserve"> (the f</w:t>
      </w:r>
      <w:r w:rsidR="00905B0B" w:rsidRPr="00163A5E">
        <w:t xml:space="preserve">irst two line items in </w:t>
      </w:r>
      <w:r w:rsidR="00492BF8">
        <w:fldChar w:fldCharType="begin"/>
      </w:r>
      <w:r w:rsidR="00492BF8">
        <w:instrText xml:space="preserve"> REF _Ref524429409 \r \h </w:instrText>
      </w:r>
      <w:r w:rsidR="00492BF8">
        <w:fldChar w:fldCharType="separate"/>
      </w:r>
      <w:r w:rsidR="00492BF8">
        <w:t>Table 7.9</w:t>
      </w:r>
      <w:r w:rsidR="00492BF8">
        <w:fldChar w:fldCharType="end"/>
      </w:r>
      <w:r w:rsidR="00084C3F" w:rsidRPr="00163A5E">
        <w:t>)</w:t>
      </w:r>
      <w:r w:rsidR="00C02E72" w:rsidRPr="00163A5E">
        <w:t xml:space="preserve"> are the main expense item for providers at 60</w:t>
      </w:r>
      <w:r w:rsidR="00A261F3">
        <w:t> per cent</w:t>
      </w:r>
      <w:r w:rsidR="003124A0" w:rsidRPr="00163A5E">
        <w:t>. O</w:t>
      </w:r>
      <w:r w:rsidR="00C02E72" w:rsidRPr="00163A5E">
        <w:t>ther care related expenses and administration salari</w:t>
      </w:r>
      <w:r w:rsidR="00247BB3">
        <w:t xml:space="preserve">es and management fees make up </w:t>
      </w:r>
      <w:r w:rsidR="00D43B23">
        <w:t>8</w:t>
      </w:r>
      <w:r w:rsidR="00C02E72" w:rsidRPr="00163A5E">
        <w:t xml:space="preserve"> and 3</w:t>
      </w:r>
      <w:r w:rsidR="00341DAB" w:rsidRPr="00163A5E">
        <w:t>1</w:t>
      </w:r>
      <w:r w:rsidR="00A261F3">
        <w:t> per cent</w:t>
      </w:r>
      <w:r w:rsidR="00C02E72" w:rsidRPr="00163A5E">
        <w:t xml:space="preserve"> respectively</w:t>
      </w:r>
      <w:r w:rsidR="00D8721E">
        <w:t>.</w:t>
      </w:r>
    </w:p>
    <w:bookmarkStart w:id="531" w:name="_Toc487702588"/>
    <w:bookmarkStart w:id="532" w:name="_Toc487702940"/>
    <w:bookmarkStart w:id="533" w:name="_Toc487703438"/>
    <w:bookmarkStart w:id="534" w:name="_Toc487703632"/>
    <w:p w:rsidR="00D8721E" w:rsidRDefault="00492BF8" w:rsidP="00A4014C">
      <w:r>
        <w:fldChar w:fldCharType="begin"/>
      </w:r>
      <w:r>
        <w:instrText xml:space="preserve"> REF _Ref524429428 \r \h </w:instrText>
      </w:r>
      <w:r>
        <w:fldChar w:fldCharType="separate"/>
      </w:r>
      <w:r>
        <w:t>Table 7.10</w:t>
      </w:r>
      <w:r>
        <w:fldChar w:fldCharType="end"/>
      </w:r>
      <w:r>
        <w:t xml:space="preserve"> </w:t>
      </w:r>
      <w:r w:rsidR="00C02E72" w:rsidRPr="00F74F4D">
        <w:t>provides a breakdown of expenditure accord</w:t>
      </w:r>
      <w:r w:rsidR="004638A9">
        <w:t xml:space="preserve">ing to ownership type, </w:t>
      </w:r>
      <w:r w:rsidR="00C02E72" w:rsidRPr="00F74F4D">
        <w:t>location and scale. Overall</w:t>
      </w:r>
      <w:r w:rsidR="00C02E72">
        <w:t>,</w:t>
      </w:r>
      <w:r w:rsidR="00C02E72" w:rsidRPr="00F74F4D">
        <w:t xml:space="preserve"> there are some notable differences</w:t>
      </w:r>
      <w:r w:rsidR="00D8721E">
        <w:t>.</w:t>
      </w:r>
    </w:p>
    <w:p w:rsidR="00D8721E" w:rsidRDefault="00C02E72" w:rsidP="00A4014C">
      <w:r w:rsidRPr="00163A5E">
        <w:t>In terms of ownership type, government providers incurred the lowest level of expense per consumer per day with $52.43, compared with $80.93 for the for-profit providers and $64.05 for the not-for-profit providers. In</w:t>
      </w:r>
      <w:r w:rsidR="00A261F3">
        <w:t> 201</w:t>
      </w:r>
      <w:r w:rsidRPr="00163A5E">
        <w:t>5</w:t>
      </w:r>
      <w:r w:rsidR="00D8721E">
        <w:t>–1</w:t>
      </w:r>
      <w:r w:rsidRPr="00163A5E">
        <w:t>6, the expenses for the not-for-profits and the for</w:t>
      </w:r>
      <w:r w:rsidRPr="00163A5E">
        <w:noBreakHyphen/>
        <w:t>profits were similar</w:t>
      </w:r>
      <w:r w:rsidR="00D8721E">
        <w:t>.</w:t>
      </w:r>
    </w:p>
    <w:p w:rsidR="00D8721E" w:rsidRDefault="00756E6D" w:rsidP="00A4014C">
      <w:r>
        <w:t>Provider expense per consumer is also influenced by location</w:t>
      </w:r>
      <w:r w:rsidRPr="00315A0B">
        <w:t xml:space="preserve">. </w:t>
      </w:r>
      <w:r>
        <w:t>Similar to</w:t>
      </w:r>
      <w:r w:rsidRPr="00315A0B">
        <w:t xml:space="preserve"> last year, regional providers had the lowest expenses per day on average. Providers who operated in both metropolitan and regional areas had </w:t>
      </w:r>
      <w:r>
        <w:t xml:space="preserve">lower </w:t>
      </w:r>
      <w:r w:rsidRPr="00315A0B">
        <w:t>expenses</w:t>
      </w:r>
      <w:r>
        <w:t xml:space="preserve"> than providers operating only in metropolitan areas, </w:t>
      </w:r>
      <w:r w:rsidRPr="00315A0B">
        <w:t xml:space="preserve">largely driven by </w:t>
      </w:r>
      <w:r>
        <w:t>lower care related expenses</w:t>
      </w:r>
      <w:r w:rsidR="00D8721E">
        <w:t>.</w:t>
      </w:r>
    </w:p>
    <w:p w:rsidR="00D8721E" w:rsidRDefault="00756E6D" w:rsidP="00A4014C">
      <w:r w:rsidRPr="00E90A36">
        <w:t xml:space="preserve">Scale of a provider’s operations </w:t>
      </w:r>
      <w:r>
        <w:t xml:space="preserve">appears to have a small bearing on </w:t>
      </w:r>
      <w:r w:rsidRPr="00E90A36">
        <w:t>average expenses per consumer per day</w:t>
      </w:r>
      <w:r>
        <w:t xml:space="preserve"> with providers operating seven or more services surprisingly recording average expenses of around</w:t>
      </w:r>
      <w:r w:rsidR="00853876">
        <w:t xml:space="preserve"> 6</w:t>
      </w:r>
      <w:r w:rsidR="00A261F3">
        <w:t> per cent</w:t>
      </w:r>
      <w:r>
        <w:t xml:space="preserve"> higher than smaller providers</w:t>
      </w:r>
      <w:r w:rsidR="00D8721E">
        <w:t>.</w:t>
      </w:r>
    </w:p>
    <w:p w:rsidR="00D8721E" w:rsidRDefault="00756E6D" w:rsidP="00A4014C">
      <w:pPr>
        <w:rPr>
          <w:lang w:val="en-GB"/>
        </w:rPr>
      </w:pPr>
      <w:r w:rsidRPr="00621026">
        <w:rPr>
          <w:lang w:val="en-GB"/>
        </w:rPr>
        <w:t xml:space="preserve">Care related salaries comprise the greatest proportion of expenditure across all ownership types, location and </w:t>
      </w:r>
      <w:r w:rsidR="003A0AF5">
        <w:rPr>
          <w:lang w:val="en-GB"/>
        </w:rPr>
        <w:t>scale</w:t>
      </w:r>
      <w:r w:rsidRPr="00621026">
        <w:rPr>
          <w:lang w:val="en-GB"/>
        </w:rPr>
        <w:t xml:space="preserve"> of provider. However there are also differences within these sub</w:t>
      </w:r>
      <w:r>
        <w:rPr>
          <w:lang w:val="en-GB"/>
        </w:rPr>
        <w:noBreakHyphen/>
      </w:r>
      <w:r w:rsidRPr="00621026">
        <w:rPr>
          <w:lang w:val="en-GB"/>
        </w:rPr>
        <w:t xml:space="preserve">groups. </w:t>
      </w:r>
      <w:r w:rsidRPr="00433E8A">
        <w:rPr>
          <w:lang w:val="en-GB"/>
        </w:rPr>
        <w:t>While the not-for-profit providers reported $</w:t>
      </w:r>
      <w:r w:rsidRPr="003A29E3">
        <w:rPr>
          <w:lang w:val="en-GB"/>
        </w:rPr>
        <w:t xml:space="preserve">35.91 </w:t>
      </w:r>
      <w:r w:rsidRPr="00433E8A">
        <w:rPr>
          <w:lang w:val="en-GB"/>
        </w:rPr>
        <w:t>per consumer per day</w:t>
      </w:r>
      <w:r w:rsidR="00F33367">
        <w:rPr>
          <w:lang w:val="en-GB"/>
        </w:rPr>
        <w:t xml:space="preserve"> in care costs</w:t>
      </w:r>
      <w:r w:rsidRPr="00433E8A">
        <w:rPr>
          <w:lang w:val="en-GB"/>
        </w:rPr>
        <w:t>, for</w:t>
      </w:r>
      <w:r w:rsidRPr="00433E8A">
        <w:rPr>
          <w:lang w:val="en-GB"/>
        </w:rPr>
        <w:noBreakHyphen/>
        <w:t>profit providers reported $</w:t>
      </w:r>
      <w:r w:rsidRPr="003A29E3">
        <w:rPr>
          <w:lang w:val="en-GB"/>
        </w:rPr>
        <w:t xml:space="preserve">52.91 </w:t>
      </w:r>
      <w:r w:rsidRPr="00433E8A">
        <w:rPr>
          <w:lang w:val="en-GB"/>
        </w:rPr>
        <w:t xml:space="preserve">and </w:t>
      </w:r>
      <w:r w:rsidRPr="00433E8A">
        <w:rPr>
          <w:lang w:val="en-GB"/>
        </w:rPr>
        <w:lastRenderedPageBreak/>
        <w:t>government</w:t>
      </w:r>
      <w:r>
        <w:rPr>
          <w:lang w:val="en-GB"/>
        </w:rPr>
        <w:t xml:space="preserve"> providers </w:t>
      </w:r>
      <w:r w:rsidRPr="00433E8A">
        <w:rPr>
          <w:lang w:val="en-GB"/>
        </w:rPr>
        <w:t>reported $</w:t>
      </w:r>
      <w:r w:rsidRPr="003A29E3">
        <w:rPr>
          <w:lang w:val="en-GB"/>
        </w:rPr>
        <w:t>23.84</w:t>
      </w:r>
      <w:r w:rsidRPr="00433E8A">
        <w:rPr>
          <w:lang w:val="en-GB"/>
        </w:rPr>
        <w:t xml:space="preserve">. In terms of location, regional providers had care related staffing costs of around </w:t>
      </w:r>
      <w:r w:rsidRPr="003A29E3">
        <w:rPr>
          <w:lang w:val="en-GB"/>
        </w:rPr>
        <w:t xml:space="preserve">$33.11 </w:t>
      </w:r>
      <w:r w:rsidRPr="00433E8A">
        <w:rPr>
          <w:lang w:val="en-GB"/>
        </w:rPr>
        <w:t xml:space="preserve">per consumer per day, compared to </w:t>
      </w:r>
      <w:r w:rsidRPr="003A29E3">
        <w:rPr>
          <w:lang w:val="en-GB"/>
        </w:rPr>
        <w:t xml:space="preserve">$35.91 </w:t>
      </w:r>
      <w:r w:rsidRPr="00433E8A">
        <w:rPr>
          <w:lang w:val="en-GB"/>
        </w:rPr>
        <w:t xml:space="preserve">for metropolitan providers and </w:t>
      </w:r>
      <w:r w:rsidRPr="003A29E3">
        <w:rPr>
          <w:lang w:val="en-GB"/>
        </w:rPr>
        <w:t xml:space="preserve">$40.84 </w:t>
      </w:r>
      <w:r w:rsidRPr="00433E8A">
        <w:rPr>
          <w:lang w:val="en-GB"/>
        </w:rPr>
        <w:t>for providers who provide services in both regional and metropolitan areas</w:t>
      </w:r>
      <w:r w:rsidR="00D8721E">
        <w:rPr>
          <w:lang w:val="en-GB"/>
        </w:rPr>
        <w:t>.</w:t>
      </w:r>
    </w:p>
    <w:p w:rsidR="00BD682C" w:rsidRDefault="00756E6D" w:rsidP="00A4014C">
      <w:r w:rsidRPr="00534E82">
        <w:t>Care salary costs also vary depending on the scale of provider. Single service providers</w:t>
      </w:r>
      <w:r w:rsidR="00BD682C">
        <w:t xml:space="preserve"> across all ownership types</w:t>
      </w:r>
      <w:r w:rsidRPr="00534E82">
        <w:t xml:space="preserve"> reported the </w:t>
      </w:r>
      <w:r>
        <w:t xml:space="preserve">highest </w:t>
      </w:r>
      <w:r w:rsidRPr="00534E82">
        <w:t>salary costs, $</w:t>
      </w:r>
      <w:r w:rsidRPr="003A29E3">
        <w:t xml:space="preserve">39.45 </w:t>
      </w:r>
      <w:r w:rsidRPr="00534E82">
        <w:t>per consumer per day, with providers operating more than one service report</w:t>
      </w:r>
      <w:r>
        <w:t>ed</w:t>
      </w:r>
      <w:r w:rsidRPr="00534E82">
        <w:t xml:space="preserve"> care salary costs </w:t>
      </w:r>
      <w:r w:rsidRPr="003A29E3">
        <w:t xml:space="preserve">just </w:t>
      </w:r>
      <w:r w:rsidRPr="00534E82">
        <w:t>above $</w:t>
      </w:r>
      <w:r w:rsidRPr="003A29E3">
        <w:t>36</w:t>
      </w:r>
      <w:r>
        <w:t xml:space="preserve"> per customer per day</w:t>
      </w:r>
      <w:r w:rsidRPr="00534E82">
        <w:t>.</w:t>
      </w:r>
    </w:p>
    <w:p w:rsidR="00D8721E" w:rsidRDefault="00756E6D" w:rsidP="00A4014C">
      <w:r w:rsidRPr="00534E82">
        <w:t xml:space="preserve">Providers operating seven or more services </w:t>
      </w:r>
      <w:r w:rsidRPr="003A29E3">
        <w:t xml:space="preserve">reported </w:t>
      </w:r>
      <w:r w:rsidR="00BD682C">
        <w:t xml:space="preserve">administration and management costs of </w:t>
      </w:r>
      <w:r w:rsidRPr="003A29E3">
        <w:t xml:space="preserve">$11 </w:t>
      </w:r>
      <w:r w:rsidRPr="00534E82">
        <w:t>per consumer per day compared with single service providers reporting only $</w:t>
      </w:r>
      <w:r w:rsidRPr="003A29E3">
        <w:t>7.92</w:t>
      </w:r>
      <w:r w:rsidRPr="00534E82">
        <w:t xml:space="preserve">. </w:t>
      </w:r>
      <w:r w:rsidR="00BD682C">
        <w:t>The</w:t>
      </w:r>
      <w:r w:rsidR="00A261F3">
        <w:t> 201</w:t>
      </w:r>
      <w:r w:rsidR="00BD682C">
        <w:t>6</w:t>
      </w:r>
      <w:r w:rsidR="00D8721E">
        <w:t>–1</w:t>
      </w:r>
      <w:r w:rsidR="00BD682C">
        <w:t xml:space="preserve">7 administration and other care related results for the largest providers </w:t>
      </w:r>
      <w:r w:rsidRPr="00534E82">
        <w:t>suggest</w:t>
      </w:r>
      <w:r w:rsidR="00BD682C">
        <w:t>s</w:t>
      </w:r>
      <w:r w:rsidRPr="00534E82">
        <w:t xml:space="preserve"> there are limited opportunities for economies of scale in staffing, administration and management for multiple service providers or each of the services are sub-scale to absorb centralised overheads.</w:t>
      </w:r>
    </w:p>
    <w:p w:rsidR="00C02E72" w:rsidRPr="00596D01" w:rsidRDefault="00905B0B" w:rsidP="00A4014C">
      <w:pPr>
        <w:pStyle w:val="TableTitle"/>
        <w:rPr>
          <w:rStyle w:val="Strong"/>
        </w:rPr>
      </w:pPr>
      <w:bookmarkStart w:id="535" w:name="_Ref524429428"/>
      <w:r w:rsidRPr="00596D01">
        <w:t>Expenditure per consumer per day, by ownership type, location and scale,</w:t>
      </w:r>
      <w:r w:rsidR="00A261F3" w:rsidRPr="00596D01">
        <w:t> 201</w:t>
      </w:r>
      <w:r w:rsidRPr="00596D01">
        <w:t>6</w:t>
      </w:r>
      <w:r w:rsidR="00D8721E" w:rsidRPr="00596D01">
        <w:t>–1</w:t>
      </w:r>
      <w:r w:rsidRPr="00596D01">
        <w:t>7</w:t>
      </w:r>
      <w:bookmarkStart w:id="536" w:name="_Ref450207178"/>
      <w:bookmarkEnd w:id="535"/>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360"/>
        <w:gridCol w:w="1454"/>
        <w:gridCol w:w="1454"/>
        <w:gridCol w:w="1454"/>
        <w:gridCol w:w="1455"/>
        <w:gridCol w:w="1451"/>
      </w:tblGrid>
      <w:tr w:rsidR="00C02E72" w:rsidRPr="00A4014C"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1087" w:type="pct"/>
            <w:hideMark/>
          </w:tcPr>
          <w:bookmarkEnd w:id="536"/>
          <w:p w:rsidR="00C02E72" w:rsidRPr="00A4014C" w:rsidRDefault="00C02E72" w:rsidP="00E85D18">
            <w:pPr>
              <w:jc w:val="center"/>
            </w:pPr>
            <w:r w:rsidRPr="00A4014C">
              <w:t> </w:t>
            </w:r>
          </w:p>
        </w:tc>
        <w:tc>
          <w:tcPr>
            <w:tcW w:w="783" w:type="pct"/>
            <w:hideMark/>
          </w:tcPr>
          <w:p w:rsidR="00C02E72" w:rsidRPr="00A4014C" w:rsidRDefault="00A261F3" w:rsidP="00E85D18">
            <w:pPr>
              <w:jc w:val="center"/>
            </w:pPr>
            <w:r w:rsidRPr="00A4014C">
              <w:t xml:space="preserve"> </w:t>
            </w:r>
            <w:r w:rsidR="00C02E72" w:rsidRPr="00A4014C">
              <w:t xml:space="preserve">Care related salaries </w:t>
            </w:r>
          </w:p>
        </w:tc>
        <w:tc>
          <w:tcPr>
            <w:tcW w:w="783" w:type="pct"/>
            <w:hideMark/>
          </w:tcPr>
          <w:p w:rsidR="00C02E72" w:rsidRPr="00A4014C" w:rsidRDefault="00D8721E" w:rsidP="00E85D18">
            <w:pPr>
              <w:jc w:val="center"/>
            </w:pPr>
            <w:r w:rsidRPr="00A4014C">
              <w:t xml:space="preserve"> </w:t>
            </w:r>
            <w:r w:rsidR="00C02E72" w:rsidRPr="00A4014C">
              <w:t xml:space="preserve">Admin and </w:t>
            </w:r>
            <w:proofErr w:type="spellStart"/>
            <w:r w:rsidR="00C02E72" w:rsidRPr="00A4014C">
              <w:t>Mgmt</w:t>
            </w:r>
            <w:proofErr w:type="spellEnd"/>
            <w:r w:rsidR="00C02E72" w:rsidRPr="00A4014C">
              <w:t xml:space="preserve"> Fees </w:t>
            </w:r>
          </w:p>
        </w:tc>
        <w:tc>
          <w:tcPr>
            <w:tcW w:w="783" w:type="pct"/>
            <w:hideMark/>
          </w:tcPr>
          <w:p w:rsidR="00C02E72" w:rsidRPr="00A4014C" w:rsidRDefault="00C02E72" w:rsidP="00E85D18">
            <w:pPr>
              <w:jc w:val="center"/>
            </w:pPr>
            <w:r w:rsidRPr="00A4014C">
              <w:t>Other care related expenses</w:t>
            </w:r>
          </w:p>
        </w:tc>
        <w:tc>
          <w:tcPr>
            <w:tcW w:w="783" w:type="pct"/>
            <w:hideMark/>
          </w:tcPr>
          <w:p w:rsidR="00C02E72" w:rsidRPr="00A4014C" w:rsidRDefault="00C02E72" w:rsidP="00E85D18">
            <w:pPr>
              <w:jc w:val="center"/>
            </w:pPr>
            <w:r w:rsidRPr="00A4014C">
              <w:t>Other expenses and non-direct costs</w:t>
            </w:r>
          </w:p>
        </w:tc>
        <w:tc>
          <w:tcPr>
            <w:tcW w:w="783" w:type="pct"/>
            <w:hideMark/>
          </w:tcPr>
          <w:p w:rsidR="00C02E72" w:rsidRPr="00A4014C" w:rsidRDefault="00C02E72" w:rsidP="00E85D18">
            <w:pPr>
              <w:jc w:val="center"/>
            </w:pPr>
            <w:r w:rsidRPr="00A4014C">
              <w:t xml:space="preserve">Total </w:t>
            </w:r>
          </w:p>
        </w:tc>
      </w:tr>
      <w:tr w:rsidR="00C02E72" w:rsidRPr="00A4014C"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1087" w:type="pct"/>
            <w:hideMark/>
          </w:tcPr>
          <w:p w:rsidR="00C02E72" w:rsidRPr="00A4014C" w:rsidRDefault="00C02E72" w:rsidP="00E85D18">
            <w:pPr>
              <w:jc w:val="center"/>
            </w:pPr>
            <w:r w:rsidRPr="00A4014C">
              <w:t> </w:t>
            </w:r>
          </w:p>
        </w:tc>
        <w:tc>
          <w:tcPr>
            <w:tcW w:w="783" w:type="pct"/>
            <w:hideMark/>
          </w:tcPr>
          <w:p w:rsidR="00C02E72" w:rsidRPr="00A4014C" w:rsidRDefault="00C02E72" w:rsidP="00E85D18">
            <w:pPr>
              <w:jc w:val="center"/>
            </w:pPr>
            <w:r w:rsidRPr="00A4014C">
              <w:t>($)</w:t>
            </w:r>
          </w:p>
        </w:tc>
        <w:tc>
          <w:tcPr>
            <w:tcW w:w="783" w:type="pct"/>
            <w:hideMark/>
          </w:tcPr>
          <w:p w:rsidR="00C02E72" w:rsidRPr="00A4014C" w:rsidRDefault="00C02E72" w:rsidP="00E85D18">
            <w:pPr>
              <w:jc w:val="center"/>
            </w:pPr>
            <w:r w:rsidRPr="00A4014C">
              <w:t>($)</w:t>
            </w:r>
          </w:p>
        </w:tc>
        <w:tc>
          <w:tcPr>
            <w:tcW w:w="783" w:type="pct"/>
            <w:hideMark/>
          </w:tcPr>
          <w:p w:rsidR="00C02E72" w:rsidRPr="00A4014C" w:rsidRDefault="00C02E72" w:rsidP="00E85D18">
            <w:pPr>
              <w:jc w:val="center"/>
            </w:pPr>
            <w:r w:rsidRPr="00A4014C">
              <w:t>($)</w:t>
            </w:r>
          </w:p>
        </w:tc>
        <w:tc>
          <w:tcPr>
            <w:tcW w:w="783" w:type="pct"/>
            <w:hideMark/>
          </w:tcPr>
          <w:p w:rsidR="00C02E72" w:rsidRPr="00A4014C" w:rsidRDefault="00C02E72" w:rsidP="00E85D18">
            <w:pPr>
              <w:jc w:val="center"/>
            </w:pPr>
            <w:r w:rsidRPr="00A4014C">
              <w:t>($)</w:t>
            </w:r>
          </w:p>
        </w:tc>
        <w:tc>
          <w:tcPr>
            <w:tcW w:w="783" w:type="pct"/>
            <w:hideMark/>
          </w:tcPr>
          <w:p w:rsidR="00C02E72" w:rsidRPr="00A4014C" w:rsidRDefault="00C02E72" w:rsidP="00E85D18">
            <w:pPr>
              <w:jc w:val="center"/>
            </w:pPr>
            <w:r w:rsidRPr="00A4014C">
              <w:t>($)</w:t>
            </w:r>
          </w:p>
        </w:tc>
      </w:tr>
      <w:tr w:rsidR="00C02E72" w:rsidRPr="00446A31" w:rsidTr="00A4014C">
        <w:trPr>
          <w:trHeight w:val="113"/>
        </w:trPr>
        <w:tc>
          <w:tcPr>
            <w:tcW w:w="1087" w:type="pct"/>
            <w:shd w:val="clear" w:color="auto" w:fill="E8E8E8" w:themeFill="background2"/>
            <w:noWrap/>
            <w:hideMark/>
          </w:tcPr>
          <w:p w:rsidR="00C02E72" w:rsidRPr="00596D01" w:rsidRDefault="00C02E72" w:rsidP="00E85D18">
            <w:pPr>
              <w:rPr>
                <w:rStyle w:val="Strong"/>
              </w:rPr>
            </w:pPr>
            <w:r w:rsidRPr="00596D01">
              <w:rPr>
                <w:rStyle w:val="Strong"/>
              </w:rPr>
              <w:t>Ownership</w:t>
            </w:r>
          </w:p>
        </w:tc>
        <w:tc>
          <w:tcPr>
            <w:tcW w:w="783" w:type="pct"/>
            <w:shd w:val="clear" w:color="auto" w:fill="E8E8E8" w:themeFill="background2"/>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 </w:t>
            </w:r>
          </w:p>
        </w:tc>
      </w:tr>
      <w:tr w:rsidR="00C02E72" w:rsidRPr="00446A31" w:rsidTr="00A4014C">
        <w:trPr>
          <w:trHeight w:val="113"/>
        </w:trPr>
        <w:tc>
          <w:tcPr>
            <w:tcW w:w="1087" w:type="pct"/>
            <w:noWrap/>
            <w:hideMark/>
          </w:tcPr>
          <w:p w:rsidR="00C02E72" w:rsidRPr="00910174" w:rsidRDefault="00C02E72" w:rsidP="00940A4B">
            <w:pPr>
              <w:rPr>
                <w:rFonts w:ascii="Segoe UI" w:hAnsi="Segoe UI" w:cs="Segoe UI"/>
                <w:lang w:eastAsia="en-AU"/>
              </w:rPr>
            </w:pPr>
            <w:r w:rsidRPr="00910174">
              <w:rPr>
                <w:rFonts w:ascii="Segoe UI" w:hAnsi="Segoe UI" w:cs="Segoe UI"/>
                <w:lang w:eastAsia="en-AU"/>
              </w:rPr>
              <w:t>Not-</w:t>
            </w:r>
            <w:r w:rsidR="00940A4B" w:rsidRPr="00910174">
              <w:rPr>
                <w:rFonts w:ascii="Segoe UI" w:hAnsi="Segoe UI" w:cs="Segoe UI"/>
                <w:lang w:eastAsia="en-AU"/>
              </w:rPr>
              <w:t>f</w:t>
            </w:r>
            <w:r w:rsidRPr="00910174">
              <w:rPr>
                <w:rFonts w:ascii="Segoe UI" w:hAnsi="Segoe UI" w:cs="Segoe UI"/>
                <w:lang w:eastAsia="en-AU"/>
              </w:rPr>
              <w:t>or-</w:t>
            </w:r>
            <w:r w:rsidR="00940A4B" w:rsidRPr="00910174">
              <w:rPr>
                <w:rFonts w:ascii="Segoe UI" w:hAnsi="Segoe UI" w:cs="Segoe UI"/>
                <w:lang w:eastAsia="en-AU"/>
              </w:rPr>
              <w:t>p</w:t>
            </w:r>
            <w:r w:rsidRPr="00910174">
              <w:rPr>
                <w:rFonts w:ascii="Segoe UI" w:hAnsi="Segoe UI" w:cs="Segoe UI"/>
                <w:lang w:eastAsia="en-AU"/>
              </w:rPr>
              <w:t>rofit</w:t>
            </w:r>
          </w:p>
        </w:tc>
        <w:tc>
          <w:tcPr>
            <w:tcW w:w="783" w:type="pct"/>
            <w:noWrap/>
            <w:hideMark/>
          </w:tcPr>
          <w:p w:rsidR="00C02E72" w:rsidRPr="00910174" w:rsidRDefault="00C02E72" w:rsidP="00E85D18">
            <w:pPr>
              <w:jc w:val="right"/>
              <w:rPr>
                <w:rFonts w:ascii="Segoe UI" w:hAnsi="Segoe UI" w:cs="Segoe UI"/>
                <w:color w:val="FF0000"/>
                <w:lang w:eastAsia="en-AU"/>
              </w:rPr>
            </w:pPr>
            <w:r w:rsidRPr="00910174">
              <w:rPr>
                <w:rFonts w:ascii="Segoe UI" w:hAnsi="Segoe UI" w:cs="Segoe UI"/>
                <w:color w:val="000000" w:themeColor="text1"/>
                <w:lang w:eastAsia="en-AU"/>
              </w:rPr>
              <w:t>$35.91</w:t>
            </w:r>
          </w:p>
        </w:tc>
        <w:tc>
          <w:tcPr>
            <w:tcW w:w="783" w:type="pct"/>
            <w:noWrap/>
            <w:hideMark/>
          </w:tcPr>
          <w:p w:rsidR="00C02E72" w:rsidRPr="00910174" w:rsidRDefault="00C02E72" w:rsidP="00E85D18">
            <w:pPr>
              <w:jc w:val="right"/>
              <w:rPr>
                <w:rFonts w:ascii="Segoe UI" w:hAnsi="Segoe UI" w:cs="Segoe UI"/>
                <w:color w:val="000000" w:themeColor="text1"/>
                <w:lang w:eastAsia="en-AU"/>
              </w:rPr>
            </w:pPr>
            <w:r w:rsidRPr="00910174">
              <w:rPr>
                <w:rFonts w:ascii="Segoe UI" w:hAnsi="Segoe UI" w:cs="Segoe UI"/>
                <w:color w:val="000000" w:themeColor="text1"/>
                <w:lang w:eastAsia="en-AU"/>
              </w:rPr>
              <w:t>$10.40</w:t>
            </w:r>
          </w:p>
        </w:tc>
        <w:tc>
          <w:tcPr>
            <w:tcW w:w="783" w:type="pct"/>
            <w:noWrap/>
            <w:hideMark/>
          </w:tcPr>
          <w:p w:rsidR="00C02E72" w:rsidRPr="00910174" w:rsidRDefault="00C02E72" w:rsidP="00E85D18">
            <w:pPr>
              <w:jc w:val="right"/>
              <w:rPr>
                <w:rFonts w:ascii="Segoe UI" w:hAnsi="Segoe UI" w:cs="Segoe UI"/>
                <w:color w:val="000000" w:themeColor="text1"/>
                <w:lang w:eastAsia="en-AU"/>
              </w:rPr>
            </w:pPr>
            <w:r w:rsidRPr="00910174">
              <w:rPr>
                <w:rFonts w:ascii="Segoe UI" w:hAnsi="Segoe UI" w:cs="Segoe UI"/>
                <w:color w:val="000000" w:themeColor="text1"/>
                <w:lang w:eastAsia="en-AU"/>
              </w:rPr>
              <w:t>$15.65</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$2.09</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$64.05</w:t>
            </w:r>
          </w:p>
        </w:tc>
      </w:tr>
      <w:tr w:rsidR="00C02E72" w:rsidRPr="00446A31" w:rsidTr="00A4014C">
        <w:trPr>
          <w:trHeight w:val="113"/>
        </w:trPr>
        <w:tc>
          <w:tcPr>
            <w:tcW w:w="1087" w:type="pct"/>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For-</w:t>
            </w:r>
            <w:r w:rsidR="00940A4B" w:rsidRPr="00910174">
              <w:rPr>
                <w:rFonts w:ascii="Segoe UI" w:hAnsi="Segoe UI" w:cs="Segoe UI"/>
                <w:lang w:eastAsia="en-AU"/>
              </w:rPr>
              <w:t>p</w:t>
            </w:r>
            <w:r w:rsidRPr="00910174">
              <w:rPr>
                <w:rFonts w:ascii="Segoe UI" w:hAnsi="Segoe UI" w:cs="Segoe UI"/>
                <w:lang w:eastAsia="en-AU"/>
              </w:rPr>
              <w:t>rofit</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$52.91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$10.95</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$14.67</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$2.40</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$80.93</w:t>
            </w:r>
          </w:p>
        </w:tc>
      </w:tr>
      <w:tr w:rsidR="00C02E72" w:rsidRPr="00446A31" w:rsidTr="00A4014C">
        <w:trPr>
          <w:trHeight w:val="113"/>
        </w:trPr>
        <w:tc>
          <w:tcPr>
            <w:tcW w:w="1087" w:type="pct"/>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Government</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$23.84</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$6.41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$21.17</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$1.02</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$52.43</w:t>
            </w:r>
          </w:p>
        </w:tc>
      </w:tr>
      <w:tr w:rsidR="00C02E72" w:rsidRPr="00446A31" w:rsidTr="00A4014C">
        <w:trPr>
          <w:trHeight w:val="113"/>
        </w:trPr>
        <w:tc>
          <w:tcPr>
            <w:tcW w:w="1087" w:type="pct"/>
            <w:shd w:val="clear" w:color="auto" w:fill="E8E8E8" w:themeFill="background2"/>
            <w:noWrap/>
            <w:hideMark/>
          </w:tcPr>
          <w:p w:rsidR="00C02E72" w:rsidRPr="00596D01" w:rsidRDefault="00C02E72" w:rsidP="00E85D18">
            <w:pPr>
              <w:rPr>
                <w:rStyle w:val="Strong"/>
              </w:rPr>
            </w:pPr>
            <w:r w:rsidRPr="00596D01">
              <w:rPr>
                <w:rStyle w:val="Strong"/>
              </w:rPr>
              <w:t>Location</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r>
      <w:tr w:rsidR="00C02E72" w:rsidRPr="00446A31" w:rsidTr="00A4014C">
        <w:trPr>
          <w:trHeight w:val="113"/>
        </w:trPr>
        <w:tc>
          <w:tcPr>
            <w:tcW w:w="1087" w:type="pct"/>
            <w:noWrap/>
            <w:hideMark/>
          </w:tcPr>
          <w:p w:rsidR="00C02E72" w:rsidRPr="00910174" w:rsidRDefault="00940A4B" w:rsidP="00940A4B">
            <w:pPr>
              <w:rPr>
                <w:rFonts w:ascii="Segoe UI" w:hAnsi="Segoe UI" w:cs="Segoe UI"/>
                <w:lang w:eastAsia="en-AU"/>
              </w:rPr>
            </w:pPr>
            <w:r w:rsidRPr="00910174">
              <w:rPr>
                <w:rFonts w:ascii="Segoe UI" w:hAnsi="Segoe UI" w:cs="Segoe UI"/>
                <w:lang w:eastAsia="en-AU"/>
              </w:rPr>
              <w:t>Metropolitan</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$35.91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$10.47</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$17.82</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$1.85</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$66.05</w:t>
            </w:r>
          </w:p>
        </w:tc>
      </w:tr>
      <w:tr w:rsidR="00C02E72" w:rsidRPr="00446A31" w:rsidTr="00A4014C">
        <w:trPr>
          <w:trHeight w:val="113"/>
        </w:trPr>
        <w:tc>
          <w:tcPr>
            <w:tcW w:w="1087" w:type="pct"/>
            <w:noWrap/>
            <w:hideMark/>
          </w:tcPr>
          <w:p w:rsidR="00C02E72" w:rsidRPr="00910174" w:rsidRDefault="00C02E72" w:rsidP="00E85D18">
            <w:pPr>
              <w:rPr>
                <w:rFonts w:ascii="Segoe UI" w:hAnsi="Segoe UI" w:cs="Segoe UI"/>
                <w:lang w:eastAsia="en-AU"/>
              </w:rPr>
            </w:pPr>
            <w:r w:rsidRPr="00910174">
              <w:rPr>
                <w:rFonts w:ascii="Segoe UI" w:hAnsi="Segoe UI" w:cs="Segoe UI"/>
                <w:lang w:eastAsia="en-AU"/>
              </w:rPr>
              <w:t>Regional</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$33.11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$9.54</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$15.33</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$2.66</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$60.65</w:t>
            </w:r>
          </w:p>
        </w:tc>
      </w:tr>
      <w:tr w:rsidR="00C02E72" w:rsidRPr="00446A31" w:rsidTr="00A4014C">
        <w:trPr>
          <w:trHeight w:val="113"/>
        </w:trPr>
        <w:tc>
          <w:tcPr>
            <w:tcW w:w="1087" w:type="pct"/>
            <w:noWrap/>
            <w:hideMark/>
          </w:tcPr>
          <w:p w:rsidR="00C02E72" w:rsidRPr="00910174" w:rsidRDefault="00940A4B" w:rsidP="00E85D18">
            <w:pPr>
              <w:rPr>
                <w:rFonts w:ascii="Segoe UI" w:hAnsi="Segoe UI" w:cs="Segoe UI"/>
                <w:lang w:eastAsia="en-AU"/>
              </w:rPr>
            </w:pPr>
            <w:r w:rsidRPr="00910174">
              <w:rPr>
                <w:rFonts w:ascii="Segoe UI" w:hAnsi="Segoe UI" w:cs="Segoe UI"/>
                <w:lang w:eastAsia="en-AU"/>
              </w:rPr>
              <w:t>Metropolitan &amp; r</w:t>
            </w:r>
            <w:r w:rsidR="00C02E72" w:rsidRPr="00910174">
              <w:rPr>
                <w:rFonts w:ascii="Segoe UI" w:hAnsi="Segoe UI" w:cs="Segoe UI"/>
                <w:lang w:eastAsia="en-AU"/>
              </w:rPr>
              <w:t>egional</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$40.84</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$9.90</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$12.14</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$2.13</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$65.01</w:t>
            </w:r>
          </w:p>
        </w:tc>
      </w:tr>
      <w:tr w:rsidR="00C02E72" w:rsidRPr="00446A31" w:rsidTr="00A4014C">
        <w:trPr>
          <w:trHeight w:val="113"/>
        </w:trPr>
        <w:tc>
          <w:tcPr>
            <w:tcW w:w="1087" w:type="pct"/>
            <w:shd w:val="clear" w:color="auto" w:fill="E8E8E8" w:themeFill="background2"/>
            <w:noWrap/>
            <w:hideMark/>
          </w:tcPr>
          <w:p w:rsidR="00C02E72" w:rsidRPr="00596D01" w:rsidRDefault="00B56296" w:rsidP="00B56296">
            <w:pPr>
              <w:rPr>
                <w:rStyle w:val="Strong"/>
              </w:rPr>
            </w:pPr>
            <w:r w:rsidRPr="00596D01">
              <w:rPr>
                <w:rStyle w:val="Strong"/>
              </w:rPr>
              <w:t>Scale</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c>
          <w:tcPr>
            <w:tcW w:w="783" w:type="pct"/>
            <w:shd w:val="clear" w:color="auto" w:fill="E8E8E8" w:themeFill="background2"/>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 </w:t>
            </w:r>
          </w:p>
        </w:tc>
      </w:tr>
      <w:tr w:rsidR="00C02E72" w:rsidRPr="00446A31" w:rsidTr="00A4014C">
        <w:trPr>
          <w:trHeight w:val="113"/>
        </w:trPr>
        <w:tc>
          <w:tcPr>
            <w:tcW w:w="1087" w:type="pct"/>
            <w:noWrap/>
            <w:hideMark/>
          </w:tcPr>
          <w:p w:rsidR="00C02E72" w:rsidRPr="00910174" w:rsidRDefault="00C02E72" w:rsidP="00940A4B">
            <w:pPr>
              <w:rPr>
                <w:rFonts w:ascii="Segoe UI" w:hAnsi="Segoe UI" w:cs="Segoe UI"/>
                <w:lang w:eastAsia="en-AU"/>
              </w:rPr>
            </w:pPr>
            <w:r w:rsidRPr="00910174">
              <w:rPr>
                <w:rFonts w:ascii="Segoe UI" w:hAnsi="Segoe UI" w:cs="Segoe UI"/>
                <w:lang w:eastAsia="en-AU"/>
              </w:rPr>
              <w:t xml:space="preserve">Single </w:t>
            </w:r>
            <w:r w:rsidR="00940A4B" w:rsidRPr="00910174">
              <w:rPr>
                <w:rFonts w:ascii="Segoe UI" w:hAnsi="Segoe UI" w:cs="Segoe UI"/>
                <w:lang w:eastAsia="en-AU"/>
              </w:rPr>
              <w:t>service</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$39.</w:t>
            </w:r>
            <w:r w:rsidRPr="00910174">
              <w:rPr>
                <w:rFonts w:ascii="Segoe UI" w:hAnsi="Segoe UI" w:cs="Segoe UI"/>
                <w:color w:val="000000" w:themeColor="text1"/>
                <w:lang w:eastAsia="en-AU"/>
              </w:rPr>
              <w:t>45</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$7.92</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$12.01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$3.22</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$62.60</w:t>
            </w:r>
          </w:p>
        </w:tc>
      </w:tr>
      <w:tr w:rsidR="00C02E72" w:rsidRPr="00446A31" w:rsidTr="00A4014C">
        <w:trPr>
          <w:trHeight w:val="113"/>
        </w:trPr>
        <w:tc>
          <w:tcPr>
            <w:tcW w:w="1087" w:type="pct"/>
            <w:noWrap/>
            <w:hideMark/>
          </w:tcPr>
          <w:p w:rsidR="00C02E72" w:rsidRPr="00910174" w:rsidRDefault="00940A4B" w:rsidP="00940A4B">
            <w:pPr>
              <w:rPr>
                <w:rFonts w:ascii="Segoe UI" w:hAnsi="Segoe UI" w:cs="Segoe UI"/>
                <w:lang w:eastAsia="en-AU"/>
              </w:rPr>
            </w:pPr>
            <w:r w:rsidRPr="00910174">
              <w:rPr>
                <w:rFonts w:ascii="Segoe UI" w:hAnsi="Segoe UI" w:cs="Segoe UI"/>
                <w:lang w:eastAsia="en-AU"/>
              </w:rPr>
              <w:t>2 to 6 services</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$36.35</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$9.01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$14.13</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$2.74</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$62.24</w:t>
            </w:r>
          </w:p>
        </w:tc>
      </w:tr>
      <w:tr w:rsidR="00C02E72" w:rsidRPr="00446A31" w:rsidTr="00A4014C">
        <w:trPr>
          <w:trHeight w:val="113"/>
        </w:trPr>
        <w:tc>
          <w:tcPr>
            <w:tcW w:w="1087" w:type="pct"/>
            <w:noWrap/>
            <w:hideMark/>
          </w:tcPr>
          <w:p w:rsidR="00C02E72" w:rsidRPr="00910174" w:rsidRDefault="00C02E72" w:rsidP="00940A4B">
            <w:pPr>
              <w:rPr>
                <w:rFonts w:ascii="Segoe UI" w:hAnsi="Segoe UI" w:cs="Segoe UI"/>
                <w:lang w:eastAsia="en-AU"/>
              </w:rPr>
            </w:pPr>
            <w:r w:rsidRPr="00910174">
              <w:rPr>
                <w:rFonts w:ascii="Segoe UI" w:hAnsi="Segoe UI" w:cs="Segoe UI"/>
                <w:lang w:eastAsia="en-AU"/>
              </w:rPr>
              <w:t xml:space="preserve">7 </w:t>
            </w:r>
            <w:r w:rsidR="00940A4B" w:rsidRPr="00910174">
              <w:rPr>
                <w:rFonts w:ascii="Segoe UI" w:hAnsi="Segoe UI" w:cs="Segoe UI"/>
                <w:lang w:eastAsia="en-AU"/>
              </w:rPr>
              <w:t>&amp; more services</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$36.53</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$11.01</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$17.30</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$1.58</w:t>
            </w:r>
          </w:p>
        </w:tc>
        <w:tc>
          <w:tcPr>
            <w:tcW w:w="783" w:type="pct"/>
            <w:noWrap/>
            <w:hideMark/>
          </w:tcPr>
          <w:p w:rsidR="00C02E72" w:rsidRPr="00910174" w:rsidRDefault="00C02E72" w:rsidP="00E85D18">
            <w:pPr>
              <w:jc w:val="right"/>
              <w:rPr>
                <w:rFonts w:ascii="Segoe UI" w:hAnsi="Segoe UI" w:cs="Segoe UI"/>
                <w:lang w:eastAsia="en-AU"/>
              </w:rPr>
            </w:pPr>
            <w:r w:rsidRPr="00910174">
              <w:rPr>
                <w:rFonts w:ascii="Segoe UI" w:hAnsi="Segoe UI" w:cs="Segoe UI"/>
                <w:lang w:eastAsia="en-AU"/>
              </w:rPr>
              <w:t>$66.42</w:t>
            </w:r>
          </w:p>
        </w:tc>
      </w:tr>
      <w:tr w:rsidR="00C02E72" w:rsidRPr="00446A31" w:rsidTr="00A4014C">
        <w:trPr>
          <w:trHeight w:val="113"/>
        </w:trPr>
        <w:tc>
          <w:tcPr>
            <w:tcW w:w="1087" w:type="pct"/>
            <w:shd w:val="clear" w:color="auto" w:fill="E8E8E8" w:themeFill="background2"/>
            <w:noWrap/>
            <w:hideMark/>
          </w:tcPr>
          <w:p w:rsidR="00C02E72" w:rsidRPr="00910174" w:rsidRDefault="00940A4B" w:rsidP="00E85D18">
            <w:pPr>
              <w:rPr>
                <w:rFonts w:ascii="Segoe UI" w:hAnsi="Segoe UI" w:cs="Segoe UI"/>
                <w:b/>
                <w:bCs/>
                <w:lang w:eastAsia="en-AU"/>
              </w:rPr>
            </w:pPr>
            <w:r w:rsidRPr="00596D01">
              <w:rPr>
                <w:rStyle w:val="Strong"/>
              </w:rPr>
              <w:t>Total s</w:t>
            </w:r>
            <w:r w:rsidR="00C02E72" w:rsidRPr="00596D01">
              <w:rPr>
                <w:rStyle w:val="Strong"/>
              </w:rPr>
              <w:t>ector</w:t>
            </w:r>
          </w:p>
        </w:tc>
        <w:tc>
          <w:tcPr>
            <w:tcW w:w="783" w:type="pct"/>
            <w:shd w:val="clear" w:color="auto" w:fill="E8E8E8" w:themeFill="background2"/>
            <w:noWrap/>
            <w:hideMark/>
          </w:tcPr>
          <w:p w:rsidR="00C02E72" w:rsidRPr="00910174" w:rsidRDefault="00C02E72" w:rsidP="00E85D18">
            <w:pPr>
              <w:jc w:val="right"/>
              <w:rPr>
                <w:rFonts w:ascii="Segoe UI" w:hAnsi="Segoe UI" w:cs="Segoe UI"/>
                <w:b/>
                <w:bCs/>
                <w:lang w:eastAsia="en-AU"/>
              </w:rPr>
            </w:pPr>
            <w:r w:rsidRPr="00596D01">
              <w:rPr>
                <w:rStyle w:val="Strong"/>
              </w:rPr>
              <w:t>$36.78</w:t>
            </w:r>
          </w:p>
        </w:tc>
        <w:tc>
          <w:tcPr>
            <w:tcW w:w="783" w:type="pct"/>
            <w:shd w:val="clear" w:color="auto" w:fill="E8E8E8" w:themeFill="background2"/>
            <w:noWrap/>
            <w:hideMark/>
          </w:tcPr>
          <w:p w:rsidR="00C02E72" w:rsidRPr="00910174" w:rsidRDefault="00C02E72" w:rsidP="00E85D18">
            <w:pPr>
              <w:jc w:val="right"/>
              <w:rPr>
                <w:rFonts w:ascii="Segoe UI" w:hAnsi="Segoe UI" w:cs="Segoe UI"/>
                <w:b/>
                <w:bCs/>
                <w:lang w:eastAsia="en-AU"/>
              </w:rPr>
            </w:pPr>
            <w:r w:rsidRPr="00596D01">
              <w:rPr>
                <w:rStyle w:val="Strong"/>
              </w:rPr>
              <w:t>$10.18</w:t>
            </w:r>
          </w:p>
        </w:tc>
        <w:tc>
          <w:tcPr>
            <w:tcW w:w="783" w:type="pct"/>
            <w:shd w:val="clear" w:color="auto" w:fill="E8E8E8" w:themeFill="background2"/>
            <w:noWrap/>
            <w:hideMark/>
          </w:tcPr>
          <w:p w:rsidR="00C02E72" w:rsidRPr="00910174" w:rsidRDefault="00C02E72" w:rsidP="00E85D18">
            <w:pPr>
              <w:jc w:val="right"/>
              <w:rPr>
                <w:rFonts w:ascii="Segoe UI" w:hAnsi="Segoe UI" w:cs="Segoe UI"/>
                <w:b/>
                <w:bCs/>
                <w:lang w:eastAsia="en-AU"/>
              </w:rPr>
            </w:pPr>
            <w:r w:rsidRPr="00596D01">
              <w:rPr>
                <w:rStyle w:val="Strong"/>
              </w:rPr>
              <w:t>$15.94</w:t>
            </w:r>
          </w:p>
        </w:tc>
        <w:tc>
          <w:tcPr>
            <w:tcW w:w="783" w:type="pct"/>
            <w:shd w:val="clear" w:color="auto" w:fill="E8E8E8" w:themeFill="background2"/>
            <w:noWrap/>
            <w:hideMark/>
          </w:tcPr>
          <w:p w:rsidR="00C02E72" w:rsidRPr="00910174" w:rsidRDefault="00C02E72" w:rsidP="00E85D18">
            <w:pPr>
              <w:jc w:val="right"/>
              <w:rPr>
                <w:rFonts w:ascii="Segoe UI" w:hAnsi="Segoe UI" w:cs="Segoe UI"/>
                <w:b/>
                <w:bCs/>
                <w:lang w:eastAsia="en-AU"/>
              </w:rPr>
            </w:pPr>
            <w:r w:rsidRPr="00596D01">
              <w:rPr>
                <w:rStyle w:val="Strong"/>
              </w:rPr>
              <w:t>$2.05</w:t>
            </w:r>
          </w:p>
        </w:tc>
        <w:tc>
          <w:tcPr>
            <w:tcW w:w="783" w:type="pct"/>
            <w:shd w:val="clear" w:color="auto" w:fill="E8E8E8" w:themeFill="background2"/>
            <w:noWrap/>
            <w:hideMark/>
          </w:tcPr>
          <w:p w:rsidR="00C02E72" w:rsidRPr="00596D01" w:rsidRDefault="00C02E72" w:rsidP="00E85D18">
            <w:pPr>
              <w:jc w:val="right"/>
              <w:rPr>
                <w:rStyle w:val="Strong"/>
              </w:rPr>
            </w:pPr>
            <w:r w:rsidRPr="00596D01">
              <w:rPr>
                <w:rStyle w:val="Strong"/>
              </w:rPr>
              <w:t>$64.94</w:t>
            </w:r>
          </w:p>
        </w:tc>
      </w:tr>
    </w:tbl>
    <w:p w:rsidR="00C95964" w:rsidRPr="00596D01" w:rsidRDefault="008F3E8B" w:rsidP="00A4014C">
      <w:pPr>
        <w:pStyle w:val="Heading3Numbered"/>
      </w:pPr>
      <w:bookmarkStart w:id="537" w:name="_Toc524424763"/>
      <w:r w:rsidRPr="00596D01">
        <w:t>Profit</w:t>
      </w:r>
      <w:bookmarkEnd w:id="531"/>
      <w:bookmarkEnd w:id="532"/>
      <w:bookmarkEnd w:id="533"/>
      <w:bookmarkEnd w:id="534"/>
      <w:bookmarkEnd w:id="537"/>
    </w:p>
    <w:p w:rsidR="007B6E3F" w:rsidRDefault="00C02E72" w:rsidP="00A4014C">
      <w:bookmarkStart w:id="538" w:name="_Ref452529281"/>
      <w:r w:rsidRPr="00163A5E">
        <w:t>In</w:t>
      </w:r>
      <w:r w:rsidR="00A261F3">
        <w:t> 201</w:t>
      </w:r>
      <w:r w:rsidRPr="00163A5E">
        <w:t>6</w:t>
      </w:r>
      <w:r w:rsidR="00D8721E">
        <w:t>–1</w:t>
      </w:r>
      <w:r w:rsidRPr="00163A5E">
        <w:t xml:space="preserve">7, after scaling up the results from the </w:t>
      </w:r>
      <w:r w:rsidR="00D43B23">
        <w:t>ACFRs</w:t>
      </w:r>
      <w:r w:rsidRPr="00163A5E">
        <w:t xml:space="preserve"> submitted, total profit for all home care providers </w:t>
      </w:r>
      <w:r w:rsidR="00163A5E">
        <w:t>is</w:t>
      </w:r>
      <w:r w:rsidRPr="00163A5E">
        <w:t xml:space="preserve"> estimated at $20</w:t>
      </w:r>
      <w:r w:rsidR="00AB6911">
        <w:t>1</w:t>
      </w:r>
      <w:r w:rsidR="00A261F3">
        <w:t> million</w:t>
      </w:r>
      <w:r w:rsidRPr="00163A5E">
        <w:t>, up from $183</w:t>
      </w:r>
      <w:r w:rsidR="00A261F3">
        <w:t> million</w:t>
      </w:r>
      <w:r w:rsidRPr="00163A5E">
        <w:t xml:space="preserve"> in</w:t>
      </w:r>
      <w:r w:rsidR="00A261F3">
        <w:t> 201</w:t>
      </w:r>
      <w:r w:rsidRPr="00163A5E">
        <w:t>5</w:t>
      </w:r>
      <w:r w:rsidR="00D8721E">
        <w:t>–1</w:t>
      </w:r>
      <w:r w:rsidRPr="00163A5E">
        <w:t>6 (an increase of 10</w:t>
      </w:r>
      <w:r w:rsidR="00A261F3">
        <w:t> per cent</w:t>
      </w:r>
      <w:r w:rsidRPr="00163A5E">
        <w:t>).</w:t>
      </w:r>
    </w:p>
    <w:p w:rsidR="00D8721E" w:rsidRDefault="00C02E72" w:rsidP="00A4014C">
      <w:r w:rsidRPr="00163A5E">
        <w:lastRenderedPageBreak/>
        <w:t>The increase in total revenue, NPBT and EBITDA</w:t>
      </w:r>
      <w:r w:rsidR="0001562B" w:rsidRPr="00163A5E">
        <w:t xml:space="preserve"> h</w:t>
      </w:r>
      <w:r w:rsidRPr="00163A5E">
        <w:t>as resulted in an improvement</w:t>
      </w:r>
      <w:r w:rsidR="0001562B" w:rsidRPr="00163A5E">
        <w:t xml:space="preserve"> </w:t>
      </w:r>
      <w:r w:rsidR="00CF3C54" w:rsidRPr="00163A5E">
        <w:t xml:space="preserve">in </w:t>
      </w:r>
      <w:r w:rsidR="0001562B" w:rsidRPr="00163A5E">
        <w:t>both the NPBT and EBITDA margins</w:t>
      </w:r>
      <w:r w:rsidR="00CF3C54" w:rsidRPr="00163A5E">
        <w:t>. There was a significant increase in consumer</w:t>
      </w:r>
      <w:r w:rsidR="00B56296">
        <w:t>s</w:t>
      </w:r>
      <w:r w:rsidR="00CF3C54" w:rsidRPr="00163A5E">
        <w:t xml:space="preserve"> in</w:t>
      </w:r>
      <w:r w:rsidR="00A261F3">
        <w:t> 201</w:t>
      </w:r>
      <w:r w:rsidR="00CF3C54" w:rsidRPr="00163A5E">
        <w:t>6</w:t>
      </w:r>
      <w:r w:rsidR="00D8721E">
        <w:t>–1</w:t>
      </w:r>
      <w:r w:rsidR="00CF3C54" w:rsidRPr="00163A5E">
        <w:t xml:space="preserve">7 which contributed to a </w:t>
      </w:r>
      <w:r w:rsidR="0001562B" w:rsidRPr="00163A5E">
        <w:t>slight drop in the average EBITDA and average NPBT</w:t>
      </w:r>
      <w:r w:rsidR="00CF3C54" w:rsidRPr="00163A5E">
        <w:t xml:space="preserve"> on a</w:t>
      </w:r>
      <w:r w:rsidR="0001562B" w:rsidRPr="00163A5E">
        <w:t xml:space="preserve"> per consumer</w:t>
      </w:r>
      <w:r w:rsidR="00CF3C54" w:rsidRPr="00163A5E">
        <w:t xml:space="preserve"> basis</w:t>
      </w:r>
      <w:r w:rsidR="00A912FD">
        <w:t xml:space="preserve"> (</w:t>
      </w:r>
      <w:r w:rsidR="00492BF8">
        <w:fldChar w:fldCharType="begin"/>
      </w:r>
      <w:r w:rsidR="00492BF8">
        <w:instrText xml:space="preserve"> REF _Ref524429440 \r \h </w:instrText>
      </w:r>
      <w:r w:rsidR="00492BF8">
        <w:fldChar w:fldCharType="separate"/>
      </w:r>
      <w:r w:rsidR="00492BF8">
        <w:t>Table 7.11</w:t>
      </w:r>
      <w:r w:rsidR="00492BF8">
        <w:fldChar w:fldCharType="end"/>
      </w:r>
      <w:r w:rsidR="00A912FD">
        <w:t>)</w:t>
      </w:r>
      <w:r w:rsidR="0001562B" w:rsidRPr="00163A5E">
        <w:t xml:space="preserve">. </w:t>
      </w:r>
      <w:r w:rsidR="0063473D" w:rsidRPr="00163A5E">
        <w:t>This s</w:t>
      </w:r>
      <w:r w:rsidR="00A912FD">
        <w:t>uggests</w:t>
      </w:r>
      <w:r w:rsidR="00CF3C54" w:rsidRPr="00163A5E">
        <w:t xml:space="preserve"> that despite tighter profit margins derived for each consumer, providers were able to derive higher total revenue and NPBT levels when compared with</w:t>
      </w:r>
      <w:r w:rsidR="00A261F3">
        <w:t> 201</w:t>
      </w:r>
      <w:r w:rsidR="00CF3C54" w:rsidRPr="00163A5E">
        <w:t>5</w:t>
      </w:r>
      <w:r w:rsidR="00D8721E">
        <w:t>–1</w:t>
      </w:r>
      <w:r w:rsidR="00CF3C54" w:rsidRPr="00163A5E">
        <w:t xml:space="preserve">6 through providing services to an </w:t>
      </w:r>
      <w:r w:rsidR="0063473D" w:rsidRPr="00163A5E">
        <w:t xml:space="preserve">increased </w:t>
      </w:r>
      <w:r w:rsidR="00B56296">
        <w:t>number</w:t>
      </w:r>
      <w:r w:rsidR="0063473D" w:rsidRPr="00163A5E">
        <w:t xml:space="preserve"> of consumers</w:t>
      </w:r>
      <w:r w:rsidR="00D8721E">
        <w:t>.</w:t>
      </w:r>
    </w:p>
    <w:p w:rsidR="00627983" w:rsidRPr="00596D01" w:rsidRDefault="00627983" w:rsidP="00A4014C">
      <w:pPr>
        <w:pStyle w:val="TableTitle"/>
        <w:rPr>
          <w:rStyle w:val="Strong"/>
        </w:rPr>
      </w:pPr>
      <w:bookmarkStart w:id="539" w:name="_Ref524429440"/>
      <w:r w:rsidRPr="00596D01">
        <w:t>Summary of financial performance of home care providers, per consumer,</w:t>
      </w:r>
      <w:r w:rsidR="00A261F3" w:rsidRPr="00596D01">
        <w:t> 201</w:t>
      </w:r>
      <w:r w:rsidRPr="00596D01">
        <w:t>4</w:t>
      </w:r>
      <w:r w:rsidR="00D8721E" w:rsidRPr="00596D01">
        <w:t>–1</w:t>
      </w:r>
      <w:r w:rsidRPr="00596D01">
        <w:t>5 to</w:t>
      </w:r>
      <w:r w:rsidR="00A261F3" w:rsidRPr="00596D01">
        <w:t> 201</w:t>
      </w:r>
      <w:r w:rsidRPr="00596D01">
        <w:t>6</w:t>
      </w:r>
      <w:r w:rsidR="00D8721E" w:rsidRPr="00596D01">
        <w:t>–1</w:t>
      </w:r>
      <w:r w:rsidRPr="00596D01">
        <w:t>7</w:t>
      </w:r>
      <w:bookmarkEnd w:id="53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879"/>
        <w:gridCol w:w="1539"/>
        <w:gridCol w:w="1681"/>
        <w:gridCol w:w="1529"/>
      </w:tblGrid>
      <w:tr w:rsidR="00627983"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534" w:type="pct"/>
            <w:noWrap/>
            <w:hideMark/>
          </w:tcPr>
          <w:p w:rsidR="00627983" w:rsidRPr="00910174" w:rsidRDefault="00627983" w:rsidP="00BC6D13">
            <w:pPr>
              <w:keepNext/>
              <w:jc w:val="center"/>
              <w:rPr>
                <w:rFonts w:ascii="Segoe UI" w:hAnsi="Segoe UI" w:cs="Segoe UI"/>
                <w:color w:val="92CDDC"/>
              </w:rPr>
            </w:pPr>
          </w:p>
        </w:tc>
        <w:tc>
          <w:tcPr>
            <w:tcW w:w="799" w:type="pct"/>
            <w:noWrap/>
            <w:hideMark/>
          </w:tcPr>
          <w:p w:rsidR="00627983" w:rsidRPr="00910174" w:rsidRDefault="00627983" w:rsidP="00A4014C">
            <w:pPr>
              <w:keepNext/>
              <w:jc w:val="right"/>
              <w:rPr>
                <w:rFonts w:ascii="Segoe UI" w:hAnsi="Segoe UI" w:cs="Segoe UI"/>
                <w:b w:val="0"/>
              </w:rPr>
            </w:pPr>
            <w:r w:rsidRPr="00596D01">
              <w:t>2014</w:t>
            </w:r>
            <w:r w:rsidR="00D8721E" w:rsidRPr="00596D01">
              <w:t>–1</w:t>
            </w:r>
            <w:r w:rsidRPr="00596D01">
              <w:t>5</w:t>
            </w:r>
          </w:p>
        </w:tc>
        <w:tc>
          <w:tcPr>
            <w:tcW w:w="873" w:type="pct"/>
            <w:noWrap/>
            <w:hideMark/>
          </w:tcPr>
          <w:p w:rsidR="00627983" w:rsidRPr="00910174" w:rsidRDefault="00627983" w:rsidP="00A4014C">
            <w:pPr>
              <w:keepNext/>
              <w:jc w:val="right"/>
              <w:rPr>
                <w:rFonts w:ascii="Segoe UI" w:hAnsi="Segoe UI" w:cs="Segoe UI"/>
                <w:b w:val="0"/>
              </w:rPr>
            </w:pPr>
            <w:r w:rsidRPr="00596D01">
              <w:t>2015</w:t>
            </w:r>
            <w:r w:rsidR="00D8721E" w:rsidRPr="00596D01">
              <w:t>–1</w:t>
            </w:r>
            <w:r w:rsidRPr="00596D01">
              <w:t>6</w:t>
            </w:r>
          </w:p>
        </w:tc>
        <w:tc>
          <w:tcPr>
            <w:tcW w:w="794" w:type="pct"/>
            <w:noWrap/>
            <w:hideMark/>
          </w:tcPr>
          <w:p w:rsidR="00627983" w:rsidRPr="00596D01" w:rsidRDefault="00627983" w:rsidP="00A4014C">
            <w:pPr>
              <w:keepNext/>
              <w:jc w:val="right"/>
            </w:pPr>
            <w:r w:rsidRPr="00596D01">
              <w:t>2016</w:t>
            </w:r>
            <w:r w:rsidR="00D8721E" w:rsidRPr="00596D01">
              <w:t>–1</w:t>
            </w:r>
            <w:r w:rsidRPr="00596D01">
              <w:t>7</w:t>
            </w:r>
          </w:p>
        </w:tc>
      </w:tr>
      <w:tr w:rsidR="00627983" w:rsidTr="00A4014C">
        <w:trPr>
          <w:trHeight w:val="113"/>
        </w:trPr>
        <w:tc>
          <w:tcPr>
            <w:tcW w:w="2534" w:type="pct"/>
            <w:hideMark/>
          </w:tcPr>
          <w:p w:rsidR="00627983" w:rsidRPr="00910174" w:rsidRDefault="00627983" w:rsidP="00BC6D13">
            <w:pPr>
              <w:rPr>
                <w:rFonts w:ascii="Segoe UI" w:hAnsi="Segoe UI" w:cs="Segoe UI"/>
              </w:rPr>
            </w:pPr>
            <w:r w:rsidRPr="00910174">
              <w:rPr>
                <w:rFonts w:ascii="Segoe UI" w:hAnsi="Segoe UI" w:cs="Segoe UI"/>
              </w:rPr>
              <w:t xml:space="preserve">Average EBITDA per consumer </w:t>
            </w:r>
          </w:p>
        </w:tc>
        <w:tc>
          <w:tcPr>
            <w:tcW w:w="799" w:type="pct"/>
            <w:hideMark/>
          </w:tcPr>
          <w:p w:rsidR="00627983" w:rsidRPr="00910174" w:rsidRDefault="00627983" w:rsidP="00A4014C">
            <w:pPr>
              <w:jc w:val="right"/>
              <w:rPr>
                <w:rFonts w:ascii="Segoe UI" w:hAnsi="Segoe UI" w:cs="Segoe UI"/>
              </w:rPr>
            </w:pPr>
            <w:r w:rsidRPr="00910174">
              <w:rPr>
                <w:rFonts w:ascii="Segoe UI" w:hAnsi="Segoe UI" w:cs="Segoe UI"/>
              </w:rPr>
              <w:t>$2,854</w:t>
            </w:r>
          </w:p>
        </w:tc>
        <w:tc>
          <w:tcPr>
            <w:tcW w:w="873" w:type="pct"/>
            <w:hideMark/>
          </w:tcPr>
          <w:p w:rsidR="00627983" w:rsidRPr="00910174" w:rsidRDefault="00627983" w:rsidP="00A4014C">
            <w:pPr>
              <w:jc w:val="right"/>
              <w:rPr>
                <w:rFonts w:ascii="Segoe UI" w:hAnsi="Segoe UI" w:cs="Segoe UI"/>
              </w:rPr>
            </w:pPr>
            <w:r w:rsidRPr="00910174">
              <w:rPr>
                <w:rFonts w:ascii="Segoe UI" w:hAnsi="Segoe UI" w:cs="Segoe UI"/>
              </w:rPr>
              <w:t>$3,055</w:t>
            </w:r>
          </w:p>
        </w:tc>
        <w:tc>
          <w:tcPr>
            <w:tcW w:w="794" w:type="pct"/>
            <w:hideMark/>
          </w:tcPr>
          <w:p w:rsidR="00627983" w:rsidRPr="00910174" w:rsidRDefault="00627983" w:rsidP="00A4014C">
            <w:pPr>
              <w:jc w:val="right"/>
              <w:rPr>
                <w:rFonts w:ascii="Segoe UI" w:hAnsi="Segoe UI" w:cs="Segoe UI"/>
              </w:rPr>
            </w:pPr>
            <w:r w:rsidRPr="00910174">
              <w:rPr>
                <w:rFonts w:ascii="Segoe UI" w:hAnsi="Segoe UI" w:cs="Segoe UI"/>
              </w:rPr>
              <w:t>$2,989</w:t>
            </w:r>
          </w:p>
        </w:tc>
      </w:tr>
      <w:tr w:rsidR="00627983" w:rsidTr="00A4014C">
        <w:trPr>
          <w:trHeight w:val="113"/>
        </w:trPr>
        <w:tc>
          <w:tcPr>
            <w:tcW w:w="2534" w:type="pct"/>
            <w:hideMark/>
          </w:tcPr>
          <w:p w:rsidR="00627983" w:rsidRPr="00910174" w:rsidRDefault="00627983" w:rsidP="00BC6D13">
            <w:pPr>
              <w:rPr>
                <w:rFonts w:ascii="Segoe UI" w:hAnsi="Segoe UI" w:cs="Segoe UI"/>
              </w:rPr>
            </w:pPr>
            <w:r w:rsidRPr="00910174">
              <w:rPr>
                <w:rFonts w:ascii="Segoe UI" w:hAnsi="Segoe UI" w:cs="Segoe UI"/>
              </w:rPr>
              <w:t>Average NPBT per consumer</w:t>
            </w:r>
          </w:p>
        </w:tc>
        <w:tc>
          <w:tcPr>
            <w:tcW w:w="799" w:type="pct"/>
            <w:hideMark/>
          </w:tcPr>
          <w:p w:rsidR="00627983" w:rsidRPr="00910174" w:rsidRDefault="00627983" w:rsidP="00A4014C">
            <w:pPr>
              <w:jc w:val="right"/>
              <w:rPr>
                <w:rFonts w:ascii="Segoe UI" w:hAnsi="Segoe UI" w:cs="Segoe UI"/>
              </w:rPr>
            </w:pPr>
            <w:r w:rsidRPr="00910174">
              <w:rPr>
                <w:rFonts w:ascii="Segoe UI" w:hAnsi="Segoe UI" w:cs="Segoe UI"/>
              </w:rPr>
              <w:t>$2,657</w:t>
            </w:r>
          </w:p>
        </w:tc>
        <w:tc>
          <w:tcPr>
            <w:tcW w:w="873" w:type="pct"/>
            <w:hideMark/>
          </w:tcPr>
          <w:p w:rsidR="00627983" w:rsidRPr="00910174" w:rsidRDefault="00627983" w:rsidP="00A4014C">
            <w:pPr>
              <w:jc w:val="right"/>
              <w:rPr>
                <w:rFonts w:ascii="Segoe UI" w:hAnsi="Segoe UI" w:cs="Segoe UI"/>
              </w:rPr>
            </w:pPr>
            <w:r w:rsidRPr="00910174">
              <w:rPr>
                <w:rFonts w:ascii="Segoe UI" w:hAnsi="Segoe UI" w:cs="Segoe UI"/>
              </w:rPr>
              <w:t>$2,854</w:t>
            </w:r>
          </w:p>
        </w:tc>
        <w:tc>
          <w:tcPr>
            <w:tcW w:w="794" w:type="pct"/>
            <w:hideMark/>
          </w:tcPr>
          <w:p w:rsidR="00627983" w:rsidRPr="00910174" w:rsidRDefault="00627983" w:rsidP="00A4014C">
            <w:pPr>
              <w:jc w:val="right"/>
              <w:rPr>
                <w:rFonts w:ascii="Segoe UI" w:hAnsi="Segoe UI" w:cs="Segoe UI"/>
              </w:rPr>
            </w:pPr>
            <w:r w:rsidRPr="00910174">
              <w:rPr>
                <w:rFonts w:ascii="Segoe UI" w:hAnsi="Segoe UI" w:cs="Segoe UI"/>
              </w:rPr>
              <w:t>$2,832</w:t>
            </w:r>
          </w:p>
        </w:tc>
      </w:tr>
    </w:tbl>
    <w:p w:rsidR="00D8721E" w:rsidRDefault="00C02E72" w:rsidP="00A4014C">
      <w:r w:rsidRPr="00163A5E">
        <w:t xml:space="preserve">As shown in </w:t>
      </w:r>
      <w:r w:rsidR="00492BF8">
        <w:fldChar w:fldCharType="begin"/>
      </w:r>
      <w:r w:rsidR="00492BF8">
        <w:instrText xml:space="preserve"> REF _Ref524429440 \r \h </w:instrText>
      </w:r>
      <w:r w:rsidR="00492BF8">
        <w:fldChar w:fldCharType="separate"/>
      </w:r>
      <w:r w:rsidR="00492BF8">
        <w:t>Table 7.11</w:t>
      </w:r>
      <w:r w:rsidR="00492BF8">
        <w:fldChar w:fldCharType="end"/>
      </w:r>
      <w:r w:rsidR="001625C7" w:rsidRPr="00163A5E">
        <w:t>,</w:t>
      </w:r>
      <w:r w:rsidRPr="00163A5E">
        <w:t xml:space="preserve"> home care providers recorded an average NPBT per consumer </w:t>
      </w:r>
      <w:r w:rsidR="001625C7" w:rsidRPr="00163A5E">
        <w:t xml:space="preserve">per year </w:t>
      </w:r>
      <w:r w:rsidRPr="00163A5E">
        <w:t>of $2,832 compared with $2,854 in</w:t>
      </w:r>
      <w:r w:rsidR="00A261F3">
        <w:t> 201</w:t>
      </w:r>
      <w:r w:rsidRPr="00163A5E">
        <w:t>5</w:t>
      </w:r>
      <w:r w:rsidR="00D8721E">
        <w:t>–1</w:t>
      </w:r>
      <w:r w:rsidRPr="00163A5E">
        <w:t>6 (a decrease of 0.8%)</w:t>
      </w:r>
      <w:r w:rsidR="00D8721E">
        <w:t>.</w:t>
      </w:r>
    </w:p>
    <w:p w:rsidR="00C02E72" w:rsidRPr="00163A5E" w:rsidRDefault="00C02E72" w:rsidP="00A4014C">
      <w:r w:rsidRPr="00163A5E">
        <w:t>Approximately 7</w:t>
      </w:r>
      <w:r w:rsidR="009C307B" w:rsidRPr="00163A5E">
        <w:t>5</w:t>
      </w:r>
      <w:r w:rsidR="00A261F3">
        <w:t> per cent</w:t>
      </w:r>
      <w:r w:rsidRPr="00163A5E">
        <w:t xml:space="preserve"> of home care providers achieved a </w:t>
      </w:r>
      <w:r w:rsidR="00CF3C54" w:rsidRPr="00163A5E">
        <w:t xml:space="preserve">net </w:t>
      </w:r>
      <w:r w:rsidRPr="00163A5E">
        <w:t>profit</w:t>
      </w:r>
      <w:r w:rsidR="00CF3C54" w:rsidRPr="00163A5E">
        <w:t xml:space="preserve"> before tax </w:t>
      </w:r>
      <w:r w:rsidRPr="00163A5E">
        <w:t>in</w:t>
      </w:r>
      <w:r w:rsidR="00A261F3">
        <w:t> 201</w:t>
      </w:r>
      <w:r w:rsidRPr="00163A5E">
        <w:t>6</w:t>
      </w:r>
      <w:r w:rsidR="00D8721E">
        <w:t>–1</w:t>
      </w:r>
      <w:r w:rsidRPr="00163A5E">
        <w:t>7, the same level as was reported in</w:t>
      </w:r>
      <w:r w:rsidR="00A261F3">
        <w:t> 201</w:t>
      </w:r>
      <w:r w:rsidRPr="00163A5E">
        <w:t>5</w:t>
      </w:r>
      <w:r w:rsidR="00D8721E">
        <w:t>–1</w:t>
      </w:r>
      <w:r w:rsidRPr="00163A5E">
        <w:t>6, and up from 7</w:t>
      </w:r>
      <w:r w:rsidR="00341DAB" w:rsidRPr="00163A5E">
        <w:t>2</w:t>
      </w:r>
      <w:r w:rsidR="00A261F3">
        <w:t> per cent</w:t>
      </w:r>
      <w:r w:rsidRPr="00163A5E">
        <w:t xml:space="preserve"> in</w:t>
      </w:r>
      <w:r w:rsidR="00A261F3">
        <w:t> 201</w:t>
      </w:r>
      <w:r w:rsidRPr="00163A5E">
        <w:t>5</w:t>
      </w:r>
      <w:r w:rsidR="00D8721E">
        <w:t>–1</w:t>
      </w:r>
      <w:r w:rsidRPr="00163A5E">
        <w:t xml:space="preserve">6. This continues the recent trend </w:t>
      </w:r>
      <w:r w:rsidR="00CF3C54" w:rsidRPr="00163A5E">
        <w:t>since</w:t>
      </w:r>
      <w:r w:rsidR="00A261F3">
        <w:t> 201</w:t>
      </w:r>
      <w:r w:rsidR="00CF3C54" w:rsidRPr="00163A5E">
        <w:t>3</w:t>
      </w:r>
      <w:r w:rsidR="00D8721E">
        <w:t>–1</w:t>
      </w:r>
      <w:r w:rsidR="00CF3C54" w:rsidRPr="00163A5E">
        <w:t xml:space="preserve">4 </w:t>
      </w:r>
      <w:r w:rsidRPr="00163A5E">
        <w:t>of a higher proportion of providers recording a profit.</w:t>
      </w:r>
    </w:p>
    <w:p w:rsidR="00D8721E" w:rsidRDefault="00C02E72" w:rsidP="00A4014C">
      <w:r w:rsidRPr="00163A5E">
        <w:t xml:space="preserve">As was the case with NPBT when calculated on a consumer </w:t>
      </w:r>
      <w:r w:rsidR="001625C7" w:rsidRPr="00163A5E">
        <w:t xml:space="preserve">per </w:t>
      </w:r>
      <w:r w:rsidRPr="00163A5E">
        <w:t>year basis, the average EBITDA in</w:t>
      </w:r>
      <w:r w:rsidR="00A261F3">
        <w:t> 201</w:t>
      </w:r>
      <w:r w:rsidRPr="00163A5E">
        <w:t>6</w:t>
      </w:r>
      <w:r w:rsidR="00D8721E">
        <w:t>–1</w:t>
      </w:r>
      <w:r w:rsidRPr="00163A5E">
        <w:t xml:space="preserve">7 ($2,989) decreased </w:t>
      </w:r>
      <w:r w:rsidR="00945C38" w:rsidRPr="00163A5E">
        <w:t xml:space="preserve">slightly </w:t>
      </w:r>
      <w:r w:rsidRPr="00163A5E">
        <w:t>by $66 or 2.</w:t>
      </w:r>
      <w:r w:rsidR="00341DAB" w:rsidRPr="00163A5E">
        <w:t>2</w:t>
      </w:r>
      <w:r w:rsidR="00A261F3">
        <w:t> per cent</w:t>
      </w:r>
      <w:r w:rsidRPr="00163A5E">
        <w:t xml:space="preserve"> when compared with</w:t>
      </w:r>
      <w:r w:rsidR="00A261F3">
        <w:t> 201</w:t>
      </w:r>
      <w:r w:rsidRPr="00163A5E">
        <w:t>5</w:t>
      </w:r>
      <w:r w:rsidR="00D8721E">
        <w:t>–1</w:t>
      </w:r>
      <w:r w:rsidRPr="00163A5E">
        <w:t>6 ($3,055)</w:t>
      </w:r>
      <w:r w:rsidR="00D8721E">
        <w:t>.</w:t>
      </w:r>
    </w:p>
    <w:p w:rsidR="00D8721E" w:rsidRDefault="00C02E72" w:rsidP="00A4014C">
      <w:r w:rsidRPr="00163A5E">
        <w:t xml:space="preserve">As reported in previous annual reports and shown in </w:t>
      </w:r>
      <w:r w:rsidR="00492BF8">
        <w:fldChar w:fldCharType="begin"/>
      </w:r>
      <w:r w:rsidR="00492BF8">
        <w:instrText xml:space="preserve"> REF _Ref524428342 \r \h </w:instrText>
      </w:r>
      <w:r w:rsidR="00492BF8">
        <w:fldChar w:fldCharType="separate"/>
      </w:r>
      <w:r w:rsidR="00492BF8">
        <w:t>Chart 7.2</w:t>
      </w:r>
      <w:r w:rsidR="00492BF8">
        <w:fldChar w:fldCharType="end"/>
      </w:r>
      <w:r w:rsidRPr="00163A5E">
        <w:t>, EBITDA varies considerably across the sector with the top quartile of providers performing substantially better than the rest of the home care sector. The average EBITDA per c</w:t>
      </w:r>
      <w:r w:rsidR="001625C7" w:rsidRPr="00163A5E">
        <w:t xml:space="preserve">onsumer per year </w:t>
      </w:r>
      <w:r w:rsidRPr="00163A5E">
        <w:t>for the top quartile was $11,242 compared with the next top quartile returning only $3,464</w:t>
      </w:r>
      <w:r w:rsidR="00D8721E">
        <w:t>.</w:t>
      </w:r>
    </w:p>
    <w:p w:rsidR="00D8721E" w:rsidRDefault="00492BF8" w:rsidP="00A4014C">
      <w:r>
        <w:fldChar w:fldCharType="begin"/>
      </w:r>
      <w:r>
        <w:instrText xml:space="preserve"> REF _Ref524428342 \r \h </w:instrText>
      </w:r>
      <w:r>
        <w:fldChar w:fldCharType="separate"/>
      </w:r>
      <w:r>
        <w:t>Chart 7.2</w:t>
      </w:r>
      <w:r>
        <w:fldChar w:fldCharType="end"/>
      </w:r>
      <w:r>
        <w:t xml:space="preserve"> </w:t>
      </w:r>
      <w:r w:rsidR="00C02E72" w:rsidRPr="00163A5E">
        <w:t>also shows that EBITDA for providers in the top two quartiles increased in</w:t>
      </w:r>
      <w:r w:rsidR="00A261F3">
        <w:t> 201</w:t>
      </w:r>
      <w:r w:rsidR="00C02E72" w:rsidRPr="00163A5E">
        <w:t>6</w:t>
      </w:r>
      <w:r w:rsidR="00D8721E">
        <w:t>–1</w:t>
      </w:r>
      <w:r w:rsidR="00C02E72" w:rsidRPr="00163A5E">
        <w:t>7, however results of providers in the bottom two quartiles decreased.</w:t>
      </w:r>
    </w:p>
    <w:p w:rsidR="008F3E8B" w:rsidRPr="00596D01" w:rsidRDefault="003B36C7" w:rsidP="00A4014C">
      <w:pPr>
        <w:pStyle w:val="ChartTitle"/>
      </w:pPr>
      <w:bookmarkStart w:id="540" w:name="_Ref524428342"/>
      <w:r w:rsidRPr="00596D01">
        <w:lastRenderedPageBreak/>
        <w:t>P</w:t>
      </w:r>
      <w:r w:rsidR="008F3E8B" w:rsidRPr="00596D01">
        <w:t>rovider</w:t>
      </w:r>
      <w:r w:rsidR="00216B0F" w:rsidRPr="00596D01">
        <w:t xml:space="preserve"> av</w:t>
      </w:r>
      <w:r w:rsidR="007D3327" w:rsidRPr="00596D01">
        <w:t>erage EBI</w:t>
      </w:r>
      <w:r w:rsidR="00DC2639" w:rsidRPr="00596D01">
        <w:t>TD</w:t>
      </w:r>
      <w:r w:rsidR="007D3327" w:rsidRPr="00596D01">
        <w:t xml:space="preserve">A per </w:t>
      </w:r>
      <w:r w:rsidR="00344454" w:rsidRPr="00596D01">
        <w:t>c</w:t>
      </w:r>
      <w:r w:rsidR="00B24B97" w:rsidRPr="00596D01">
        <w:t>onsumer</w:t>
      </w:r>
      <w:r w:rsidR="00A261F3" w:rsidRPr="00596D01">
        <w:t> 201</w:t>
      </w:r>
      <w:r w:rsidR="007D3327" w:rsidRPr="00596D01">
        <w:t>6</w:t>
      </w:r>
      <w:r w:rsidR="00D8721E" w:rsidRPr="00596D01">
        <w:t>–1</w:t>
      </w:r>
      <w:r w:rsidR="007D3327" w:rsidRPr="00596D01">
        <w:t>7</w:t>
      </w:r>
      <w:r w:rsidR="008F3E8B" w:rsidRPr="00596D01">
        <w:t>, by quartile (number of providers in parentheses)</w:t>
      </w:r>
      <w:bookmarkEnd w:id="538"/>
      <w:bookmarkEnd w:id="540"/>
    </w:p>
    <w:p w:rsidR="00D8721E" w:rsidRDefault="00E00671" w:rsidP="00A4014C">
      <w:r>
        <w:rPr>
          <w:noProof/>
        </w:rPr>
        <w:drawing>
          <wp:inline distT="0" distB="0" distL="0" distR="0" wp14:anchorId="4275144A" wp14:editId="20982DE8">
            <wp:extent cx="6120000" cy="3939413"/>
            <wp:effectExtent l="0" t="0" r="0" b="4445"/>
            <wp:docPr id="258" name="Picture 258" descr="Chart 7.2 Provider average EBITDA per consumer 2016–17, by quartile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7.2 (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3939413"/>
                    </a:xfrm>
                    <a:prstGeom prst="rect">
                      <a:avLst/>
                    </a:prstGeom>
                    <a:noFill/>
                    <a:ln>
                      <a:noFill/>
                    </a:ln>
                  </pic:spPr>
                </pic:pic>
              </a:graphicData>
            </a:graphic>
          </wp:inline>
        </w:drawing>
      </w:r>
    </w:p>
    <w:p w:rsidR="00490D7E" w:rsidRDefault="00490D7E" w:rsidP="00A4014C">
      <w:r w:rsidRPr="00C96D98">
        <w:t>The following analysis examines profit based on ownership type, location and scale of provider.</w:t>
      </w:r>
    </w:p>
    <w:p w:rsidR="00D8721E" w:rsidRDefault="00756E6D" w:rsidP="00A4014C">
      <w:r>
        <w:t>In</w:t>
      </w:r>
      <w:r w:rsidR="00A261F3">
        <w:t> 201</w:t>
      </w:r>
      <w:r>
        <w:t>6</w:t>
      </w:r>
      <w:r w:rsidR="00D8721E">
        <w:t>–1</w:t>
      </w:r>
      <w:r>
        <w:t>7, for-profit providers continued to report the strongest results with an average EBITDA of $6,767, down from $7,481 in</w:t>
      </w:r>
      <w:r w:rsidR="00A261F3">
        <w:t> 201</w:t>
      </w:r>
      <w:r>
        <w:t>5</w:t>
      </w:r>
      <w:r w:rsidR="00D8721E">
        <w:t>–1</w:t>
      </w:r>
      <w:r>
        <w:t>6, a 10</w:t>
      </w:r>
      <w:r w:rsidR="00A261F3">
        <w:t> per cent</w:t>
      </w:r>
      <w:r>
        <w:t xml:space="preserve"> decrease (</w:t>
      </w:r>
      <w:r w:rsidR="00492BF8">
        <w:fldChar w:fldCharType="begin"/>
      </w:r>
      <w:r w:rsidR="00492BF8">
        <w:instrText xml:space="preserve"> REF _Ref452498710 \r \h </w:instrText>
      </w:r>
      <w:r w:rsidR="00492BF8">
        <w:fldChar w:fldCharType="separate"/>
      </w:r>
      <w:r w:rsidR="00492BF8">
        <w:t>Charts 7.3</w:t>
      </w:r>
      <w:r w:rsidR="00492BF8">
        <w:fldChar w:fldCharType="end"/>
      </w:r>
      <w:r w:rsidR="00492BF8">
        <w:t xml:space="preserve"> </w:t>
      </w:r>
      <w:r>
        <w:t xml:space="preserve">and </w:t>
      </w:r>
      <w:r w:rsidR="00492BF8">
        <w:fldChar w:fldCharType="begin"/>
      </w:r>
      <w:r w:rsidR="00492BF8">
        <w:instrText xml:space="preserve"> REF _Ref524428373 \r \h </w:instrText>
      </w:r>
      <w:r w:rsidR="00492BF8">
        <w:fldChar w:fldCharType="separate"/>
      </w:r>
      <w:r w:rsidR="00492BF8">
        <w:t>7.4</w:t>
      </w:r>
      <w:r w:rsidR="00492BF8">
        <w:fldChar w:fldCharType="end"/>
      </w:r>
      <w:r>
        <w:t>). The for-profit providers significantly outperformed not-for-profit and government providers in terms of EBITDA with the latter recording average EBITDA of $2,621 and $1,883 respectively. The not</w:t>
      </w:r>
      <w:r w:rsidR="00AA2CDC">
        <w:noBreakHyphen/>
      </w:r>
      <w:r>
        <w:t>for</w:t>
      </w:r>
      <w:r w:rsidR="00AA2CDC">
        <w:noBreakHyphen/>
      </w:r>
      <w:r>
        <w:t xml:space="preserve">profits recorded a </w:t>
      </w:r>
      <w:r w:rsidR="00F33367">
        <w:t>decline</w:t>
      </w:r>
      <w:r>
        <w:t xml:space="preserve"> of around </w:t>
      </w:r>
      <w:r w:rsidR="00341DAB">
        <w:t>2</w:t>
      </w:r>
      <w:r w:rsidR="00A261F3">
        <w:t> per cent</w:t>
      </w:r>
      <w:r>
        <w:t xml:space="preserve"> while government providers had the largest decrease from $2,789 to $1,883, a 3</w:t>
      </w:r>
      <w:r w:rsidR="00341DAB">
        <w:t>2</w:t>
      </w:r>
      <w:r w:rsidR="00A261F3">
        <w:t> per cent</w:t>
      </w:r>
      <w:r>
        <w:t xml:space="preserve"> </w:t>
      </w:r>
      <w:r w:rsidR="00F33367">
        <w:t>reduction</w:t>
      </w:r>
      <w:r w:rsidR="00D8721E">
        <w:t>.</w:t>
      </w:r>
    </w:p>
    <w:p w:rsidR="00D8721E" w:rsidRDefault="00756E6D" w:rsidP="00A4014C">
      <w:r>
        <w:t>The largest difference in terms of ownership is in the top quartile where for-profit providers reported average EBITDA of $17,089 compared with the not-for-profit providers in the top quartile who reported $9,727, and government providers who reported $9,461</w:t>
      </w:r>
      <w:r w:rsidR="00D8721E">
        <w:t>.</w:t>
      </w:r>
    </w:p>
    <w:p w:rsidR="00A912FD" w:rsidRDefault="00756E6D" w:rsidP="00A4014C">
      <w:pPr>
        <w:rPr>
          <w:lang w:val="en-GB"/>
        </w:rPr>
      </w:pPr>
      <w:r>
        <w:rPr>
          <w:lang w:val="en-GB"/>
        </w:rPr>
        <w:t xml:space="preserve">As </w:t>
      </w:r>
      <w:r w:rsidRPr="00B51A99">
        <w:rPr>
          <w:lang w:val="en-GB"/>
        </w:rPr>
        <w:t>AC</w:t>
      </w:r>
      <w:r>
        <w:rPr>
          <w:lang w:val="en-GB"/>
        </w:rPr>
        <w:t>FA noted last year, commentary from the not-for-profit</w:t>
      </w:r>
      <w:r w:rsidRPr="00B51A99">
        <w:rPr>
          <w:lang w:val="en-GB"/>
        </w:rPr>
        <w:t xml:space="preserve"> sector </w:t>
      </w:r>
      <w:r>
        <w:rPr>
          <w:lang w:val="en-GB"/>
        </w:rPr>
        <w:t xml:space="preserve">indicates </w:t>
      </w:r>
      <w:r w:rsidRPr="00B51A99">
        <w:rPr>
          <w:lang w:val="en-GB"/>
        </w:rPr>
        <w:t xml:space="preserve">that the generally lower operating financial results may be consistent with their </w:t>
      </w:r>
      <w:r w:rsidR="00A912FD">
        <w:rPr>
          <w:lang w:val="en-GB"/>
        </w:rPr>
        <w:t>mission objectives</w:t>
      </w:r>
      <w:r>
        <w:rPr>
          <w:lang w:val="en-GB"/>
        </w:rPr>
        <w:t>. They may fulfil their c</w:t>
      </w:r>
      <w:r w:rsidRPr="00B51A99">
        <w:rPr>
          <w:lang w:val="en-GB"/>
        </w:rPr>
        <w:t xml:space="preserve">harters in a range of ways that might be difficult or inappropriate in a more commercial environment where investors are seeking returns. </w:t>
      </w:r>
      <w:r>
        <w:rPr>
          <w:lang w:val="en-GB"/>
        </w:rPr>
        <w:t>Specifically, not-for-profit providers</w:t>
      </w:r>
      <w:r w:rsidRPr="00B51A99">
        <w:rPr>
          <w:lang w:val="en-GB"/>
        </w:rPr>
        <w:t xml:space="preserve"> may choose to invest in or expend funds on amenities and services for which they are not funded</w:t>
      </w:r>
      <w:r>
        <w:rPr>
          <w:lang w:val="en-GB"/>
        </w:rPr>
        <w:t xml:space="preserve"> through regulated sources. Not-for-profit providers</w:t>
      </w:r>
      <w:r w:rsidRPr="00B51A99">
        <w:rPr>
          <w:lang w:val="en-GB"/>
        </w:rPr>
        <w:t xml:space="preserve"> may be able to do this through a range of funding pathways and tax benefits, including payroll tax relief, </w:t>
      </w:r>
      <w:r w:rsidR="00A22652">
        <w:rPr>
          <w:lang w:val="en-GB"/>
        </w:rPr>
        <w:t xml:space="preserve">fringe benefit tax benefits, </w:t>
      </w:r>
      <w:r w:rsidRPr="00B51A99">
        <w:rPr>
          <w:lang w:val="en-GB"/>
        </w:rPr>
        <w:t>income tax exemptions and tax deductible donations. However, where these costs are not covered by such incremental revenue, the comparatively lower EBITDA for many not</w:t>
      </w:r>
      <w:r w:rsidR="00365904">
        <w:rPr>
          <w:lang w:val="en-GB"/>
        </w:rPr>
        <w:noBreakHyphen/>
      </w:r>
      <w:r w:rsidRPr="00B51A99">
        <w:rPr>
          <w:lang w:val="en-GB"/>
        </w:rPr>
        <w:t>for</w:t>
      </w:r>
      <w:r w:rsidR="00365904">
        <w:rPr>
          <w:lang w:val="en-GB"/>
        </w:rPr>
        <w:noBreakHyphen/>
      </w:r>
      <w:r w:rsidRPr="00B51A99">
        <w:rPr>
          <w:lang w:val="en-GB"/>
        </w:rPr>
        <w:t>profit organisations may be the product of the delivery of additional “community benefits” or “social impacts” or returns which ar</w:t>
      </w:r>
      <w:r>
        <w:rPr>
          <w:lang w:val="en-GB"/>
        </w:rPr>
        <w:t>e not recognised in the annual financial account</w:t>
      </w:r>
      <w:r w:rsidRPr="007E4363">
        <w:rPr>
          <w:lang w:val="en-GB"/>
        </w:rPr>
        <w:t>s.</w:t>
      </w:r>
    </w:p>
    <w:p w:rsidR="00D8721E" w:rsidRDefault="007E4363" w:rsidP="00A4014C">
      <w:pPr>
        <w:rPr>
          <w:lang w:val="en-GB"/>
        </w:rPr>
      </w:pPr>
      <w:r w:rsidRPr="007E4363">
        <w:rPr>
          <w:lang w:val="en-GB"/>
        </w:rPr>
        <w:t>Similarly government providers have traditionally generated lower financial results as they often provide home care services in areas of the market where other providers may not operate. In</w:t>
      </w:r>
      <w:r w:rsidR="00A261F3">
        <w:rPr>
          <w:lang w:val="en-GB"/>
        </w:rPr>
        <w:t> 201</w:t>
      </w:r>
      <w:r w:rsidRPr="007E4363">
        <w:rPr>
          <w:lang w:val="en-GB"/>
        </w:rPr>
        <w:t>6</w:t>
      </w:r>
      <w:r w:rsidR="00D8721E">
        <w:rPr>
          <w:lang w:val="en-GB"/>
        </w:rPr>
        <w:t>–1</w:t>
      </w:r>
      <w:r w:rsidRPr="007E4363">
        <w:rPr>
          <w:lang w:val="en-GB"/>
        </w:rPr>
        <w:t>7, government providers derived a 1.</w:t>
      </w:r>
      <w:r w:rsidR="00341DAB">
        <w:rPr>
          <w:lang w:val="en-GB"/>
        </w:rPr>
        <w:t>3</w:t>
      </w:r>
      <w:r w:rsidR="00A261F3">
        <w:rPr>
          <w:lang w:val="en-GB"/>
        </w:rPr>
        <w:t> per cent</w:t>
      </w:r>
      <w:r w:rsidRPr="007E4363">
        <w:rPr>
          <w:lang w:val="en-GB"/>
        </w:rPr>
        <w:t xml:space="preserve"> increase in total revenue earned yet expenditure increased by 4.</w:t>
      </w:r>
      <w:r w:rsidR="00D00B54">
        <w:rPr>
          <w:lang w:val="en-GB"/>
        </w:rPr>
        <w:t>6</w:t>
      </w:r>
      <w:r w:rsidR="00A261F3">
        <w:rPr>
          <w:lang w:val="en-GB"/>
        </w:rPr>
        <w:t> per cent</w:t>
      </w:r>
      <w:r w:rsidR="00A912FD">
        <w:rPr>
          <w:lang w:val="en-GB"/>
        </w:rPr>
        <w:t xml:space="preserve">, </w:t>
      </w:r>
      <w:r w:rsidRPr="007E4363">
        <w:rPr>
          <w:lang w:val="en-GB"/>
        </w:rPr>
        <w:t>resulting in a decline in the net profit before tax of 24.</w:t>
      </w:r>
      <w:r w:rsidR="009C307B">
        <w:rPr>
          <w:lang w:val="en-GB"/>
        </w:rPr>
        <w:t>5</w:t>
      </w:r>
      <w:r w:rsidR="00A261F3">
        <w:rPr>
          <w:lang w:val="en-GB"/>
        </w:rPr>
        <w:t> per cent</w:t>
      </w:r>
      <w:r w:rsidR="00D8721E">
        <w:rPr>
          <w:lang w:val="en-GB"/>
        </w:rPr>
        <w:t>.</w:t>
      </w:r>
    </w:p>
    <w:p w:rsidR="00D8721E" w:rsidRDefault="007E4363" w:rsidP="00A4014C">
      <w:pPr>
        <w:rPr>
          <w:lang w:val="en-GB"/>
        </w:rPr>
      </w:pPr>
      <w:r w:rsidRPr="007E4363">
        <w:rPr>
          <w:lang w:val="en-GB"/>
        </w:rPr>
        <w:lastRenderedPageBreak/>
        <w:t xml:space="preserve">For government providers, </w:t>
      </w:r>
      <w:r w:rsidR="00CB5619">
        <w:rPr>
          <w:lang w:val="en-GB"/>
        </w:rPr>
        <w:t xml:space="preserve">total </w:t>
      </w:r>
      <w:r w:rsidRPr="007E4363">
        <w:rPr>
          <w:lang w:val="en-GB"/>
        </w:rPr>
        <w:t>income per c</w:t>
      </w:r>
      <w:r w:rsidR="00CB5619">
        <w:rPr>
          <w:lang w:val="en-GB"/>
        </w:rPr>
        <w:t xml:space="preserve">onsumer </w:t>
      </w:r>
      <w:r w:rsidRPr="007E4363">
        <w:rPr>
          <w:lang w:val="en-GB"/>
        </w:rPr>
        <w:t>per claim day decreased by</w:t>
      </w:r>
      <w:r w:rsidR="00CB5619">
        <w:rPr>
          <w:lang w:val="en-GB"/>
        </w:rPr>
        <w:t xml:space="preserve"> about 35</w:t>
      </w:r>
      <w:r w:rsidR="00A261F3">
        <w:rPr>
          <w:lang w:val="en-GB"/>
        </w:rPr>
        <w:t> per cent</w:t>
      </w:r>
      <w:r w:rsidRPr="007E4363">
        <w:rPr>
          <w:lang w:val="en-GB"/>
        </w:rPr>
        <w:t>, down from $</w:t>
      </w:r>
      <w:r w:rsidR="00CB5619">
        <w:rPr>
          <w:lang w:val="en-GB"/>
        </w:rPr>
        <w:t>62.40</w:t>
      </w:r>
      <w:r w:rsidRPr="007E4363">
        <w:rPr>
          <w:lang w:val="en-GB"/>
        </w:rPr>
        <w:t xml:space="preserve"> in</w:t>
      </w:r>
      <w:r w:rsidR="00A261F3">
        <w:rPr>
          <w:lang w:val="en-GB"/>
        </w:rPr>
        <w:t> 201</w:t>
      </w:r>
      <w:r w:rsidRPr="007E4363">
        <w:rPr>
          <w:lang w:val="en-GB"/>
        </w:rPr>
        <w:t>5</w:t>
      </w:r>
      <w:r w:rsidR="00D8721E">
        <w:rPr>
          <w:lang w:val="en-GB"/>
        </w:rPr>
        <w:t>–1</w:t>
      </w:r>
      <w:r w:rsidRPr="007E4363">
        <w:rPr>
          <w:lang w:val="en-GB"/>
        </w:rPr>
        <w:t>6 to $4</w:t>
      </w:r>
      <w:r w:rsidR="00CB5619">
        <w:rPr>
          <w:lang w:val="en-GB"/>
        </w:rPr>
        <w:t>0.37</w:t>
      </w:r>
      <w:r w:rsidRPr="007E4363">
        <w:rPr>
          <w:lang w:val="en-GB"/>
        </w:rPr>
        <w:t xml:space="preserve"> in</w:t>
      </w:r>
      <w:r w:rsidR="00A261F3">
        <w:rPr>
          <w:lang w:val="en-GB"/>
        </w:rPr>
        <w:t> 201</w:t>
      </w:r>
      <w:r w:rsidRPr="007E4363">
        <w:rPr>
          <w:lang w:val="en-GB"/>
        </w:rPr>
        <w:t>6</w:t>
      </w:r>
      <w:r w:rsidR="00D8721E">
        <w:rPr>
          <w:lang w:val="en-GB"/>
        </w:rPr>
        <w:t>–1</w:t>
      </w:r>
      <w:r w:rsidRPr="007E4363">
        <w:rPr>
          <w:lang w:val="en-GB"/>
        </w:rPr>
        <w:t xml:space="preserve">7. </w:t>
      </w:r>
      <w:r w:rsidR="00CB5619">
        <w:rPr>
          <w:lang w:val="en-GB"/>
        </w:rPr>
        <w:t>Total expenditure also declined by about 33</w:t>
      </w:r>
      <w:r w:rsidR="00A261F3">
        <w:rPr>
          <w:lang w:val="en-GB"/>
        </w:rPr>
        <w:t> per cent</w:t>
      </w:r>
      <w:r w:rsidR="00CB5619">
        <w:rPr>
          <w:lang w:val="en-GB"/>
        </w:rPr>
        <w:t>, down from $55.20 per consumer per day to $36.89 in</w:t>
      </w:r>
      <w:r w:rsidR="00A261F3">
        <w:rPr>
          <w:lang w:val="en-GB"/>
        </w:rPr>
        <w:t> 201</w:t>
      </w:r>
      <w:r w:rsidR="00CB5619">
        <w:rPr>
          <w:lang w:val="en-GB"/>
        </w:rPr>
        <w:t>6</w:t>
      </w:r>
      <w:r w:rsidR="00D8721E">
        <w:rPr>
          <w:lang w:val="en-GB"/>
        </w:rPr>
        <w:t>–1</w:t>
      </w:r>
      <w:r w:rsidR="00CB5619">
        <w:rPr>
          <w:lang w:val="en-GB"/>
        </w:rPr>
        <w:t>7.</w:t>
      </w:r>
    </w:p>
    <w:p w:rsidR="008F3E8B" w:rsidRPr="00596D01" w:rsidRDefault="000A6990" w:rsidP="00A4014C">
      <w:pPr>
        <w:pStyle w:val="ChartTitle"/>
      </w:pPr>
      <w:bookmarkStart w:id="541" w:name="_Ref452498710"/>
      <w:r w:rsidRPr="00596D01">
        <w:t>P</w:t>
      </w:r>
      <w:r w:rsidR="008F3E8B" w:rsidRPr="00596D01">
        <w:t>rovider average EBI</w:t>
      </w:r>
      <w:r w:rsidR="00DC2639" w:rsidRPr="00596D01">
        <w:t>TD</w:t>
      </w:r>
      <w:r w:rsidR="008F3E8B" w:rsidRPr="00596D01">
        <w:t xml:space="preserve">A per </w:t>
      </w:r>
      <w:r w:rsidR="00344454" w:rsidRPr="00596D01">
        <w:t>c</w:t>
      </w:r>
      <w:r w:rsidR="00B24B97" w:rsidRPr="00596D01">
        <w:t>onsumer</w:t>
      </w:r>
      <w:r w:rsidR="008F3E8B" w:rsidRPr="00596D01">
        <w:t xml:space="preserve"> per annum</w:t>
      </w:r>
      <w:r w:rsidR="00D43B23" w:rsidRPr="00596D01">
        <w:t>,</w:t>
      </w:r>
      <w:r w:rsidR="008F3E8B" w:rsidRPr="00596D01">
        <w:t xml:space="preserve"> by quartile and ownership type</w:t>
      </w:r>
      <w:r w:rsidR="00D43B23" w:rsidRPr="00596D01">
        <w:t>,</w:t>
      </w:r>
      <w:r w:rsidR="00A261F3" w:rsidRPr="00596D01">
        <w:t> 201</w:t>
      </w:r>
      <w:r w:rsidR="00D43B23" w:rsidRPr="00596D01">
        <w:t>6</w:t>
      </w:r>
      <w:r w:rsidR="00D8721E" w:rsidRPr="00596D01">
        <w:t>–1</w:t>
      </w:r>
      <w:r w:rsidR="00D43B23" w:rsidRPr="00596D01">
        <w:t xml:space="preserve">7 </w:t>
      </w:r>
      <w:r w:rsidR="008F3E8B" w:rsidRPr="00596D01">
        <w:t>(number of providers in parentheses)</w:t>
      </w:r>
      <w:bookmarkEnd w:id="541"/>
      <w:r w:rsidR="00933363" w:rsidRPr="00596D01">
        <w:t xml:space="preserve"> </w:t>
      </w:r>
    </w:p>
    <w:p w:rsidR="00E96EA8" w:rsidRDefault="00E00671" w:rsidP="00A4014C">
      <w:r>
        <w:rPr>
          <w:noProof/>
        </w:rPr>
        <w:drawing>
          <wp:inline distT="0" distB="0" distL="0" distR="0" wp14:anchorId="0925DAA7" wp14:editId="0C41E315">
            <wp:extent cx="6120000" cy="2988169"/>
            <wp:effectExtent l="0" t="0" r="0" b="3175"/>
            <wp:docPr id="264" name="Picture 264" descr="Chart 7.3 Provider average EBITDA per consumer per annum, by quartile and ownership type, 2016–17 (number of providers in parenthe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7.3 (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000" cy="2988169"/>
                    </a:xfrm>
                    <a:prstGeom prst="rect">
                      <a:avLst/>
                    </a:prstGeom>
                    <a:noFill/>
                    <a:ln>
                      <a:noFill/>
                    </a:ln>
                  </pic:spPr>
                </pic:pic>
              </a:graphicData>
            </a:graphic>
          </wp:inline>
        </w:drawing>
      </w:r>
    </w:p>
    <w:p w:rsidR="00A86092" w:rsidRPr="00596D01" w:rsidRDefault="00A86092" w:rsidP="00A4014C">
      <w:pPr>
        <w:pStyle w:val="ChartTitle"/>
      </w:pPr>
      <w:bookmarkStart w:id="542" w:name="_Ref524428373"/>
      <w:r w:rsidRPr="00596D01">
        <w:t xml:space="preserve">EBITDA per </w:t>
      </w:r>
      <w:r w:rsidR="00344454" w:rsidRPr="00596D01">
        <w:t>c</w:t>
      </w:r>
      <w:r w:rsidR="00B24B97" w:rsidRPr="00596D01">
        <w:t>onsumer</w:t>
      </w:r>
      <w:r w:rsidRPr="00596D01">
        <w:t>, by ownership</w:t>
      </w:r>
      <w:r w:rsidR="00F96F81" w:rsidRPr="00596D01">
        <w:t xml:space="preserve"> type,</w:t>
      </w:r>
      <w:r w:rsidR="00A261F3" w:rsidRPr="00596D01">
        <w:t> 201</w:t>
      </w:r>
      <w:r w:rsidR="00925445" w:rsidRPr="00596D01">
        <w:t>4</w:t>
      </w:r>
      <w:r w:rsidR="00D8721E" w:rsidRPr="00596D01">
        <w:t>–1</w:t>
      </w:r>
      <w:r w:rsidR="00925445" w:rsidRPr="00596D01">
        <w:t>5 to</w:t>
      </w:r>
      <w:r w:rsidR="00A261F3" w:rsidRPr="00596D01">
        <w:t> 201</w:t>
      </w:r>
      <w:r w:rsidR="00925445" w:rsidRPr="00596D01">
        <w:t>6</w:t>
      </w:r>
      <w:r w:rsidR="00D8721E" w:rsidRPr="00596D01">
        <w:t>–1</w:t>
      </w:r>
      <w:r w:rsidR="00925445" w:rsidRPr="00596D01">
        <w:t>7</w:t>
      </w:r>
      <w:bookmarkEnd w:id="542"/>
    </w:p>
    <w:p w:rsidR="00D8721E" w:rsidRDefault="006568CF" w:rsidP="00A4014C">
      <w:r>
        <w:rPr>
          <w:noProof/>
        </w:rPr>
        <w:drawing>
          <wp:inline distT="0" distB="0" distL="0" distR="0" wp14:anchorId="56B148C3" wp14:editId="6A413A27">
            <wp:extent cx="6120000" cy="4154676"/>
            <wp:effectExtent l="0" t="0" r="0" b="0"/>
            <wp:docPr id="62" name="Picture 62" descr="Chart 7.4 EBITDA per consumer, by ownership type, 2014–15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zc0004\AppData\Local\Microsoft\Windows\Temporary Internet Files\Content.Outlook\6DIYYC82\Chart_7.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000" cy="4154676"/>
                    </a:xfrm>
                    <a:prstGeom prst="rect">
                      <a:avLst/>
                    </a:prstGeom>
                    <a:noFill/>
                    <a:ln>
                      <a:noFill/>
                    </a:ln>
                  </pic:spPr>
                </pic:pic>
              </a:graphicData>
            </a:graphic>
          </wp:inline>
        </w:drawing>
      </w:r>
    </w:p>
    <w:p w:rsidR="00D8721E" w:rsidRDefault="00933363" w:rsidP="00A4014C">
      <w:r>
        <w:t xml:space="preserve">When </w:t>
      </w:r>
      <w:r w:rsidR="00A912FD">
        <w:t>performance in</w:t>
      </w:r>
      <w:r w:rsidR="00A261F3">
        <w:t> 201</w:t>
      </w:r>
      <w:r w:rsidR="00A912FD">
        <w:t>6</w:t>
      </w:r>
      <w:r w:rsidR="00D8721E">
        <w:t>–1</w:t>
      </w:r>
      <w:r w:rsidR="00A912FD">
        <w:t xml:space="preserve">7 is </w:t>
      </w:r>
      <w:r>
        <w:t>considered by location, providers who operated their services in metropolitan areas achieved the highest level of average EBITDA per claim year of $3,431, compared with $2,960 for regional providers and $2,026 for providers in both regional and metropolitan areas (</w:t>
      </w:r>
      <w:r w:rsidR="00492BF8">
        <w:fldChar w:fldCharType="begin"/>
      </w:r>
      <w:r w:rsidR="00492BF8">
        <w:instrText xml:space="preserve"> REF _Ref450207335 \r \h </w:instrText>
      </w:r>
      <w:r w:rsidR="00492BF8">
        <w:fldChar w:fldCharType="separate"/>
      </w:r>
      <w:r w:rsidR="00492BF8">
        <w:t>Chart 7.5</w:t>
      </w:r>
      <w:r w:rsidR="00492BF8">
        <w:fldChar w:fldCharType="end"/>
      </w:r>
      <w:r>
        <w:t xml:space="preserve">). </w:t>
      </w:r>
      <w:r>
        <w:lastRenderedPageBreak/>
        <w:t>This is in contrast to</w:t>
      </w:r>
      <w:r w:rsidR="00A261F3">
        <w:t> 201</w:t>
      </w:r>
      <w:r>
        <w:t>5</w:t>
      </w:r>
      <w:r w:rsidR="00D8721E">
        <w:t>–1</w:t>
      </w:r>
      <w:r>
        <w:t>6 when regional providers slightly outperformed metropolitan providers (</w:t>
      </w:r>
      <w:r w:rsidR="00492BF8">
        <w:fldChar w:fldCharType="begin"/>
      </w:r>
      <w:r w:rsidR="00492BF8">
        <w:instrText xml:space="preserve"> REF _Ref524428394 \r \h </w:instrText>
      </w:r>
      <w:r w:rsidR="00492BF8">
        <w:fldChar w:fldCharType="separate"/>
      </w:r>
      <w:r w:rsidR="00492BF8">
        <w:t>Chart 7.6</w:t>
      </w:r>
      <w:r w:rsidR="00492BF8">
        <w:fldChar w:fldCharType="end"/>
      </w:r>
      <w:r>
        <w:t>)</w:t>
      </w:r>
      <w:r w:rsidR="00D8721E">
        <w:t>.</w:t>
      </w:r>
    </w:p>
    <w:p w:rsidR="00D8721E" w:rsidRDefault="00933363" w:rsidP="00A4014C">
      <w:r>
        <w:t>The largest difference</w:t>
      </w:r>
      <w:r w:rsidR="00382A71">
        <w:t xml:space="preserve"> in performance</w:t>
      </w:r>
      <w:r>
        <w:t xml:space="preserve"> is in the top quartile where metropolitan providers reported average EBITDA of $13,005 compared with the not-for-profit providers who reported $10,804, and government providers who reported $6,063</w:t>
      </w:r>
      <w:r w:rsidR="00D8721E">
        <w:t>.</w:t>
      </w:r>
    </w:p>
    <w:p w:rsidR="00D8721E" w:rsidRDefault="00933363" w:rsidP="00A4014C">
      <w:r>
        <w:t xml:space="preserve">Despite the large differences in the top quartile, the average EBITDA’s across the other quartiles remained </w:t>
      </w:r>
      <w:r w:rsidR="00344454">
        <w:t xml:space="preserve">relatively </w:t>
      </w:r>
      <w:r>
        <w:t>similar across location</w:t>
      </w:r>
      <w:r w:rsidR="00344454">
        <w:t>s</w:t>
      </w:r>
      <w:r>
        <w:t>.</w:t>
      </w:r>
    </w:p>
    <w:p w:rsidR="00AA1599" w:rsidRPr="00596D01" w:rsidRDefault="000A6990" w:rsidP="00A4014C">
      <w:pPr>
        <w:pStyle w:val="ChartTitle"/>
      </w:pPr>
      <w:bookmarkStart w:id="543" w:name="_Ref450207335"/>
      <w:r w:rsidRPr="00596D01">
        <w:t>P</w:t>
      </w:r>
      <w:r w:rsidR="008F3E8B" w:rsidRPr="00596D01">
        <w:t xml:space="preserve">rovider average </w:t>
      </w:r>
      <w:r w:rsidR="00216B0F" w:rsidRPr="00596D01">
        <w:t>EBI</w:t>
      </w:r>
      <w:r w:rsidR="00DC2639" w:rsidRPr="00596D01">
        <w:t>TD</w:t>
      </w:r>
      <w:r w:rsidR="007D3327" w:rsidRPr="00596D01">
        <w:t xml:space="preserve">A per </w:t>
      </w:r>
      <w:r w:rsidR="00344454" w:rsidRPr="00596D01">
        <w:t>c</w:t>
      </w:r>
      <w:r w:rsidR="00B24B97" w:rsidRPr="00596D01">
        <w:t>onsumer</w:t>
      </w:r>
      <w:r w:rsidR="007D3327" w:rsidRPr="00596D01">
        <w:t xml:space="preserve"> per annum</w:t>
      </w:r>
      <w:r w:rsidR="00A261F3" w:rsidRPr="00596D01">
        <w:t> 201</w:t>
      </w:r>
      <w:r w:rsidR="007D3327" w:rsidRPr="00596D01">
        <w:t>6</w:t>
      </w:r>
      <w:r w:rsidR="00D8721E" w:rsidRPr="00596D01">
        <w:t>–1</w:t>
      </w:r>
      <w:r w:rsidR="007D3327" w:rsidRPr="00596D01">
        <w:t>7</w:t>
      </w:r>
      <w:r w:rsidR="008F3E8B" w:rsidRPr="00596D01">
        <w:t>, by quartile and provider</w:t>
      </w:r>
      <w:r w:rsidR="00BE3B93" w:rsidRPr="00596D01">
        <w:t xml:space="preserve"> </w:t>
      </w:r>
      <w:r w:rsidR="008F3E8B" w:rsidRPr="00596D01">
        <w:t>location (number of providers in parentheses)</w:t>
      </w:r>
      <w:bookmarkEnd w:id="543"/>
    </w:p>
    <w:p w:rsidR="00D8721E" w:rsidRPr="00596D01" w:rsidRDefault="00F5562D" w:rsidP="00A4014C">
      <w:r w:rsidRPr="00596D01">
        <w:rPr>
          <w:noProof/>
        </w:rPr>
        <w:drawing>
          <wp:inline distT="0" distB="0" distL="0" distR="0" wp14:anchorId="6360D7C9" wp14:editId="15433042">
            <wp:extent cx="6120000" cy="4386315"/>
            <wp:effectExtent l="0" t="0" r="0" b="0"/>
            <wp:docPr id="9" name="Picture 9" descr="Chart 7.5 Provider average EBITDA per consumer per annum 2016–17, by quartile and provider location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7.5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000" cy="4386315"/>
                    </a:xfrm>
                    <a:prstGeom prst="rect">
                      <a:avLst/>
                    </a:prstGeom>
                    <a:noFill/>
                    <a:ln>
                      <a:noFill/>
                    </a:ln>
                  </pic:spPr>
                </pic:pic>
              </a:graphicData>
            </a:graphic>
          </wp:inline>
        </w:drawing>
      </w:r>
    </w:p>
    <w:p w:rsidR="0094167E" w:rsidRPr="00596D01" w:rsidRDefault="00A86092" w:rsidP="00A4014C">
      <w:pPr>
        <w:pStyle w:val="ChartTitle"/>
      </w:pPr>
      <w:bookmarkStart w:id="544" w:name="_Ref524428394"/>
      <w:r w:rsidRPr="00596D01">
        <w:lastRenderedPageBreak/>
        <w:t xml:space="preserve">EBITDA per </w:t>
      </w:r>
      <w:r w:rsidR="00344454" w:rsidRPr="00596D01">
        <w:t>c</w:t>
      </w:r>
      <w:r w:rsidR="00B24B97" w:rsidRPr="00596D01">
        <w:t>onsumer</w:t>
      </w:r>
      <w:r w:rsidRPr="00596D01">
        <w:t xml:space="preserve">, by </w:t>
      </w:r>
      <w:r w:rsidR="00E032B1" w:rsidRPr="00596D01">
        <w:t>provider</w:t>
      </w:r>
      <w:r w:rsidRPr="00596D01">
        <w:t xml:space="preserve"> location</w:t>
      </w:r>
      <w:r w:rsidR="003E501A" w:rsidRPr="00596D01">
        <w:t>,</w:t>
      </w:r>
      <w:r w:rsidR="00A261F3" w:rsidRPr="00596D01">
        <w:t> 201</w:t>
      </w:r>
      <w:r w:rsidR="00925445" w:rsidRPr="00596D01">
        <w:t>4</w:t>
      </w:r>
      <w:r w:rsidR="00D8721E" w:rsidRPr="00596D01">
        <w:t>–1</w:t>
      </w:r>
      <w:r w:rsidR="00925445" w:rsidRPr="00596D01">
        <w:t>5 to</w:t>
      </w:r>
      <w:r w:rsidR="00A261F3" w:rsidRPr="00596D01">
        <w:t> 201</w:t>
      </w:r>
      <w:r w:rsidR="00925445" w:rsidRPr="00596D01">
        <w:t>6</w:t>
      </w:r>
      <w:r w:rsidR="00D8721E" w:rsidRPr="00596D01">
        <w:t>–1</w:t>
      </w:r>
      <w:r w:rsidR="00925445" w:rsidRPr="00596D01">
        <w:t>7</w:t>
      </w:r>
      <w:bookmarkEnd w:id="544"/>
    </w:p>
    <w:p w:rsidR="00D8721E" w:rsidRPr="00596D01" w:rsidRDefault="003C1370" w:rsidP="00A4014C">
      <w:r w:rsidRPr="00596D01">
        <w:rPr>
          <w:noProof/>
        </w:rPr>
        <w:drawing>
          <wp:inline distT="0" distB="0" distL="0" distR="0" wp14:anchorId="4D9F1F94" wp14:editId="6C8B552B">
            <wp:extent cx="6120000" cy="2813793"/>
            <wp:effectExtent l="0" t="0" r="0" b="5715"/>
            <wp:docPr id="687" name="Picture 687" descr="Chart 7.6 EBITDA per consumer, by provider location, 2014–15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cb0036\AppData\Local\Microsoft\Windows\Temporary Internet Files\Content.Outlook\GKEAYA79\Chart_7.7_Renam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000" cy="2813793"/>
                    </a:xfrm>
                    <a:prstGeom prst="rect">
                      <a:avLst/>
                    </a:prstGeom>
                    <a:noFill/>
                    <a:ln>
                      <a:noFill/>
                    </a:ln>
                  </pic:spPr>
                </pic:pic>
              </a:graphicData>
            </a:graphic>
          </wp:inline>
        </w:drawing>
      </w:r>
    </w:p>
    <w:p w:rsidR="00D8721E" w:rsidRDefault="00382A71" w:rsidP="00A4014C">
      <w:r>
        <w:t xml:space="preserve">When </w:t>
      </w:r>
      <w:r w:rsidR="00E80DF9">
        <w:t xml:space="preserve">performance is </w:t>
      </w:r>
      <w:r>
        <w:t>considered by scale, providers who operated two to six services achieved the highest level of average EBITDA per claim year of $3,420, compared with $2,843 for providers with seven or more services, and $2,803 for single service providers (</w:t>
      </w:r>
      <w:r w:rsidR="00492BF8">
        <w:fldChar w:fldCharType="begin"/>
      </w:r>
      <w:r w:rsidR="00492BF8">
        <w:instrText xml:space="preserve"> REF _Ref452498774 \r \h </w:instrText>
      </w:r>
      <w:r w:rsidR="00492BF8">
        <w:fldChar w:fldCharType="separate"/>
      </w:r>
      <w:r w:rsidR="00492BF8">
        <w:t>Chart 7.7</w:t>
      </w:r>
      <w:r w:rsidR="00492BF8">
        <w:fldChar w:fldCharType="end"/>
      </w:r>
      <w:r>
        <w:t>). This result reflects the trend over recent years of providers with two to six services closing the gap on the larger providers to now exceed them in performance. While single service providers continue to perform the worst in terms of EBITDA,</w:t>
      </w:r>
      <w:r w:rsidR="00A261F3">
        <w:t> 201</w:t>
      </w:r>
      <w:r>
        <w:t>6</w:t>
      </w:r>
      <w:r w:rsidR="00D8721E">
        <w:t>–1</w:t>
      </w:r>
      <w:r>
        <w:t xml:space="preserve">7 saw a significant improvement in their performance compared </w:t>
      </w:r>
      <w:r w:rsidR="00247BB3">
        <w:t>with the</w:t>
      </w:r>
      <w:r>
        <w:t xml:space="preserve"> larger providers, to the point where </w:t>
      </w:r>
      <w:r w:rsidR="00247BB3">
        <w:t>they recorded</w:t>
      </w:r>
      <w:r>
        <w:t xml:space="preserve"> EBITDA almost the same as providers with </w:t>
      </w:r>
      <w:r w:rsidR="00247BB3">
        <w:t>seven and</w:t>
      </w:r>
      <w:r>
        <w:t xml:space="preserve"> more services (</w:t>
      </w:r>
      <w:r w:rsidR="00492BF8">
        <w:fldChar w:fldCharType="begin"/>
      </w:r>
      <w:r w:rsidR="00492BF8">
        <w:instrText xml:space="preserve"> REF _Ref524428416 \r \h </w:instrText>
      </w:r>
      <w:r w:rsidR="00492BF8">
        <w:fldChar w:fldCharType="separate"/>
      </w:r>
      <w:r w:rsidR="00492BF8">
        <w:t>Chart 7.8</w:t>
      </w:r>
      <w:r w:rsidR="00492BF8">
        <w:fldChar w:fldCharType="end"/>
      </w:r>
      <w:r>
        <w:t>).</w:t>
      </w:r>
    </w:p>
    <w:p w:rsidR="00E96EA8" w:rsidRPr="00596D01" w:rsidRDefault="000A6990" w:rsidP="00A4014C">
      <w:pPr>
        <w:pStyle w:val="ChartTitle"/>
      </w:pPr>
      <w:bookmarkStart w:id="545" w:name="_Ref452498774"/>
      <w:r w:rsidRPr="00596D01">
        <w:lastRenderedPageBreak/>
        <w:t>P</w:t>
      </w:r>
      <w:r w:rsidR="008F3E8B" w:rsidRPr="00596D01">
        <w:t xml:space="preserve">rovider </w:t>
      </w:r>
      <w:r w:rsidR="009F2C26" w:rsidRPr="00596D01">
        <w:t xml:space="preserve">average </w:t>
      </w:r>
      <w:r w:rsidR="008F3E8B" w:rsidRPr="00596D01">
        <w:t>EBI</w:t>
      </w:r>
      <w:r w:rsidR="00DC2639" w:rsidRPr="00596D01">
        <w:t>TD</w:t>
      </w:r>
      <w:r w:rsidR="00216B0F" w:rsidRPr="00596D01">
        <w:t xml:space="preserve">A per </w:t>
      </w:r>
      <w:r w:rsidR="00114B6E" w:rsidRPr="00596D01">
        <w:t>consumer</w:t>
      </w:r>
      <w:r w:rsidR="00216B0F" w:rsidRPr="00596D01">
        <w:t xml:space="preserve"> per annum</w:t>
      </w:r>
      <w:r w:rsidR="00A261F3" w:rsidRPr="00596D01">
        <w:t> 201</w:t>
      </w:r>
      <w:r w:rsidR="007D3327" w:rsidRPr="00596D01">
        <w:t>6</w:t>
      </w:r>
      <w:r w:rsidR="00D8721E" w:rsidRPr="00596D01">
        <w:t>–1</w:t>
      </w:r>
      <w:r w:rsidR="007D3327" w:rsidRPr="00596D01">
        <w:t>7</w:t>
      </w:r>
      <w:r w:rsidR="008F3E8B" w:rsidRPr="00596D01">
        <w:t>, by quartile and provider s</w:t>
      </w:r>
      <w:r w:rsidR="003C74B6" w:rsidRPr="00596D01">
        <w:t>cale</w:t>
      </w:r>
      <w:r w:rsidR="008F3E8B" w:rsidRPr="00596D01">
        <w:t xml:space="preserve"> (number of providers in parentheses)</w:t>
      </w:r>
      <w:bookmarkEnd w:id="545"/>
    </w:p>
    <w:p w:rsidR="00D8721E" w:rsidRPr="00596D01" w:rsidRDefault="00A86092" w:rsidP="009962A4">
      <w:pPr>
        <w:pStyle w:val="CaptionFigure"/>
        <w:numPr>
          <w:ilvl w:val="0"/>
          <w:numId w:val="0"/>
        </w:numPr>
        <w:jc w:val="left"/>
      </w:pPr>
      <w:r w:rsidRPr="00596D01">
        <w:t xml:space="preserve"> </w:t>
      </w:r>
      <w:r w:rsidR="001B1C56" w:rsidRPr="00596D01">
        <w:rPr>
          <w:noProof/>
        </w:rPr>
        <w:drawing>
          <wp:inline distT="0" distB="0" distL="0" distR="0">
            <wp:extent cx="6120000" cy="3682912"/>
            <wp:effectExtent l="0" t="0" r="0" b="0"/>
            <wp:docPr id="14" name="Picture 14" descr="Chart 7.7 Provider average EBITDA per consumer per annum 2016–17, by quartile and provider scale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cb0036\AppData\Local\Microsoft\Windows\Temporary Internet Files\Content.Outlook\5GZG4HIL\Chart_7.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000" cy="3682912"/>
                    </a:xfrm>
                    <a:prstGeom prst="rect">
                      <a:avLst/>
                    </a:prstGeom>
                    <a:noFill/>
                    <a:ln>
                      <a:noFill/>
                    </a:ln>
                  </pic:spPr>
                </pic:pic>
              </a:graphicData>
            </a:graphic>
          </wp:inline>
        </w:drawing>
      </w:r>
    </w:p>
    <w:p w:rsidR="00A86092" w:rsidRPr="00596D01" w:rsidRDefault="00A86092" w:rsidP="00A4014C">
      <w:pPr>
        <w:pStyle w:val="ChartTitle"/>
      </w:pPr>
      <w:bookmarkStart w:id="546" w:name="_Ref524428416"/>
      <w:r w:rsidRPr="00596D01">
        <w:t xml:space="preserve">EBITDA per </w:t>
      </w:r>
      <w:r w:rsidR="00114B6E" w:rsidRPr="00596D01">
        <w:t xml:space="preserve">consumer per annum, </w:t>
      </w:r>
      <w:r w:rsidRPr="00596D01">
        <w:t xml:space="preserve">by </w:t>
      </w:r>
      <w:r w:rsidR="00F96F81" w:rsidRPr="00596D01">
        <w:t>provider scale</w:t>
      </w:r>
      <w:r w:rsidR="003E501A" w:rsidRPr="00596D01">
        <w:t>,</w:t>
      </w:r>
      <w:r w:rsidR="00A261F3" w:rsidRPr="00596D01">
        <w:t> 201</w:t>
      </w:r>
      <w:r w:rsidR="00425371" w:rsidRPr="00596D01">
        <w:t>4</w:t>
      </w:r>
      <w:r w:rsidR="00D8721E" w:rsidRPr="00596D01">
        <w:t>–1</w:t>
      </w:r>
      <w:r w:rsidR="00425371" w:rsidRPr="00596D01">
        <w:t>5</w:t>
      </w:r>
      <w:r w:rsidR="009962A4" w:rsidRPr="00596D01">
        <w:t> </w:t>
      </w:r>
      <w:r w:rsidR="00425371" w:rsidRPr="00596D01">
        <w:t>to</w:t>
      </w:r>
      <w:r w:rsidR="00A261F3" w:rsidRPr="00596D01">
        <w:t> 201</w:t>
      </w:r>
      <w:r w:rsidR="00425371" w:rsidRPr="00596D01">
        <w:t>6</w:t>
      </w:r>
      <w:r w:rsidR="00D8721E" w:rsidRPr="00596D01">
        <w:t>–1</w:t>
      </w:r>
      <w:r w:rsidR="00425371" w:rsidRPr="00596D01">
        <w:t>7</w:t>
      </w:r>
      <w:bookmarkEnd w:id="546"/>
    </w:p>
    <w:p w:rsidR="00D8721E" w:rsidRPr="00596D01" w:rsidRDefault="001E0E2D" w:rsidP="00A4014C">
      <w:r w:rsidRPr="00596D01">
        <w:rPr>
          <w:noProof/>
        </w:rPr>
        <w:drawing>
          <wp:inline distT="0" distB="0" distL="0" distR="0" wp14:anchorId="59FAD516" wp14:editId="06CD9D2A">
            <wp:extent cx="6120000" cy="2810814"/>
            <wp:effectExtent l="0" t="0" r="0" b="8890"/>
            <wp:docPr id="261" name="Picture 261" descr="Chart 7.8 EBITDA per consumer per annum, by provider scale, 2014–15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cb0036\AppData\Local\Microsoft\Windows\Temporary Internet Files\Content.Outlook\K223129F\Chart_7.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000" cy="2810814"/>
                    </a:xfrm>
                    <a:prstGeom prst="rect">
                      <a:avLst/>
                    </a:prstGeom>
                    <a:noFill/>
                    <a:ln>
                      <a:noFill/>
                    </a:ln>
                  </pic:spPr>
                </pic:pic>
              </a:graphicData>
            </a:graphic>
          </wp:inline>
        </w:drawing>
      </w:r>
    </w:p>
    <w:p w:rsidR="00D61EAA" w:rsidRPr="00596D01" w:rsidRDefault="00A62D9D" w:rsidP="00A4014C">
      <w:pPr>
        <w:pStyle w:val="Heading3Numbered"/>
      </w:pPr>
      <w:bookmarkStart w:id="547" w:name="_Toc487702589"/>
      <w:bookmarkStart w:id="548" w:name="_Toc487702941"/>
      <w:bookmarkStart w:id="549" w:name="_Toc487703439"/>
      <w:bookmarkStart w:id="550" w:name="_Toc487703633"/>
      <w:bookmarkStart w:id="551" w:name="_Toc524424764"/>
      <w:r w:rsidRPr="00596D01">
        <w:t>Financial performance analysis</w:t>
      </w:r>
      <w:r w:rsidR="00A261F3" w:rsidRPr="00596D01">
        <w:t> 201</w:t>
      </w:r>
      <w:r w:rsidR="00E96EA8" w:rsidRPr="00596D01">
        <w:t>7</w:t>
      </w:r>
      <w:r w:rsidR="00D8721E" w:rsidRPr="00596D01">
        <w:t>–1</w:t>
      </w:r>
      <w:r w:rsidR="00E96EA8" w:rsidRPr="00596D01">
        <w:t>8</w:t>
      </w:r>
      <w:bookmarkEnd w:id="547"/>
      <w:bookmarkEnd w:id="548"/>
      <w:bookmarkEnd w:id="549"/>
      <w:bookmarkEnd w:id="550"/>
      <w:bookmarkEnd w:id="551"/>
    </w:p>
    <w:p w:rsidR="00120B42" w:rsidRDefault="00120B42" w:rsidP="00A4014C">
      <w:pPr>
        <w:rPr>
          <w:lang w:val="en-GB"/>
        </w:rPr>
      </w:pPr>
      <w:r>
        <w:rPr>
          <w:lang w:val="en-GB"/>
        </w:rPr>
        <w:t xml:space="preserve">The </w:t>
      </w:r>
      <w:r w:rsidRPr="007807A1">
        <w:rPr>
          <w:lang w:val="en-GB"/>
        </w:rPr>
        <w:t xml:space="preserve">major </w:t>
      </w:r>
      <w:r>
        <w:rPr>
          <w:lang w:val="en-GB"/>
        </w:rPr>
        <w:t xml:space="preserve">recent </w:t>
      </w:r>
      <w:r w:rsidRPr="007807A1">
        <w:rPr>
          <w:lang w:val="en-GB"/>
        </w:rPr>
        <w:t>reform</w:t>
      </w:r>
      <w:r>
        <w:rPr>
          <w:lang w:val="en-GB"/>
        </w:rPr>
        <w:t xml:space="preserve"> </w:t>
      </w:r>
      <w:r w:rsidRPr="007807A1">
        <w:rPr>
          <w:lang w:val="en-GB"/>
        </w:rPr>
        <w:t xml:space="preserve">in the home care sector, the introduction of </w:t>
      </w:r>
      <w:r>
        <w:rPr>
          <w:lang w:val="en-GB"/>
        </w:rPr>
        <w:t>packages following consumers</w:t>
      </w:r>
      <w:r w:rsidRPr="007807A1">
        <w:rPr>
          <w:lang w:val="en-GB"/>
        </w:rPr>
        <w:t xml:space="preserve">, </w:t>
      </w:r>
      <w:r>
        <w:rPr>
          <w:lang w:val="en-GB"/>
        </w:rPr>
        <w:t xml:space="preserve">only </w:t>
      </w:r>
      <w:r w:rsidRPr="007807A1">
        <w:rPr>
          <w:lang w:val="en-GB"/>
        </w:rPr>
        <w:t>took effect from February</w:t>
      </w:r>
      <w:r w:rsidR="00A261F3">
        <w:rPr>
          <w:lang w:val="en-GB"/>
        </w:rPr>
        <w:t> 201</w:t>
      </w:r>
      <w:r w:rsidRPr="007807A1">
        <w:rPr>
          <w:lang w:val="en-GB"/>
        </w:rPr>
        <w:t>7</w:t>
      </w:r>
      <w:r>
        <w:rPr>
          <w:lang w:val="en-GB"/>
        </w:rPr>
        <w:t xml:space="preserve">. </w:t>
      </w:r>
      <w:proofErr w:type="gramStart"/>
      <w:r>
        <w:rPr>
          <w:lang w:val="en-GB"/>
        </w:rPr>
        <w:t>C</w:t>
      </w:r>
      <w:r w:rsidRPr="007807A1">
        <w:rPr>
          <w:lang w:val="en-GB"/>
        </w:rPr>
        <w:t>onsequently</w:t>
      </w:r>
      <w:proofErr w:type="gramEnd"/>
      <w:r w:rsidRPr="007807A1">
        <w:rPr>
          <w:lang w:val="en-GB"/>
        </w:rPr>
        <w:t xml:space="preserve"> only the initial impact of the reform will be evident in the financial analysis in this chapter which is based on dat</w:t>
      </w:r>
      <w:r>
        <w:rPr>
          <w:lang w:val="en-GB"/>
        </w:rPr>
        <w:t>a for the</w:t>
      </w:r>
      <w:r w:rsidR="00A261F3">
        <w:rPr>
          <w:lang w:val="en-GB"/>
        </w:rPr>
        <w:t> 201</w:t>
      </w:r>
      <w:r>
        <w:rPr>
          <w:lang w:val="en-GB"/>
        </w:rPr>
        <w:t>6</w:t>
      </w:r>
      <w:r w:rsidR="00D8721E">
        <w:rPr>
          <w:lang w:val="en-GB"/>
        </w:rPr>
        <w:t>–1</w:t>
      </w:r>
      <w:r>
        <w:rPr>
          <w:lang w:val="en-GB"/>
        </w:rPr>
        <w:t>7 financial year</w:t>
      </w:r>
      <w:r w:rsidRPr="007807A1">
        <w:rPr>
          <w:lang w:val="en-GB"/>
        </w:rPr>
        <w:t>.</w:t>
      </w:r>
    </w:p>
    <w:p w:rsidR="00D8721E" w:rsidRDefault="00120B42" w:rsidP="00A4014C">
      <w:pPr>
        <w:rPr>
          <w:lang w:val="en-GB"/>
        </w:rPr>
      </w:pPr>
      <w:r w:rsidRPr="007807A1">
        <w:rPr>
          <w:lang w:val="en-GB"/>
        </w:rPr>
        <w:lastRenderedPageBreak/>
        <w:t>Given that the majority of the financial analysis in this report is based on</w:t>
      </w:r>
      <w:r w:rsidR="00A261F3">
        <w:rPr>
          <w:lang w:val="en-GB"/>
        </w:rPr>
        <w:t> 201</w:t>
      </w:r>
      <w:r w:rsidRPr="007807A1">
        <w:rPr>
          <w:lang w:val="en-GB"/>
        </w:rPr>
        <w:t>6</w:t>
      </w:r>
      <w:r w:rsidR="00D8721E">
        <w:rPr>
          <w:lang w:val="en-GB"/>
        </w:rPr>
        <w:t>–1</w:t>
      </w:r>
      <w:r w:rsidRPr="007807A1">
        <w:rPr>
          <w:lang w:val="en-GB"/>
        </w:rPr>
        <w:t xml:space="preserve">7 data, ACFA has reviewed </w:t>
      </w:r>
      <w:proofErr w:type="spellStart"/>
      <w:r w:rsidRPr="007807A1">
        <w:rPr>
          <w:lang w:val="en-GB"/>
        </w:rPr>
        <w:t>StewartBrown’s</w:t>
      </w:r>
      <w:proofErr w:type="spellEnd"/>
      <w:r w:rsidRPr="007807A1">
        <w:rPr>
          <w:lang w:val="en-GB"/>
        </w:rPr>
        <w:t xml:space="preserve"> more recent Aged Care Financial Performance Surveys</w:t>
      </w:r>
      <w:r w:rsidR="005E3337">
        <w:rPr>
          <w:rStyle w:val="FootnoteReference"/>
          <w:rFonts w:cs="Segoe UI"/>
          <w:color w:val="313131"/>
          <w:lang w:val="en-GB"/>
        </w:rPr>
        <w:footnoteReference w:id="35"/>
      </w:r>
      <w:r w:rsidR="005E3337" w:rsidRPr="007807A1">
        <w:rPr>
          <w:lang w:val="en-GB"/>
        </w:rPr>
        <w:t xml:space="preserve"> </w:t>
      </w:r>
      <w:r w:rsidRPr="007807A1">
        <w:rPr>
          <w:lang w:val="en-GB"/>
        </w:rPr>
        <w:t>to gain an insight as to developments in the home care sector in</w:t>
      </w:r>
      <w:r w:rsidR="00A261F3">
        <w:rPr>
          <w:lang w:val="en-GB"/>
        </w:rPr>
        <w:t> 201</w:t>
      </w:r>
      <w:r w:rsidRPr="007807A1">
        <w:rPr>
          <w:lang w:val="en-GB"/>
        </w:rPr>
        <w:t>7</w:t>
      </w:r>
      <w:r w:rsidR="00D8721E">
        <w:rPr>
          <w:lang w:val="en-GB"/>
        </w:rPr>
        <w:t>–1</w:t>
      </w:r>
      <w:r w:rsidRPr="007807A1">
        <w:rPr>
          <w:lang w:val="en-GB"/>
        </w:rPr>
        <w:t>8, a period when the impact of the more recent reforms to the sector are likely to be more evident. It is not possible, however, to directly compare results presented for</w:t>
      </w:r>
      <w:r w:rsidR="00A261F3">
        <w:rPr>
          <w:lang w:val="en-GB"/>
        </w:rPr>
        <w:t> 201</w:t>
      </w:r>
      <w:r w:rsidRPr="007807A1">
        <w:rPr>
          <w:lang w:val="en-GB"/>
        </w:rPr>
        <w:t>6</w:t>
      </w:r>
      <w:r w:rsidR="00D8721E">
        <w:rPr>
          <w:lang w:val="en-GB"/>
        </w:rPr>
        <w:t>–1</w:t>
      </w:r>
      <w:r w:rsidRPr="007807A1">
        <w:rPr>
          <w:lang w:val="en-GB"/>
        </w:rPr>
        <w:t xml:space="preserve">7 in this report with the results from the </w:t>
      </w:r>
      <w:proofErr w:type="spellStart"/>
      <w:r w:rsidRPr="007807A1">
        <w:rPr>
          <w:lang w:val="en-GB"/>
        </w:rPr>
        <w:t>Stew</w:t>
      </w:r>
      <w:r>
        <w:rPr>
          <w:lang w:val="en-GB"/>
        </w:rPr>
        <w:t>ar</w:t>
      </w:r>
      <w:r w:rsidRPr="007807A1">
        <w:rPr>
          <w:lang w:val="en-GB"/>
        </w:rPr>
        <w:t>tBrown</w:t>
      </w:r>
      <w:proofErr w:type="spellEnd"/>
      <w:r w:rsidRPr="007807A1">
        <w:rPr>
          <w:lang w:val="en-GB"/>
        </w:rPr>
        <w:t xml:space="preserve"> survey for the nine months to March</w:t>
      </w:r>
      <w:r w:rsidR="00A261F3">
        <w:rPr>
          <w:lang w:val="en-GB"/>
        </w:rPr>
        <w:t> 201</w:t>
      </w:r>
      <w:r w:rsidRPr="007807A1">
        <w:rPr>
          <w:lang w:val="en-GB"/>
        </w:rPr>
        <w:t xml:space="preserve">8 given collection methods and coverage vary considerably. Nevertheless, the </w:t>
      </w:r>
      <w:proofErr w:type="spellStart"/>
      <w:r w:rsidRPr="007807A1">
        <w:rPr>
          <w:lang w:val="en-GB"/>
        </w:rPr>
        <w:t>StewartBrown</w:t>
      </w:r>
      <w:proofErr w:type="spellEnd"/>
      <w:r w:rsidRPr="007807A1">
        <w:rPr>
          <w:lang w:val="en-GB"/>
        </w:rPr>
        <w:t xml:space="preserve"> surveys are likely to broadly reflect the developments in the sector as a whole</w:t>
      </w:r>
      <w:r w:rsidR="00D8721E">
        <w:rPr>
          <w:lang w:val="en-GB"/>
        </w:rPr>
        <w:t>.</w:t>
      </w:r>
    </w:p>
    <w:p w:rsidR="00D8721E" w:rsidRDefault="00120B42" w:rsidP="00A4014C">
      <w:pPr>
        <w:rPr>
          <w:lang w:val="en-GB"/>
        </w:rPr>
      </w:pPr>
      <w:r w:rsidRPr="007807A1">
        <w:rPr>
          <w:lang w:val="en-GB"/>
        </w:rPr>
        <w:t xml:space="preserve">The </w:t>
      </w:r>
      <w:proofErr w:type="spellStart"/>
      <w:r w:rsidRPr="007807A1">
        <w:rPr>
          <w:lang w:val="en-GB"/>
        </w:rPr>
        <w:t>StewartBrown</w:t>
      </w:r>
      <w:proofErr w:type="spellEnd"/>
      <w:r w:rsidRPr="007807A1">
        <w:rPr>
          <w:lang w:val="en-GB"/>
        </w:rPr>
        <w:t xml:space="preserve"> survey indicates that for the nine months to March</w:t>
      </w:r>
      <w:r w:rsidR="00A261F3">
        <w:rPr>
          <w:lang w:val="en-GB"/>
        </w:rPr>
        <w:t> 201</w:t>
      </w:r>
      <w:r w:rsidRPr="007807A1">
        <w:rPr>
          <w:lang w:val="en-GB"/>
        </w:rPr>
        <w:t>8, average revenue per client day declined by 2.5</w:t>
      </w:r>
      <w:r w:rsidR="00A261F3">
        <w:rPr>
          <w:lang w:val="en-GB"/>
        </w:rPr>
        <w:t> per cent</w:t>
      </w:r>
      <w:r w:rsidRPr="007807A1">
        <w:rPr>
          <w:lang w:val="en-GB"/>
        </w:rPr>
        <w:t xml:space="preserve"> ($1.87 per client per day) </w:t>
      </w:r>
      <w:r w:rsidR="007B6E3F">
        <w:rPr>
          <w:lang w:val="en-GB"/>
        </w:rPr>
        <w:t>compared with l</w:t>
      </w:r>
      <w:r w:rsidRPr="007807A1">
        <w:rPr>
          <w:lang w:val="en-GB"/>
        </w:rPr>
        <w:t>evels achieved for the 12</w:t>
      </w:r>
      <w:r>
        <w:rPr>
          <w:lang w:val="en-GB"/>
        </w:rPr>
        <w:t> </w:t>
      </w:r>
      <w:r w:rsidRPr="007807A1">
        <w:rPr>
          <w:lang w:val="en-GB"/>
        </w:rPr>
        <w:t xml:space="preserve">months to </w:t>
      </w:r>
      <w:r w:rsidR="00A261F3">
        <w:rPr>
          <w:lang w:val="en-GB"/>
        </w:rPr>
        <w:t>30 J</w:t>
      </w:r>
      <w:r w:rsidRPr="007807A1">
        <w:rPr>
          <w:lang w:val="en-GB"/>
        </w:rPr>
        <w:t>une</w:t>
      </w:r>
      <w:r w:rsidR="00A261F3">
        <w:rPr>
          <w:lang w:val="en-GB"/>
        </w:rPr>
        <w:t> 201</w:t>
      </w:r>
      <w:r w:rsidRPr="007807A1">
        <w:rPr>
          <w:lang w:val="en-GB"/>
        </w:rPr>
        <w:t xml:space="preserve">7. </w:t>
      </w:r>
      <w:proofErr w:type="spellStart"/>
      <w:r w:rsidRPr="007807A1">
        <w:rPr>
          <w:lang w:val="en-GB"/>
        </w:rPr>
        <w:t>StewartBrown</w:t>
      </w:r>
      <w:proofErr w:type="spellEnd"/>
      <w:r w:rsidRPr="007807A1">
        <w:rPr>
          <w:lang w:val="en-GB"/>
        </w:rPr>
        <w:t xml:space="preserve"> ha</w:t>
      </w:r>
      <w:r>
        <w:rPr>
          <w:lang w:val="en-GB"/>
        </w:rPr>
        <w:t xml:space="preserve">s suggested </w:t>
      </w:r>
      <w:r w:rsidRPr="007807A1">
        <w:rPr>
          <w:lang w:val="en-GB"/>
        </w:rPr>
        <w:t xml:space="preserve">that this reduction has been driven by increased </w:t>
      </w:r>
      <w:r>
        <w:rPr>
          <w:lang w:val="en-GB"/>
        </w:rPr>
        <w:t xml:space="preserve">price </w:t>
      </w:r>
      <w:r w:rsidRPr="007807A1">
        <w:rPr>
          <w:lang w:val="en-GB"/>
        </w:rPr>
        <w:t>c</w:t>
      </w:r>
      <w:r w:rsidRPr="00DD0189">
        <w:rPr>
          <w:lang w:val="en-GB"/>
        </w:rPr>
        <w:t xml:space="preserve">ompetition as providers compete for business. ACFA notes that consumers will benefit from price competition and </w:t>
      </w:r>
      <w:r w:rsidR="007B6E3F">
        <w:rPr>
          <w:lang w:val="en-GB"/>
        </w:rPr>
        <w:t xml:space="preserve">that </w:t>
      </w:r>
      <w:r w:rsidRPr="00DD0189">
        <w:rPr>
          <w:lang w:val="en-GB"/>
        </w:rPr>
        <w:t>some disruption was to be expected following the introduction of consumer choice of provider until the sector and individual providers adjusted to the new competitive operating environment. A</w:t>
      </w:r>
      <w:r w:rsidR="00DD0189" w:rsidRPr="00DD0189">
        <w:rPr>
          <w:lang w:val="en-GB"/>
        </w:rPr>
        <w:t xml:space="preserve">mong the </w:t>
      </w:r>
      <w:r w:rsidRPr="00DD0189">
        <w:rPr>
          <w:lang w:val="en-GB"/>
        </w:rPr>
        <w:t>issue</w:t>
      </w:r>
      <w:r w:rsidR="00DD0189" w:rsidRPr="00DD0189">
        <w:rPr>
          <w:lang w:val="en-GB"/>
        </w:rPr>
        <w:t>s</w:t>
      </w:r>
      <w:r w:rsidRPr="00DD0189">
        <w:rPr>
          <w:lang w:val="en-GB"/>
        </w:rPr>
        <w:t xml:space="preserve"> to consider, especially during the transition, </w:t>
      </w:r>
      <w:r w:rsidR="00DD0189" w:rsidRPr="00DD0189">
        <w:rPr>
          <w:lang w:val="en-GB"/>
        </w:rPr>
        <w:t>is</w:t>
      </w:r>
      <w:r w:rsidRPr="00DD0189">
        <w:rPr>
          <w:lang w:val="en-GB"/>
        </w:rPr>
        <w:t xml:space="preserve"> the impact on the quality of care and services</w:t>
      </w:r>
      <w:r w:rsidR="00D8721E">
        <w:rPr>
          <w:lang w:val="en-GB"/>
        </w:rPr>
        <w:t>.</w:t>
      </w:r>
    </w:p>
    <w:p w:rsidR="00D8721E" w:rsidRDefault="00120B42" w:rsidP="00A4014C">
      <w:pPr>
        <w:rPr>
          <w:lang w:val="en-GB"/>
        </w:rPr>
      </w:pPr>
      <w:r w:rsidRPr="007807A1">
        <w:rPr>
          <w:lang w:val="en-GB"/>
        </w:rPr>
        <w:t xml:space="preserve">In terms of overall financial performance, the </w:t>
      </w:r>
      <w:proofErr w:type="spellStart"/>
      <w:r w:rsidRPr="007807A1">
        <w:rPr>
          <w:lang w:val="en-GB"/>
        </w:rPr>
        <w:t>StewartBrown</w:t>
      </w:r>
      <w:proofErr w:type="spellEnd"/>
      <w:r w:rsidRPr="007807A1">
        <w:rPr>
          <w:lang w:val="en-GB"/>
        </w:rPr>
        <w:t xml:space="preserve"> survey indicates that Earnings Before Tax (EBT) per client per day in the home care sector declined from an average for all providers of $5.37 for the 12 months to June</w:t>
      </w:r>
      <w:r w:rsidR="00A261F3">
        <w:rPr>
          <w:lang w:val="en-GB"/>
        </w:rPr>
        <w:t> 201</w:t>
      </w:r>
      <w:r w:rsidRPr="007807A1">
        <w:rPr>
          <w:lang w:val="en-GB"/>
        </w:rPr>
        <w:t>7 to $4.39 for the nine months to March</w:t>
      </w:r>
      <w:r w:rsidR="00A261F3">
        <w:rPr>
          <w:lang w:val="en-GB"/>
        </w:rPr>
        <w:t> 201</w:t>
      </w:r>
      <w:r w:rsidRPr="007807A1">
        <w:rPr>
          <w:lang w:val="en-GB"/>
        </w:rPr>
        <w:t>8</w:t>
      </w:r>
      <w:r w:rsidR="00D8721E">
        <w:rPr>
          <w:lang w:val="en-GB"/>
        </w:rPr>
        <w:t>.</w:t>
      </w:r>
    </w:p>
    <w:p w:rsidR="001070A9" w:rsidRPr="00596D01" w:rsidRDefault="001070A9" w:rsidP="00A4014C">
      <w:pPr>
        <w:pStyle w:val="Heading3Numbered"/>
      </w:pPr>
      <w:bookmarkStart w:id="552" w:name="_Toc524424765"/>
      <w:r w:rsidRPr="00596D01">
        <w:t>Unspent funds</w:t>
      </w:r>
      <w:bookmarkEnd w:id="552"/>
    </w:p>
    <w:p w:rsidR="00D8721E" w:rsidRDefault="00120B42" w:rsidP="00A4014C">
      <w:pPr>
        <w:rPr>
          <w:lang w:val="en-GB"/>
        </w:rPr>
      </w:pPr>
      <w:bookmarkStart w:id="553" w:name="_Toc421881577"/>
      <w:bookmarkStart w:id="554" w:name="_Toc423338755"/>
      <w:bookmarkStart w:id="555" w:name="_Toc424289329"/>
      <w:bookmarkStart w:id="556" w:name="_Toc426120768"/>
      <w:bookmarkStart w:id="557" w:name="_Toc450735067"/>
      <w:bookmarkStart w:id="558" w:name="_Toc457549911"/>
      <w:bookmarkStart w:id="559" w:name="_Toc487702590"/>
      <w:bookmarkStart w:id="560" w:name="_Toc487702942"/>
      <w:bookmarkStart w:id="561" w:name="_Toc487703440"/>
      <w:bookmarkStart w:id="562" w:name="_Toc487703634"/>
      <w:r w:rsidRPr="00A669E4">
        <w:rPr>
          <w:lang w:val="en-GB"/>
        </w:rPr>
        <w:t xml:space="preserve">In last year’s report, ACFA </w:t>
      </w:r>
      <w:r>
        <w:rPr>
          <w:lang w:val="en-GB"/>
        </w:rPr>
        <w:t xml:space="preserve">identified </w:t>
      </w:r>
      <w:r w:rsidRPr="00A669E4">
        <w:rPr>
          <w:lang w:val="en-GB"/>
        </w:rPr>
        <w:t xml:space="preserve">the significant amount of unspent </w:t>
      </w:r>
      <w:r>
        <w:rPr>
          <w:lang w:val="en-GB"/>
        </w:rPr>
        <w:t xml:space="preserve">package </w:t>
      </w:r>
      <w:r w:rsidRPr="00A669E4">
        <w:rPr>
          <w:lang w:val="en-GB"/>
        </w:rPr>
        <w:t>funds held by providers on behalf of consumers.</w:t>
      </w:r>
      <w:r>
        <w:rPr>
          <w:lang w:val="en-GB"/>
        </w:rPr>
        <w:t> </w:t>
      </w:r>
      <w:r w:rsidRPr="00A669E4">
        <w:rPr>
          <w:lang w:val="en-GB"/>
        </w:rPr>
        <w:t xml:space="preserve">At </w:t>
      </w:r>
      <w:r w:rsidR="00A261F3">
        <w:rPr>
          <w:lang w:val="en-GB"/>
        </w:rPr>
        <w:t>30 J</w:t>
      </w:r>
      <w:r w:rsidRPr="00A669E4">
        <w:rPr>
          <w:lang w:val="en-GB"/>
        </w:rPr>
        <w:t>une</w:t>
      </w:r>
      <w:r w:rsidR="00A261F3">
        <w:rPr>
          <w:lang w:val="en-GB"/>
        </w:rPr>
        <w:t> 201</w:t>
      </w:r>
      <w:r w:rsidRPr="00A669E4">
        <w:rPr>
          <w:lang w:val="en-GB"/>
        </w:rPr>
        <w:t>7</w:t>
      </w:r>
      <w:r>
        <w:rPr>
          <w:lang w:val="en-GB"/>
        </w:rPr>
        <w:t>,</w:t>
      </w:r>
      <w:r w:rsidRPr="00A669E4">
        <w:rPr>
          <w:lang w:val="en-GB"/>
        </w:rPr>
        <w:t xml:space="preserve"> those providers who submitted their financial reports to the Department reported unspent </w:t>
      </w:r>
      <w:r>
        <w:rPr>
          <w:lang w:val="en-GB"/>
        </w:rPr>
        <w:t>funds of around $32</w:t>
      </w:r>
      <w:r w:rsidR="00B97D56">
        <w:rPr>
          <w:lang w:val="en-GB"/>
        </w:rPr>
        <w:t>9</w:t>
      </w:r>
      <w:r w:rsidR="00A261F3">
        <w:rPr>
          <w:lang w:val="en-GB"/>
        </w:rPr>
        <w:t> million</w:t>
      </w:r>
      <w:r>
        <w:rPr>
          <w:lang w:val="en-GB"/>
        </w:rPr>
        <w:t xml:space="preserve">. </w:t>
      </w:r>
      <w:r w:rsidRPr="00A669E4">
        <w:rPr>
          <w:lang w:val="en-GB"/>
        </w:rPr>
        <w:t xml:space="preserve">This equates to holding average unspent funds per consumer of $4,613 at </w:t>
      </w:r>
      <w:r w:rsidR="00A261F3">
        <w:rPr>
          <w:lang w:val="en-GB"/>
        </w:rPr>
        <w:t>30 J</w:t>
      </w:r>
      <w:r w:rsidRPr="00A669E4">
        <w:rPr>
          <w:lang w:val="en-GB"/>
        </w:rPr>
        <w:t>une</w:t>
      </w:r>
      <w:r w:rsidR="00A261F3">
        <w:rPr>
          <w:lang w:val="en-GB"/>
        </w:rPr>
        <w:t> 201</w:t>
      </w:r>
      <w:r w:rsidRPr="00A669E4">
        <w:rPr>
          <w:lang w:val="en-GB"/>
        </w:rPr>
        <w:t>7, an increase of $946 (26</w:t>
      </w:r>
      <w:r w:rsidR="00A261F3">
        <w:rPr>
          <w:lang w:val="en-GB"/>
        </w:rPr>
        <w:t> per cent</w:t>
      </w:r>
      <w:r w:rsidRPr="00A669E4">
        <w:rPr>
          <w:lang w:val="en-GB"/>
        </w:rPr>
        <w:t>) from the unspent funds balance of $3,667</w:t>
      </w:r>
      <w:r w:rsidR="00487A23">
        <w:rPr>
          <w:lang w:val="en-GB"/>
        </w:rPr>
        <w:t xml:space="preserve"> per consumer,</w:t>
      </w:r>
      <w:r w:rsidRPr="00A669E4">
        <w:rPr>
          <w:lang w:val="en-GB"/>
        </w:rPr>
        <w:t xml:space="preserve"> at </w:t>
      </w:r>
      <w:r w:rsidR="00A261F3">
        <w:rPr>
          <w:lang w:val="en-GB"/>
        </w:rPr>
        <w:t>30 J</w:t>
      </w:r>
      <w:r w:rsidRPr="00A669E4">
        <w:rPr>
          <w:lang w:val="en-GB"/>
        </w:rPr>
        <w:t>une</w:t>
      </w:r>
      <w:r w:rsidR="00A261F3">
        <w:rPr>
          <w:lang w:val="en-GB"/>
        </w:rPr>
        <w:t> 201</w:t>
      </w:r>
      <w:r w:rsidRPr="00A669E4">
        <w:rPr>
          <w:lang w:val="en-GB"/>
        </w:rPr>
        <w:t>6</w:t>
      </w:r>
      <w:r w:rsidR="00D8721E">
        <w:rPr>
          <w:lang w:val="en-GB"/>
        </w:rPr>
        <w:t>.</w:t>
      </w:r>
    </w:p>
    <w:p w:rsidR="00D8721E" w:rsidRDefault="00120B42" w:rsidP="00A4014C">
      <w:pPr>
        <w:rPr>
          <w:lang w:val="en-GB"/>
        </w:rPr>
      </w:pPr>
      <w:r w:rsidRPr="00DD0189">
        <w:rPr>
          <w:lang w:val="en-GB"/>
        </w:rPr>
        <w:t>If current consumer behaviour continues, and there is no indication that it will change, the level of unspent package funds will increase substantially to well over $</w:t>
      </w:r>
      <w:r w:rsidR="00DD0189" w:rsidRPr="00DD0189">
        <w:rPr>
          <w:lang w:val="en-GB"/>
        </w:rPr>
        <w:t>50</w:t>
      </w:r>
      <w:r w:rsidR="00AB6911">
        <w:rPr>
          <w:lang w:val="en-GB"/>
        </w:rPr>
        <w:t>0</w:t>
      </w:r>
      <w:r w:rsidR="00A261F3">
        <w:rPr>
          <w:lang w:val="en-GB"/>
        </w:rPr>
        <w:t> million</w:t>
      </w:r>
      <w:r w:rsidRPr="00DD0189">
        <w:rPr>
          <w:lang w:val="en-GB"/>
        </w:rPr>
        <w:t xml:space="preserve"> over the next few years</w:t>
      </w:r>
      <w:r w:rsidR="00DD0189" w:rsidRPr="00DD0189">
        <w:rPr>
          <w:lang w:val="en-GB"/>
        </w:rPr>
        <w:t>,</w:t>
      </w:r>
      <w:r w:rsidRPr="00DD0189">
        <w:rPr>
          <w:lang w:val="en-GB"/>
        </w:rPr>
        <w:t xml:space="preserve"> as the number of packages is expanded and a much larger proportion </w:t>
      </w:r>
      <w:r w:rsidR="00DD0189" w:rsidRPr="00DD0189">
        <w:rPr>
          <w:lang w:val="en-GB"/>
        </w:rPr>
        <w:t>is at</w:t>
      </w:r>
      <w:r w:rsidRPr="00DD0189">
        <w:rPr>
          <w:lang w:val="en-GB"/>
        </w:rPr>
        <w:t xml:space="preserve"> the higher levels</w:t>
      </w:r>
      <w:r w:rsidR="00D8721E">
        <w:rPr>
          <w:lang w:val="en-GB"/>
        </w:rPr>
        <w:t>.</w:t>
      </w:r>
    </w:p>
    <w:p w:rsidR="00120B42" w:rsidRDefault="00120B42" w:rsidP="00A4014C">
      <w:pPr>
        <w:rPr>
          <w:lang w:val="en-GB"/>
        </w:rPr>
      </w:pPr>
      <w:r w:rsidRPr="00BA16F9">
        <w:rPr>
          <w:lang w:val="en-GB"/>
        </w:rPr>
        <w:t>This level of unspent funds represents a large amount of funds</w:t>
      </w:r>
      <w:r w:rsidR="00154957">
        <w:rPr>
          <w:lang w:val="en-GB"/>
        </w:rPr>
        <w:t xml:space="preserve"> not being used for care services</w:t>
      </w:r>
      <w:r w:rsidR="00BC086B" w:rsidRPr="00BA16F9">
        <w:rPr>
          <w:lang w:val="en-GB"/>
        </w:rPr>
        <w:t xml:space="preserve">. </w:t>
      </w:r>
      <w:r w:rsidR="005855FF" w:rsidRPr="005855FF">
        <w:rPr>
          <w:lang w:val="en-GB"/>
        </w:rPr>
        <w:t>Unspent may accumulate as a result of consumer choice to save a proportion of their budget for future events, or because the consumer does not require all the funds allocated to them. In the latter case, the funds could be used more effectively elsewhere, including unmet demand</w:t>
      </w:r>
      <w:r w:rsidR="00BC086B" w:rsidRPr="00BA16F9">
        <w:rPr>
          <w:lang w:val="en-GB"/>
        </w:rPr>
        <w:t xml:space="preserve">. </w:t>
      </w:r>
      <w:r w:rsidR="005855FF" w:rsidRPr="005855FF">
        <w:rPr>
          <w:lang w:val="en-GB"/>
        </w:rPr>
        <w:t xml:space="preserve">There are also prudential issues because the unspent funds held by providers need to be available should the consumer transfer to another provider or, if they leave home care, in which case the funds have to be returned to the Government and the consumer in proportion to their contribution. </w:t>
      </w:r>
      <w:r w:rsidR="007357F9">
        <w:rPr>
          <w:lang w:val="en-GB"/>
        </w:rPr>
        <w:t>P</w:t>
      </w:r>
      <w:r w:rsidRPr="00BA16F9">
        <w:rPr>
          <w:lang w:val="en-GB"/>
        </w:rPr>
        <w:t>roviders</w:t>
      </w:r>
      <w:r w:rsidR="00BA16F9" w:rsidRPr="00BA16F9">
        <w:rPr>
          <w:lang w:val="en-GB"/>
        </w:rPr>
        <w:t xml:space="preserve"> should hold</w:t>
      </w:r>
      <w:r w:rsidRPr="00BA16F9">
        <w:rPr>
          <w:lang w:val="en-GB"/>
        </w:rPr>
        <w:t xml:space="preserve"> unspent funds </w:t>
      </w:r>
      <w:r w:rsidR="007357F9">
        <w:rPr>
          <w:lang w:val="en-GB"/>
        </w:rPr>
        <w:t>securely</w:t>
      </w:r>
      <w:r w:rsidR="005D6D07">
        <w:rPr>
          <w:lang w:val="en-GB"/>
        </w:rPr>
        <w:t xml:space="preserve"> </w:t>
      </w:r>
      <w:r w:rsidR="00BA16F9" w:rsidRPr="00BA16F9">
        <w:rPr>
          <w:lang w:val="en-GB"/>
        </w:rPr>
        <w:t>for the consumer which may</w:t>
      </w:r>
      <w:r w:rsidRPr="00BA16F9">
        <w:rPr>
          <w:lang w:val="en-GB"/>
        </w:rPr>
        <w:t xml:space="preserve"> add to the administrative costs of managing and accounting for individual budgets.</w:t>
      </w:r>
    </w:p>
    <w:p w:rsidR="00D8721E" w:rsidRDefault="00120B42" w:rsidP="00A4014C">
      <w:pPr>
        <w:rPr>
          <w:lang w:val="en-GB"/>
        </w:rPr>
      </w:pPr>
      <w:r w:rsidRPr="00BA16F9">
        <w:rPr>
          <w:lang w:val="en-GB"/>
        </w:rPr>
        <w:t xml:space="preserve">ACFA considers that a review of policies concerning </w:t>
      </w:r>
      <w:r w:rsidR="002E1E7B">
        <w:rPr>
          <w:lang w:val="en-GB"/>
        </w:rPr>
        <w:t xml:space="preserve">unspent funds and the implications for </w:t>
      </w:r>
      <w:r w:rsidRPr="00BA16F9">
        <w:rPr>
          <w:lang w:val="en-GB"/>
        </w:rPr>
        <w:t>home care package funding is warranted</w:t>
      </w:r>
      <w:r w:rsidR="00D8721E">
        <w:rPr>
          <w:lang w:val="en-GB"/>
        </w:rPr>
        <w:t>.</w:t>
      </w:r>
    </w:p>
    <w:p w:rsidR="00E505F4" w:rsidRPr="00596D01" w:rsidRDefault="008F3E8B" w:rsidP="00A4014C">
      <w:pPr>
        <w:pStyle w:val="Heading2Numbered"/>
      </w:pPr>
      <w:bookmarkStart w:id="563" w:name="_Toc524424766"/>
      <w:r w:rsidRPr="00596D01">
        <w:t>Looking forward</w:t>
      </w:r>
      <w:bookmarkEnd w:id="553"/>
      <w:bookmarkEnd w:id="554"/>
      <w:bookmarkEnd w:id="555"/>
      <w:bookmarkEnd w:id="556"/>
      <w:bookmarkEnd w:id="557"/>
      <w:bookmarkEnd w:id="558"/>
      <w:bookmarkEnd w:id="559"/>
      <w:bookmarkEnd w:id="560"/>
      <w:bookmarkEnd w:id="561"/>
      <w:bookmarkEnd w:id="562"/>
      <w:bookmarkEnd w:id="563"/>
    </w:p>
    <w:p w:rsidR="00D8721E" w:rsidRDefault="00120B42" w:rsidP="00A4014C">
      <w:bookmarkStart w:id="564" w:name="_Residential_aged_care:"/>
      <w:bookmarkStart w:id="565" w:name="_Toc423602231"/>
      <w:bookmarkStart w:id="566" w:name="_Ref457548433"/>
      <w:bookmarkStart w:id="567" w:name="_Toc457549912"/>
      <w:bookmarkStart w:id="568" w:name="_Toc487702591"/>
      <w:bookmarkStart w:id="569" w:name="_Toc487702943"/>
      <w:bookmarkStart w:id="570" w:name="_Toc487703441"/>
      <w:bookmarkStart w:id="571" w:name="_Toc487703635"/>
      <w:bookmarkEnd w:id="401"/>
      <w:bookmarkEnd w:id="402"/>
      <w:bookmarkEnd w:id="564"/>
      <w:r w:rsidRPr="00601B61">
        <w:t xml:space="preserve">The home care sector is </w:t>
      </w:r>
      <w:r>
        <w:t xml:space="preserve">continuing to undergo </w:t>
      </w:r>
      <w:r w:rsidRPr="00601B61">
        <w:t xml:space="preserve">significant change to its operations with </w:t>
      </w:r>
      <w:r>
        <w:t>providers and consumers still adjusting to packages following the consumer</w:t>
      </w:r>
      <w:r w:rsidR="00D8721E">
        <w:t>.</w:t>
      </w:r>
    </w:p>
    <w:p w:rsidR="00120B42" w:rsidRDefault="00120B42" w:rsidP="00A4014C">
      <w:r>
        <w:t xml:space="preserve">These changes give </w:t>
      </w:r>
      <w:r w:rsidRPr="00601B61">
        <w:t xml:space="preserve">consumers greater control over their own lives by enabling them to make choices about the types of care and services they purchase and </w:t>
      </w:r>
      <w:r>
        <w:t xml:space="preserve">from whom they are purchased. However while these changes are a positive step for consumers in terms of greater choice and flexibility, </w:t>
      </w:r>
      <w:r w:rsidRPr="00BA16F9">
        <w:t>consumers need to be better supported in order to exercise informed choice. The</w:t>
      </w:r>
      <w:r w:rsidR="00A261F3">
        <w:t> 201</w:t>
      </w:r>
      <w:r w:rsidRPr="00BA16F9">
        <w:t>8</w:t>
      </w:r>
      <w:r w:rsidR="00D8721E">
        <w:t>–1</w:t>
      </w:r>
      <w:r w:rsidRPr="00BA16F9">
        <w:t xml:space="preserve">9 Budget responded to this need by providing funding for the development and piloting of system navigators to guide consumers. Additional funding was also provided to improve the accessibility and quality of information about services on </w:t>
      </w:r>
      <w:proofErr w:type="spellStart"/>
      <w:r w:rsidRPr="00BA16F9">
        <w:lastRenderedPageBreak/>
        <w:t>MyAgedCare</w:t>
      </w:r>
      <w:proofErr w:type="spellEnd"/>
      <w:r w:rsidRPr="00BA16F9">
        <w:t>. This includes consideration of options to improve the comparability of home care service prices.</w:t>
      </w:r>
    </w:p>
    <w:p w:rsidR="00F667DB" w:rsidRPr="00936325" w:rsidRDefault="00F667DB" w:rsidP="00A4014C">
      <w:pPr>
        <w:pStyle w:val="Heading1Numbered"/>
      </w:pPr>
      <w:bookmarkStart w:id="572" w:name="_Toc524424767"/>
      <w:r w:rsidRPr="00936325">
        <w:lastRenderedPageBreak/>
        <w:t xml:space="preserve">Residential aged care: </w:t>
      </w:r>
      <w:bookmarkEnd w:id="565"/>
      <w:bookmarkEnd w:id="566"/>
      <w:bookmarkEnd w:id="567"/>
      <w:r w:rsidR="00392834">
        <w:t>characteristics of the sector</w:t>
      </w:r>
      <w:bookmarkEnd w:id="568"/>
      <w:bookmarkEnd w:id="569"/>
      <w:bookmarkEnd w:id="570"/>
      <w:bookmarkEnd w:id="571"/>
      <w:bookmarkEnd w:id="572"/>
    </w:p>
    <w:p w:rsidR="00D8721E" w:rsidRPr="00596D01" w:rsidRDefault="007247A0" w:rsidP="00A4014C">
      <w:pPr>
        <w:pStyle w:val="Boxed1Heading"/>
      </w:pPr>
      <w:r w:rsidRPr="00596D01">
        <w:t>This chapter provides an overview of the operational characteristics of residential care providers and their services</w:t>
      </w:r>
      <w:r w:rsidR="00D8721E" w:rsidRPr="00596D01">
        <w:t>.</w:t>
      </w:r>
    </w:p>
    <w:p w:rsidR="00B10984" w:rsidRPr="00596D01" w:rsidRDefault="00070881" w:rsidP="00A4014C">
      <w:pPr>
        <w:pStyle w:val="Boxed1Text"/>
        <w:rPr>
          <w:rStyle w:val="Strong"/>
        </w:rPr>
      </w:pPr>
      <w:r w:rsidRPr="00596D01">
        <w:rPr>
          <w:rStyle w:val="Strong"/>
        </w:rPr>
        <w:t>This c</w:t>
      </w:r>
      <w:r w:rsidR="00B10984" w:rsidRPr="00596D01">
        <w:rPr>
          <w:rStyle w:val="Strong"/>
        </w:rPr>
        <w:t>hapter discusses:</w:t>
      </w:r>
    </w:p>
    <w:p w:rsidR="00AB0DAC" w:rsidRDefault="00AB0DAC" w:rsidP="00A4014C">
      <w:pPr>
        <w:pStyle w:val="Boxed1Bullet"/>
      </w:pPr>
      <w:r>
        <w:t>the ope</w:t>
      </w:r>
      <w:r w:rsidR="00515025">
        <w:t>ration of residential</w:t>
      </w:r>
      <w:r w:rsidR="00907556">
        <w:t xml:space="preserve"> care</w:t>
      </w:r>
    </w:p>
    <w:p w:rsidR="007247A0" w:rsidRPr="007247A0" w:rsidRDefault="007247A0" w:rsidP="00A4014C">
      <w:pPr>
        <w:pStyle w:val="Boxed1Bullet"/>
      </w:pPr>
      <w:r w:rsidRPr="007247A0">
        <w:t xml:space="preserve">the </w:t>
      </w:r>
      <w:r w:rsidR="00520573">
        <w:t xml:space="preserve">ownership, </w:t>
      </w:r>
      <w:r w:rsidRPr="007247A0">
        <w:t>locational</w:t>
      </w:r>
      <w:r w:rsidR="00520573">
        <w:t xml:space="preserve"> and scale</w:t>
      </w:r>
      <w:r w:rsidRPr="007247A0">
        <w:t xml:space="preserve"> characteristi</w:t>
      </w:r>
      <w:r w:rsidR="007D17F7">
        <w:t>cs of residential care providers</w:t>
      </w:r>
    </w:p>
    <w:p w:rsidR="00D8721E" w:rsidRDefault="00834890" w:rsidP="00A4014C">
      <w:pPr>
        <w:pStyle w:val="Boxed1Bullet"/>
      </w:pPr>
      <w:r>
        <w:t xml:space="preserve">the supply of </w:t>
      </w:r>
      <w:r w:rsidR="00515025">
        <w:t>residential</w:t>
      </w:r>
      <w:r w:rsidR="00907556">
        <w:t xml:space="preserve"> care</w:t>
      </w:r>
    </w:p>
    <w:p w:rsidR="00B10984" w:rsidRPr="00596D01" w:rsidRDefault="00070881" w:rsidP="00A4014C">
      <w:pPr>
        <w:pStyle w:val="Boxed1Text"/>
        <w:rPr>
          <w:rStyle w:val="Strong"/>
        </w:rPr>
      </w:pPr>
      <w:r w:rsidRPr="00596D01">
        <w:rPr>
          <w:rStyle w:val="Strong"/>
        </w:rPr>
        <w:t>This c</w:t>
      </w:r>
      <w:r w:rsidR="00B10984" w:rsidRPr="00596D01">
        <w:rPr>
          <w:rStyle w:val="Strong"/>
        </w:rPr>
        <w:t>hapter reports that:</w:t>
      </w:r>
    </w:p>
    <w:p w:rsidR="00AB0DAC" w:rsidRDefault="00841375" w:rsidP="00A4014C">
      <w:pPr>
        <w:pStyle w:val="Boxed1Bullet"/>
      </w:pPr>
      <w:r>
        <w:t xml:space="preserve">at </w:t>
      </w:r>
      <w:r w:rsidR="00A261F3">
        <w:t>30 J</w:t>
      </w:r>
      <w:r>
        <w:t>une</w:t>
      </w:r>
      <w:r w:rsidR="00A261F3">
        <w:t> 201</w:t>
      </w:r>
      <w:r w:rsidR="00C42E64" w:rsidRPr="00841375">
        <w:t>7</w:t>
      </w:r>
      <w:r w:rsidR="00AB0DAC" w:rsidRPr="00841375">
        <w:t xml:space="preserve"> there were</w:t>
      </w:r>
      <w:r w:rsidR="00A261F3">
        <w:t> 200</w:t>
      </w:r>
      <w:r w:rsidR="00C42E64" w:rsidRPr="00841375">
        <w:t>,689</w:t>
      </w:r>
      <w:r w:rsidR="00D235EE" w:rsidRPr="00841375">
        <w:t xml:space="preserve"> ope</w:t>
      </w:r>
      <w:r w:rsidR="00C42E64" w:rsidRPr="00841375">
        <w:t>rational places, up from 195,825</w:t>
      </w:r>
      <w:r w:rsidR="00D235EE">
        <w:t>;</w:t>
      </w:r>
    </w:p>
    <w:p w:rsidR="00C245F2" w:rsidRDefault="00841375" w:rsidP="00A4014C">
      <w:pPr>
        <w:pStyle w:val="Boxed1Bullet"/>
      </w:pPr>
      <w:r>
        <w:t>during</w:t>
      </w:r>
      <w:r w:rsidR="00A261F3">
        <w:t> 201</w:t>
      </w:r>
      <w:r>
        <w:t>6</w:t>
      </w:r>
      <w:r w:rsidR="00D8721E">
        <w:t>–1</w:t>
      </w:r>
      <w:r>
        <w:t xml:space="preserve">7 </w:t>
      </w:r>
      <w:r w:rsidR="00C245F2">
        <w:t>residential aged care</w:t>
      </w:r>
      <w:r w:rsidR="007D17F7">
        <w:t xml:space="preserve"> was </w:t>
      </w:r>
      <w:r w:rsidR="00C245F2">
        <w:t>provided to 234,931 older Australians</w:t>
      </w:r>
      <w:r w:rsidR="00704E89">
        <w:t xml:space="preserve">, </w:t>
      </w:r>
    </w:p>
    <w:p w:rsidR="00120B42" w:rsidRPr="00120B42" w:rsidRDefault="00AA4467" w:rsidP="00A4014C">
      <w:pPr>
        <w:pStyle w:val="Boxed1Bullet"/>
      </w:pPr>
      <w:r>
        <w:t xml:space="preserve">at </w:t>
      </w:r>
      <w:r w:rsidR="00A261F3">
        <w:t>30 J</w:t>
      </w:r>
      <w:r>
        <w:t>une</w:t>
      </w:r>
      <w:r w:rsidR="00A261F3">
        <w:t> 201</w:t>
      </w:r>
      <w:r>
        <w:t xml:space="preserve">7 </w:t>
      </w:r>
      <w:r w:rsidR="00120B42" w:rsidRPr="00120B42">
        <w:t>there were 902 providers, down from 949 in</w:t>
      </w:r>
      <w:r w:rsidR="00A261F3">
        <w:t> 201</w:t>
      </w:r>
      <w:r w:rsidR="00120B42" w:rsidRPr="00120B42">
        <w:t>5</w:t>
      </w:r>
      <w:r w:rsidR="00D8721E">
        <w:t>–1</w:t>
      </w:r>
      <w:r w:rsidR="00120B42" w:rsidRPr="00120B42">
        <w:t>6;</w:t>
      </w:r>
    </w:p>
    <w:p w:rsidR="00AB0DAC" w:rsidRDefault="00AB0DAC" w:rsidP="00A4014C">
      <w:pPr>
        <w:pStyle w:val="Boxed1Bullet"/>
      </w:pPr>
      <w:r>
        <w:t xml:space="preserve">the residential aged care sector is </w:t>
      </w:r>
      <w:r w:rsidR="00072EEF">
        <w:t>continuing to consolidate</w:t>
      </w:r>
      <w:r>
        <w:t xml:space="preserve"> with</w:t>
      </w:r>
      <w:r w:rsidR="003E501A">
        <w:t xml:space="preserve"> the number of residential </w:t>
      </w:r>
      <w:r>
        <w:t>care places increasing while the number of pro</w:t>
      </w:r>
      <w:r w:rsidR="004B5356">
        <w:t xml:space="preserve">viders continues to </w:t>
      </w:r>
      <w:r w:rsidR="00520573">
        <w:t xml:space="preserve">gradually </w:t>
      </w:r>
      <w:r w:rsidR="004B5356">
        <w:t>decrease;</w:t>
      </w:r>
    </w:p>
    <w:p w:rsidR="00AB0DAC" w:rsidRDefault="00AB0DAC" w:rsidP="00A4014C">
      <w:pPr>
        <w:pStyle w:val="Boxed1Bullet"/>
      </w:pPr>
      <w:r>
        <w:t>not-for-profit providers</w:t>
      </w:r>
      <w:r w:rsidR="00841375">
        <w:t xml:space="preserve"> continue to</w:t>
      </w:r>
      <w:r>
        <w:t xml:space="preserve"> represent the largest proportion of ow</w:t>
      </w:r>
      <w:r w:rsidR="003E501A">
        <w:t>nership type in residential</w:t>
      </w:r>
      <w:r>
        <w:t xml:space="preserve"> care, with </w:t>
      </w:r>
      <w:r w:rsidR="006A5070" w:rsidRPr="006A5070">
        <w:t>5</w:t>
      </w:r>
      <w:r w:rsidR="00D00B54">
        <w:t>6</w:t>
      </w:r>
      <w:r w:rsidR="00A261F3">
        <w:t> per cent</w:t>
      </w:r>
      <w:r>
        <w:t xml:space="preserve"> of providers and </w:t>
      </w:r>
      <w:r w:rsidR="003E501A">
        <w:t>5</w:t>
      </w:r>
      <w:r w:rsidR="00D00B54">
        <w:t>6</w:t>
      </w:r>
      <w:r w:rsidR="00A261F3">
        <w:t> per cent</w:t>
      </w:r>
      <w:r>
        <w:t xml:space="preserve"> of places</w:t>
      </w:r>
      <w:r w:rsidR="00F81A85">
        <w:t>, but the proportion of places operated by the for</w:t>
      </w:r>
      <w:r w:rsidR="00F81A85">
        <w:noBreakHyphen/>
        <w:t xml:space="preserve">profits continues to </w:t>
      </w:r>
      <w:r w:rsidR="00520573">
        <w:t xml:space="preserve">slowly </w:t>
      </w:r>
      <w:r w:rsidR="00F81A85">
        <w:t>increase</w:t>
      </w:r>
      <w:r>
        <w:t>;</w:t>
      </w:r>
      <w:r w:rsidR="004B5356">
        <w:t xml:space="preserve"> and</w:t>
      </w:r>
    </w:p>
    <w:p w:rsidR="00D8721E" w:rsidRDefault="000C0B39" w:rsidP="00A4014C">
      <w:pPr>
        <w:pStyle w:val="Boxed1Bullet"/>
      </w:pPr>
      <w:r w:rsidRPr="00AE31B1">
        <w:t>as a</w:t>
      </w:r>
      <w:r w:rsidR="00F548AF" w:rsidRPr="00AE31B1">
        <w:t xml:space="preserve">t </w:t>
      </w:r>
      <w:r w:rsidR="00A261F3">
        <w:t>30 J</w:t>
      </w:r>
      <w:r w:rsidR="00F548AF" w:rsidRPr="00AE31B1">
        <w:t>une</w:t>
      </w:r>
      <w:r w:rsidR="00A261F3">
        <w:t> 201</w:t>
      </w:r>
      <w:r w:rsidR="00F548AF" w:rsidRPr="00AE31B1">
        <w:t>7 there were 39,294</w:t>
      </w:r>
      <w:r w:rsidRPr="00AE31B1">
        <w:t xml:space="preserve"> provisionally allocated places and an </w:t>
      </w:r>
      <w:r w:rsidR="003E501A" w:rsidRPr="00AE31B1">
        <w:t>additional 7,</w:t>
      </w:r>
      <w:r w:rsidR="007B620F" w:rsidRPr="00AE31B1">
        <w:t>92</w:t>
      </w:r>
      <w:r w:rsidR="003E501A" w:rsidRPr="00AE31B1">
        <w:t xml:space="preserve">4 </w:t>
      </w:r>
      <w:r w:rsidR="0054543B" w:rsidRPr="00AE31B1">
        <w:t xml:space="preserve">formerly operational </w:t>
      </w:r>
      <w:r w:rsidR="003E501A" w:rsidRPr="00AE31B1">
        <w:t>places that were</w:t>
      </w:r>
      <w:r w:rsidRPr="00AE31B1">
        <w:t xml:space="preserve"> off-line </w:t>
      </w:r>
      <w:r w:rsidR="0054543B" w:rsidRPr="00AE31B1">
        <w:t>pending r</w:t>
      </w:r>
      <w:r w:rsidRPr="00AE31B1">
        <w:t>efurbishment or redevelopment</w:t>
      </w:r>
      <w:r w:rsidR="0054543B" w:rsidRPr="00AE31B1">
        <w:t xml:space="preserve">, or </w:t>
      </w:r>
      <w:r w:rsidR="00AE31B1" w:rsidRPr="00AE31B1">
        <w:t xml:space="preserve">pending </w:t>
      </w:r>
      <w:r w:rsidR="0054543B" w:rsidRPr="00AE31B1">
        <w:t>sale</w:t>
      </w:r>
      <w:r w:rsidR="00AE31B1" w:rsidRPr="00AE31B1">
        <w:t xml:space="preserve"> to another provider</w:t>
      </w:r>
      <w:r w:rsidRPr="00AE31B1">
        <w:t>.</w:t>
      </w:r>
    </w:p>
    <w:p w:rsidR="00B10984" w:rsidRPr="00EC6078" w:rsidRDefault="00B10984" w:rsidP="00A4014C">
      <w:r w:rsidRPr="00EC6078">
        <w:br w:type="page"/>
      </w:r>
    </w:p>
    <w:p w:rsidR="00F667DB" w:rsidRPr="00596D01" w:rsidRDefault="00F667DB" w:rsidP="00A4014C">
      <w:pPr>
        <w:pStyle w:val="Heading2Numbered"/>
      </w:pPr>
      <w:bookmarkStart w:id="573" w:name="_Toc423017951"/>
      <w:bookmarkStart w:id="574" w:name="_Toc423447890"/>
      <w:bookmarkStart w:id="575" w:name="_Toc423602232"/>
      <w:bookmarkStart w:id="576" w:name="_Toc457549913"/>
      <w:bookmarkStart w:id="577" w:name="_Toc487702592"/>
      <w:bookmarkStart w:id="578" w:name="_Toc487702944"/>
      <w:bookmarkStart w:id="579" w:name="_Toc487703442"/>
      <w:bookmarkStart w:id="580" w:name="_Toc487703636"/>
      <w:bookmarkStart w:id="581" w:name="_Toc524424768"/>
      <w:r w:rsidRPr="00596D01">
        <w:lastRenderedPageBreak/>
        <w:t>Sector overview</w:t>
      </w:r>
      <w:bookmarkEnd w:id="573"/>
      <w:bookmarkEnd w:id="574"/>
      <w:bookmarkEnd w:id="575"/>
      <w:bookmarkEnd w:id="576"/>
      <w:bookmarkEnd w:id="577"/>
      <w:bookmarkEnd w:id="578"/>
      <w:bookmarkEnd w:id="579"/>
      <w:bookmarkEnd w:id="580"/>
      <w:bookmarkEnd w:id="581"/>
    </w:p>
    <w:p w:rsidR="002B5507" w:rsidRDefault="002B5507" w:rsidP="00A4014C">
      <w:pPr>
        <w:rPr>
          <w:lang w:eastAsia="en-US"/>
        </w:rPr>
      </w:pPr>
      <w:r>
        <w:rPr>
          <w:lang w:eastAsia="en-US"/>
        </w:rPr>
        <w:t xml:space="preserve">Residential care provides care and support for </w:t>
      </w:r>
      <w:r w:rsidR="00120B42">
        <w:rPr>
          <w:lang w:eastAsia="en-US"/>
        </w:rPr>
        <w:t xml:space="preserve">eligible </w:t>
      </w:r>
      <w:r>
        <w:rPr>
          <w:lang w:eastAsia="en-US"/>
        </w:rPr>
        <w:t xml:space="preserve">older Australians who </w:t>
      </w:r>
      <w:r w:rsidR="0021718A">
        <w:rPr>
          <w:lang w:eastAsia="en-US"/>
        </w:rPr>
        <w:t xml:space="preserve">choose not to, or </w:t>
      </w:r>
      <w:r>
        <w:rPr>
          <w:lang w:eastAsia="en-US"/>
        </w:rPr>
        <w:t>are unable to live independently in their own homes. Servi</w:t>
      </w:r>
      <w:r w:rsidR="00E10022">
        <w:rPr>
          <w:lang w:eastAsia="en-US"/>
        </w:rPr>
        <w:t>ces provided in residential</w:t>
      </w:r>
      <w:r>
        <w:rPr>
          <w:lang w:eastAsia="en-US"/>
        </w:rPr>
        <w:t xml:space="preserve"> care include:</w:t>
      </w:r>
    </w:p>
    <w:p w:rsidR="002B5507" w:rsidRDefault="00834890" w:rsidP="00A4014C">
      <w:pPr>
        <w:pStyle w:val="Bullet1"/>
        <w:rPr>
          <w:lang w:eastAsia="en-US"/>
        </w:rPr>
      </w:pPr>
      <w:r w:rsidRPr="009E789D">
        <w:rPr>
          <w:lang w:eastAsia="en-US"/>
        </w:rPr>
        <w:t>Day-to-day services</w:t>
      </w:r>
      <w:r w:rsidR="002B5507">
        <w:rPr>
          <w:lang w:eastAsia="en-US"/>
        </w:rPr>
        <w:t xml:space="preserve"> suc</w:t>
      </w:r>
      <w:r w:rsidR="001B0676">
        <w:rPr>
          <w:lang w:eastAsia="en-US"/>
        </w:rPr>
        <w:t xml:space="preserve">h as </w:t>
      </w:r>
      <w:r w:rsidR="007247A0">
        <w:rPr>
          <w:lang w:eastAsia="en-US"/>
        </w:rPr>
        <w:t>meals, cleaning</w:t>
      </w:r>
      <w:r w:rsidR="001B0676">
        <w:rPr>
          <w:lang w:eastAsia="en-US"/>
        </w:rPr>
        <w:t>, laundry;</w:t>
      </w:r>
    </w:p>
    <w:p w:rsidR="002B5507" w:rsidRPr="009E789D" w:rsidRDefault="002B5507" w:rsidP="00A4014C">
      <w:pPr>
        <w:pStyle w:val="Bullet1"/>
        <w:rPr>
          <w:lang w:eastAsia="en-US"/>
        </w:rPr>
      </w:pPr>
      <w:r w:rsidRPr="009E789D">
        <w:rPr>
          <w:lang w:eastAsia="en-US"/>
        </w:rPr>
        <w:t xml:space="preserve">Personal care </w:t>
      </w:r>
      <w:r>
        <w:rPr>
          <w:lang w:eastAsia="en-US"/>
        </w:rPr>
        <w:t>such as</w:t>
      </w:r>
      <w:r w:rsidR="00FC0437">
        <w:rPr>
          <w:lang w:eastAsia="en-US"/>
        </w:rPr>
        <w:t xml:space="preserve"> assistance with</w:t>
      </w:r>
      <w:r>
        <w:rPr>
          <w:lang w:eastAsia="en-US"/>
        </w:rPr>
        <w:t xml:space="preserve"> dressing, grooming</w:t>
      </w:r>
      <w:r w:rsidR="007247A0">
        <w:rPr>
          <w:lang w:eastAsia="en-US"/>
        </w:rPr>
        <w:t>,</w:t>
      </w:r>
      <w:r>
        <w:rPr>
          <w:lang w:eastAsia="en-US"/>
        </w:rPr>
        <w:t xml:space="preserve"> </w:t>
      </w:r>
      <w:r w:rsidRPr="001B0676">
        <w:rPr>
          <w:lang w:eastAsia="en-US"/>
        </w:rPr>
        <w:t>toilet</w:t>
      </w:r>
      <w:r w:rsidR="007247A0">
        <w:rPr>
          <w:lang w:eastAsia="en-US"/>
        </w:rPr>
        <w:t>ing</w:t>
      </w:r>
      <w:r w:rsidR="001B0676" w:rsidRPr="009E789D">
        <w:rPr>
          <w:lang w:eastAsia="en-US"/>
        </w:rPr>
        <w:t xml:space="preserve">; and </w:t>
      </w:r>
    </w:p>
    <w:p w:rsidR="002B5507" w:rsidRDefault="002B5507" w:rsidP="00A4014C">
      <w:pPr>
        <w:pStyle w:val="Bullet1"/>
        <w:rPr>
          <w:lang w:eastAsia="en-US"/>
        </w:rPr>
      </w:pPr>
      <w:r w:rsidRPr="009E789D">
        <w:rPr>
          <w:lang w:eastAsia="en-US"/>
        </w:rPr>
        <w:t>24-hour nursing care</w:t>
      </w:r>
      <w:r>
        <w:rPr>
          <w:lang w:eastAsia="en-US"/>
        </w:rPr>
        <w:t xml:space="preserve"> such as</w:t>
      </w:r>
      <w:r w:rsidR="00FC0437">
        <w:rPr>
          <w:lang w:eastAsia="en-US"/>
        </w:rPr>
        <w:t xml:space="preserve"> nursing assessment, pain management, wound care and </w:t>
      </w:r>
      <w:r>
        <w:rPr>
          <w:lang w:eastAsia="en-US"/>
        </w:rPr>
        <w:t>catheter care</w:t>
      </w:r>
      <w:r w:rsidR="001B0676">
        <w:rPr>
          <w:lang w:eastAsia="en-US"/>
        </w:rPr>
        <w:t>.</w:t>
      </w:r>
    </w:p>
    <w:p w:rsidR="00834890" w:rsidRPr="00834890" w:rsidRDefault="00834890" w:rsidP="00A4014C">
      <w:r w:rsidRPr="00834890">
        <w:t xml:space="preserve">Residential care is provided on a permanent or respite basis. </w:t>
      </w:r>
      <w:r w:rsidR="00E10022">
        <w:t>The majority of residential</w:t>
      </w:r>
      <w:r w:rsidRPr="00834890">
        <w:t xml:space="preserve"> care places are occupied by permanent residents who have security of tenure. Residential respite provides short-term care on a planned or emerge</w:t>
      </w:r>
      <w:r w:rsidR="00691761">
        <w:t xml:space="preserve">ncy basis. In doing so, it </w:t>
      </w:r>
      <w:r w:rsidRPr="00834890">
        <w:t>provides carers with a break from their caring duties as well</w:t>
      </w:r>
      <w:r w:rsidR="00F81A85">
        <w:t xml:space="preserve"> as</w:t>
      </w:r>
      <w:r w:rsidRPr="00834890">
        <w:t xml:space="preserve"> </w:t>
      </w:r>
      <w:r w:rsidR="00691761">
        <w:t xml:space="preserve">being </w:t>
      </w:r>
      <w:r w:rsidRPr="00834890">
        <w:t>used by some consumers to transition into permanent residential care.</w:t>
      </w:r>
    </w:p>
    <w:p w:rsidR="00B10984" w:rsidRPr="00596D01" w:rsidRDefault="00B10984" w:rsidP="00A4014C">
      <w:pPr>
        <w:pStyle w:val="Heading2Numbered"/>
      </w:pPr>
      <w:bookmarkStart w:id="582" w:name="_Toc426120773"/>
      <w:bookmarkStart w:id="583" w:name="_Toc457549914"/>
      <w:bookmarkStart w:id="584" w:name="_Toc487702593"/>
      <w:bookmarkStart w:id="585" w:name="_Toc487702945"/>
      <w:bookmarkStart w:id="586" w:name="_Toc487703443"/>
      <w:bookmarkStart w:id="587" w:name="_Toc487703637"/>
      <w:bookmarkStart w:id="588" w:name="_Toc524424769"/>
      <w:r w:rsidRPr="00596D01">
        <w:t>Supply of residential care</w:t>
      </w:r>
      <w:bookmarkEnd w:id="582"/>
      <w:bookmarkEnd w:id="583"/>
      <w:bookmarkEnd w:id="584"/>
      <w:bookmarkEnd w:id="585"/>
      <w:bookmarkEnd w:id="586"/>
      <w:bookmarkEnd w:id="587"/>
      <w:bookmarkEnd w:id="588"/>
    </w:p>
    <w:p w:rsidR="00120B42" w:rsidRDefault="00120B42" w:rsidP="00A4014C">
      <w:r>
        <w:t xml:space="preserve">The Australian Government uses a population based planning ratio </w:t>
      </w:r>
      <w:r w:rsidR="00F81A85">
        <w:t>(</w:t>
      </w:r>
      <w:r w:rsidR="00EB20FE">
        <w:t xml:space="preserve">target </w:t>
      </w:r>
      <w:r w:rsidR="00F81A85">
        <w:t xml:space="preserve">provision ratio) </w:t>
      </w:r>
      <w:r>
        <w:t>to determine the number of subsidised operational residential care places. This is detailed in Chapter 5.</w:t>
      </w:r>
    </w:p>
    <w:p w:rsidR="00D8721E" w:rsidRDefault="00492BF8" w:rsidP="00A4014C">
      <w:r>
        <w:fldChar w:fldCharType="begin"/>
      </w:r>
      <w:r>
        <w:instrText xml:space="preserve"> REF _Ref524429455 \r \h </w:instrText>
      </w:r>
      <w:r>
        <w:fldChar w:fldCharType="separate"/>
      </w:r>
      <w:r>
        <w:t>Table 8.1</w:t>
      </w:r>
      <w:r>
        <w:fldChar w:fldCharType="end"/>
      </w:r>
      <w:r>
        <w:t xml:space="preserve"> </w:t>
      </w:r>
      <w:r w:rsidR="007470C4">
        <w:t xml:space="preserve">shows </w:t>
      </w:r>
      <w:r w:rsidR="002B5507">
        <w:t>the number of providers,</w:t>
      </w:r>
      <w:r w:rsidR="007D17F7">
        <w:t xml:space="preserve"> facilities</w:t>
      </w:r>
      <w:r w:rsidR="007247A0">
        <w:rPr>
          <w:rStyle w:val="FootnoteReference"/>
          <w:rFonts w:cs="Segoe UI"/>
        </w:rPr>
        <w:footnoteReference w:id="36"/>
      </w:r>
      <w:r w:rsidR="007470C4">
        <w:t xml:space="preserve">, places and residents </w:t>
      </w:r>
      <w:r w:rsidR="006C7440">
        <w:t>since</w:t>
      </w:r>
      <w:r w:rsidR="00A261F3">
        <w:t> 201</w:t>
      </w:r>
      <w:r w:rsidR="006C7440">
        <w:t>2</w:t>
      </w:r>
      <w:r w:rsidR="00D8721E">
        <w:t>–1</w:t>
      </w:r>
      <w:r w:rsidR="006C7440">
        <w:t>3</w:t>
      </w:r>
      <w:r w:rsidR="007470C4">
        <w:t>.</w:t>
      </w:r>
      <w:r w:rsidR="00792A6B">
        <w:t xml:space="preserve"> As can be seen</w:t>
      </w:r>
      <w:r w:rsidR="00BE6AC7">
        <w:t>,</w:t>
      </w:r>
      <w:r w:rsidR="00792A6B">
        <w:t xml:space="preserve"> the number of providers has decreased each year</w:t>
      </w:r>
      <w:r w:rsidR="00F81A85">
        <w:t xml:space="preserve"> through consolidation,</w:t>
      </w:r>
      <w:r w:rsidR="00792A6B">
        <w:t xml:space="preserve"> while the number of places and residents continues to increase</w:t>
      </w:r>
      <w:r w:rsidR="00D8721E">
        <w:t>.</w:t>
      </w:r>
    </w:p>
    <w:p w:rsidR="00F931B3" w:rsidRPr="00596D01" w:rsidRDefault="00AC4E78" w:rsidP="00A4014C">
      <w:pPr>
        <w:pStyle w:val="TableTitle"/>
      </w:pPr>
      <w:bookmarkStart w:id="589" w:name="_Ref524429455"/>
      <w:r w:rsidRPr="00596D01">
        <w:t xml:space="preserve">Number of providers, </w:t>
      </w:r>
      <w:r w:rsidR="007D17F7" w:rsidRPr="00596D01">
        <w:t>facilities</w:t>
      </w:r>
      <w:r w:rsidRPr="00596D01">
        <w:t xml:space="preserve">, places and </w:t>
      </w:r>
      <w:r w:rsidR="007D3327" w:rsidRPr="00596D01">
        <w:t xml:space="preserve">residents, </w:t>
      </w:r>
      <w:r w:rsidR="00A261F3" w:rsidRPr="00596D01">
        <w:t>30 J</w:t>
      </w:r>
      <w:r w:rsidR="000E4270" w:rsidRPr="00596D01">
        <w:t>une</w:t>
      </w:r>
      <w:r w:rsidR="00A261F3" w:rsidRPr="00596D01">
        <w:t> 201</w:t>
      </w:r>
      <w:r w:rsidR="000E4270" w:rsidRPr="00596D01">
        <w:t xml:space="preserve">3 to </w:t>
      </w:r>
      <w:r w:rsidR="00A261F3" w:rsidRPr="00596D01">
        <w:t>30 J</w:t>
      </w:r>
      <w:r w:rsidR="000E4270" w:rsidRPr="00596D01">
        <w:t>une</w:t>
      </w:r>
      <w:r w:rsidR="00A261F3" w:rsidRPr="00596D01">
        <w:t> 201</w:t>
      </w:r>
      <w:r w:rsidR="000E4270" w:rsidRPr="00596D01">
        <w:t>7</w:t>
      </w:r>
      <w:bookmarkEnd w:id="589"/>
      <w:r w:rsidR="00F40608"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37"/>
        <w:gridCol w:w="1558"/>
        <w:gridCol w:w="1521"/>
        <w:gridCol w:w="1660"/>
        <w:gridCol w:w="1660"/>
        <w:gridCol w:w="1492"/>
      </w:tblGrid>
      <w:tr w:rsidR="00ED729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902" w:type="pct"/>
          </w:tcPr>
          <w:p w:rsidR="00ED7290" w:rsidRPr="009C6043" w:rsidRDefault="00ED7290" w:rsidP="00E87C93">
            <w:pPr>
              <w:pStyle w:val="TabletextLeft"/>
              <w:jc w:val="center"/>
              <w:rPr>
                <w:rFonts w:asciiTheme="minorHAnsi" w:hAnsiTheme="minorHAnsi"/>
                <w:b w:val="0"/>
              </w:rPr>
            </w:pPr>
          </w:p>
        </w:tc>
        <w:tc>
          <w:tcPr>
            <w:tcW w:w="809" w:type="pct"/>
          </w:tcPr>
          <w:p w:rsidR="00ED7290" w:rsidRPr="00910174" w:rsidRDefault="00A261F3" w:rsidP="00A4014C">
            <w:pPr>
              <w:jc w:val="right"/>
              <w:rPr>
                <w:rFonts w:ascii="Segoe UI" w:hAnsi="Segoe UI" w:cs="Segoe UI"/>
                <w:b w:val="0"/>
                <w:bCs w:val="0"/>
                <w:color w:val="FFFFFF"/>
                <w:lang w:eastAsia="en-AU"/>
              </w:rPr>
            </w:pPr>
            <w:r w:rsidRPr="00596D01">
              <w:t>30 J</w:t>
            </w:r>
            <w:r w:rsidR="00246835" w:rsidRPr="00596D01">
              <w:t>une</w:t>
            </w:r>
            <w:r w:rsidRPr="00596D01">
              <w:t> 201</w:t>
            </w:r>
            <w:r w:rsidR="00246835" w:rsidRPr="00596D01">
              <w:t>3</w:t>
            </w:r>
          </w:p>
        </w:tc>
        <w:tc>
          <w:tcPr>
            <w:tcW w:w="790" w:type="pct"/>
          </w:tcPr>
          <w:p w:rsidR="00ED7290" w:rsidRPr="00910174" w:rsidRDefault="00A261F3" w:rsidP="00A4014C">
            <w:pPr>
              <w:jc w:val="right"/>
              <w:rPr>
                <w:rFonts w:ascii="Segoe UI" w:hAnsi="Segoe UI" w:cs="Segoe UI"/>
                <w:b w:val="0"/>
                <w:bCs w:val="0"/>
                <w:color w:val="FFFFFF"/>
                <w:lang w:eastAsia="en-AU"/>
              </w:rPr>
            </w:pPr>
            <w:r w:rsidRPr="00596D01">
              <w:t>30 J</w:t>
            </w:r>
            <w:r w:rsidR="00246835" w:rsidRPr="00596D01">
              <w:t>une</w:t>
            </w:r>
            <w:r w:rsidRPr="00596D01">
              <w:t> 201</w:t>
            </w:r>
            <w:r w:rsidR="00246835" w:rsidRPr="00596D01">
              <w:t>4</w:t>
            </w:r>
          </w:p>
        </w:tc>
        <w:tc>
          <w:tcPr>
            <w:tcW w:w="862" w:type="pct"/>
          </w:tcPr>
          <w:p w:rsidR="00ED7290" w:rsidRPr="00910174" w:rsidRDefault="00A261F3" w:rsidP="00A4014C">
            <w:pPr>
              <w:jc w:val="right"/>
              <w:rPr>
                <w:rFonts w:ascii="Segoe UI" w:hAnsi="Segoe UI" w:cs="Segoe UI"/>
                <w:b w:val="0"/>
                <w:bCs w:val="0"/>
                <w:color w:val="FFFFFF"/>
                <w:lang w:eastAsia="en-AU"/>
              </w:rPr>
            </w:pPr>
            <w:r w:rsidRPr="00596D01">
              <w:t>30 J</w:t>
            </w:r>
            <w:r w:rsidR="00246835" w:rsidRPr="00596D01">
              <w:t>une</w:t>
            </w:r>
            <w:r w:rsidRPr="00596D01">
              <w:t> 201</w:t>
            </w:r>
            <w:r w:rsidR="007D3327" w:rsidRPr="00596D01">
              <w:t>5</w:t>
            </w:r>
          </w:p>
        </w:tc>
        <w:tc>
          <w:tcPr>
            <w:tcW w:w="862" w:type="pct"/>
          </w:tcPr>
          <w:p w:rsidR="00ED7290" w:rsidRPr="00910174" w:rsidRDefault="00A261F3" w:rsidP="00A4014C">
            <w:pPr>
              <w:jc w:val="right"/>
              <w:rPr>
                <w:rFonts w:ascii="Segoe UI" w:hAnsi="Segoe UI" w:cs="Segoe UI"/>
                <w:b w:val="0"/>
                <w:bCs w:val="0"/>
                <w:color w:val="FFFFFF"/>
                <w:lang w:eastAsia="en-AU"/>
              </w:rPr>
            </w:pPr>
            <w:r w:rsidRPr="00596D01">
              <w:t>30 J</w:t>
            </w:r>
            <w:r w:rsidR="00246835" w:rsidRPr="00596D01">
              <w:t>une</w:t>
            </w:r>
            <w:r w:rsidRPr="00596D01">
              <w:t> 201</w:t>
            </w:r>
            <w:r w:rsidR="007D3327" w:rsidRPr="00596D01">
              <w:t>6</w:t>
            </w:r>
          </w:p>
        </w:tc>
        <w:tc>
          <w:tcPr>
            <w:tcW w:w="775" w:type="pct"/>
          </w:tcPr>
          <w:p w:rsidR="00ED7290" w:rsidRPr="00596D01" w:rsidRDefault="00A261F3" w:rsidP="00A4014C">
            <w:pPr>
              <w:jc w:val="right"/>
            </w:pPr>
            <w:r w:rsidRPr="00596D01">
              <w:t>30 J</w:t>
            </w:r>
            <w:r w:rsidR="00246835" w:rsidRPr="00596D01">
              <w:t>une</w:t>
            </w:r>
            <w:r w:rsidRPr="00596D01">
              <w:t> 201</w:t>
            </w:r>
            <w:r w:rsidR="007D3327" w:rsidRPr="00596D01">
              <w:t>7</w:t>
            </w:r>
          </w:p>
        </w:tc>
      </w:tr>
      <w:tr w:rsidR="007D3327" w:rsidTr="00A4014C">
        <w:trPr>
          <w:trHeight w:val="113"/>
        </w:trPr>
        <w:tc>
          <w:tcPr>
            <w:tcW w:w="902" w:type="pct"/>
          </w:tcPr>
          <w:p w:rsidR="007D3327" w:rsidRPr="00910174" w:rsidRDefault="007D3327" w:rsidP="00E87C93">
            <w:pPr>
              <w:rPr>
                <w:rFonts w:ascii="Segoe UI" w:hAnsi="Segoe UI" w:cs="Segoe UI"/>
                <w:lang w:eastAsia="en-AU"/>
              </w:rPr>
            </w:pPr>
            <w:r w:rsidRPr="00910174">
              <w:rPr>
                <w:rFonts w:ascii="Segoe UI" w:hAnsi="Segoe UI" w:cs="Segoe UI"/>
                <w:lang w:eastAsia="en-AU"/>
              </w:rPr>
              <w:t>Providers</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1,048</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1,016</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972</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949</w:t>
            </w:r>
          </w:p>
        </w:tc>
        <w:tc>
          <w:tcPr>
            <w:tcW w:w="775" w:type="pct"/>
          </w:tcPr>
          <w:p w:rsidR="007D3327" w:rsidRPr="00910174" w:rsidRDefault="002233C7" w:rsidP="00A4014C">
            <w:pPr>
              <w:jc w:val="right"/>
              <w:rPr>
                <w:rFonts w:ascii="Segoe UI" w:hAnsi="Segoe UI" w:cs="Segoe UI"/>
                <w:color w:val="000000"/>
              </w:rPr>
            </w:pPr>
            <w:r w:rsidRPr="00910174">
              <w:rPr>
                <w:rFonts w:ascii="Segoe UI" w:hAnsi="Segoe UI" w:cs="Segoe UI"/>
                <w:color w:val="000000"/>
              </w:rPr>
              <w:t>902</w:t>
            </w:r>
          </w:p>
        </w:tc>
      </w:tr>
      <w:tr w:rsidR="007D3327" w:rsidTr="00A4014C">
        <w:trPr>
          <w:trHeight w:val="113"/>
        </w:trPr>
        <w:tc>
          <w:tcPr>
            <w:tcW w:w="902" w:type="pct"/>
          </w:tcPr>
          <w:p w:rsidR="007D3327" w:rsidRPr="00910174" w:rsidRDefault="007D17F7" w:rsidP="00E87C93">
            <w:pPr>
              <w:rPr>
                <w:rFonts w:ascii="Segoe UI" w:hAnsi="Segoe UI" w:cs="Segoe UI"/>
                <w:lang w:eastAsia="en-AU"/>
              </w:rPr>
            </w:pPr>
            <w:r w:rsidRPr="00910174">
              <w:rPr>
                <w:rFonts w:ascii="Segoe UI" w:hAnsi="Segoe UI" w:cs="Segoe UI"/>
                <w:lang w:eastAsia="en-AU"/>
              </w:rPr>
              <w:t>Facilities</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2,718</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2,688</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2,681</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2,669</w:t>
            </w:r>
          </w:p>
        </w:tc>
        <w:tc>
          <w:tcPr>
            <w:tcW w:w="775" w:type="pct"/>
          </w:tcPr>
          <w:p w:rsidR="007D3327" w:rsidRPr="00910174" w:rsidRDefault="002233C7" w:rsidP="00A4014C">
            <w:pPr>
              <w:jc w:val="right"/>
              <w:rPr>
                <w:rFonts w:ascii="Segoe UI" w:hAnsi="Segoe UI" w:cs="Segoe UI"/>
                <w:color w:val="000000"/>
              </w:rPr>
            </w:pPr>
            <w:r w:rsidRPr="00910174">
              <w:rPr>
                <w:rFonts w:ascii="Segoe UI" w:hAnsi="Segoe UI" w:cs="Segoe UI"/>
                <w:color w:val="000000"/>
              </w:rPr>
              <w:t>2,672</w:t>
            </w:r>
          </w:p>
        </w:tc>
      </w:tr>
      <w:tr w:rsidR="009500C7" w:rsidRPr="009500C7" w:rsidTr="00A4014C">
        <w:trPr>
          <w:trHeight w:val="113"/>
        </w:trPr>
        <w:tc>
          <w:tcPr>
            <w:tcW w:w="902" w:type="pct"/>
          </w:tcPr>
          <w:p w:rsidR="009500C7" w:rsidRPr="00910174" w:rsidRDefault="009500C7" w:rsidP="00E87C93">
            <w:pPr>
              <w:rPr>
                <w:rFonts w:ascii="Segoe UI" w:hAnsi="Segoe UI" w:cs="Segoe UI"/>
                <w:lang w:eastAsia="en-AU"/>
              </w:rPr>
            </w:pPr>
            <w:r>
              <w:rPr>
                <w:rFonts w:ascii="Segoe UI" w:hAnsi="Segoe UI" w:cs="Segoe UI"/>
                <w:lang w:eastAsia="en-AU"/>
              </w:rPr>
              <w:t>Allocated places</w:t>
            </w:r>
          </w:p>
        </w:tc>
        <w:tc>
          <w:tcPr>
            <w:tcW w:w="809" w:type="pct"/>
          </w:tcPr>
          <w:p w:rsidR="009500C7" w:rsidRPr="009500C7" w:rsidRDefault="009500C7" w:rsidP="00A4014C">
            <w:pPr>
              <w:jc w:val="right"/>
              <w:rPr>
                <w:rFonts w:ascii="Segoe UI" w:hAnsi="Segoe UI" w:cs="Segoe UI"/>
                <w:lang w:eastAsia="en-AU"/>
              </w:rPr>
            </w:pPr>
            <w:r w:rsidRPr="009500C7">
              <w:rPr>
                <w:rFonts w:ascii="Segoe UI" w:hAnsi="Segoe UI" w:cs="Segoe UI"/>
                <w:lang w:eastAsia="en-AU"/>
              </w:rPr>
              <w:t>216,477</w:t>
            </w:r>
          </w:p>
        </w:tc>
        <w:tc>
          <w:tcPr>
            <w:tcW w:w="790" w:type="pct"/>
          </w:tcPr>
          <w:p w:rsidR="009500C7" w:rsidRPr="009500C7" w:rsidRDefault="009500C7" w:rsidP="00A4014C">
            <w:pPr>
              <w:jc w:val="right"/>
              <w:rPr>
                <w:rFonts w:ascii="Segoe UI" w:hAnsi="Segoe UI" w:cs="Segoe UI"/>
                <w:lang w:eastAsia="en-AU"/>
              </w:rPr>
            </w:pPr>
            <w:r w:rsidRPr="009500C7">
              <w:rPr>
                <w:rFonts w:ascii="Segoe UI" w:hAnsi="Segoe UI" w:cs="Segoe UI"/>
                <w:lang w:eastAsia="en-AU"/>
              </w:rPr>
              <w:t>217,006</w:t>
            </w:r>
          </w:p>
        </w:tc>
        <w:tc>
          <w:tcPr>
            <w:tcW w:w="862" w:type="pct"/>
          </w:tcPr>
          <w:p w:rsidR="009500C7" w:rsidRPr="009500C7" w:rsidRDefault="009500C7" w:rsidP="00A4014C">
            <w:pPr>
              <w:jc w:val="right"/>
              <w:rPr>
                <w:rFonts w:ascii="Segoe UI" w:hAnsi="Segoe UI" w:cs="Segoe UI"/>
                <w:lang w:eastAsia="en-AU"/>
              </w:rPr>
            </w:pPr>
            <w:r w:rsidRPr="009500C7">
              <w:rPr>
                <w:rFonts w:ascii="Segoe UI" w:hAnsi="Segoe UI" w:cs="Segoe UI"/>
                <w:lang w:eastAsia="en-AU"/>
              </w:rPr>
              <w:t>228,024</w:t>
            </w:r>
          </w:p>
        </w:tc>
        <w:tc>
          <w:tcPr>
            <w:tcW w:w="862" w:type="pct"/>
          </w:tcPr>
          <w:p w:rsidR="009500C7" w:rsidRPr="009500C7" w:rsidRDefault="009500C7" w:rsidP="00A4014C">
            <w:pPr>
              <w:jc w:val="right"/>
              <w:rPr>
                <w:rFonts w:ascii="Segoe UI" w:hAnsi="Segoe UI" w:cs="Segoe UI"/>
                <w:lang w:eastAsia="en-AU"/>
              </w:rPr>
            </w:pPr>
            <w:r w:rsidRPr="009500C7">
              <w:rPr>
                <w:rFonts w:ascii="Segoe UI" w:hAnsi="Segoe UI" w:cs="Segoe UI"/>
                <w:lang w:eastAsia="en-AU"/>
              </w:rPr>
              <w:t>238,843</w:t>
            </w:r>
          </w:p>
        </w:tc>
        <w:tc>
          <w:tcPr>
            <w:tcW w:w="775" w:type="pct"/>
          </w:tcPr>
          <w:p w:rsidR="009500C7" w:rsidRPr="009500C7" w:rsidRDefault="009500C7" w:rsidP="00A4014C">
            <w:pPr>
              <w:jc w:val="right"/>
              <w:rPr>
                <w:rFonts w:ascii="Segoe UI" w:hAnsi="Segoe UI" w:cs="Segoe UI"/>
                <w:lang w:eastAsia="en-AU"/>
              </w:rPr>
            </w:pPr>
            <w:r w:rsidRPr="009500C7">
              <w:rPr>
                <w:rFonts w:ascii="Segoe UI" w:hAnsi="Segoe UI" w:cs="Segoe UI"/>
                <w:lang w:eastAsia="en-AU"/>
              </w:rPr>
              <w:t>247,907</w:t>
            </w:r>
          </w:p>
        </w:tc>
      </w:tr>
      <w:tr w:rsidR="007D3327" w:rsidTr="00A4014C">
        <w:trPr>
          <w:trHeight w:val="113"/>
        </w:trPr>
        <w:tc>
          <w:tcPr>
            <w:tcW w:w="902" w:type="pct"/>
          </w:tcPr>
          <w:p w:rsidR="007D3327" w:rsidRPr="00910174" w:rsidRDefault="007D3327" w:rsidP="00E87C93">
            <w:pPr>
              <w:rPr>
                <w:rFonts w:ascii="Segoe UI" w:hAnsi="Segoe UI" w:cs="Segoe UI"/>
                <w:lang w:eastAsia="en-AU"/>
              </w:rPr>
            </w:pPr>
            <w:r w:rsidRPr="00910174">
              <w:rPr>
                <w:rFonts w:ascii="Segoe UI" w:hAnsi="Segoe UI" w:cs="Segoe UI"/>
                <w:lang w:eastAsia="en-AU"/>
              </w:rPr>
              <w:t>Operational places</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186,278</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189,283</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192,370</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195,825</w:t>
            </w:r>
          </w:p>
        </w:tc>
        <w:tc>
          <w:tcPr>
            <w:tcW w:w="775" w:type="pct"/>
          </w:tcPr>
          <w:p w:rsidR="00773E03" w:rsidRPr="00910174" w:rsidRDefault="00773E03" w:rsidP="00A4014C">
            <w:pPr>
              <w:jc w:val="right"/>
              <w:rPr>
                <w:rFonts w:ascii="Segoe UI" w:hAnsi="Segoe UI" w:cs="Segoe UI"/>
                <w:color w:val="000000"/>
              </w:rPr>
            </w:pPr>
            <w:r w:rsidRPr="00910174">
              <w:rPr>
                <w:rFonts w:ascii="Segoe UI" w:hAnsi="Segoe UI" w:cs="Segoe UI"/>
                <w:color w:val="000000"/>
              </w:rPr>
              <w:t>200,689</w:t>
            </w:r>
          </w:p>
        </w:tc>
      </w:tr>
      <w:tr w:rsidR="007D3327" w:rsidTr="00A4014C">
        <w:trPr>
          <w:trHeight w:val="113"/>
        </w:trPr>
        <w:tc>
          <w:tcPr>
            <w:tcW w:w="902" w:type="pct"/>
          </w:tcPr>
          <w:p w:rsidR="007D3327" w:rsidRPr="00910174" w:rsidRDefault="007D3327" w:rsidP="00F81A85">
            <w:pPr>
              <w:rPr>
                <w:rFonts w:ascii="Segoe UI" w:hAnsi="Segoe UI" w:cs="Segoe UI"/>
                <w:lang w:eastAsia="en-AU"/>
              </w:rPr>
            </w:pPr>
            <w:r w:rsidRPr="00910174">
              <w:rPr>
                <w:rFonts w:ascii="Segoe UI" w:hAnsi="Segoe UI" w:cs="Segoe UI"/>
                <w:lang w:eastAsia="en-AU"/>
              </w:rPr>
              <w:t xml:space="preserve">Achieved residential care ratio </w:t>
            </w:r>
          </w:p>
        </w:tc>
        <w:tc>
          <w:tcPr>
            <w:tcW w:w="809" w:type="pct"/>
          </w:tcPr>
          <w:p w:rsidR="007D3327" w:rsidRPr="00A4014C" w:rsidRDefault="007D3327" w:rsidP="00A4014C">
            <w:pPr>
              <w:jc w:val="right"/>
              <w:rPr>
                <w:rStyle w:val="Emphasis"/>
                <w:rFonts w:ascii="Segoe UI" w:hAnsi="Segoe UI" w:cs="Segoe UI"/>
                <w:i w:val="0"/>
                <w:iCs w:val="0"/>
                <w:color w:val="1F497D"/>
              </w:rPr>
            </w:pPr>
            <w:r w:rsidRPr="00910174">
              <w:rPr>
                <w:rFonts w:ascii="Segoe UI" w:hAnsi="Segoe UI" w:cs="Segoe UI"/>
                <w:color w:val="000000"/>
              </w:rPr>
              <w:t>84.5</w:t>
            </w:r>
          </w:p>
        </w:tc>
        <w:tc>
          <w:tcPr>
            <w:tcW w:w="790" w:type="pct"/>
          </w:tcPr>
          <w:p w:rsidR="007D3327" w:rsidRPr="00596D01" w:rsidRDefault="007D3327" w:rsidP="00A4014C">
            <w:pPr>
              <w:jc w:val="right"/>
              <w:rPr>
                <w:rStyle w:val="Emphasis"/>
              </w:rPr>
            </w:pPr>
            <w:r w:rsidRPr="00910174">
              <w:rPr>
                <w:rFonts w:ascii="Segoe UI" w:hAnsi="Segoe UI" w:cs="Segoe UI"/>
                <w:color w:val="000000"/>
              </w:rPr>
              <w:t>82.6</w:t>
            </w:r>
          </w:p>
        </w:tc>
        <w:tc>
          <w:tcPr>
            <w:tcW w:w="862" w:type="pct"/>
          </w:tcPr>
          <w:p w:rsidR="007D3327" w:rsidRPr="00596D01" w:rsidRDefault="007D3327" w:rsidP="00A4014C">
            <w:pPr>
              <w:jc w:val="right"/>
              <w:rPr>
                <w:rStyle w:val="Emphasis"/>
              </w:rPr>
            </w:pPr>
            <w:r w:rsidRPr="00910174">
              <w:rPr>
                <w:rFonts w:ascii="Segoe UI" w:hAnsi="Segoe UI" w:cs="Segoe UI"/>
                <w:color w:val="000000"/>
              </w:rPr>
              <w:t xml:space="preserve">81.1 </w:t>
            </w:r>
          </w:p>
        </w:tc>
        <w:tc>
          <w:tcPr>
            <w:tcW w:w="862" w:type="pct"/>
          </w:tcPr>
          <w:p w:rsidR="007D3327" w:rsidRPr="00596D01" w:rsidRDefault="007D3327" w:rsidP="00A4014C">
            <w:pPr>
              <w:jc w:val="right"/>
              <w:rPr>
                <w:rStyle w:val="Emphasis"/>
              </w:rPr>
            </w:pPr>
            <w:r w:rsidRPr="00910174">
              <w:rPr>
                <w:rFonts w:ascii="Segoe UI" w:hAnsi="Segoe UI" w:cs="Segoe UI"/>
                <w:color w:val="000000"/>
              </w:rPr>
              <w:t xml:space="preserve">79.7 </w:t>
            </w:r>
          </w:p>
        </w:tc>
        <w:tc>
          <w:tcPr>
            <w:tcW w:w="775" w:type="pct"/>
          </w:tcPr>
          <w:p w:rsidR="007D3327" w:rsidRPr="00910174" w:rsidRDefault="00773E03" w:rsidP="00A4014C">
            <w:pPr>
              <w:jc w:val="right"/>
              <w:rPr>
                <w:rFonts w:ascii="Segoe UI" w:hAnsi="Segoe UI" w:cs="Segoe UI"/>
                <w:color w:val="000000"/>
              </w:rPr>
            </w:pPr>
            <w:r w:rsidRPr="00910174">
              <w:rPr>
                <w:rFonts w:ascii="Segoe UI" w:hAnsi="Segoe UI" w:cs="Segoe UI"/>
                <w:color w:val="000000"/>
              </w:rPr>
              <w:t>7</w:t>
            </w:r>
            <w:r w:rsidR="000E4270" w:rsidRPr="00910174">
              <w:rPr>
                <w:rFonts w:ascii="Segoe UI" w:hAnsi="Segoe UI" w:cs="Segoe UI"/>
                <w:color w:val="000000"/>
              </w:rPr>
              <w:t>7</w:t>
            </w:r>
            <w:r w:rsidRPr="00910174">
              <w:rPr>
                <w:rFonts w:ascii="Segoe UI" w:hAnsi="Segoe UI" w:cs="Segoe UI"/>
                <w:color w:val="000000"/>
              </w:rPr>
              <w:t>.9</w:t>
            </w:r>
          </w:p>
        </w:tc>
      </w:tr>
      <w:tr w:rsidR="007D3327" w:rsidTr="00A4014C">
        <w:trPr>
          <w:trHeight w:val="113"/>
        </w:trPr>
        <w:tc>
          <w:tcPr>
            <w:tcW w:w="902" w:type="pct"/>
          </w:tcPr>
          <w:p w:rsidR="007D3327" w:rsidRPr="00910174" w:rsidRDefault="007D3327" w:rsidP="00E87C93">
            <w:pPr>
              <w:rPr>
                <w:rFonts w:ascii="Segoe UI" w:hAnsi="Segoe UI" w:cs="Segoe UI"/>
                <w:lang w:eastAsia="en-AU"/>
              </w:rPr>
            </w:pPr>
            <w:r w:rsidRPr="00910174">
              <w:rPr>
                <w:rFonts w:ascii="Segoe UI" w:hAnsi="Segoe UI" w:cs="Segoe UI"/>
                <w:lang w:eastAsia="en-AU"/>
              </w:rPr>
              <w:t>Provisionally allocated places</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24,232</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21,047</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28,000</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35,124</w:t>
            </w:r>
          </w:p>
        </w:tc>
        <w:tc>
          <w:tcPr>
            <w:tcW w:w="775" w:type="pct"/>
          </w:tcPr>
          <w:p w:rsidR="00773E03" w:rsidRPr="00910174" w:rsidRDefault="00773E03" w:rsidP="00A4014C">
            <w:pPr>
              <w:jc w:val="right"/>
              <w:rPr>
                <w:rFonts w:ascii="Segoe UI" w:hAnsi="Segoe UI" w:cs="Segoe UI"/>
                <w:color w:val="000000"/>
              </w:rPr>
            </w:pPr>
            <w:r w:rsidRPr="00910174">
              <w:rPr>
                <w:rFonts w:ascii="Segoe UI" w:hAnsi="Segoe UI" w:cs="Segoe UI"/>
                <w:color w:val="000000"/>
              </w:rPr>
              <w:t xml:space="preserve">39,294 </w:t>
            </w:r>
          </w:p>
        </w:tc>
      </w:tr>
      <w:tr w:rsidR="009500C7" w:rsidTr="00A4014C">
        <w:trPr>
          <w:trHeight w:val="113"/>
        </w:trPr>
        <w:tc>
          <w:tcPr>
            <w:tcW w:w="902" w:type="pct"/>
          </w:tcPr>
          <w:p w:rsidR="009500C7" w:rsidRPr="00910174" w:rsidRDefault="009500C7" w:rsidP="00E87C93">
            <w:pPr>
              <w:rPr>
                <w:rFonts w:ascii="Segoe UI" w:hAnsi="Segoe UI" w:cs="Segoe UI"/>
                <w:lang w:eastAsia="en-AU"/>
              </w:rPr>
            </w:pPr>
            <w:r w:rsidRPr="009500C7">
              <w:rPr>
                <w:rFonts w:ascii="Segoe UI" w:hAnsi="Segoe UI" w:cs="Segoe UI"/>
                <w:lang w:eastAsia="en-AU"/>
              </w:rPr>
              <w:t>Provisionally allocated places as proportion of allocated places</w:t>
            </w:r>
          </w:p>
        </w:tc>
        <w:tc>
          <w:tcPr>
            <w:tcW w:w="809" w:type="pct"/>
          </w:tcPr>
          <w:p w:rsidR="009500C7" w:rsidRPr="009500C7" w:rsidRDefault="009500C7" w:rsidP="00A4014C">
            <w:pPr>
              <w:jc w:val="right"/>
              <w:rPr>
                <w:rFonts w:ascii="Segoe UI" w:hAnsi="Segoe UI" w:cs="Segoe UI"/>
                <w:color w:val="000000"/>
              </w:rPr>
            </w:pPr>
            <w:r w:rsidRPr="009500C7">
              <w:rPr>
                <w:rFonts w:ascii="Segoe UI" w:hAnsi="Segoe UI" w:cs="Segoe UI"/>
                <w:color w:val="000000"/>
              </w:rPr>
              <w:t>11.</w:t>
            </w:r>
            <w:r w:rsidR="00AA4467">
              <w:rPr>
                <w:rFonts w:ascii="Segoe UI" w:hAnsi="Segoe UI" w:cs="Segoe UI"/>
                <w:color w:val="000000"/>
              </w:rPr>
              <w:t>2</w:t>
            </w:r>
            <w:r w:rsidRPr="009500C7">
              <w:rPr>
                <w:rFonts w:ascii="Segoe UI" w:hAnsi="Segoe UI" w:cs="Segoe UI"/>
                <w:color w:val="000000"/>
              </w:rPr>
              <w:t>%</w:t>
            </w:r>
          </w:p>
        </w:tc>
        <w:tc>
          <w:tcPr>
            <w:tcW w:w="790" w:type="pct"/>
          </w:tcPr>
          <w:p w:rsidR="009500C7" w:rsidRPr="009500C7" w:rsidRDefault="009500C7" w:rsidP="00A4014C">
            <w:pPr>
              <w:jc w:val="right"/>
              <w:rPr>
                <w:rFonts w:ascii="Segoe UI" w:hAnsi="Segoe UI" w:cs="Segoe UI"/>
                <w:color w:val="000000"/>
              </w:rPr>
            </w:pPr>
            <w:r w:rsidRPr="009500C7">
              <w:rPr>
                <w:rFonts w:ascii="Segoe UI" w:hAnsi="Segoe UI" w:cs="Segoe UI"/>
                <w:color w:val="000000"/>
              </w:rPr>
              <w:t>9.7%</w:t>
            </w:r>
          </w:p>
        </w:tc>
        <w:tc>
          <w:tcPr>
            <w:tcW w:w="862" w:type="pct"/>
          </w:tcPr>
          <w:p w:rsidR="009500C7" w:rsidRPr="009500C7" w:rsidRDefault="009500C7" w:rsidP="00A4014C">
            <w:pPr>
              <w:jc w:val="right"/>
              <w:rPr>
                <w:rFonts w:ascii="Segoe UI" w:hAnsi="Segoe UI" w:cs="Segoe UI"/>
                <w:color w:val="000000"/>
              </w:rPr>
            </w:pPr>
            <w:r w:rsidRPr="009500C7">
              <w:rPr>
                <w:rFonts w:ascii="Segoe UI" w:hAnsi="Segoe UI" w:cs="Segoe UI"/>
                <w:color w:val="000000"/>
              </w:rPr>
              <w:t>12.4%</w:t>
            </w:r>
          </w:p>
        </w:tc>
        <w:tc>
          <w:tcPr>
            <w:tcW w:w="862" w:type="pct"/>
          </w:tcPr>
          <w:p w:rsidR="009500C7" w:rsidRPr="009500C7" w:rsidRDefault="009500C7" w:rsidP="00A4014C">
            <w:pPr>
              <w:jc w:val="right"/>
              <w:rPr>
                <w:rFonts w:ascii="Segoe UI" w:hAnsi="Segoe UI" w:cs="Segoe UI"/>
                <w:color w:val="000000"/>
              </w:rPr>
            </w:pPr>
            <w:r w:rsidRPr="009500C7">
              <w:rPr>
                <w:rFonts w:ascii="Segoe UI" w:hAnsi="Segoe UI" w:cs="Segoe UI"/>
                <w:color w:val="000000"/>
              </w:rPr>
              <w:t>14.7%</w:t>
            </w:r>
          </w:p>
        </w:tc>
        <w:tc>
          <w:tcPr>
            <w:tcW w:w="775" w:type="pct"/>
          </w:tcPr>
          <w:p w:rsidR="009500C7" w:rsidRPr="009500C7" w:rsidRDefault="009500C7" w:rsidP="00A4014C">
            <w:pPr>
              <w:jc w:val="right"/>
              <w:rPr>
                <w:rFonts w:ascii="Segoe UI" w:hAnsi="Segoe UI" w:cs="Segoe UI"/>
                <w:color w:val="000000"/>
              </w:rPr>
            </w:pPr>
            <w:r w:rsidRPr="009500C7">
              <w:rPr>
                <w:rFonts w:ascii="Segoe UI" w:hAnsi="Segoe UI" w:cs="Segoe UI"/>
                <w:color w:val="000000"/>
              </w:rPr>
              <w:t>15.</w:t>
            </w:r>
            <w:r w:rsidR="00AA4467">
              <w:rPr>
                <w:rFonts w:ascii="Segoe UI" w:hAnsi="Segoe UI" w:cs="Segoe UI"/>
                <w:color w:val="000000"/>
              </w:rPr>
              <w:t>9</w:t>
            </w:r>
            <w:r w:rsidRPr="009500C7">
              <w:rPr>
                <w:rFonts w:ascii="Segoe UI" w:hAnsi="Segoe UI" w:cs="Segoe UI"/>
                <w:color w:val="000000"/>
              </w:rPr>
              <w:t>%</w:t>
            </w:r>
          </w:p>
        </w:tc>
      </w:tr>
      <w:tr w:rsidR="007D3327" w:rsidTr="00A4014C">
        <w:trPr>
          <w:trHeight w:val="113"/>
        </w:trPr>
        <w:tc>
          <w:tcPr>
            <w:tcW w:w="902" w:type="pct"/>
          </w:tcPr>
          <w:p w:rsidR="007D3327" w:rsidRPr="00910174" w:rsidRDefault="007D3327" w:rsidP="00E87C93">
            <w:pPr>
              <w:rPr>
                <w:rFonts w:ascii="Segoe UI" w:hAnsi="Segoe UI" w:cs="Segoe UI"/>
                <w:lang w:eastAsia="en-AU"/>
              </w:rPr>
            </w:pPr>
            <w:r w:rsidRPr="00910174">
              <w:rPr>
                <w:rFonts w:ascii="Segoe UI" w:hAnsi="Segoe UI" w:cs="Segoe UI"/>
                <w:lang w:eastAsia="en-AU"/>
              </w:rPr>
              <w:t>Occupancy</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92.7%</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93.0%</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92.5%</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92.4%</w:t>
            </w:r>
          </w:p>
        </w:tc>
        <w:tc>
          <w:tcPr>
            <w:tcW w:w="775" w:type="pct"/>
          </w:tcPr>
          <w:p w:rsidR="007D3327" w:rsidRPr="00910174" w:rsidRDefault="002233C7" w:rsidP="00A4014C">
            <w:pPr>
              <w:jc w:val="right"/>
              <w:rPr>
                <w:rFonts w:ascii="Segoe UI" w:hAnsi="Segoe UI" w:cs="Segoe UI"/>
                <w:color w:val="000000"/>
              </w:rPr>
            </w:pPr>
            <w:r w:rsidRPr="00910174">
              <w:rPr>
                <w:rFonts w:ascii="Segoe UI" w:hAnsi="Segoe UI" w:cs="Segoe UI"/>
                <w:color w:val="000000"/>
              </w:rPr>
              <w:t>91.8%</w:t>
            </w:r>
          </w:p>
        </w:tc>
      </w:tr>
      <w:tr w:rsidR="007D3327" w:rsidTr="00A4014C">
        <w:trPr>
          <w:trHeight w:val="113"/>
        </w:trPr>
        <w:tc>
          <w:tcPr>
            <w:tcW w:w="902" w:type="pct"/>
          </w:tcPr>
          <w:p w:rsidR="007D3327" w:rsidRPr="00A4014C" w:rsidRDefault="007D3327" w:rsidP="00E87C93">
            <w:pPr>
              <w:rPr>
                <w:rStyle w:val="Strong"/>
              </w:rPr>
            </w:pPr>
            <w:r w:rsidRPr="00A4014C">
              <w:rPr>
                <w:rStyle w:val="Strong"/>
              </w:rPr>
              <w:t>Total residents</w:t>
            </w:r>
          </w:p>
        </w:tc>
        <w:tc>
          <w:tcPr>
            <w:tcW w:w="809" w:type="pct"/>
          </w:tcPr>
          <w:p w:rsidR="007D3327" w:rsidRPr="00A4014C" w:rsidRDefault="007D3327" w:rsidP="00A4014C">
            <w:pPr>
              <w:jc w:val="right"/>
              <w:rPr>
                <w:rStyle w:val="Strong"/>
              </w:rPr>
            </w:pPr>
            <w:r w:rsidRPr="00A4014C">
              <w:rPr>
                <w:rStyle w:val="Strong"/>
              </w:rPr>
              <w:t>173,094</w:t>
            </w:r>
          </w:p>
        </w:tc>
        <w:tc>
          <w:tcPr>
            <w:tcW w:w="790" w:type="pct"/>
          </w:tcPr>
          <w:p w:rsidR="007D3327" w:rsidRPr="00A4014C" w:rsidRDefault="007D3327" w:rsidP="00A4014C">
            <w:pPr>
              <w:jc w:val="right"/>
              <w:rPr>
                <w:rStyle w:val="Strong"/>
              </w:rPr>
            </w:pPr>
            <w:r w:rsidRPr="00A4014C">
              <w:rPr>
                <w:rStyle w:val="Strong"/>
              </w:rPr>
              <w:t>176,816</w:t>
            </w:r>
          </w:p>
        </w:tc>
        <w:tc>
          <w:tcPr>
            <w:tcW w:w="862" w:type="pct"/>
          </w:tcPr>
          <w:p w:rsidR="007D3327" w:rsidRPr="00A4014C" w:rsidRDefault="007D3327" w:rsidP="00A4014C">
            <w:pPr>
              <w:jc w:val="right"/>
              <w:rPr>
                <w:rStyle w:val="Strong"/>
              </w:rPr>
            </w:pPr>
            <w:r w:rsidRPr="00A4014C">
              <w:rPr>
                <w:rStyle w:val="Strong"/>
              </w:rPr>
              <w:t>177,820</w:t>
            </w:r>
          </w:p>
        </w:tc>
        <w:tc>
          <w:tcPr>
            <w:tcW w:w="862" w:type="pct"/>
          </w:tcPr>
          <w:p w:rsidR="007D3327" w:rsidRPr="00A4014C" w:rsidRDefault="007D3327" w:rsidP="00A4014C">
            <w:pPr>
              <w:jc w:val="right"/>
              <w:rPr>
                <w:rStyle w:val="Strong"/>
              </w:rPr>
            </w:pPr>
            <w:r w:rsidRPr="00A4014C">
              <w:rPr>
                <w:rStyle w:val="Strong"/>
              </w:rPr>
              <w:t>181,048</w:t>
            </w:r>
          </w:p>
        </w:tc>
        <w:tc>
          <w:tcPr>
            <w:tcW w:w="775" w:type="pct"/>
          </w:tcPr>
          <w:p w:rsidR="007D3327" w:rsidRPr="00A4014C" w:rsidRDefault="002233C7" w:rsidP="00A4014C">
            <w:pPr>
              <w:jc w:val="right"/>
              <w:rPr>
                <w:rStyle w:val="Strong"/>
              </w:rPr>
            </w:pPr>
            <w:r w:rsidRPr="00A4014C">
              <w:rPr>
                <w:rStyle w:val="Strong"/>
              </w:rPr>
              <w:t>184,077</w:t>
            </w:r>
          </w:p>
        </w:tc>
      </w:tr>
      <w:tr w:rsidR="007D3327" w:rsidTr="00A4014C">
        <w:trPr>
          <w:trHeight w:val="113"/>
        </w:trPr>
        <w:tc>
          <w:tcPr>
            <w:tcW w:w="902" w:type="pct"/>
          </w:tcPr>
          <w:p w:rsidR="007D3327" w:rsidRPr="00910174" w:rsidRDefault="00D8721E" w:rsidP="00E87C93">
            <w:pPr>
              <w:tabs>
                <w:tab w:val="left" w:pos="709"/>
              </w:tabs>
              <w:rPr>
                <w:rFonts w:ascii="Segoe UI" w:hAnsi="Segoe UI" w:cs="Segoe UI"/>
                <w:lang w:eastAsia="en-AU"/>
              </w:rPr>
            </w:pPr>
            <w:r>
              <w:rPr>
                <w:rFonts w:ascii="Segoe UI" w:hAnsi="Segoe UI" w:cs="Segoe UI"/>
                <w:lang w:eastAsia="en-AU"/>
              </w:rPr>
              <w:lastRenderedPageBreak/>
              <w:t xml:space="preserve"> – </w:t>
            </w:r>
            <w:r w:rsidR="007D3327" w:rsidRPr="00910174">
              <w:rPr>
                <w:rFonts w:ascii="Segoe UI" w:hAnsi="Segoe UI" w:cs="Segoe UI"/>
                <w:lang w:eastAsia="en-AU"/>
              </w:rPr>
              <w:t>Permanent</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168,968</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173,974</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172,828</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175,989</w:t>
            </w:r>
          </w:p>
        </w:tc>
        <w:tc>
          <w:tcPr>
            <w:tcW w:w="775" w:type="pct"/>
          </w:tcPr>
          <w:p w:rsidR="007D3327" w:rsidRPr="00910174" w:rsidRDefault="00413BA1" w:rsidP="00A4014C">
            <w:pPr>
              <w:jc w:val="right"/>
              <w:rPr>
                <w:rFonts w:ascii="Segoe UI" w:hAnsi="Segoe UI" w:cs="Segoe UI"/>
                <w:color w:val="000000"/>
              </w:rPr>
            </w:pPr>
            <w:r w:rsidRPr="00910174">
              <w:rPr>
                <w:rFonts w:ascii="Segoe UI" w:hAnsi="Segoe UI" w:cs="Segoe UI"/>
                <w:color w:val="000000"/>
              </w:rPr>
              <w:t>178,713</w:t>
            </w:r>
          </w:p>
        </w:tc>
      </w:tr>
      <w:tr w:rsidR="007D3327" w:rsidTr="00A4014C">
        <w:trPr>
          <w:trHeight w:val="113"/>
        </w:trPr>
        <w:tc>
          <w:tcPr>
            <w:tcW w:w="902" w:type="pct"/>
          </w:tcPr>
          <w:p w:rsidR="007D3327" w:rsidRPr="00910174" w:rsidRDefault="00D8721E" w:rsidP="00E87C93">
            <w:pPr>
              <w:tabs>
                <w:tab w:val="left" w:pos="709"/>
              </w:tabs>
              <w:rPr>
                <w:rFonts w:ascii="Segoe UI" w:hAnsi="Segoe UI" w:cs="Segoe UI"/>
                <w:lang w:eastAsia="en-AU"/>
              </w:rPr>
            </w:pPr>
            <w:r>
              <w:rPr>
                <w:rFonts w:ascii="Segoe UI" w:hAnsi="Segoe UI" w:cs="Segoe UI"/>
                <w:lang w:eastAsia="en-AU"/>
              </w:rPr>
              <w:t xml:space="preserve"> – </w:t>
            </w:r>
            <w:r w:rsidR="007D3327" w:rsidRPr="00910174">
              <w:rPr>
                <w:rFonts w:ascii="Segoe UI" w:hAnsi="Segoe UI" w:cs="Segoe UI"/>
                <w:lang w:eastAsia="en-AU"/>
              </w:rPr>
              <w:t>Respite</w:t>
            </w:r>
          </w:p>
        </w:tc>
        <w:tc>
          <w:tcPr>
            <w:tcW w:w="809"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4,126</w:t>
            </w:r>
          </w:p>
        </w:tc>
        <w:tc>
          <w:tcPr>
            <w:tcW w:w="790"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2,842</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4,992</w:t>
            </w:r>
          </w:p>
        </w:tc>
        <w:tc>
          <w:tcPr>
            <w:tcW w:w="862" w:type="pct"/>
          </w:tcPr>
          <w:p w:rsidR="007D3327" w:rsidRPr="00910174" w:rsidRDefault="007D3327" w:rsidP="00A4014C">
            <w:pPr>
              <w:jc w:val="right"/>
              <w:rPr>
                <w:rFonts w:ascii="Segoe UI" w:hAnsi="Segoe UI" w:cs="Segoe UI"/>
                <w:color w:val="000000"/>
              </w:rPr>
            </w:pPr>
            <w:r w:rsidRPr="00910174">
              <w:rPr>
                <w:rFonts w:ascii="Segoe UI" w:hAnsi="Segoe UI" w:cs="Segoe UI"/>
                <w:color w:val="000000"/>
              </w:rPr>
              <w:t>5,059</w:t>
            </w:r>
          </w:p>
        </w:tc>
        <w:tc>
          <w:tcPr>
            <w:tcW w:w="775" w:type="pct"/>
          </w:tcPr>
          <w:p w:rsidR="007D3327" w:rsidRPr="00910174" w:rsidRDefault="00413BA1" w:rsidP="00A4014C">
            <w:pPr>
              <w:jc w:val="right"/>
              <w:rPr>
                <w:rFonts w:ascii="Segoe UI" w:hAnsi="Segoe UI" w:cs="Segoe UI"/>
                <w:color w:val="000000"/>
              </w:rPr>
            </w:pPr>
            <w:r w:rsidRPr="00910174">
              <w:rPr>
                <w:rFonts w:ascii="Segoe UI" w:hAnsi="Segoe UI" w:cs="Segoe UI"/>
                <w:color w:val="000000"/>
              </w:rPr>
              <w:t>5,364</w:t>
            </w:r>
          </w:p>
        </w:tc>
      </w:tr>
    </w:tbl>
    <w:p w:rsidR="00A4014C" w:rsidRDefault="00A4014C" w:rsidP="00A4014C">
      <w:pPr>
        <w:pStyle w:val="SourceNotesHeading"/>
        <w:rPr>
          <w:lang w:val="en-GB"/>
        </w:rPr>
      </w:pPr>
      <w:r>
        <w:rPr>
          <w:lang w:val="en-GB"/>
        </w:rPr>
        <w:t>Notes</w:t>
      </w:r>
    </w:p>
    <w:p w:rsidR="00F2581C" w:rsidRPr="00A4014C" w:rsidRDefault="00C95A3F" w:rsidP="0016704B">
      <w:pPr>
        <w:pStyle w:val="SourceNotesNumbered"/>
        <w:numPr>
          <w:ilvl w:val="0"/>
          <w:numId w:val="22"/>
        </w:numPr>
        <w:rPr>
          <w:lang w:val="en-GB"/>
        </w:rPr>
      </w:pPr>
      <w:r w:rsidRPr="00A4014C">
        <w:rPr>
          <w:lang w:val="en-GB"/>
        </w:rPr>
        <w:t xml:space="preserve">The achieved </w:t>
      </w:r>
      <w:r w:rsidR="00F81A85" w:rsidRPr="00A4014C">
        <w:rPr>
          <w:lang w:val="en-GB"/>
        </w:rPr>
        <w:t xml:space="preserve">residential care </w:t>
      </w:r>
      <w:r w:rsidRPr="00A4014C">
        <w:rPr>
          <w:lang w:val="en-GB"/>
        </w:rPr>
        <w:t>ratio reflect</w:t>
      </w:r>
      <w:r w:rsidR="000E4270" w:rsidRPr="00A4014C">
        <w:rPr>
          <w:lang w:val="en-GB"/>
        </w:rPr>
        <w:t>s</w:t>
      </w:r>
      <w:r w:rsidRPr="00A4014C">
        <w:rPr>
          <w:lang w:val="en-GB"/>
        </w:rPr>
        <w:t xml:space="preserve"> the ta</w:t>
      </w:r>
      <w:r w:rsidR="000E4270" w:rsidRPr="00A4014C">
        <w:rPr>
          <w:lang w:val="en-GB"/>
        </w:rPr>
        <w:t xml:space="preserve">rget </w:t>
      </w:r>
      <w:r w:rsidR="00F81A85" w:rsidRPr="00A4014C">
        <w:rPr>
          <w:lang w:val="en-GB"/>
        </w:rPr>
        <w:t>provision</w:t>
      </w:r>
      <w:r w:rsidR="000E4270" w:rsidRPr="00A4014C">
        <w:rPr>
          <w:lang w:val="en-GB"/>
        </w:rPr>
        <w:t xml:space="preserve"> ratio for</w:t>
      </w:r>
      <w:r w:rsidR="00A261F3" w:rsidRPr="00A4014C">
        <w:rPr>
          <w:lang w:val="en-GB"/>
        </w:rPr>
        <w:t> 202</w:t>
      </w:r>
      <w:r w:rsidR="000E4270" w:rsidRPr="00A4014C">
        <w:rPr>
          <w:lang w:val="en-GB"/>
        </w:rPr>
        <w:t>1</w:t>
      </w:r>
      <w:r w:rsidR="00D8721E" w:rsidRPr="00A4014C">
        <w:rPr>
          <w:lang w:val="en-GB"/>
        </w:rPr>
        <w:t>–2</w:t>
      </w:r>
      <w:r w:rsidR="000E4270" w:rsidRPr="00A4014C">
        <w:rPr>
          <w:lang w:val="en-GB"/>
        </w:rPr>
        <w:t xml:space="preserve">2 of 78 </w:t>
      </w:r>
      <w:r w:rsidR="00163605" w:rsidRPr="00A4014C">
        <w:rPr>
          <w:lang w:val="en-GB"/>
        </w:rPr>
        <w:t>residential places</w:t>
      </w:r>
      <w:r w:rsidR="00ED43AB" w:rsidRPr="00A4014C">
        <w:rPr>
          <w:lang w:val="en-GB"/>
        </w:rPr>
        <w:t>.</w:t>
      </w:r>
    </w:p>
    <w:p w:rsidR="00D8721E" w:rsidRDefault="00F81A85" w:rsidP="00A4014C">
      <w:pPr>
        <w:pStyle w:val="SourceNotesNumbered"/>
      </w:pPr>
      <w:r>
        <w:rPr>
          <w:lang w:val="en-GB"/>
        </w:rPr>
        <w:t>This table e</w:t>
      </w:r>
      <w:proofErr w:type="spellStart"/>
      <w:r w:rsidR="0046120C">
        <w:t>xcludes</w:t>
      </w:r>
      <w:proofErr w:type="spellEnd"/>
      <w:r w:rsidR="0046120C">
        <w:t xml:space="preserve"> flexible care places</w:t>
      </w:r>
      <w:r>
        <w:t>.</w:t>
      </w:r>
    </w:p>
    <w:p w:rsidR="00D8721E" w:rsidRDefault="00492BF8" w:rsidP="00A4014C">
      <w:r>
        <w:fldChar w:fldCharType="begin"/>
      </w:r>
      <w:r>
        <w:instrText xml:space="preserve"> REF _Ref524429465 \r \h </w:instrText>
      </w:r>
      <w:r>
        <w:fldChar w:fldCharType="separate"/>
      </w:r>
      <w:r>
        <w:t>Table 8.2</w:t>
      </w:r>
      <w:r>
        <w:fldChar w:fldCharType="end"/>
      </w:r>
      <w:r>
        <w:t xml:space="preserve"> </w:t>
      </w:r>
      <w:r w:rsidR="000E4270">
        <w:t xml:space="preserve">shows a breakdown of residential care providers as at </w:t>
      </w:r>
      <w:r w:rsidR="00A261F3">
        <w:t>30 J</w:t>
      </w:r>
      <w:r w:rsidR="000E4270">
        <w:t>une</w:t>
      </w:r>
      <w:r w:rsidR="00A261F3">
        <w:t> 201</w:t>
      </w:r>
      <w:r w:rsidR="000E4270">
        <w:t>7, presented by ownership type, location and scale.</w:t>
      </w:r>
    </w:p>
    <w:p w:rsidR="00742E34" w:rsidRPr="00596D01" w:rsidRDefault="00436A66" w:rsidP="00A4014C">
      <w:pPr>
        <w:pStyle w:val="TableTitle"/>
      </w:pPr>
      <w:bookmarkStart w:id="590" w:name="_Ref423080003"/>
      <w:bookmarkStart w:id="591" w:name="_Ref524429465"/>
      <w:r w:rsidRPr="00596D01">
        <w:t>Number of p</w:t>
      </w:r>
      <w:r w:rsidR="00742E34" w:rsidRPr="00596D01">
        <w:t xml:space="preserve">roviders, </w:t>
      </w:r>
      <w:r w:rsidR="007D17F7" w:rsidRPr="00596D01">
        <w:t>facilities</w:t>
      </w:r>
      <w:r w:rsidR="00742E34" w:rsidRPr="00596D01">
        <w:t>, places and residents in residential care,</w:t>
      </w:r>
      <w:r w:rsidR="00A261F3" w:rsidRPr="00596D01">
        <w:t> 201</w:t>
      </w:r>
      <w:bookmarkEnd w:id="590"/>
      <w:r w:rsidR="00061D46" w:rsidRPr="00596D01">
        <w:t>6</w:t>
      </w:r>
      <w:r w:rsidR="00D8721E" w:rsidRPr="00596D01">
        <w:t>–1</w:t>
      </w:r>
      <w:r w:rsidR="00061D46" w:rsidRPr="00596D01">
        <w:t>7</w:t>
      </w:r>
      <w:bookmarkEnd w:id="591"/>
    </w:p>
    <w:tbl>
      <w:tblPr>
        <w:tblStyle w:val="DefaultTable1"/>
        <w:tblW w:w="5000" w:type="pct"/>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235"/>
        <w:gridCol w:w="825"/>
        <w:gridCol w:w="736"/>
        <w:gridCol w:w="736"/>
        <w:gridCol w:w="667"/>
        <w:gridCol w:w="575"/>
        <w:gridCol w:w="760"/>
        <w:gridCol w:w="667"/>
        <w:gridCol w:w="736"/>
        <w:gridCol w:w="667"/>
        <w:gridCol w:w="667"/>
        <w:gridCol w:w="667"/>
        <w:gridCol w:w="690"/>
      </w:tblGrid>
      <w:tr w:rsidR="00A4014C" w:rsidRPr="00A4014C"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652" w:type="pct"/>
            <w:tcBorders>
              <w:right w:val="single" w:sz="4" w:space="0" w:color="FFFFFF" w:themeColor="background1"/>
            </w:tcBorders>
            <w:hideMark/>
          </w:tcPr>
          <w:p w:rsidR="00B54FA7" w:rsidRPr="00A4014C" w:rsidRDefault="00B54FA7" w:rsidP="00A4014C">
            <w:r w:rsidRPr="00A4014C">
              <w:t> </w:t>
            </w:r>
          </w:p>
        </w:tc>
        <w:tc>
          <w:tcPr>
            <w:tcW w:w="800" w:type="pct"/>
            <w:gridSpan w:val="2"/>
            <w:tcBorders>
              <w:left w:val="single" w:sz="4" w:space="0" w:color="FFFFFF" w:themeColor="background1"/>
              <w:right w:val="single" w:sz="4" w:space="0" w:color="FFFFFF" w:themeColor="background1"/>
            </w:tcBorders>
            <w:hideMark/>
          </w:tcPr>
          <w:p w:rsidR="00B54FA7" w:rsidRPr="00A4014C" w:rsidRDefault="00B54FA7" w:rsidP="00A4014C">
            <w:r w:rsidRPr="00A4014C">
              <w:t> </w:t>
            </w:r>
          </w:p>
        </w:tc>
        <w:tc>
          <w:tcPr>
            <w:tcW w:w="988" w:type="pct"/>
            <w:gridSpan w:val="3"/>
            <w:tcBorders>
              <w:left w:val="single" w:sz="4" w:space="0" w:color="FFFFFF" w:themeColor="background1"/>
              <w:right w:val="single" w:sz="4" w:space="0" w:color="FFFFFF" w:themeColor="background1"/>
            </w:tcBorders>
            <w:hideMark/>
          </w:tcPr>
          <w:p w:rsidR="00B54FA7" w:rsidRPr="00A4014C" w:rsidRDefault="00B54FA7" w:rsidP="00A4014C">
            <w:pPr>
              <w:jc w:val="center"/>
            </w:pPr>
            <w:r w:rsidRPr="00A4014C">
              <w:t>Ownership type</w:t>
            </w:r>
          </w:p>
        </w:tc>
        <w:tc>
          <w:tcPr>
            <w:tcW w:w="1120" w:type="pct"/>
            <w:gridSpan w:val="3"/>
            <w:tcBorders>
              <w:left w:val="single" w:sz="4" w:space="0" w:color="FFFFFF" w:themeColor="background1"/>
              <w:right w:val="single" w:sz="4" w:space="0" w:color="FFFFFF" w:themeColor="background1"/>
            </w:tcBorders>
            <w:hideMark/>
          </w:tcPr>
          <w:p w:rsidR="00B54FA7" w:rsidRPr="00A4014C" w:rsidRDefault="00E032B1" w:rsidP="00A4014C">
            <w:pPr>
              <w:jc w:val="center"/>
            </w:pPr>
            <w:r w:rsidRPr="00A4014C">
              <w:t>L</w:t>
            </w:r>
            <w:r w:rsidR="00B54FA7" w:rsidRPr="00A4014C">
              <w:t>ocation</w:t>
            </w:r>
          </w:p>
        </w:tc>
        <w:tc>
          <w:tcPr>
            <w:tcW w:w="1439" w:type="pct"/>
            <w:gridSpan w:val="4"/>
            <w:tcBorders>
              <w:left w:val="single" w:sz="4" w:space="0" w:color="FFFFFF" w:themeColor="background1"/>
            </w:tcBorders>
            <w:hideMark/>
          </w:tcPr>
          <w:p w:rsidR="00B54FA7" w:rsidRPr="00A4014C" w:rsidRDefault="00E032B1" w:rsidP="00A4014C">
            <w:pPr>
              <w:jc w:val="center"/>
            </w:pPr>
            <w:r w:rsidRPr="00A4014C">
              <w:t>Scale</w:t>
            </w:r>
          </w:p>
        </w:tc>
      </w:tr>
      <w:tr w:rsidR="00A4014C" w:rsidRPr="00A4014C" w:rsidTr="00A4014C">
        <w:trPr>
          <w:cnfStyle w:val="100000000000" w:firstRow="1" w:lastRow="0" w:firstColumn="0" w:lastColumn="0" w:oddVBand="0" w:evenVBand="0" w:oddHBand="0" w:evenHBand="0" w:firstRowFirstColumn="0" w:firstRowLastColumn="0" w:lastRowFirstColumn="0" w:lastRowLastColumn="0"/>
          <w:trHeight w:val="2167"/>
          <w:tblHeader/>
        </w:trPr>
        <w:tc>
          <w:tcPr>
            <w:tcW w:w="652" w:type="pct"/>
            <w:tcBorders>
              <w:right w:val="single" w:sz="4" w:space="0" w:color="FFFFFF" w:themeColor="background1"/>
            </w:tcBorders>
            <w:hideMark/>
          </w:tcPr>
          <w:p w:rsidR="00B54FA7" w:rsidRPr="00A4014C" w:rsidRDefault="00B54FA7" w:rsidP="00A4014C">
            <w:r w:rsidRPr="00A4014C">
              <w:t> </w:t>
            </w:r>
          </w:p>
        </w:tc>
        <w:tc>
          <w:tcPr>
            <w:tcW w:w="439" w:type="pct"/>
            <w:tcBorders>
              <w:left w:val="single" w:sz="4" w:space="0" w:color="FFFFFF" w:themeColor="background1"/>
              <w:right w:val="single" w:sz="4" w:space="0" w:color="FFFFFF" w:themeColor="background1"/>
            </w:tcBorders>
            <w:textDirection w:val="btLr"/>
            <w:hideMark/>
          </w:tcPr>
          <w:p w:rsidR="00B54FA7" w:rsidRPr="00A4014C" w:rsidRDefault="005E42A1" w:rsidP="00A4014C">
            <w:r w:rsidRPr="00A4014C">
              <w:t>Total sector</w:t>
            </w:r>
            <w:r w:rsidR="00A261F3" w:rsidRPr="00A4014C">
              <w:t> 201</w:t>
            </w:r>
            <w:r w:rsidRPr="00A4014C">
              <w:t>5</w:t>
            </w:r>
            <w:r w:rsidR="00D8721E" w:rsidRPr="00A4014C">
              <w:t>–1</w:t>
            </w:r>
            <w:r w:rsidRPr="00A4014C">
              <w:t>6</w:t>
            </w:r>
          </w:p>
        </w:tc>
        <w:tc>
          <w:tcPr>
            <w:tcW w:w="361" w:type="pct"/>
            <w:tcBorders>
              <w:left w:val="single" w:sz="4" w:space="0" w:color="FFFFFF" w:themeColor="background1"/>
              <w:right w:val="single" w:sz="4" w:space="0" w:color="FFFFFF" w:themeColor="background1"/>
            </w:tcBorders>
            <w:textDirection w:val="btLr"/>
            <w:hideMark/>
          </w:tcPr>
          <w:p w:rsidR="00B54FA7" w:rsidRPr="00A4014C" w:rsidRDefault="005E42A1" w:rsidP="00A4014C">
            <w:r w:rsidRPr="00A4014C">
              <w:t>Total sector</w:t>
            </w:r>
            <w:r w:rsidR="00A261F3" w:rsidRPr="00A4014C">
              <w:t> 201</w:t>
            </w:r>
            <w:r w:rsidRPr="00A4014C">
              <w:t>6</w:t>
            </w:r>
            <w:r w:rsidR="00D8721E" w:rsidRPr="00A4014C">
              <w:t>–1</w:t>
            </w:r>
            <w:r w:rsidRPr="00A4014C">
              <w:t>7</w:t>
            </w:r>
          </w:p>
        </w:tc>
        <w:tc>
          <w:tcPr>
            <w:tcW w:w="322"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Not-for-profit</w:t>
            </w:r>
          </w:p>
        </w:tc>
        <w:tc>
          <w:tcPr>
            <w:tcW w:w="357"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For-profit</w:t>
            </w:r>
          </w:p>
        </w:tc>
        <w:tc>
          <w:tcPr>
            <w:tcW w:w="309"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Government</w:t>
            </w:r>
          </w:p>
        </w:tc>
        <w:tc>
          <w:tcPr>
            <w:tcW w:w="405"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Metropolitan</w:t>
            </w:r>
          </w:p>
        </w:tc>
        <w:tc>
          <w:tcPr>
            <w:tcW w:w="357"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Regional</w:t>
            </w:r>
          </w:p>
        </w:tc>
        <w:tc>
          <w:tcPr>
            <w:tcW w:w="358"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 xml:space="preserve">Metropolitan &amp; </w:t>
            </w:r>
            <w:r w:rsidR="00520573" w:rsidRPr="00A4014C">
              <w:t>r</w:t>
            </w:r>
            <w:r w:rsidRPr="00A4014C">
              <w:t>egional</w:t>
            </w:r>
          </w:p>
        </w:tc>
        <w:tc>
          <w:tcPr>
            <w:tcW w:w="357"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Single home</w:t>
            </w:r>
          </w:p>
        </w:tc>
        <w:tc>
          <w:tcPr>
            <w:tcW w:w="357"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2 To 6 homes</w:t>
            </w:r>
          </w:p>
        </w:tc>
        <w:tc>
          <w:tcPr>
            <w:tcW w:w="357" w:type="pct"/>
            <w:tcBorders>
              <w:left w:val="single" w:sz="4" w:space="0" w:color="FFFFFF" w:themeColor="background1"/>
              <w:right w:val="single" w:sz="4" w:space="0" w:color="FFFFFF" w:themeColor="background1"/>
            </w:tcBorders>
            <w:textDirection w:val="btLr"/>
            <w:hideMark/>
          </w:tcPr>
          <w:p w:rsidR="00B54FA7" w:rsidRPr="00A4014C" w:rsidRDefault="00B54FA7" w:rsidP="00A4014C">
            <w:r w:rsidRPr="00A4014C">
              <w:t>7 To 19 homes</w:t>
            </w:r>
          </w:p>
        </w:tc>
        <w:tc>
          <w:tcPr>
            <w:tcW w:w="368" w:type="pct"/>
            <w:tcBorders>
              <w:left w:val="single" w:sz="4" w:space="0" w:color="FFFFFF" w:themeColor="background1"/>
            </w:tcBorders>
            <w:textDirection w:val="btLr"/>
            <w:hideMark/>
          </w:tcPr>
          <w:p w:rsidR="00B54FA7" w:rsidRPr="00A4014C" w:rsidRDefault="00B54FA7" w:rsidP="00A4014C">
            <w:r w:rsidRPr="00A4014C">
              <w:t xml:space="preserve">20 &amp; </w:t>
            </w:r>
            <w:r w:rsidR="00520573" w:rsidRPr="00A4014C">
              <w:t>m</w:t>
            </w:r>
            <w:r w:rsidRPr="00A4014C">
              <w:t>ore homes</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Providers</w:t>
            </w:r>
          </w:p>
        </w:tc>
        <w:tc>
          <w:tcPr>
            <w:tcW w:w="439" w:type="pct"/>
          </w:tcPr>
          <w:p w:rsidR="000458D0" w:rsidRPr="00A4014C" w:rsidRDefault="000458D0" w:rsidP="00784A63">
            <w:pPr>
              <w:jc w:val="right"/>
              <w:rPr>
                <w:sz w:val="18"/>
                <w:szCs w:val="18"/>
              </w:rPr>
            </w:pPr>
            <w:r w:rsidRPr="00A4014C">
              <w:rPr>
                <w:sz w:val="18"/>
                <w:szCs w:val="18"/>
              </w:rPr>
              <w:t>949</w:t>
            </w:r>
          </w:p>
        </w:tc>
        <w:tc>
          <w:tcPr>
            <w:tcW w:w="361" w:type="pct"/>
          </w:tcPr>
          <w:p w:rsidR="000458D0" w:rsidRPr="00A4014C" w:rsidRDefault="000458D0" w:rsidP="00784A63">
            <w:pPr>
              <w:jc w:val="right"/>
              <w:rPr>
                <w:sz w:val="18"/>
                <w:szCs w:val="18"/>
              </w:rPr>
            </w:pPr>
            <w:r w:rsidRPr="00A4014C">
              <w:rPr>
                <w:sz w:val="18"/>
                <w:szCs w:val="18"/>
              </w:rPr>
              <w:t>902</w:t>
            </w:r>
          </w:p>
        </w:tc>
        <w:tc>
          <w:tcPr>
            <w:tcW w:w="322" w:type="pct"/>
          </w:tcPr>
          <w:p w:rsidR="000458D0" w:rsidRPr="00A4014C" w:rsidRDefault="000458D0" w:rsidP="00784A63">
            <w:pPr>
              <w:jc w:val="right"/>
              <w:rPr>
                <w:sz w:val="18"/>
                <w:szCs w:val="18"/>
              </w:rPr>
            </w:pPr>
            <w:r w:rsidRPr="00A4014C">
              <w:rPr>
                <w:sz w:val="18"/>
                <w:szCs w:val="18"/>
              </w:rPr>
              <w:t>50</w:t>
            </w:r>
            <w:r w:rsidR="007D4FAD" w:rsidRPr="00A4014C">
              <w:rPr>
                <w:sz w:val="18"/>
                <w:szCs w:val="18"/>
              </w:rPr>
              <w:t>5</w:t>
            </w:r>
          </w:p>
        </w:tc>
        <w:tc>
          <w:tcPr>
            <w:tcW w:w="357" w:type="pct"/>
          </w:tcPr>
          <w:p w:rsidR="000458D0" w:rsidRPr="00A4014C" w:rsidRDefault="000458D0" w:rsidP="00784A63">
            <w:pPr>
              <w:jc w:val="right"/>
              <w:rPr>
                <w:sz w:val="18"/>
                <w:szCs w:val="18"/>
              </w:rPr>
            </w:pPr>
            <w:r w:rsidRPr="00A4014C">
              <w:rPr>
                <w:sz w:val="18"/>
                <w:szCs w:val="18"/>
              </w:rPr>
              <w:t>30</w:t>
            </w:r>
            <w:r w:rsidR="007D4FAD" w:rsidRPr="00A4014C">
              <w:rPr>
                <w:sz w:val="18"/>
                <w:szCs w:val="18"/>
              </w:rPr>
              <w:t>1</w:t>
            </w:r>
          </w:p>
        </w:tc>
        <w:tc>
          <w:tcPr>
            <w:tcW w:w="309" w:type="pct"/>
          </w:tcPr>
          <w:p w:rsidR="000458D0" w:rsidRPr="00A4014C" w:rsidRDefault="000458D0" w:rsidP="00784A63">
            <w:pPr>
              <w:jc w:val="right"/>
              <w:rPr>
                <w:sz w:val="18"/>
                <w:szCs w:val="18"/>
              </w:rPr>
            </w:pPr>
            <w:r w:rsidRPr="00A4014C">
              <w:rPr>
                <w:sz w:val="18"/>
                <w:szCs w:val="18"/>
              </w:rPr>
              <w:t>96</w:t>
            </w:r>
          </w:p>
        </w:tc>
        <w:tc>
          <w:tcPr>
            <w:tcW w:w="405" w:type="pct"/>
          </w:tcPr>
          <w:p w:rsidR="000458D0" w:rsidRPr="00A4014C" w:rsidRDefault="002A14F9" w:rsidP="00784A63">
            <w:pPr>
              <w:jc w:val="right"/>
              <w:rPr>
                <w:sz w:val="18"/>
                <w:szCs w:val="18"/>
              </w:rPr>
            </w:pPr>
            <w:r w:rsidRPr="00A4014C">
              <w:rPr>
                <w:sz w:val="18"/>
                <w:szCs w:val="18"/>
              </w:rPr>
              <w:t>457</w:t>
            </w:r>
          </w:p>
        </w:tc>
        <w:tc>
          <w:tcPr>
            <w:tcW w:w="357" w:type="pct"/>
          </w:tcPr>
          <w:p w:rsidR="000458D0" w:rsidRPr="00A4014C" w:rsidRDefault="000458D0" w:rsidP="00784A63">
            <w:pPr>
              <w:jc w:val="right"/>
              <w:rPr>
                <w:sz w:val="18"/>
                <w:szCs w:val="18"/>
              </w:rPr>
            </w:pPr>
            <w:r w:rsidRPr="00A4014C">
              <w:rPr>
                <w:sz w:val="18"/>
                <w:szCs w:val="18"/>
              </w:rPr>
              <w:t>35</w:t>
            </w:r>
            <w:r w:rsidR="002A14F9" w:rsidRPr="00A4014C">
              <w:rPr>
                <w:sz w:val="18"/>
                <w:szCs w:val="18"/>
              </w:rPr>
              <w:t>5</w:t>
            </w:r>
          </w:p>
        </w:tc>
        <w:tc>
          <w:tcPr>
            <w:tcW w:w="358" w:type="pct"/>
          </w:tcPr>
          <w:p w:rsidR="000458D0" w:rsidRPr="00A4014C" w:rsidRDefault="002A14F9" w:rsidP="00784A63">
            <w:pPr>
              <w:jc w:val="right"/>
              <w:rPr>
                <w:sz w:val="18"/>
                <w:szCs w:val="18"/>
              </w:rPr>
            </w:pPr>
            <w:r w:rsidRPr="00A4014C">
              <w:rPr>
                <w:sz w:val="18"/>
                <w:szCs w:val="18"/>
              </w:rPr>
              <w:t>90</w:t>
            </w:r>
          </w:p>
        </w:tc>
        <w:tc>
          <w:tcPr>
            <w:tcW w:w="357" w:type="pct"/>
          </w:tcPr>
          <w:p w:rsidR="000458D0" w:rsidRPr="00A4014C" w:rsidRDefault="000458D0" w:rsidP="00784A63">
            <w:pPr>
              <w:jc w:val="right"/>
              <w:rPr>
                <w:sz w:val="18"/>
                <w:szCs w:val="18"/>
              </w:rPr>
            </w:pPr>
            <w:r w:rsidRPr="00A4014C">
              <w:rPr>
                <w:sz w:val="18"/>
                <w:szCs w:val="18"/>
              </w:rPr>
              <w:t>57</w:t>
            </w:r>
            <w:r w:rsidR="007D4FAD" w:rsidRPr="00A4014C">
              <w:rPr>
                <w:sz w:val="18"/>
                <w:szCs w:val="18"/>
              </w:rPr>
              <w:t>2</w:t>
            </w:r>
          </w:p>
        </w:tc>
        <w:tc>
          <w:tcPr>
            <w:tcW w:w="357" w:type="pct"/>
          </w:tcPr>
          <w:p w:rsidR="000458D0" w:rsidRPr="00A4014C" w:rsidRDefault="000458D0" w:rsidP="00784A63">
            <w:pPr>
              <w:jc w:val="right"/>
              <w:rPr>
                <w:sz w:val="18"/>
                <w:szCs w:val="18"/>
              </w:rPr>
            </w:pPr>
            <w:r w:rsidRPr="00A4014C">
              <w:rPr>
                <w:sz w:val="18"/>
                <w:szCs w:val="18"/>
              </w:rPr>
              <w:t>256</w:t>
            </w:r>
          </w:p>
        </w:tc>
        <w:tc>
          <w:tcPr>
            <w:tcW w:w="357" w:type="pct"/>
          </w:tcPr>
          <w:p w:rsidR="000458D0" w:rsidRPr="00A4014C" w:rsidRDefault="000458D0" w:rsidP="00784A63">
            <w:pPr>
              <w:jc w:val="right"/>
              <w:rPr>
                <w:sz w:val="18"/>
                <w:szCs w:val="18"/>
              </w:rPr>
            </w:pPr>
            <w:r w:rsidRPr="00A4014C">
              <w:rPr>
                <w:sz w:val="18"/>
                <w:szCs w:val="18"/>
              </w:rPr>
              <w:t>5</w:t>
            </w:r>
            <w:r w:rsidR="007D4FAD" w:rsidRPr="00A4014C">
              <w:rPr>
                <w:sz w:val="18"/>
                <w:szCs w:val="18"/>
              </w:rPr>
              <w:t>3</w:t>
            </w:r>
          </w:p>
        </w:tc>
        <w:tc>
          <w:tcPr>
            <w:tcW w:w="368" w:type="pct"/>
          </w:tcPr>
          <w:p w:rsidR="000458D0" w:rsidRPr="00A4014C" w:rsidRDefault="000458D0" w:rsidP="00784A63">
            <w:pPr>
              <w:jc w:val="right"/>
              <w:rPr>
                <w:sz w:val="18"/>
                <w:szCs w:val="18"/>
              </w:rPr>
            </w:pPr>
            <w:r w:rsidRPr="00A4014C">
              <w:rPr>
                <w:sz w:val="18"/>
                <w:szCs w:val="18"/>
              </w:rPr>
              <w:t>21</w:t>
            </w:r>
          </w:p>
        </w:tc>
      </w:tr>
      <w:tr w:rsidR="00A4014C" w:rsidRPr="00A4014C" w:rsidTr="00784A63">
        <w:trPr>
          <w:trHeight w:val="113"/>
        </w:trPr>
        <w:tc>
          <w:tcPr>
            <w:tcW w:w="652" w:type="pct"/>
            <w:hideMark/>
          </w:tcPr>
          <w:p w:rsidR="000458D0" w:rsidRPr="00A4014C" w:rsidRDefault="007D17F7" w:rsidP="00A4014C">
            <w:pPr>
              <w:rPr>
                <w:sz w:val="18"/>
                <w:szCs w:val="18"/>
              </w:rPr>
            </w:pPr>
            <w:r w:rsidRPr="00A4014C">
              <w:rPr>
                <w:sz w:val="18"/>
                <w:szCs w:val="18"/>
              </w:rPr>
              <w:t>Facilities</w:t>
            </w:r>
          </w:p>
        </w:tc>
        <w:tc>
          <w:tcPr>
            <w:tcW w:w="439" w:type="pct"/>
          </w:tcPr>
          <w:p w:rsidR="000458D0" w:rsidRPr="00A4014C" w:rsidRDefault="000458D0" w:rsidP="00784A63">
            <w:pPr>
              <w:jc w:val="right"/>
              <w:rPr>
                <w:sz w:val="18"/>
                <w:szCs w:val="18"/>
              </w:rPr>
            </w:pPr>
            <w:r w:rsidRPr="00A4014C">
              <w:rPr>
                <w:sz w:val="18"/>
                <w:szCs w:val="18"/>
              </w:rPr>
              <w:t>2,669</w:t>
            </w:r>
          </w:p>
        </w:tc>
        <w:tc>
          <w:tcPr>
            <w:tcW w:w="361" w:type="pct"/>
          </w:tcPr>
          <w:p w:rsidR="000458D0" w:rsidRPr="00A4014C" w:rsidRDefault="000458D0" w:rsidP="00784A63">
            <w:pPr>
              <w:jc w:val="right"/>
              <w:rPr>
                <w:sz w:val="18"/>
                <w:szCs w:val="18"/>
              </w:rPr>
            </w:pPr>
            <w:r w:rsidRPr="00A4014C">
              <w:rPr>
                <w:sz w:val="18"/>
                <w:szCs w:val="18"/>
              </w:rPr>
              <w:t>2,6</w:t>
            </w:r>
            <w:r w:rsidR="002A14F9" w:rsidRPr="00A4014C">
              <w:rPr>
                <w:sz w:val="18"/>
                <w:szCs w:val="18"/>
              </w:rPr>
              <w:t>72</w:t>
            </w:r>
          </w:p>
        </w:tc>
        <w:tc>
          <w:tcPr>
            <w:tcW w:w="322" w:type="pct"/>
          </w:tcPr>
          <w:p w:rsidR="000458D0" w:rsidRPr="00A4014C" w:rsidRDefault="000458D0" w:rsidP="00784A63">
            <w:pPr>
              <w:jc w:val="right"/>
              <w:rPr>
                <w:sz w:val="18"/>
                <w:szCs w:val="18"/>
              </w:rPr>
            </w:pPr>
            <w:r w:rsidRPr="00A4014C">
              <w:rPr>
                <w:sz w:val="18"/>
                <w:szCs w:val="18"/>
              </w:rPr>
              <w:t>1</w:t>
            </w:r>
            <w:r w:rsidR="00CD4040" w:rsidRPr="00A4014C">
              <w:rPr>
                <w:sz w:val="18"/>
                <w:szCs w:val="18"/>
              </w:rPr>
              <w:t>,</w:t>
            </w:r>
            <w:r w:rsidRPr="00A4014C">
              <w:rPr>
                <w:sz w:val="18"/>
                <w:szCs w:val="18"/>
              </w:rPr>
              <w:t>54</w:t>
            </w:r>
            <w:r w:rsidR="002A14F9" w:rsidRPr="00A4014C">
              <w:rPr>
                <w:sz w:val="18"/>
                <w:szCs w:val="18"/>
              </w:rPr>
              <w:t>9</w:t>
            </w:r>
          </w:p>
        </w:tc>
        <w:tc>
          <w:tcPr>
            <w:tcW w:w="357" w:type="pct"/>
          </w:tcPr>
          <w:p w:rsidR="000458D0" w:rsidRPr="00A4014C" w:rsidRDefault="000458D0" w:rsidP="00784A63">
            <w:pPr>
              <w:jc w:val="right"/>
              <w:rPr>
                <w:sz w:val="18"/>
                <w:szCs w:val="18"/>
              </w:rPr>
            </w:pPr>
            <w:r w:rsidRPr="00A4014C">
              <w:rPr>
                <w:sz w:val="18"/>
                <w:szCs w:val="18"/>
              </w:rPr>
              <w:t>880</w:t>
            </w:r>
          </w:p>
        </w:tc>
        <w:tc>
          <w:tcPr>
            <w:tcW w:w="309" w:type="pct"/>
          </w:tcPr>
          <w:p w:rsidR="000458D0" w:rsidRPr="00A4014C" w:rsidRDefault="000458D0" w:rsidP="00784A63">
            <w:pPr>
              <w:jc w:val="right"/>
              <w:rPr>
                <w:sz w:val="18"/>
                <w:szCs w:val="18"/>
              </w:rPr>
            </w:pPr>
            <w:r w:rsidRPr="00A4014C">
              <w:rPr>
                <w:sz w:val="18"/>
                <w:szCs w:val="18"/>
              </w:rPr>
              <w:t>243</w:t>
            </w:r>
          </w:p>
        </w:tc>
        <w:tc>
          <w:tcPr>
            <w:tcW w:w="405" w:type="pct"/>
          </w:tcPr>
          <w:p w:rsidR="000458D0" w:rsidRPr="00A4014C" w:rsidRDefault="002A14F9" w:rsidP="00784A63">
            <w:pPr>
              <w:jc w:val="right"/>
              <w:rPr>
                <w:sz w:val="18"/>
                <w:szCs w:val="18"/>
              </w:rPr>
            </w:pPr>
            <w:r w:rsidRPr="00A4014C">
              <w:rPr>
                <w:sz w:val="18"/>
                <w:szCs w:val="18"/>
              </w:rPr>
              <w:t>740</w:t>
            </w:r>
          </w:p>
        </w:tc>
        <w:tc>
          <w:tcPr>
            <w:tcW w:w="357" w:type="pct"/>
          </w:tcPr>
          <w:p w:rsidR="000458D0" w:rsidRPr="00A4014C" w:rsidRDefault="002A14F9" w:rsidP="00784A63">
            <w:pPr>
              <w:jc w:val="right"/>
              <w:rPr>
                <w:sz w:val="18"/>
                <w:szCs w:val="18"/>
              </w:rPr>
            </w:pPr>
            <w:r w:rsidRPr="00A4014C">
              <w:rPr>
                <w:sz w:val="18"/>
                <w:szCs w:val="18"/>
              </w:rPr>
              <w:t>592</w:t>
            </w:r>
          </w:p>
        </w:tc>
        <w:tc>
          <w:tcPr>
            <w:tcW w:w="358" w:type="pct"/>
          </w:tcPr>
          <w:p w:rsidR="000458D0" w:rsidRPr="00A4014C" w:rsidRDefault="002A14F9" w:rsidP="00784A63">
            <w:pPr>
              <w:jc w:val="right"/>
              <w:rPr>
                <w:sz w:val="18"/>
                <w:szCs w:val="18"/>
              </w:rPr>
            </w:pPr>
            <w:r w:rsidRPr="00A4014C">
              <w:rPr>
                <w:sz w:val="18"/>
                <w:szCs w:val="18"/>
              </w:rPr>
              <w:t>1,340</w:t>
            </w:r>
          </w:p>
        </w:tc>
        <w:tc>
          <w:tcPr>
            <w:tcW w:w="357" w:type="pct"/>
          </w:tcPr>
          <w:p w:rsidR="000458D0" w:rsidRPr="00A4014C" w:rsidRDefault="002A14F9" w:rsidP="00784A63">
            <w:pPr>
              <w:jc w:val="right"/>
              <w:rPr>
                <w:sz w:val="18"/>
                <w:szCs w:val="18"/>
              </w:rPr>
            </w:pPr>
            <w:r w:rsidRPr="00A4014C">
              <w:rPr>
                <w:sz w:val="18"/>
                <w:szCs w:val="18"/>
              </w:rPr>
              <w:t>572</w:t>
            </w:r>
          </w:p>
        </w:tc>
        <w:tc>
          <w:tcPr>
            <w:tcW w:w="357" w:type="pct"/>
          </w:tcPr>
          <w:p w:rsidR="000458D0" w:rsidRPr="00A4014C" w:rsidRDefault="002A14F9" w:rsidP="00784A63">
            <w:pPr>
              <w:jc w:val="right"/>
              <w:rPr>
                <w:sz w:val="18"/>
                <w:szCs w:val="18"/>
              </w:rPr>
            </w:pPr>
            <w:r w:rsidRPr="00A4014C">
              <w:rPr>
                <w:sz w:val="18"/>
                <w:szCs w:val="18"/>
              </w:rPr>
              <w:t>738</w:t>
            </w:r>
          </w:p>
        </w:tc>
        <w:tc>
          <w:tcPr>
            <w:tcW w:w="357" w:type="pct"/>
          </w:tcPr>
          <w:p w:rsidR="000458D0" w:rsidRPr="00A4014C" w:rsidRDefault="000458D0" w:rsidP="00784A63">
            <w:pPr>
              <w:jc w:val="right"/>
              <w:rPr>
                <w:sz w:val="18"/>
                <w:szCs w:val="18"/>
              </w:rPr>
            </w:pPr>
            <w:r w:rsidRPr="00A4014C">
              <w:rPr>
                <w:sz w:val="18"/>
                <w:szCs w:val="18"/>
              </w:rPr>
              <w:t>589</w:t>
            </w:r>
          </w:p>
        </w:tc>
        <w:tc>
          <w:tcPr>
            <w:tcW w:w="368" w:type="pct"/>
          </w:tcPr>
          <w:p w:rsidR="000458D0" w:rsidRPr="00A4014C" w:rsidRDefault="000458D0" w:rsidP="00784A63">
            <w:pPr>
              <w:jc w:val="right"/>
              <w:rPr>
                <w:sz w:val="18"/>
                <w:szCs w:val="18"/>
              </w:rPr>
            </w:pPr>
            <w:r w:rsidRPr="00A4014C">
              <w:rPr>
                <w:sz w:val="18"/>
                <w:szCs w:val="18"/>
              </w:rPr>
              <w:t>773</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Operational places</w:t>
            </w:r>
          </w:p>
        </w:tc>
        <w:tc>
          <w:tcPr>
            <w:tcW w:w="439" w:type="pct"/>
          </w:tcPr>
          <w:p w:rsidR="000458D0" w:rsidRPr="00A4014C" w:rsidRDefault="000458D0" w:rsidP="00784A63">
            <w:pPr>
              <w:jc w:val="right"/>
              <w:rPr>
                <w:sz w:val="18"/>
                <w:szCs w:val="18"/>
              </w:rPr>
            </w:pPr>
            <w:r w:rsidRPr="00A4014C">
              <w:rPr>
                <w:sz w:val="18"/>
                <w:szCs w:val="18"/>
              </w:rPr>
              <w:t>195,825</w:t>
            </w:r>
          </w:p>
        </w:tc>
        <w:tc>
          <w:tcPr>
            <w:tcW w:w="361" w:type="pct"/>
          </w:tcPr>
          <w:p w:rsidR="000458D0" w:rsidRPr="00A4014C" w:rsidRDefault="005A2843" w:rsidP="00784A63">
            <w:pPr>
              <w:jc w:val="right"/>
              <w:rPr>
                <w:sz w:val="18"/>
                <w:szCs w:val="18"/>
              </w:rPr>
            </w:pPr>
            <w:r w:rsidRPr="00A4014C">
              <w:rPr>
                <w:sz w:val="18"/>
                <w:szCs w:val="18"/>
              </w:rPr>
              <w:t>200,</w:t>
            </w:r>
            <w:r w:rsidR="00923794" w:rsidRPr="00A4014C">
              <w:rPr>
                <w:sz w:val="18"/>
                <w:szCs w:val="18"/>
              </w:rPr>
              <w:t>689</w:t>
            </w:r>
          </w:p>
        </w:tc>
        <w:tc>
          <w:tcPr>
            <w:tcW w:w="322" w:type="pct"/>
          </w:tcPr>
          <w:p w:rsidR="000458D0" w:rsidRPr="00A4014C" w:rsidRDefault="002A14F9" w:rsidP="00784A63">
            <w:pPr>
              <w:jc w:val="right"/>
              <w:rPr>
                <w:sz w:val="18"/>
                <w:szCs w:val="18"/>
              </w:rPr>
            </w:pPr>
            <w:r w:rsidRPr="00A4014C">
              <w:rPr>
                <w:sz w:val="18"/>
                <w:szCs w:val="18"/>
              </w:rPr>
              <w:t>112</w:t>
            </w:r>
            <w:r w:rsidR="00CD4040" w:rsidRPr="00A4014C">
              <w:rPr>
                <w:sz w:val="18"/>
                <w:szCs w:val="18"/>
              </w:rPr>
              <w:t>,</w:t>
            </w:r>
            <w:r w:rsidRPr="00A4014C">
              <w:rPr>
                <w:sz w:val="18"/>
                <w:szCs w:val="18"/>
              </w:rPr>
              <w:t>142</w:t>
            </w:r>
          </w:p>
        </w:tc>
        <w:tc>
          <w:tcPr>
            <w:tcW w:w="357" w:type="pct"/>
          </w:tcPr>
          <w:p w:rsidR="000458D0" w:rsidRPr="00A4014C" w:rsidRDefault="000458D0" w:rsidP="00784A63">
            <w:pPr>
              <w:jc w:val="right"/>
              <w:rPr>
                <w:sz w:val="18"/>
                <w:szCs w:val="18"/>
              </w:rPr>
            </w:pPr>
            <w:r w:rsidRPr="00A4014C">
              <w:rPr>
                <w:sz w:val="18"/>
                <w:szCs w:val="18"/>
              </w:rPr>
              <w:t>79</w:t>
            </w:r>
            <w:r w:rsidR="00CD4040" w:rsidRPr="00A4014C">
              <w:rPr>
                <w:sz w:val="18"/>
                <w:szCs w:val="18"/>
              </w:rPr>
              <w:t>,</w:t>
            </w:r>
            <w:r w:rsidR="005A2843" w:rsidRPr="00A4014C">
              <w:rPr>
                <w:sz w:val="18"/>
                <w:szCs w:val="18"/>
              </w:rPr>
              <w:t>75</w:t>
            </w:r>
            <w:r w:rsidR="002A14F9" w:rsidRPr="00A4014C">
              <w:rPr>
                <w:sz w:val="18"/>
                <w:szCs w:val="18"/>
              </w:rPr>
              <w:t>8</w:t>
            </w:r>
          </w:p>
        </w:tc>
        <w:tc>
          <w:tcPr>
            <w:tcW w:w="309" w:type="pct"/>
          </w:tcPr>
          <w:p w:rsidR="000458D0" w:rsidRPr="00A4014C" w:rsidRDefault="000458D0" w:rsidP="00784A63">
            <w:pPr>
              <w:jc w:val="right"/>
              <w:rPr>
                <w:sz w:val="18"/>
                <w:szCs w:val="18"/>
              </w:rPr>
            </w:pPr>
            <w:r w:rsidRPr="00A4014C">
              <w:rPr>
                <w:sz w:val="18"/>
                <w:szCs w:val="18"/>
              </w:rPr>
              <w:t>8</w:t>
            </w:r>
            <w:r w:rsidR="00CD4040" w:rsidRPr="00A4014C">
              <w:rPr>
                <w:sz w:val="18"/>
                <w:szCs w:val="18"/>
              </w:rPr>
              <w:t>,</w:t>
            </w:r>
            <w:r w:rsidRPr="00A4014C">
              <w:rPr>
                <w:sz w:val="18"/>
                <w:szCs w:val="18"/>
              </w:rPr>
              <w:t>789</w:t>
            </w:r>
          </w:p>
        </w:tc>
        <w:tc>
          <w:tcPr>
            <w:tcW w:w="405" w:type="pct"/>
          </w:tcPr>
          <w:p w:rsidR="000458D0" w:rsidRPr="00A4014C" w:rsidRDefault="002A14F9" w:rsidP="00784A63">
            <w:pPr>
              <w:jc w:val="right"/>
              <w:rPr>
                <w:sz w:val="18"/>
                <w:szCs w:val="18"/>
              </w:rPr>
            </w:pPr>
            <w:r w:rsidRPr="00A4014C">
              <w:rPr>
                <w:sz w:val="18"/>
                <w:szCs w:val="18"/>
              </w:rPr>
              <w:t>61</w:t>
            </w:r>
            <w:r w:rsidR="00CD4040" w:rsidRPr="00A4014C">
              <w:rPr>
                <w:sz w:val="18"/>
                <w:szCs w:val="18"/>
              </w:rPr>
              <w:t>,</w:t>
            </w:r>
            <w:r w:rsidRPr="00A4014C">
              <w:rPr>
                <w:sz w:val="18"/>
                <w:szCs w:val="18"/>
              </w:rPr>
              <w:t>327</w:t>
            </w:r>
          </w:p>
        </w:tc>
        <w:tc>
          <w:tcPr>
            <w:tcW w:w="357" w:type="pct"/>
          </w:tcPr>
          <w:p w:rsidR="000458D0" w:rsidRPr="00A4014C" w:rsidRDefault="000458D0" w:rsidP="00784A63">
            <w:pPr>
              <w:jc w:val="right"/>
              <w:rPr>
                <w:sz w:val="18"/>
                <w:szCs w:val="18"/>
              </w:rPr>
            </w:pPr>
            <w:r w:rsidRPr="00A4014C">
              <w:rPr>
                <w:sz w:val="18"/>
                <w:szCs w:val="18"/>
              </w:rPr>
              <w:t>3</w:t>
            </w:r>
            <w:r w:rsidR="002A14F9" w:rsidRPr="00A4014C">
              <w:rPr>
                <w:sz w:val="18"/>
                <w:szCs w:val="18"/>
              </w:rPr>
              <w:t>0,296</w:t>
            </w:r>
          </w:p>
        </w:tc>
        <w:tc>
          <w:tcPr>
            <w:tcW w:w="358" w:type="pct"/>
          </w:tcPr>
          <w:p w:rsidR="000458D0" w:rsidRPr="00A4014C" w:rsidRDefault="002A14F9" w:rsidP="00784A63">
            <w:pPr>
              <w:jc w:val="right"/>
              <w:rPr>
                <w:sz w:val="18"/>
                <w:szCs w:val="18"/>
              </w:rPr>
            </w:pPr>
            <w:r w:rsidRPr="00A4014C">
              <w:rPr>
                <w:sz w:val="18"/>
                <w:szCs w:val="18"/>
              </w:rPr>
              <w:t>109,066</w:t>
            </w:r>
          </w:p>
        </w:tc>
        <w:tc>
          <w:tcPr>
            <w:tcW w:w="357" w:type="pct"/>
          </w:tcPr>
          <w:p w:rsidR="000458D0" w:rsidRPr="00A4014C" w:rsidRDefault="002A14F9" w:rsidP="00784A63">
            <w:pPr>
              <w:jc w:val="right"/>
              <w:rPr>
                <w:sz w:val="18"/>
                <w:szCs w:val="18"/>
              </w:rPr>
            </w:pPr>
            <w:r w:rsidRPr="00A4014C">
              <w:rPr>
                <w:sz w:val="18"/>
                <w:szCs w:val="18"/>
              </w:rPr>
              <w:t>43,040</w:t>
            </w:r>
          </w:p>
        </w:tc>
        <w:tc>
          <w:tcPr>
            <w:tcW w:w="357" w:type="pct"/>
          </w:tcPr>
          <w:p w:rsidR="000458D0" w:rsidRPr="00A4014C" w:rsidRDefault="002A14F9" w:rsidP="00784A63">
            <w:pPr>
              <w:jc w:val="right"/>
              <w:rPr>
                <w:sz w:val="18"/>
                <w:szCs w:val="18"/>
              </w:rPr>
            </w:pPr>
            <w:r w:rsidRPr="00A4014C">
              <w:rPr>
                <w:sz w:val="18"/>
                <w:szCs w:val="18"/>
              </w:rPr>
              <w:t>50,400</w:t>
            </w:r>
          </w:p>
        </w:tc>
        <w:tc>
          <w:tcPr>
            <w:tcW w:w="357" w:type="pct"/>
          </w:tcPr>
          <w:p w:rsidR="000458D0" w:rsidRPr="00A4014C" w:rsidRDefault="000458D0" w:rsidP="00784A63">
            <w:pPr>
              <w:jc w:val="right"/>
              <w:rPr>
                <w:sz w:val="18"/>
                <w:szCs w:val="18"/>
              </w:rPr>
            </w:pPr>
            <w:r w:rsidRPr="00A4014C">
              <w:rPr>
                <w:sz w:val="18"/>
                <w:szCs w:val="18"/>
              </w:rPr>
              <w:t>45</w:t>
            </w:r>
            <w:r w:rsidR="00CD4040" w:rsidRPr="00A4014C">
              <w:rPr>
                <w:sz w:val="18"/>
                <w:szCs w:val="18"/>
              </w:rPr>
              <w:t>,</w:t>
            </w:r>
            <w:r w:rsidRPr="00A4014C">
              <w:rPr>
                <w:sz w:val="18"/>
                <w:szCs w:val="18"/>
              </w:rPr>
              <w:t>697</w:t>
            </w:r>
          </w:p>
        </w:tc>
        <w:tc>
          <w:tcPr>
            <w:tcW w:w="368" w:type="pct"/>
          </w:tcPr>
          <w:p w:rsidR="000458D0" w:rsidRPr="00A4014C" w:rsidRDefault="000458D0" w:rsidP="00784A63">
            <w:pPr>
              <w:jc w:val="right"/>
              <w:rPr>
                <w:sz w:val="18"/>
                <w:szCs w:val="18"/>
              </w:rPr>
            </w:pPr>
            <w:r w:rsidRPr="00A4014C">
              <w:rPr>
                <w:sz w:val="18"/>
                <w:szCs w:val="18"/>
              </w:rPr>
              <w:t>61</w:t>
            </w:r>
            <w:r w:rsidR="00CD4040" w:rsidRPr="00A4014C">
              <w:rPr>
                <w:sz w:val="18"/>
                <w:szCs w:val="18"/>
              </w:rPr>
              <w:t>,</w:t>
            </w:r>
            <w:r w:rsidR="005A2843" w:rsidRPr="00A4014C">
              <w:rPr>
                <w:sz w:val="18"/>
                <w:szCs w:val="18"/>
              </w:rPr>
              <w:t>55</w:t>
            </w:r>
            <w:r w:rsidR="002A14F9" w:rsidRPr="00A4014C">
              <w:rPr>
                <w:sz w:val="18"/>
                <w:szCs w:val="18"/>
              </w:rPr>
              <w:t>2</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Occupancy</w:t>
            </w:r>
          </w:p>
        </w:tc>
        <w:tc>
          <w:tcPr>
            <w:tcW w:w="439" w:type="pct"/>
          </w:tcPr>
          <w:p w:rsidR="000458D0" w:rsidRPr="00A4014C" w:rsidRDefault="000458D0" w:rsidP="00784A63">
            <w:pPr>
              <w:jc w:val="right"/>
              <w:rPr>
                <w:sz w:val="18"/>
                <w:szCs w:val="18"/>
              </w:rPr>
            </w:pPr>
            <w:r w:rsidRPr="00A4014C">
              <w:rPr>
                <w:sz w:val="18"/>
                <w:szCs w:val="18"/>
              </w:rPr>
              <w:t>92.4%</w:t>
            </w:r>
          </w:p>
        </w:tc>
        <w:tc>
          <w:tcPr>
            <w:tcW w:w="361" w:type="pct"/>
          </w:tcPr>
          <w:p w:rsidR="000458D0" w:rsidRPr="00A4014C" w:rsidRDefault="000458D0" w:rsidP="00784A63">
            <w:pPr>
              <w:jc w:val="right"/>
              <w:rPr>
                <w:sz w:val="18"/>
                <w:szCs w:val="18"/>
              </w:rPr>
            </w:pPr>
            <w:r w:rsidRPr="00A4014C">
              <w:rPr>
                <w:sz w:val="18"/>
                <w:szCs w:val="18"/>
              </w:rPr>
              <w:t>91.8%</w:t>
            </w:r>
          </w:p>
        </w:tc>
        <w:tc>
          <w:tcPr>
            <w:tcW w:w="322" w:type="pct"/>
          </w:tcPr>
          <w:p w:rsidR="000458D0" w:rsidRPr="00A4014C" w:rsidRDefault="000458D0" w:rsidP="00784A63">
            <w:pPr>
              <w:jc w:val="right"/>
              <w:rPr>
                <w:sz w:val="18"/>
                <w:szCs w:val="18"/>
              </w:rPr>
            </w:pPr>
            <w:r w:rsidRPr="00A4014C">
              <w:rPr>
                <w:sz w:val="18"/>
                <w:szCs w:val="18"/>
              </w:rPr>
              <w:t>93%</w:t>
            </w:r>
          </w:p>
        </w:tc>
        <w:tc>
          <w:tcPr>
            <w:tcW w:w="357" w:type="pct"/>
          </w:tcPr>
          <w:p w:rsidR="000458D0" w:rsidRPr="00A4014C" w:rsidRDefault="000458D0" w:rsidP="00784A63">
            <w:pPr>
              <w:jc w:val="right"/>
              <w:rPr>
                <w:sz w:val="18"/>
                <w:szCs w:val="18"/>
              </w:rPr>
            </w:pPr>
            <w:r w:rsidRPr="00A4014C">
              <w:rPr>
                <w:sz w:val="18"/>
                <w:szCs w:val="18"/>
              </w:rPr>
              <w:t>90%</w:t>
            </w:r>
          </w:p>
        </w:tc>
        <w:tc>
          <w:tcPr>
            <w:tcW w:w="309" w:type="pct"/>
          </w:tcPr>
          <w:p w:rsidR="000458D0" w:rsidRPr="00A4014C" w:rsidRDefault="000458D0" w:rsidP="00784A63">
            <w:pPr>
              <w:jc w:val="right"/>
              <w:rPr>
                <w:sz w:val="18"/>
                <w:szCs w:val="18"/>
              </w:rPr>
            </w:pPr>
            <w:r w:rsidRPr="00A4014C">
              <w:rPr>
                <w:sz w:val="18"/>
                <w:szCs w:val="18"/>
              </w:rPr>
              <w:t>90%</w:t>
            </w:r>
          </w:p>
        </w:tc>
        <w:tc>
          <w:tcPr>
            <w:tcW w:w="405" w:type="pct"/>
          </w:tcPr>
          <w:p w:rsidR="000458D0" w:rsidRPr="00A4014C" w:rsidRDefault="000458D0" w:rsidP="00784A63">
            <w:pPr>
              <w:jc w:val="right"/>
              <w:rPr>
                <w:sz w:val="18"/>
                <w:szCs w:val="18"/>
              </w:rPr>
            </w:pPr>
            <w:r w:rsidRPr="00A4014C">
              <w:rPr>
                <w:sz w:val="18"/>
                <w:szCs w:val="18"/>
              </w:rPr>
              <w:t>91%</w:t>
            </w:r>
          </w:p>
        </w:tc>
        <w:tc>
          <w:tcPr>
            <w:tcW w:w="357" w:type="pct"/>
          </w:tcPr>
          <w:p w:rsidR="000458D0" w:rsidRPr="00A4014C" w:rsidRDefault="000458D0" w:rsidP="00784A63">
            <w:pPr>
              <w:jc w:val="right"/>
              <w:rPr>
                <w:sz w:val="18"/>
                <w:szCs w:val="18"/>
              </w:rPr>
            </w:pPr>
            <w:r w:rsidRPr="00A4014C">
              <w:rPr>
                <w:sz w:val="18"/>
                <w:szCs w:val="18"/>
              </w:rPr>
              <w:t>92%</w:t>
            </w:r>
          </w:p>
        </w:tc>
        <w:tc>
          <w:tcPr>
            <w:tcW w:w="358" w:type="pct"/>
          </w:tcPr>
          <w:p w:rsidR="000458D0" w:rsidRPr="00A4014C" w:rsidRDefault="002A14F9" w:rsidP="00784A63">
            <w:pPr>
              <w:jc w:val="right"/>
              <w:rPr>
                <w:sz w:val="18"/>
                <w:szCs w:val="18"/>
              </w:rPr>
            </w:pPr>
            <w:r w:rsidRPr="00A4014C">
              <w:rPr>
                <w:sz w:val="18"/>
                <w:szCs w:val="18"/>
              </w:rPr>
              <w:t>92</w:t>
            </w:r>
            <w:r w:rsidR="000458D0" w:rsidRPr="00A4014C">
              <w:rPr>
                <w:sz w:val="18"/>
                <w:szCs w:val="18"/>
              </w:rPr>
              <w:t>%</w:t>
            </w:r>
          </w:p>
        </w:tc>
        <w:tc>
          <w:tcPr>
            <w:tcW w:w="357" w:type="pct"/>
          </w:tcPr>
          <w:p w:rsidR="000458D0" w:rsidRPr="00A4014C" w:rsidRDefault="000458D0" w:rsidP="00784A63">
            <w:pPr>
              <w:jc w:val="right"/>
              <w:rPr>
                <w:sz w:val="18"/>
                <w:szCs w:val="18"/>
              </w:rPr>
            </w:pPr>
            <w:r w:rsidRPr="00A4014C">
              <w:rPr>
                <w:sz w:val="18"/>
                <w:szCs w:val="18"/>
              </w:rPr>
              <w:t>91%</w:t>
            </w:r>
          </w:p>
        </w:tc>
        <w:tc>
          <w:tcPr>
            <w:tcW w:w="357" w:type="pct"/>
          </w:tcPr>
          <w:p w:rsidR="000458D0" w:rsidRPr="00A4014C" w:rsidRDefault="000458D0" w:rsidP="00784A63">
            <w:pPr>
              <w:jc w:val="right"/>
              <w:rPr>
                <w:sz w:val="18"/>
                <w:szCs w:val="18"/>
              </w:rPr>
            </w:pPr>
            <w:r w:rsidRPr="00A4014C">
              <w:rPr>
                <w:sz w:val="18"/>
                <w:szCs w:val="18"/>
              </w:rPr>
              <w:t>91%</w:t>
            </w:r>
          </w:p>
        </w:tc>
        <w:tc>
          <w:tcPr>
            <w:tcW w:w="357" w:type="pct"/>
          </w:tcPr>
          <w:p w:rsidR="000458D0" w:rsidRPr="00A4014C" w:rsidRDefault="000458D0" w:rsidP="00784A63">
            <w:pPr>
              <w:jc w:val="right"/>
              <w:rPr>
                <w:sz w:val="18"/>
                <w:szCs w:val="18"/>
              </w:rPr>
            </w:pPr>
            <w:r w:rsidRPr="00A4014C">
              <w:rPr>
                <w:sz w:val="18"/>
                <w:szCs w:val="18"/>
              </w:rPr>
              <w:t>93%</w:t>
            </w:r>
          </w:p>
        </w:tc>
        <w:tc>
          <w:tcPr>
            <w:tcW w:w="368" w:type="pct"/>
          </w:tcPr>
          <w:p w:rsidR="000458D0" w:rsidRPr="00A4014C" w:rsidRDefault="000458D0" w:rsidP="00784A63">
            <w:pPr>
              <w:jc w:val="right"/>
              <w:rPr>
                <w:sz w:val="18"/>
                <w:szCs w:val="18"/>
              </w:rPr>
            </w:pPr>
            <w:r w:rsidRPr="00A4014C">
              <w:rPr>
                <w:sz w:val="18"/>
                <w:szCs w:val="18"/>
              </w:rPr>
              <w:t>92%</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Total residents</w:t>
            </w:r>
          </w:p>
        </w:tc>
        <w:tc>
          <w:tcPr>
            <w:tcW w:w="439" w:type="pct"/>
          </w:tcPr>
          <w:p w:rsidR="000458D0" w:rsidRPr="00A4014C" w:rsidRDefault="000458D0" w:rsidP="00784A63">
            <w:pPr>
              <w:jc w:val="right"/>
              <w:rPr>
                <w:sz w:val="18"/>
                <w:szCs w:val="18"/>
              </w:rPr>
            </w:pPr>
            <w:r w:rsidRPr="00A4014C">
              <w:rPr>
                <w:sz w:val="18"/>
                <w:szCs w:val="18"/>
              </w:rPr>
              <w:t>181,048</w:t>
            </w:r>
          </w:p>
        </w:tc>
        <w:tc>
          <w:tcPr>
            <w:tcW w:w="361" w:type="pct"/>
          </w:tcPr>
          <w:p w:rsidR="000458D0" w:rsidRPr="00A4014C" w:rsidRDefault="000458D0" w:rsidP="00784A63">
            <w:pPr>
              <w:jc w:val="right"/>
              <w:rPr>
                <w:sz w:val="18"/>
                <w:szCs w:val="18"/>
              </w:rPr>
            </w:pPr>
            <w:r w:rsidRPr="00A4014C">
              <w:rPr>
                <w:sz w:val="18"/>
                <w:szCs w:val="18"/>
              </w:rPr>
              <w:t>184,0</w:t>
            </w:r>
            <w:r w:rsidR="002A14F9" w:rsidRPr="00A4014C">
              <w:rPr>
                <w:sz w:val="18"/>
                <w:szCs w:val="18"/>
              </w:rPr>
              <w:t>77</w:t>
            </w:r>
          </w:p>
        </w:tc>
        <w:tc>
          <w:tcPr>
            <w:tcW w:w="322" w:type="pct"/>
          </w:tcPr>
          <w:p w:rsidR="000458D0" w:rsidRPr="00A4014C" w:rsidRDefault="000458D0" w:rsidP="00784A63">
            <w:pPr>
              <w:jc w:val="right"/>
              <w:rPr>
                <w:sz w:val="18"/>
                <w:szCs w:val="18"/>
              </w:rPr>
            </w:pPr>
            <w:r w:rsidRPr="00A4014C">
              <w:rPr>
                <w:sz w:val="18"/>
                <w:szCs w:val="18"/>
              </w:rPr>
              <w:t>104</w:t>
            </w:r>
            <w:r w:rsidR="00CD4040" w:rsidRPr="00A4014C">
              <w:rPr>
                <w:sz w:val="18"/>
                <w:szCs w:val="18"/>
              </w:rPr>
              <w:t>,</w:t>
            </w:r>
            <w:r w:rsidRPr="00A4014C">
              <w:rPr>
                <w:sz w:val="18"/>
                <w:szCs w:val="18"/>
              </w:rPr>
              <w:t>5</w:t>
            </w:r>
            <w:r w:rsidR="002A14F9" w:rsidRPr="00A4014C">
              <w:rPr>
                <w:sz w:val="18"/>
                <w:szCs w:val="18"/>
              </w:rPr>
              <w:t>41</w:t>
            </w:r>
          </w:p>
        </w:tc>
        <w:tc>
          <w:tcPr>
            <w:tcW w:w="357" w:type="pct"/>
          </w:tcPr>
          <w:p w:rsidR="000458D0" w:rsidRPr="00A4014C" w:rsidRDefault="000458D0" w:rsidP="00784A63">
            <w:pPr>
              <w:jc w:val="right"/>
              <w:rPr>
                <w:sz w:val="18"/>
                <w:szCs w:val="18"/>
              </w:rPr>
            </w:pPr>
            <w:r w:rsidRPr="00A4014C">
              <w:rPr>
                <w:sz w:val="18"/>
                <w:szCs w:val="18"/>
              </w:rPr>
              <w:t>71</w:t>
            </w:r>
            <w:r w:rsidR="00CD4040" w:rsidRPr="00A4014C">
              <w:rPr>
                <w:sz w:val="18"/>
                <w:szCs w:val="18"/>
              </w:rPr>
              <w:t>,</w:t>
            </w:r>
            <w:r w:rsidRPr="00A4014C">
              <w:rPr>
                <w:sz w:val="18"/>
                <w:szCs w:val="18"/>
              </w:rPr>
              <w:t>5</w:t>
            </w:r>
            <w:r w:rsidR="002A14F9" w:rsidRPr="00A4014C">
              <w:rPr>
                <w:sz w:val="18"/>
                <w:szCs w:val="18"/>
              </w:rPr>
              <w:t>52</w:t>
            </w:r>
          </w:p>
        </w:tc>
        <w:tc>
          <w:tcPr>
            <w:tcW w:w="309" w:type="pct"/>
          </w:tcPr>
          <w:p w:rsidR="000458D0" w:rsidRPr="00A4014C" w:rsidRDefault="000458D0" w:rsidP="00784A63">
            <w:pPr>
              <w:jc w:val="right"/>
              <w:rPr>
                <w:sz w:val="18"/>
                <w:szCs w:val="18"/>
              </w:rPr>
            </w:pPr>
            <w:r w:rsidRPr="00A4014C">
              <w:rPr>
                <w:sz w:val="18"/>
                <w:szCs w:val="18"/>
              </w:rPr>
              <w:t>7</w:t>
            </w:r>
            <w:r w:rsidR="00CD4040" w:rsidRPr="00A4014C">
              <w:rPr>
                <w:sz w:val="18"/>
                <w:szCs w:val="18"/>
              </w:rPr>
              <w:t>,</w:t>
            </w:r>
            <w:r w:rsidRPr="00A4014C">
              <w:rPr>
                <w:sz w:val="18"/>
                <w:szCs w:val="18"/>
              </w:rPr>
              <w:t>98</w:t>
            </w:r>
            <w:r w:rsidR="002A14F9" w:rsidRPr="00A4014C">
              <w:rPr>
                <w:sz w:val="18"/>
                <w:szCs w:val="18"/>
              </w:rPr>
              <w:t>4</w:t>
            </w:r>
          </w:p>
        </w:tc>
        <w:tc>
          <w:tcPr>
            <w:tcW w:w="405" w:type="pct"/>
          </w:tcPr>
          <w:p w:rsidR="000458D0" w:rsidRPr="00A4014C" w:rsidRDefault="002A14F9" w:rsidP="00784A63">
            <w:pPr>
              <w:jc w:val="right"/>
              <w:rPr>
                <w:sz w:val="18"/>
                <w:szCs w:val="18"/>
              </w:rPr>
            </w:pPr>
            <w:r w:rsidRPr="00A4014C">
              <w:rPr>
                <w:sz w:val="18"/>
                <w:szCs w:val="18"/>
              </w:rPr>
              <w:t>55,534</w:t>
            </w:r>
          </w:p>
        </w:tc>
        <w:tc>
          <w:tcPr>
            <w:tcW w:w="357" w:type="pct"/>
          </w:tcPr>
          <w:p w:rsidR="000458D0" w:rsidRPr="00A4014C" w:rsidRDefault="000458D0" w:rsidP="00784A63">
            <w:pPr>
              <w:jc w:val="right"/>
              <w:rPr>
                <w:sz w:val="18"/>
                <w:szCs w:val="18"/>
              </w:rPr>
            </w:pPr>
            <w:r w:rsidRPr="00A4014C">
              <w:rPr>
                <w:sz w:val="18"/>
                <w:szCs w:val="18"/>
              </w:rPr>
              <w:t>2</w:t>
            </w:r>
            <w:r w:rsidR="002A14F9" w:rsidRPr="00A4014C">
              <w:rPr>
                <w:sz w:val="18"/>
                <w:szCs w:val="18"/>
              </w:rPr>
              <w:t>8</w:t>
            </w:r>
            <w:r w:rsidR="00CD4040" w:rsidRPr="00A4014C">
              <w:rPr>
                <w:sz w:val="18"/>
                <w:szCs w:val="18"/>
              </w:rPr>
              <w:t>,</w:t>
            </w:r>
            <w:r w:rsidR="002A14F9" w:rsidRPr="00A4014C">
              <w:rPr>
                <w:sz w:val="18"/>
                <w:szCs w:val="18"/>
              </w:rPr>
              <w:t>039</w:t>
            </w:r>
          </w:p>
        </w:tc>
        <w:tc>
          <w:tcPr>
            <w:tcW w:w="358" w:type="pct"/>
          </w:tcPr>
          <w:p w:rsidR="000458D0" w:rsidRPr="00A4014C" w:rsidRDefault="002A14F9" w:rsidP="00784A63">
            <w:pPr>
              <w:jc w:val="right"/>
              <w:rPr>
                <w:sz w:val="18"/>
                <w:szCs w:val="18"/>
              </w:rPr>
            </w:pPr>
            <w:r w:rsidRPr="00A4014C">
              <w:rPr>
                <w:sz w:val="18"/>
                <w:szCs w:val="18"/>
              </w:rPr>
              <w:t>100,504</w:t>
            </w:r>
          </w:p>
        </w:tc>
        <w:tc>
          <w:tcPr>
            <w:tcW w:w="357" w:type="pct"/>
          </w:tcPr>
          <w:p w:rsidR="000458D0" w:rsidRPr="00A4014C" w:rsidRDefault="000458D0" w:rsidP="00784A63">
            <w:pPr>
              <w:jc w:val="right"/>
              <w:rPr>
                <w:sz w:val="18"/>
                <w:szCs w:val="18"/>
              </w:rPr>
            </w:pPr>
            <w:r w:rsidRPr="00A4014C">
              <w:rPr>
                <w:sz w:val="18"/>
                <w:szCs w:val="18"/>
              </w:rPr>
              <w:t>39</w:t>
            </w:r>
            <w:r w:rsidR="00CD4040" w:rsidRPr="00A4014C">
              <w:rPr>
                <w:sz w:val="18"/>
                <w:szCs w:val="18"/>
              </w:rPr>
              <w:t>,</w:t>
            </w:r>
            <w:r w:rsidR="002A14F9" w:rsidRPr="00A4014C">
              <w:rPr>
                <w:sz w:val="18"/>
                <w:szCs w:val="18"/>
              </w:rPr>
              <w:t>239</w:t>
            </w:r>
          </w:p>
        </w:tc>
        <w:tc>
          <w:tcPr>
            <w:tcW w:w="357" w:type="pct"/>
          </w:tcPr>
          <w:p w:rsidR="000458D0" w:rsidRPr="00A4014C" w:rsidRDefault="002A14F9" w:rsidP="00784A63">
            <w:pPr>
              <w:jc w:val="right"/>
              <w:rPr>
                <w:sz w:val="18"/>
                <w:szCs w:val="18"/>
              </w:rPr>
            </w:pPr>
            <w:r w:rsidRPr="00A4014C">
              <w:rPr>
                <w:sz w:val="18"/>
                <w:szCs w:val="18"/>
              </w:rPr>
              <w:t>45,664</w:t>
            </w:r>
          </w:p>
        </w:tc>
        <w:tc>
          <w:tcPr>
            <w:tcW w:w="357" w:type="pct"/>
          </w:tcPr>
          <w:p w:rsidR="000458D0" w:rsidRPr="00A4014C" w:rsidRDefault="002A14F9" w:rsidP="00784A63">
            <w:pPr>
              <w:jc w:val="right"/>
              <w:rPr>
                <w:sz w:val="18"/>
                <w:szCs w:val="18"/>
              </w:rPr>
            </w:pPr>
            <w:r w:rsidRPr="00A4014C">
              <w:rPr>
                <w:sz w:val="18"/>
                <w:szCs w:val="18"/>
              </w:rPr>
              <w:t>42,474</w:t>
            </w:r>
          </w:p>
        </w:tc>
        <w:tc>
          <w:tcPr>
            <w:tcW w:w="368" w:type="pct"/>
          </w:tcPr>
          <w:p w:rsidR="000458D0" w:rsidRPr="00A4014C" w:rsidRDefault="000458D0" w:rsidP="00784A63">
            <w:pPr>
              <w:jc w:val="right"/>
              <w:rPr>
                <w:sz w:val="18"/>
                <w:szCs w:val="18"/>
              </w:rPr>
            </w:pPr>
            <w:r w:rsidRPr="00A4014C">
              <w:rPr>
                <w:sz w:val="18"/>
                <w:szCs w:val="18"/>
              </w:rPr>
              <w:t>56</w:t>
            </w:r>
            <w:r w:rsidR="00CD4040" w:rsidRPr="00A4014C">
              <w:rPr>
                <w:sz w:val="18"/>
                <w:szCs w:val="18"/>
              </w:rPr>
              <w:t>,</w:t>
            </w:r>
            <w:r w:rsidRPr="00A4014C">
              <w:rPr>
                <w:sz w:val="18"/>
                <w:szCs w:val="18"/>
              </w:rPr>
              <w:t>7</w:t>
            </w:r>
            <w:r w:rsidR="002A14F9" w:rsidRPr="00A4014C">
              <w:rPr>
                <w:sz w:val="18"/>
                <w:szCs w:val="18"/>
              </w:rPr>
              <w:t>00</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Permanent</w:t>
            </w:r>
          </w:p>
        </w:tc>
        <w:tc>
          <w:tcPr>
            <w:tcW w:w="439" w:type="pct"/>
          </w:tcPr>
          <w:p w:rsidR="000458D0" w:rsidRPr="00A4014C" w:rsidRDefault="000458D0" w:rsidP="00784A63">
            <w:pPr>
              <w:jc w:val="right"/>
              <w:rPr>
                <w:sz w:val="18"/>
                <w:szCs w:val="18"/>
              </w:rPr>
            </w:pPr>
            <w:r w:rsidRPr="00A4014C">
              <w:rPr>
                <w:sz w:val="18"/>
                <w:szCs w:val="18"/>
              </w:rPr>
              <w:t>175,989</w:t>
            </w:r>
          </w:p>
        </w:tc>
        <w:tc>
          <w:tcPr>
            <w:tcW w:w="361" w:type="pct"/>
          </w:tcPr>
          <w:p w:rsidR="000458D0" w:rsidRPr="00A4014C" w:rsidRDefault="000458D0" w:rsidP="00784A63">
            <w:pPr>
              <w:jc w:val="right"/>
              <w:rPr>
                <w:sz w:val="18"/>
                <w:szCs w:val="18"/>
              </w:rPr>
            </w:pPr>
            <w:r w:rsidRPr="00A4014C">
              <w:rPr>
                <w:sz w:val="18"/>
                <w:szCs w:val="18"/>
              </w:rPr>
              <w:t>178,7</w:t>
            </w:r>
            <w:r w:rsidR="002A14F9" w:rsidRPr="00A4014C">
              <w:rPr>
                <w:sz w:val="18"/>
                <w:szCs w:val="18"/>
              </w:rPr>
              <w:t>13</w:t>
            </w:r>
          </w:p>
        </w:tc>
        <w:tc>
          <w:tcPr>
            <w:tcW w:w="322" w:type="pct"/>
          </w:tcPr>
          <w:p w:rsidR="000458D0" w:rsidRPr="00A4014C" w:rsidRDefault="000458D0" w:rsidP="00784A63">
            <w:pPr>
              <w:jc w:val="right"/>
              <w:rPr>
                <w:sz w:val="18"/>
                <w:szCs w:val="18"/>
              </w:rPr>
            </w:pPr>
            <w:r w:rsidRPr="00A4014C">
              <w:rPr>
                <w:sz w:val="18"/>
                <w:szCs w:val="18"/>
              </w:rPr>
              <w:t>101</w:t>
            </w:r>
            <w:r w:rsidR="00CD4040" w:rsidRPr="00A4014C">
              <w:rPr>
                <w:sz w:val="18"/>
                <w:szCs w:val="18"/>
              </w:rPr>
              <w:t>,</w:t>
            </w:r>
            <w:r w:rsidRPr="00A4014C">
              <w:rPr>
                <w:sz w:val="18"/>
                <w:szCs w:val="18"/>
              </w:rPr>
              <w:t>9</w:t>
            </w:r>
            <w:r w:rsidR="002A14F9" w:rsidRPr="00A4014C">
              <w:rPr>
                <w:sz w:val="18"/>
                <w:szCs w:val="18"/>
              </w:rPr>
              <w:t>16</w:t>
            </w:r>
          </w:p>
        </w:tc>
        <w:tc>
          <w:tcPr>
            <w:tcW w:w="357" w:type="pct"/>
          </w:tcPr>
          <w:p w:rsidR="000458D0" w:rsidRPr="00A4014C" w:rsidRDefault="000458D0" w:rsidP="00784A63">
            <w:pPr>
              <w:jc w:val="right"/>
              <w:rPr>
                <w:sz w:val="18"/>
                <w:szCs w:val="18"/>
              </w:rPr>
            </w:pPr>
            <w:r w:rsidRPr="00A4014C">
              <w:rPr>
                <w:sz w:val="18"/>
                <w:szCs w:val="18"/>
              </w:rPr>
              <w:t>6</w:t>
            </w:r>
            <w:r w:rsidR="002A14F9" w:rsidRPr="00A4014C">
              <w:rPr>
                <w:sz w:val="18"/>
                <w:szCs w:val="18"/>
              </w:rPr>
              <w:t>9,026</w:t>
            </w:r>
          </w:p>
        </w:tc>
        <w:tc>
          <w:tcPr>
            <w:tcW w:w="309" w:type="pct"/>
          </w:tcPr>
          <w:p w:rsidR="000458D0" w:rsidRPr="00A4014C" w:rsidRDefault="000458D0" w:rsidP="00784A63">
            <w:pPr>
              <w:jc w:val="right"/>
              <w:rPr>
                <w:sz w:val="18"/>
                <w:szCs w:val="18"/>
              </w:rPr>
            </w:pPr>
            <w:r w:rsidRPr="00A4014C">
              <w:rPr>
                <w:sz w:val="18"/>
                <w:szCs w:val="18"/>
              </w:rPr>
              <w:t>7</w:t>
            </w:r>
            <w:r w:rsidR="00CD4040" w:rsidRPr="00A4014C">
              <w:rPr>
                <w:sz w:val="18"/>
                <w:szCs w:val="18"/>
              </w:rPr>
              <w:t>,</w:t>
            </w:r>
            <w:r w:rsidRPr="00A4014C">
              <w:rPr>
                <w:sz w:val="18"/>
                <w:szCs w:val="18"/>
              </w:rPr>
              <w:t>7</w:t>
            </w:r>
            <w:r w:rsidR="002A14F9" w:rsidRPr="00A4014C">
              <w:rPr>
                <w:sz w:val="18"/>
                <w:szCs w:val="18"/>
              </w:rPr>
              <w:t>71</w:t>
            </w:r>
          </w:p>
        </w:tc>
        <w:tc>
          <w:tcPr>
            <w:tcW w:w="405" w:type="pct"/>
          </w:tcPr>
          <w:p w:rsidR="000458D0" w:rsidRPr="00A4014C" w:rsidRDefault="002A14F9" w:rsidP="00784A63">
            <w:pPr>
              <w:jc w:val="right"/>
              <w:rPr>
                <w:sz w:val="18"/>
                <w:szCs w:val="18"/>
              </w:rPr>
            </w:pPr>
            <w:r w:rsidRPr="00A4014C">
              <w:rPr>
                <w:sz w:val="18"/>
                <w:szCs w:val="18"/>
              </w:rPr>
              <w:t>53,777</w:t>
            </w:r>
          </w:p>
        </w:tc>
        <w:tc>
          <w:tcPr>
            <w:tcW w:w="357" w:type="pct"/>
          </w:tcPr>
          <w:p w:rsidR="000458D0" w:rsidRPr="00A4014C" w:rsidRDefault="000458D0" w:rsidP="00784A63">
            <w:pPr>
              <w:jc w:val="right"/>
              <w:rPr>
                <w:sz w:val="18"/>
                <w:szCs w:val="18"/>
              </w:rPr>
            </w:pPr>
            <w:r w:rsidRPr="00A4014C">
              <w:rPr>
                <w:sz w:val="18"/>
                <w:szCs w:val="18"/>
              </w:rPr>
              <w:t>2</w:t>
            </w:r>
            <w:r w:rsidR="002A14F9" w:rsidRPr="00A4014C">
              <w:rPr>
                <w:sz w:val="18"/>
                <w:szCs w:val="18"/>
              </w:rPr>
              <w:t>7</w:t>
            </w:r>
            <w:r w:rsidR="00CD4040" w:rsidRPr="00A4014C">
              <w:rPr>
                <w:sz w:val="18"/>
                <w:szCs w:val="18"/>
              </w:rPr>
              <w:t>,</w:t>
            </w:r>
            <w:r w:rsidR="002A14F9" w:rsidRPr="00A4014C">
              <w:rPr>
                <w:sz w:val="18"/>
                <w:szCs w:val="18"/>
              </w:rPr>
              <w:t>068</w:t>
            </w:r>
          </w:p>
        </w:tc>
        <w:tc>
          <w:tcPr>
            <w:tcW w:w="358" w:type="pct"/>
          </w:tcPr>
          <w:p w:rsidR="000458D0" w:rsidRPr="00A4014C" w:rsidRDefault="002A14F9" w:rsidP="00784A63">
            <w:pPr>
              <w:jc w:val="right"/>
              <w:rPr>
                <w:sz w:val="18"/>
                <w:szCs w:val="18"/>
              </w:rPr>
            </w:pPr>
            <w:r w:rsidRPr="00A4014C">
              <w:rPr>
                <w:sz w:val="18"/>
                <w:szCs w:val="18"/>
              </w:rPr>
              <w:t>97,868</w:t>
            </w:r>
          </w:p>
        </w:tc>
        <w:tc>
          <w:tcPr>
            <w:tcW w:w="357" w:type="pct"/>
          </w:tcPr>
          <w:p w:rsidR="000458D0" w:rsidRPr="00A4014C" w:rsidRDefault="000458D0" w:rsidP="00784A63">
            <w:pPr>
              <w:jc w:val="right"/>
              <w:rPr>
                <w:sz w:val="18"/>
                <w:szCs w:val="18"/>
              </w:rPr>
            </w:pPr>
            <w:r w:rsidRPr="00A4014C">
              <w:rPr>
                <w:sz w:val="18"/>
                <w:szCs w:val="18"/>
              </w:rPr>
              <w:t>37</w:t>
            </w:r>
            <w:r w:rsidR="00CD4040" w:rsidRPr="00A4014C">
              <w:rPr>
                <w:sz w:val="18"/>
                <w:szCs w:val="18"/>
              </w:rPr>
              <w:t>,</w:t>
            </w:r>
            <w:r w:rsidR="002A14F9" w:rsidRPr="00A4014C">
              <w:rPr>
                <w:sz w:val="18"/>
                <w:szCs w:val="18"/>
              </w:rPr>
              <w:t>889</w:t>
            </w:r>
          </w:p>
        </w:tc>
        <w:tc>
          <w:tcPr>
            <w:tcW w:w="357" w:type="pct"/>
          </w:tcPr>
          <w:p w:rsidR="000458D0" w:rsidRPr="00A4014C" w:rsidRDefault="002A14F9" w:rsidP="00784A63">
            <w:pPr>
              <w:jc w:val="right"/>
              <w:rPr>
                <w:sz w:val="18"/>
                <w:szCs w:val="18"/>
              </w:rPr>
            </w:pPr>
            <w:r w:rsidRPr="00A4014C">
              <w:rPr>
                <w:sz w:val="18"/>
                <w:szCs w:val="18"/>
              </w:rPr>
              <w:t>44,220</w:t>
            </w:r>
          </w:p>
        </w:tc>
        <w:tc>
          <w:tcPr>
            <w:tcW w:w="357" w:type="pct"/>
          </w:tcPr>
          <w:p w:rsidR="000458D0" w:rsidRPr="00A4014C" w:rsidRDefault="002A14F9" w:rsidP="00784A63">
            <w:pPr>
              <w:jc w:val="right"/>
              <w:rPr>
                <w:sz w:val="18"/>
                <w:szCs w:val="18"/>
              </w:rPr>
            </w:pPr>
            <w:r w:rsidRPr="00A4014C">
              <w:rPr>
                <w:sz w:val="18"/>
                <w:szCs w:val="18"/>
              </w:rPr>
              <w:t>41,422</w:t>
            </w:r>
          </w:p>
        </w:tc>
        <w:tc>
          <w:tcPr>
            <w:tcW w:w="368" w:type="pct"/>
          </w:tcPr>
          <w:p w:rsidR="000458D0" w:rsidRPr="00A4014C" w:rsidRDefault="000458D0" w:rsidP="00784A63">
            <w:pPr>
              <w:jc w:val="right"/>
              <w:rPr>
                <w:sz w:val="18"/>
                <w:szCs w:val="18"/>
              </w:rPr>
            </w:pPr>
            <w:r w:rsidRPr="00A4014C">
              <w:rPr>
                <w:sz w:val="18"/>
                <w:szCs w:val="18"/>
              </w:rPr>
              <w:t>55</w:t>
            </w:r>
            <w:r w:rsidR="00CD4040" w:rsidRPr="00A4014C">
              <w:rPr>
                <w:sz w:val="18"/>
                <w:szCs w:val="18"/>
              </w:rPr>
              <w:t>,</w:t>
            </w:r>
            <w:r w:rsidR="002A14F9" w:rsidRPr="00A4014C">
              <w:rPr>
                <w:sz w:val="18"/>
                <w:szCs w:val="18"/>
              </w:rPr>
              <w:t>182</w:t>
            </w:r>
          </w:p>
        </w:tc>
      </w:tr>
      <w:tr w:rsidR="00A4014C" w:rsidRPr="00A4014C" w:rsidTr="00784A63">
        <w:trPr>
          <w:trHeight w:val="113"/>
        </w:trPr>
        <w:tc>
          <w:tcPr>
            <w:tcW w:w="652" w:type="pct"/>
            <w:hideMark/>
          </w:tcPr>
          <w:p w:rsidR="000458D0" w:rsidRPr="00A4014C" w:rsidRDefault="000458D0" w:rsidP="00A4014C">
            <w:pPr>
              <w:rPr>
                <w:sz w:val="18"/>
                <w:szCs w:val="18"/>
              </w:rPr>
            </w:pPr>
            <w:r w:rsidRPr="00A4014C">
              <w:rPr>
                <w:sz w:val="18"/>
                <w:szCs w:val="18"/>
              </w:rPr>
              <w:t>Respite</w:t>
            </w:r>
          </w:p>
        </w:tc>
        <w:tc>
          <w:tcPr>
            <w:tcW w:w="439" w:type="pct"/>
          </w:tcPr>
          <w:p w:rsidR="000458D0" w:rsidRPr="00A4014C" w:rsidRDefault="000458D0" w:rsidP="00784A63">
            <w:pPr>
              <w:jc w:val="right"/>
              <w:rPr>
                <w:sz w:val="18"/>
                <w:szCs w:val="18"/>
              </w:rPr>
            </w:pPr>
            <w:r w:rsidRPr="00A4014C">
              <w:rPr>
                <w:sz w:val="18"/>
                <w:szCs w:val="18"/>
              </w:rPr>
              <w:t>5,059</w:t>
            </w:r>
          </w:p>
        </w:tc>
        <w:tc>
          <w:tcPr>
            <w:tcW w:w="361" w:type="pct"/>
          </w:tcPr>
          <w:p w:rsidR="000458D0" w:rsidRPr="00A4014C" w:rsidRDefault="002A14F9" w:rsidP="00784A63">
            <w:pPr>
              <w:jc w:val="right"/>
              <w:rPr>
                <w:sz w:val="18"/>
                <w:szCs w:val="18"/>
              </w:rPr>
            </w:pPr>
            <w:r w:rsidRPr="00A4014C">
              <w:rPr>
                <w:sz w:val="18"/>
                <w:szCs w:val="18"/>
              </w:rPr>
              <w:t>5,36</w:t>
            </w:r>
            <w:r w:rsidR="000458D0" w:rsidRPr="00A4014C">
              <w:rPr>
                <w:sz w:val="18"/>
                <w:szCs w:val="18"/>
              </w:rPr>
              <w:t>4</w:t>
            </w:r>
          </w:p>
        </w:tc>
        <w:tc>
          <w:tcPr>
            <w:tcW w:w="322" w:type="pct"/>
          </w:tcPr>
          <w:p w:rsidR="000458D0" w:rsidRPr="00A4014C" w:rsidRDefault="000458D0" w:rsidP="00784A63">
            <w:pPr>
              <w:jc w:val="right"/>
              <w:rPr>
                <w:sz w:val="18"/>
                <w:szCs w:val="18"/>
              </w:rPr>
            </w:pPr>
            <w:r w:rsidRPr="00A4014C">
              <w:rPr>
                <w:sz w:val="18"/>
                <w:szCs w:val="18"/>
              </w:rPr>
              <w:t>2</w:t>
            </w:r>
            <w:r w:rsidR="00CD4040" w:rsidRPr="00A4014C">
              <w:rPr>
                <w:sz w:val="18"/>
                <w:szCs w:val="18"/>
              </w:rPr>
              <w:t>,</w:t>
            </w:r>
            <w:r w:rsidR="002A14F9" w:rsidRPr="00A4014C">
              <w:rPr>
                <w:sz w:val="18"/>
                <w:szCs w:val="18"/>
              </w:rPr>
              <w:t>625</w:t>
            </w:r>
          </w:p>
        </w:tc>
        <w:tc>
          <w:tcPr>
            <w:tcW w:w="357" w:type="pct"/>
          </w:tcPr>
          <w:p w:rsidR="000458D0" w:rsidRPr="00A4014C" w:rsidRDefault="000458D0" w:rsidP="00784A63">
            <w:pPr>
              <w:jc w:val="right"/>
              <w:rPr>
                <w:sz w:val="18"/>
                <w:szCs w:val="18"/>
              </w:rPr>
            </w:pPr>
            <w:r w:rsidRPr="00A4014C">
              <w:rPr>
                <w:sz w:val="18"/>
                <w:szCs w:val="18"/>
              </w:rPr>
              <w:t>2</w:t>
            </w:r>
            <w:r w:rsidR="00CD4040" w:rsidRPr="00A4014C">
              <w:rPr>
                <w:sz w:val="18"/>
                <w:szCs w:val="18"/>
              </w:rPr>
              <w:t>,</w:t>
            </w:r>
            <w:r w:rsidR="002A14F9" w:rsidRPr="00A4014C">
              <w:rPr>
                <w:sz w:val="18"/>
                <w:szCs w:val="18"/>
              </w:rPr>
              <w:t>526</w:t>
            </w:r>
          </w:p>
        </w:tc>
        <w:tc>
          <w:tcPr>
            <w:tcW w:w="309" w:type="pct"/>
          </w:tcPr>
          <w:p w:rsidR="000458D0" w:rsidRPr="00A4014C" w:rsidRDefault="000458D0" w:rsidP="00784A63">
            <w:pPr>
              <w:jc w:val="right"/>
              <w:rPr>
                <w:sz w:val="18"/>
                <w:szCs w:val="18"/>
              </w:rPr>
            </w:pPr>
            <w:r w:rsidRPr="00A4014C">
              <w:rPr>
                <w:sz w:val="18"/>
                <w:szCs w:val="18"/>
              </w:rPr>
              <w:t>213</w:t>
            </w:r>
          </w:p>
        </w:tc>
        <w:tc>
          <w:tcPr>
            <w:tcW w:w="405" w:type="pct"/>
          </w:tcPr>
          <w:p w:rsidR="000458D0" w:rsidRPr="00A4014C" w:rsidRDefault="002A14F9" w:rsidP="00784A63">
            <w:pPr>
              <w:jc w:val="right"/>
              <w:rPr>
                <w:sz w:val="18"/>
                <w:szCs w:val="18"/>
              </w:rPr>
            </w:pPr>
            <w:r w:rsidRPr="00A4014C">
              <w:rPr>
                <w:sz w:val="18"/>
                <w:szCs w:val="18"/>
              </w:rPr>
              <w:t>1,757</w:t>
            </w:r>
          </w:p>
        </w:tc>
        <w:tc>
          <w:tcPr>
            <w:tcW w:w="357" w:type="pct"/>
          </w:tcPr>
          <w:p w:rsidR="000458D0" w:rsidRPr="00A4014C" w:rsidRDefault="000458D0" w:rsidP="00784A63">
            <w:pPr>
              <w:jc w:val="right"/>
              <w:rPr>
                <w:sz w:val="18"/>
                <w:szCs w:val="18"/>
              </w:rPr>
            </w:pPr>
            <w:r w:rsidRPr="00A4014C">
              <w:rPr>
                <w:sz w:val="18"/>
                <w:szCs w:val="18"/>
              </w:rPr>
              <w:t>9</w:t>
            </w:r>
            <w:r w:rsidR="002A14F9" w:rsidRPr="00A4014C">
              <w:rPr>
                <w:sz w:val="18"/>
                <w:szCs w:val="18"/>
              </w:rPr>
              <w:t>71</w:t>
            </w:r>
          </w:p>
        </w:tc>
        <w:tc>
          <w:tcPr>
            <w:tcW w:w="358" w:type="pct"/>
          </w:tcPr>
          <w:p w:rsidR="000458D0" w:rsidRPr="00A4014C" w:rsidRDefault="002A14F9" w:rsidP="00784A63">
            <w:pPr>
              <w:jc w:val="right"/>
              <w:rPr>
                <w:sz w:val="18"/>
                <w:szCs w:val="18"/>
              </w:rPr>
            </w:pPr>
            <w:r w:rsidRPr="00A4014C">
              <w:rPr>
                <w:sz w:val="18"/>
                <w:szCs w:val="18"/>
              </w:rPr>
              <w:t>2,636</w:t>
            </w:r>
          </w:p>
        </w:tc>
        <w:tc>
          <w:tcPr>
            <w:tcW w:w="357" w:type="pct"/>
          </w:tcPr>
          <w:p w:rsidR="000458D0" w:rsidRPr="00A4014C" w:rsidRDefault="002A14F9" w:rsidP="00784A63">
            <w:pPr>
              <w:jc w:val="right"/>
              <w:rPr>
                <w:sz w:val="18"/>
                <w:szCs w:val="18"/>
              </w:rPr>
            </w:pPr>
            <w:r w:rsidRPr="00A4014C">
              <w:rPr>
                <w:sz w:val="18"/>
                <w:szCs w:val="18"/>
              </w:rPr>
              <w:t>1,350</w:t>
            </w:r>
          </w:p>
        </w:tc>
        <w:tc>
          <w:tcPr>
            <w:tcW w:w="357" w:type="pct"/>
          </w:tcPr>
          <w:p w:rsidR="000458D0" w:rsidRPr="00A4014C" w:rsidRDefault="000458D0" w:rsidP="00784A63">
            <w:pPr>
              <w:jc w:val="right"/>
              <w:rPr>
                <w:sz w:val="18"/>
                <w:szCs w:val="18"/>
              </w:rPr>
            </w:pPr>
            <w:r w:rsidRPr="00A4014C">
              <w:rPr>
                <w:sz w:val="18"/>
                <w:szCs w:val="18"/>
              </w:rPr>
              <w:t>1</w:t>
            </w:r>
            <w:r w:rsidR="00CD4040" w:rsidRPr="00A4014C">
              <w:rPr>
                <w:sz w:val="18"/>
                <w:szCs w:val="18"/>
              </w:rPr>
              <w:t>,</w:t>
            </w:r>
            <w:r w:rsidRPr="00A4014C">
              <w:rPr>
                <w:sz w:val="18"/>
                <w:szCs w:val="18"/>
              </w:rPr>
              <w:t>444</w:t>
            </w:r>
          </w:p>
        </w:tc>
        <w:tc>
          <w:tcPr>
            <w:tcW w:w="357" w:type="pct"/>
          </w:tcPr>
          <w:p w:rsidR="000458D0" w:rsidRPr="00A4014C" w:rsidRDefault="000458D0" w:rsidP="00784A63">
            <w:pPr>
              <w:jc w:val="right"/>
              <w:rPr>
                <w:sz w:val="18"/>
                <w:szCs w:val="18"/>
              </w:rPr>
            </w:pPr>
            <w:r w:rsidRPr="00A4014C">
              <w:rPr>
                <w:sz w:val="18"/>
                <w:szCs w:val="18"/>
              </w:rPr>
              <w:t>1</w:t>
            </w:r>
            <w:r w:rsidR="00CD4040" w:rsidRPr="00A4014C">
              <w:rPr>
                <w:sz w:val="18"/>
                <w:szCs w:val="18"/>
              </w:rPr>
              <w:t>,</w:t>
            </w:r>
            <w:r w:rsidRPr="00A4014C">
              <w:rPr>
                <w:sz w:val="18"/>
                <w:szCs w:val="18"/>
              </w:rPr>
              <w:t>05</w:t>
            </w:r>
            <w:r w:rsidR="002A14F9" w:rsidRPr="00A4014C">
              <w:rPr>
                <w:sz w:val="18"/>
                <w:szCs w:val="18"/>
              </w:rPr>
              <w:t>2</w:t>
            </w:r>
          </w:p>
        </w:tc>
        <w:tc>
          <w:tcPr>
            <w:tcW w:w="368" w:type="pct"/>
          </w:tcPr>
          <w:p w:rsidR="000458D0" w:rsidRPr="00A4014C" w:rsidRDefault="000458D0" w:rsidP="00784A63">
            <w:pPr>
              <w:jc w:val="right"/>
              <w:rPr>
                <w:sz w:val="18"/>
                <w:szCs w:val="18"/>
              </w:rPr>
            </w:pPr>
            <w:r w:rsidRPr="00A4014C">
              <w:rPr>
                <w:sz w:val="18"/>
                <w:szCs w:val="18"/>
              </w:rPr>
              <w:t>1</w:t>
            </w:r>
            <w:r w:rsidR="00CD4040" w:rsidRPr="00A4014C">
              <w:rPr>
                <w:sz w:val="18"/>
                <w:szCs w:val="18"/>
              </w:rPr>
              <w:t>,</w:t>
            </w:r>
            <w:r w:rsidRPr="00A4014C">
              <w:rPr>
                <w:sz w:val="18"/>
                <w:szCs w:val="18"/>
              </w:rPr>
              <w:t>51</w:t>
            </w:r>
            <w:r w:rsidR="00DA4EFC" w:rsidRPr="00A4014C">
              <w:rPr>
                <w:sz w:val="18"/>
                <w:szCs w:val="18"/>
              </w:rPr>
              <w:t>8</w:t>
            </w:r>
          </w:p>
        </w:tc>
      </w:tr>
    </w:tbl>
    <w:p w:rsidR="00A4014C" w:rsidRDefault="00A4014C" w:rsidP="00A4014C">
      <w:pPr>
        <w:pStyle w:val="SourceNotes"/>
      </w:pPr>
      <w:r w:rsidRPr="00620BFF">
        <w:t xml:space="preserve">This </w:t>
      </w:r>
      <w:r>
        <w:t xml:space="preserve">table </w:t>
      </w:r>
      <w:r w:rsidRPr="00620BFF">
        <w:t>does not include MPS and flexible care providers and places.</w:t>
      </w:r>
    </w:p>
    <w:p w:rsidR="00D32360" w:rsidRPr="00596D01" w:rsidRDefault="003F136B" w:rsidP="0016704B">
      <w:pPr>
        <w:pStyle w:val="Heading3Numbered"/>
        <w:numPr>
          <w:ilvl w:val="2"/>
          <w:numId w:val="23"/>
        </w:numPr>
      </w:pPr>
      <w:bookmarkStart w:id="592" w:name="_Toc487702594"/>
      <w:bookmarkStart w:id="593" w:name="_Toc487702946"/>
      <w:bookmarkStart w:id="594" w:name="_Toc487703444"/>
      <w:bookmarkStart w:id="595" w:name="_Toc487703638"/>
      <w:bookmarkStart w:id="596" w:name="_Toc524424770"/>
      <w:r w:rsidRPr="00596D01">
        <w:t xml:space="preserve">Residential care </w:t>
      </w:r>
      <w:r w:rsidR="00D32360" w:rsidRPr="00596D01">
        <w:t>providers</w:t>
      </w:r>
      <w:bookmarkEnd w:id="592"/>
      <w:bookmarkEnd w:id="593"/>
      <w:bookmarkEnd w:id="594"/>
      <w:bookmarkEnd w:id="595"/>
      <w:bookmarkEnd w:id="596"/>
    </w:p>
    <w:p w:rsidR="00D8721E" w:rsidRDefault="00122070" w:rsidP="00A4014C">
      <w:r w:rsidRPr="006A2FFC">
        <w:t xml:space="preserve">At </w:t>
      </w:r>
      <w:r w:rsidR="00A261F3">
        <w:t>30 J</w:t>
      </w:r>
      <w:r w:rsidRPr="006A2FFC">
        <w:t>une</w:t>
      </w:r>
      <w:r w:rsidR="00A261F3">
        <w:t> 201</w:t>
      </w:r>
      <w:r w:rsidR="00C01F19" w:rsidRPr="006A2FFC">
        <w:t xml:space="preserve">7, there were 902 </w:t>
      </w:r>
      <w:r w:rsidR="003F136B" w:rsidRPr="006A2FFC">
        <w:t>resi</w:t>
      </w:r>
      <w:r w:rsidR="00BE6AC7" w:rsidRPr="006A2FFC">
        <w:t>dential care providers operating</w:t>
      </w:r>
      <w:r w:rsidR="00A261F3">
        <w:t> 200</w:t>
      </w:r>
      <w:r w:rsidR="00C01F19" w:rsidRPr="006A2FFC">
        <w:t>,689</w:t>
      </w:r>
      <w:r w:rsidRPr="006A2FFC">
        <w:t xml:space="preserve"> residential care places in Australia</w:t>
      </w:r>
      <w:r w:rsidR="009652D6" w:rsidRPr="006A2FFC">
        <w:t xml:space="preserve">. This compares with </w:t>
      </w:r>
      <w:r w:rsidR="00C01F19" w:rsidRPr="006A2FFC">
        <w:t xml:space="preserve">949 </w:t>
      </w:r>
      <w:r w:rsidR="00F81A85">
        <w:t xml:space="preserve">providers </w:t>
      </w:r>
      <w:r w:rsidR="00BE6AC7" w:rsidRPr="006A2FFC">
        <w:t>operating</w:t>
      </w:r>
      <w:r w:rsidR="009652D6" w:rsidRPr="006A2FFC">
        <w:t xml:space="preserve"> </w:t>
      </w:r>
      <w:r w:rsidR="00C01F19" w:rsidRPr="006A2FFC">
        <w:t xml:space="preserve">195,825 </w:t>
      </w:r>
      <w:r w:rsidR="009652D6" w:rsidRPr="006A2FFC">
        <w:t>places</w:t>
      </w:r>
      <w:r w:rsidR="007A2C81" w:rsidRPr="006A2FFC">
        <w:t xml:space="preserve"> as at </w:t>
      </w:r>
      <w:r w:rsidR="00A261F3">
        <w:t>30 J</w:t>
      </w:r>
      <w:r w:rsidR="007A2C81" w:rsidRPr="006A2FFC">
        <w:t>une</w:t>
      </w:r>
      <w:r w:rsidR="00A261F3">
        <w:t> 201</w:t>
      </w:r>
      <w:r w:rsidR="00C01F19" w:rsidRPr="006A2FFC">
        <w:t>6</w:t>
      </w:r>
      <w:r w:rsidR="00D8721E">
        <w:t>.</w:t>
      </w:r>
    </w:p>
    <w:p w:rsidR="00D8721E" w:rsidRDefault="00D476EE" w:rsidP="00A4014C">
      <w:r>
        <w:t xml:space="preserve">As reported </w:t>
      </w:r>
      <w:r w:rsidR="00120B42">
        <w:t>i</w:t>
      </w:r>
      <w:r>
        <w:t>n previous annual reports</w:t>
      </w:r>
      <w:r w:rsidR="00122070">
        <w:t xml:space="preserve">, </w:t>
      </w:r>
      <w:r w:rsidR="007821CC">
        <w:t>some</w:t>
      </w:r>
      <w:r w:rsidR="00122070">
        <w:t xml:space="preserve"> providers are seeking to expand the scale of their businesses. As a result there has been a consolidati</w:t>
      </w:r>
      <w:r w:rsidR="007A2C81">
        <w:t>on of industry providers</w:t>
      </w:r>
      <w:r w:rsidR="0046180A">
        <w:t xml:space="preserve"> over a number of years</w:t>
      </w:r>
      <w:r w:rsidR="007A2C81">
        <w:t xml:space="preserve">. </w:t>
      </w:r>
      <w:r w:rsidR="00492BF8">
        <w:fldChar w:fldCharType="begin"/>
      </w:r>
      <w:r w:rsidR="00492BF8">
        <w:instrText xml:space="preserve"> REF _Ref452529376 \r \h </w:instrText>
      </w:r>
      <w:r w:rsidR="00492BF8">
        <w:fldChar w:fldCharType="separate"/>
      </w:r>
      <w:r w:rsidR="00492BF8">
        <w:t>Chart 8.1</w:t>
      </w:r>
      <w:r w:rsidR="00492BF8">
        <w:fldChar w:fldCharType="end"/>
      </w:r>
      <w:r w:rsidR="00492BF8">
        <w:t xml:space="preserve"> </w:t>
      </w:r>
      <w:r w:rsidR="00122070">
        <w:t>shows the decreasin</w:t>
      </w:r>
      <w:r w:rsidR="007821CC">
        <w:t>g provider numbers over the seven</w:t>
      </w:r>
      <w:r w:rsidR="00E23A52">
        <w:t xml:space="preserve"> </w:t>
      </w:r>
      <w:r w:rsidR="00BE6AC7">
        <w:t>years to</w:t>
      </w:r>
      <w:r w:rsidR="00A261F3">
        <w:t> 201</w:t>
      </w:r>
      <w:r w:rsidR="00246835">
        <w:t>6</w:t>
      </w:r>
      <w:r w:rsidR="00D8721E">
        <w:t>–1</w:t>
      </w:r>
      <w:r w:rsidR="00246835">
        <w:t>7</w:t>
      </w:r>
      <w:r w:rsidR="00BE6AC7">
        <w:t>, and shows the proportion of ownership across not-for-profit, for-profit and government providers.</w:t>
      </w:r>
    </w:p>
    <w:p w:rsidR="00475217" w:rsidRPr="00596D01" w:rsidRDefault="006C1357" w:rsidP="00A4014C">
      <w:pPr>
        <w:pStyle w:val="ChartTitle"/>
      </w:pPr>
      <w:bookmarkStart w:id="597" w:name="_Ref452529376"/>
      <w:r w:rsidRPr="00596D01">
        <w:lastRenderedPageBreak/>
        <w:t>Provider numbers</w:t>
      </w:r>
      <w:r w:rsidR="000E4270" w:rsidRPr="00596D01">
        <w:t>,</w:t>
      </w:r>
      <w:r w:rsidR="00A261F3" w:rsidRPr="00596D01">
        <w:t> 201</w:t>
      </w:r>
      <w:r w:rsidR="00C20BA7" w:rsidRPr="00596D01">
        <w:t>0</w:t>
      </w:r>
      <w:r w:rsidR="00D8721E" w:rsidRPr="00596D01">
        <w:t>–1</w:t>
      </w:r>
      <w:r w:rsidR="00C20BA7" w:rsidRPr="00596D01">
        <w:t>1</w:t>
      </w:r>
      <w:r w:rsidR="000E4270" w:rsidRPr="00596D01">
        <w:t xml:space="preserve"> to</w:t>
      </w:r>
      <w:r w:rsidR="00A261F3" w:rsidRPr="00596D01">
        <w:t> 201</w:t>
      </w:r>
      <w:r w:rsidR="00C20BA7" w:rsidRPr="00596D01">
        <w:t>6</w:t>
      </w:r>
      <w:r w:rsidR="00D8721E" w:rsidRPr="00596D01">
        <w:t>–1</w:t>
      </w:r>
      <w:r w:rsidR="00C20BA7" w:rsidRPr="00596D01">
        <w:t>7</w:t>
      </w:r>
      <w:bookmarkEnd w:id="597"/>
    </w:p>
    <w:p w:rsidR="00D8721E" w:rsidRDefault="005C6085" w:rsidP="00A4014C">
      <w:pPr>
        <w:rPr>
          <w:noProof/>
        </w:rPr>
      </w:pPr>
      <w:r>
        <w:rPr>
          <w:noProof/>
        </w:rPr>
        <w:drawing>
          <wp:inline distT="0" distB="0" distL="0" distR="0" wp14:anchorId="19130484" wp14:editId="09A0EE89">
            <wp:extent cx="6120000" cy="2369032"/>
            <wp:effectExtent l="0" t="0" r="0" b="0"/>
            <wp:docPr id="681" name="Picture 681" descr="Chart 8.1 Provider numbers, 2010–11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8.2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000" cy="2369032"/>
                    </a:xfrm>
                    <a:prstGeom prst="rect">
                      <a:avLst/>
                    </a:prstGeom>
                    <a:noFill/>
                    <a:ln>
                      <a:noFill/>
                    </a:ln>
                  </pic:spPr>
                </pic:pic>
              </a:graphicData>
            </a:graphic>
          </wp:inline>
        </w:drawing>
      </w:r>
    </w:p>
    <w:p w:rsidR="00D32360" w:rsidRPr="00596D01" w:rsidRDefault="00D32360" w:rsidP="00A4014C">
      <w:pPr>
        <w:pStyle w:val="Heading3Numbered"/>
      </w:pPr>
      <w:bookmarkStart w:id="598" w:name="_Toc487702595"/>
      <w:bookmarkStart w:id="599" w:name="_Toc487702947"/>
      <w:bookmarkStart w:id="600" w:name="_Toc487703445"/>
      <w:bookmarkStart w:id="601" w:name="_Toc487703639"/>
      <w:bookmarkStart w:id="602" w:name="_Toc524424771"/>
      <w:r w:rsidRPr="00596D01">
        <w:t>Ownership type</w:t>
      </w:r>
      <w:bookmarkEnd w:id="598"/>
      <w:bookmarkEnd w:id="599"/>
      <w:bookmarkEnd w:id="600"/>
      <w:bookmarkEnd w:id="601"/>
      <w:bookmarkEnd w:id="602"/>
    </w:p>
    <w:p w:rsidR="00BD1CB2" w:rsidRPr="00C20BA7" w:rsidRDefault="00C24A9F" w:rsidP="00A4014C">
      <w:r>
        <w:t xml:space="preserve">As </w:t>
      </w:r>
      <w:r w:rsidR="00AA684F">
        <w:t xml:space="preserve">shown in </w:t>
      </w:r>
      <w:r w:rsidR="00492BF8">
        <w:fldChar w:fldCharType="begin"/>
      </w:r>
      <w:r w:rsidR="00492BF8">
        <w:instrText xml:space="preserve"> REF _Ref452529376 \r \h </w:instrText>
      </w:r>
      <w:r w:rsidR="00492BF8">
        <w:fldChar w:fldCharType="separate"/>
      </w:r>
      <w:r w:rsidR="00492BF8">
        <w:t>Charts 8.1</w:t>
      </w:r>
      <w:r w:rsidR="00492BF8">
        <w:fldChar w:fldCharType="end"/>
      </w:r>
      <w:r w:rsidR="00492BF8">
        <w:t xml:space="preserve"> </w:t>
      </w:r>
      <w:r w:rsidR="00C412B1">
        <w:t xml:space="preserve">and </w:t>
      </w:r>
      <w:r w:rsidR="00492BF8">
        <w:fldChar w:fldCharType="begin"/>
      </w:r>
      <w:r w:rsidR="00492BF8">
        <w:instrText xml:space="preserve"> REF _Ref452498832 \r \h </w:instrText>
      </w:r>
      <w:r w:rsidR="00492BF8">
        <w:fldChar w:fldCharType="separate"/>
      </w:r>
      <w:r w:rsidR="00492BF8">
        <w:t>8.2</w:t>
      </w:r>
      <w:r w:rsidR="00492BF8">
        <w:fldChar w:fldCharType="end"/>
      </w:r>
      <w:r w:rsidR="00C412B1">
        <w:t>,</w:t>
      </w:r>
      <w:r w:rsidR="00BD1CB2">
        <w:t xml:space="preserve"> the largest provider group remains the not-for-profit provider</w:t>
      </w:r>
      <w:r w:rsidR="00120B42">
        <w:t xml:space="preserve"> group</w:t>
      </w:r>
      <w:r w:rsidR="00BD1CB2">
        <w:t xml:space="preserve"> (religious, charitable and </w:t>
      </w:r>
      <w:r w:rsidR="00BD1CB2" w:rsidRPr="00C20BA7">
        <w:t xml:space="preserve">community-based organisations). They represent </w:t>
      </w:r>
      <w:r w:rsidR="006A2FFC" w:rsidRPr="00C20BA7">
        <w:t>5</w:t>
      </w:r>
      <w:r w:rsidR="00D00B54">
        <w:t>6</w:t>
      </w:r>
      <w:r w:rsidR="00A261F3">
        <w:t> per cent</w:t>
      </w:r>
      <w:r w:rsidR="00BD1CB2" w:rsidRPr="00C20BA7">
        <w:t xml:space="preserve"> of providers and operate </w:t>
      </w:r>
      <w:r w:rsidR="006A2FFC" w:rsidRPr="00C20BA7">
        <w:t>5</w:t>
      </w:r>
      <w:r w:rsidR="00D00B54">
        <w:t>6</w:t>
      </w:r>
      <w:r w:rsidR="00A261F3">
        <w:t> per cent</w:t>
      </w:r>
      <w:r w:rsidR="00BD1CB2" w:rsidRPr="00C20BA7">
        <w:t xml:space="preserve"> of all residential aged care places. For-profit providers account for </w:t>
      </w:r>
      <w:r w:rsidR="00C20BA7" w:rsidRPr="00C20BA7">
        <w:t>3</w:t>
      </w:r>
      <w:r w:rsidR="00341DAB">
        <w:t>3</w:t>
      </w:r>
      <w:r w:rsidR="00A261F3">
        <w:t> per cent</w:t>
      </w:r>
      <w:r w:rsidR="00BD1CB2" w:rsidRPr="00C20BA7">
        <w:t xml:space="preserve"> of providers and </w:t>
      </w:r>
      <w:r w:rsidR="00B65A90">
        <w:t>40</w:t>
      </w:r>
      <w:r w:rsidR="00A261F3">
        <w:t> per cent</w:t>
      </w:r>
      <w:r w:rsidR="00BD1CB2" w:rsidRPr="00C20BA7">
        <w:t xml:space="preserve"> of places. The remaining providers and places are state and</w:t>
      </w:r>
      <w:r w:rsidR="00581564" w:rsidRPr="00C20BA7">
        <w:t xml:space="preserve"> territory and local government-</w:t>
      </w:r>
      <w:r w:rsidR="00BD1CB2" w:rsidRPr="00C20BA7">
        <w:t>owned providers.</w:t>
      </w:r>
    </w:p>
    <w:p w:rsidR="00D8721E" w:rsidRDefault="00223339" w:rsidP="00A4014C">
      <w:r w:rsidRPr="00C20BA7">
        <w:t>The proportion of providers across</w:t>
      </w:r>
      <w:r>
        <w:t xml:space="preserve"> ownership types h</w:t>
      </w:r>
      <w:r w:rsidR="00BE6AC7">
        <w:t xml:space="preserve">as remained relatively stable. </w:t>
      </w:r>
      <w:r>
        <w:t>However</w:t>
      </w:r>
      <w:r w:rsidR="005259B7">
        <w:t>,</w:t>
      </w:r>
      <w:r>
        <w:t xml:space="preserve"> the proportion </w:t>
      </w:r>
      <w:r w:rsidR="004E1FB7">
        <w:t xml:space="preserve">of operational residential </w:t>
      </w:r>
      <w:r>
        <w:t>care places held by for-profit providers has</w:t>
      </w:r>
      <w:r w:rsidR="0046180A">
        <w:t xml:space="preserve"> been increasing</w:t>
      </w:r>
      <w:r>
        <w:t xml:space="preserve"> slowly</w:t>
      </w:r>
      <w:r w:rsidR="007A2C81">
        <w:t xml:space="preserve"> in recent years (</w:t>
      </w:r>
      <w:r w:rsidR="00492BF8">
        <w:fldChar w:fldCharType="begin"/>
      </w:r>
      <w:r w:rsidR="00492BF8">
        <w:instrText xml:space="preserve"> REF _Ref452498832 \r \h </w:instrText>
      </w:r>
      <w:r w:rsidR="00492BF8">
        <w:fldChar w:fldCharType="separate"/>
      </w:r>
      <w:r w:rsidR="00492BF8">
        <w:t>Chart 8.2</w:t>
      </w:r>
      <w:r w:rsidR="00492BF8">
        <w:fldChar w:fldCharType="end"/>
      </w:r>
      <w:r w:rsidR="00BE6AC7">
        <w:t xml:space="preserve">). </w:t>
      </w:r>
      <w:r>
        <w:t>This reflects for</w:t>
      </w:r>
      <w:r>
        <w:noBreakHyphen/>
        <w:t>profit providers gradually increasing the scale of their operations through both acquisitions and greater success at gaining new allocations through the annual Aged Care Approval</w:t>
      </w:r>
      <w:r w:rsidR="003E501A">
        <w:t>s</w:t>
      </w:r>
      <w:r>
        <w:t xml:space="preserve"> Rounds</w:t>
      </w:r>
      <w:r w:rsidR="006D006B">
        <w:t xml:space="preserve"> (ACAR)</w:t>
      </w:r>
      <w:r w:rsidR="00D8721E">
        <w:t>.</w:t>
      </w:r>
    </w:p>
    <w:p w:rsidR="00D8721E" w:rsidRDefault="001444C2" w:rsidP="00A4014C">
      <w:r>
        <w:t xml:space="preserve">Similar to </w:t>
      </w:r>
      <w:r w:rsidR="00E9051F">
        <w:t xml:space="preserve">the case </w:t>
      </w:r>
      <w:r>
        <w:t>in last year’s annual report, not-for-profits operated</w:t>
      </w:r>
      <w:r w:rsidR="00E9051F">
        <w:t xml:space="preserve"> </w:t>
      </w:r>
      <w:r>
        <w:t>5</w:t>
      </w:r>
      <w:r w:rsidR="00D00B54">
        <w:t>6</w:t>
      </w:r>
      <w:r w:rsidR="00A261F3">
        <w:t> per cent</w:t>
      </w:r>
      <w:r>
        <w:t xml:space="preserve"> of all operational residential care places in</w:t>
      </w:r>
      <w:r w:rsidR="00A261F3">
        <w:t> 201</w:t>
      </w:r>
      <w:r>
        <w:t>6</w:t>
      </w:r>
      <w:r w:rsidR="00D8721E">
        <w:t>–1</w:t>
      </w:r>
      <w:r>
        <w:t>7, although operated 6</w:t>
      </w:r>
      <w:r w:rsidR="00D00B54">
        <w:t>6</w:t>
      </w:r>
      <w:r w:rsidR="00A261F3">
        <w:t> per cent</w:t>
      </w:r>
      <w:r>
        <w:t xml:space="preserve"> of all regional places. Conversely, and also similar to</w:t>
      </w:r>
      <w:r w:rsidR="00A261F3">
        <w:t> 201</w:t>
      </w:r>
      <w:r>
        <w:t>5</w:t>
      </w:r>
      <w:r w:rsidR="00D8721E">
        <w:t>–1</w:t>
      </w:r>
      <w:r>
        <w:t>6, for-profit providers operated 40</w:t>
      </w:r>
      <w:r w:rsidR="00A261F3">
        <w:t> per cent</w:t>
      </w:r>
      <w:r>
        <w:t xml:space="preserve"> of all places in</w:t>
      </w:r>
      <w:r w:rsidR="00A261F3">
        <w:t> 201</w:t>
      </w:r>
      <w:r>
        <w:t>6</w:t>
      </w:r>
      <w:r w:rsidR="00D8721E">
        <w:t>–1</w:t>
      </w:r>
      <w:r>
        <w:t>7 and only</w:t>
      </w:r>
      <w:r w:rsidR="00120B42">
        <w:t xml:space="preserve"> </w:t>
      </w:r>
      <w:r>
        <w:t>2</w:t>
      </w:r>
      <w:r w:rsidR="00341DAB">
        <w:t>3</w:t>
      </w:r>
      <w:r w:rsidR="00A261F3">
        <w:t> per cent</w:t>
      </w:r>
      <w:r>
        <w:t xml:space="preserve"> of regional places. Government providers operated the remaining 1</w:t>
      </w:r>
      <w:r w:rsidR="00341DAB">
        <w:t>1</w:t>
      </w:r>
      <w:r w:rsidR="00A261F3">
        <w:t> per cent</w:t>
      </w:r>
      <w:r>
        <w:t xml:space="preserve"> of regional residential care places</w:t>
      </w:r>
      <w:r w:rsidR="00D8721E">
        <w:t>.</w:t>
      </w:r>
    </w:p>
    <w:p w:rsidR="00BE6F68" w:rsidRPr="00596D01" w:rsidRDefault="006C1357" w:rsidP="00A4014C">
      <w:pPr>
        <w:pStyle w:val="ChartTitle"/>
      </w:pPr>
      <w:bookmarkStart w:id="603" w:name="_Ref452498832"/>
      <w:r w:rsidRPr="00596D01">
        <w:t>Operational places</w:t>
      </w:r>
      <w:r w:rsidR="000E4270" w:rsidRPr="00596D01">
        <w:t>,</w:t>
      </w:r>
      <w:r w:rsidR="00A261F3" w:rsidRPr="00596D01">
        <w:t> 201</w:t>
      </w:r>
      <w:r w:rsidR="000A68FB" w:rsidRPr="00596D01">
        <w:t>0</w:t>
      </w:r>
      <w:r w:rsidR="00D8721E" w:rsidRPr="00596D01">
        <w:t>–1</w:t>
      </w:r>
      <w:r w:rsidR="000A68FB" w:rsidRPr="00596D01">
        <w:t>1 to</w:t>
      </w:r>
      <w:r w:rsidR="00A261F3" w:rsidRPr="00596D01">
        <w:t> 201</w:t>
      </w:r>
      <w:r w:rsidR="000A68FB" w:rsidRPr="00596D01">
        <w:t>6</w:t>
      </w:r>
      <w:r w:rsidR="00D8721E" w:rsidRPr="00596D01">
        <w:t>–1</w:t>
      </w:r>
      <w:r w:rsidR="000A68FB" w:rsidRPr="00596D01">
        <w:t>7</w:t>
      </w:r>
      <w:bookmarkEnd w:id="603"/>
    </w:p>
    <w:p w:rsidR="00D8721E" w:rsidRDefault="00C20BA7" w:rsidP="00A4014C">
      <w:r>
        <w:rPr>
          <w:noProof/>
        </w:rPr>
        <w:drawing>
          <wp:inline distT="0" distB="0" distL="0" distR="0" wp14:anchorId="7DEBA22E" wp14:editId="53B9C98D">
            <wp:extent cx="6120000" cy="2514419"/>
            <wp:effectExtent l="0" t="0" r="0" b="635"/>
            <wp:docPr id="13" name="Picture 13" descr="Chart 8.2 Operational places, 2010–11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cb0036\AppData\Local\Microsoft\Windows\Temporary Internet Files\Content.Outlook\84FQIAEX\Chart_8.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000" cy="2514419"/>
                    </a:xfrm>
                    <a:prstGeom prst="rect">
                      <a:avLst/>
                    </a:prstGeom>
                    <a:noFill/>
                    <a:ln>
                      <a:noFill/>
                    </a:ln>
                  </pic:spPr>
                </pic:pic>
              </a:graphicData>
            </a:graphic>
          </wp:inline>
        </w:drawing>
      </w:r>
    </w:p>
    <w:p w:rsidR="00D32360" w:rsidRPr="00596D01" w:rsidRDefault="000F1E7F" w:rsidP="00A4014C">
      <w:pPr>
        <w:pStyle w:val="Heading3Numbered"/>
      </w:pPr>
      <w:bookmarkStart w:id="604" w:name="_Toc487702596"/>
      <w:bookmarkStart w:id="605" w:name="_Toc487702948"/>
      <w:bookmarkStart w:id="606" w:name="_Toc487703446"/>
      <w:bookmarkStart w:id="607" w:name="_Toc487703640"/>
      <w:bookmarkStart w:id="608" w:name="_Toc524424772"/>
      <w:r w:rsidRPr="00596D01">
        <w:t>Provider scale</w:t>
      </w:r>
      <w:bookmarkEnd w:id="604"/>
      <w:bookmarkEnd w:id="605"/>
      <w:bookmarkEnd w:id="606"/>
      <w:bookmarkEnd w:id="607"/>
      <w:bookmarkEnd w:id="608"/>
    </w:p>
    <w:p w:rsidR="001F38DE" w:rsidRDefault="001F38DE" w:rsidP="00A4014C">
      <w:r w:rsidRPr="001F38DE">
        <w:t>The majority of residential care providers (</w:t>
      </w:r>
      <w:r w:rsidR="006A2FFC">
        <w:t>6</w:t>
      </w:r>
      <w:r w:rsidR="00341DAB">
        <w:t>3</w:t>
      </w:r>
      <w:r w:rsidR="00A261F3">
        <w:t> per cent</w:t>
      </w:r>
      <w:r w:rsidRPr="001F38DE">
        <w:t>)</w:t>
      </w:r>
      <w:r w:rsidR="00D63704">
        <w:t xml:space="preserve"> </w:t>
      </w:r>
      <w:r w:rsidR="00224C09">
        <w:t>operate</w:t>
      </w:r>
      <w:r w:rsidR="00D63704">
        <w:t xml:space="preserve"> only one residential</w:t>
      </w:r>
      <w:r w:rsidR="00AA684F">
        <w:t xml:space="preserve"> </w:t>
      </w:r>
      <w:r w:rsidR="005E7250">
        <w:t xml:space="preserve">aged </w:t>
      </w:r>
      <w:r w:rsidR="00AA684F">
        <w:t>care home (</w:t>
      </w:r>
      <w:r w:rsidR="00492BF8">
        <w:fldChar w:fldCharType="begin"/>
      </w:r>
      <w:r w:rsidR="00492BF8">
        <w:instrText xml:space="preserve"> REF _Ref524428470 \r \h </w:instrText>
      </w:r>
      <w:r w:rsidR="00492BF8">
        <w:fldChar w:fldCharType="separate"/>
      </w:r>
      <w:r w:rsidR="00492BF8">
        <w:t>Chart 8.3</w:t>
      </w:r>
      <w:r w:rsidR="00492BF8">
        <w:fldChar w:fldCharType="end"/>
      </w:r>
      <w:r>
        <w:t xml:space="preserve">). These single </w:t>
      </w:r>
      <w:r w:rsidR="005E7250">
        <w:t xml:space="preserve">aged care </w:t>
      </w:r>
      <w:r>
        <w:t>home providers account for 2</w:t>
      </w:r>
      <w:r w:rsidR="00341DAB">
        <w:t>1</w:t>
      </w:r>
      <w:r w:rsidR="00A261F3">
        <w:t> per cent</w:t>
      </w:r>
      <w:r>
        <w:t xml:space="preserve"> of all operational </w:t>
      </w:r>
      <w:r w:rsidR="00D63704">
        <w:t>residential</w:t>
      </w:r>
      <w:r>
        <w:t xml:space="preserve"> care </w:t>
      </w:r>
      <w:r>
        <w:lastRenderedPageBreak/>
        <w:t xml:space="preserve">places. Conversely, </w:t>
      </w:r>
      <w:r w:rsidR="006A2FFC">
        <w:t xml:space="preserve">only </w:t>
      </w:r>
      <w:r w:rsidR="00853876">
        <w:t>2</w:t>
      </w:r>
      <w:r w:rsidR="00A261F3">
        <w:t> per cent</w:t>
      </w:r>
      <w:r w:rsidR="006A2FFC">
        <w:t xml:space="preserve"> of</w:t>
      </w:r>
      <w:r>
        <w:t xml:space="preserve"> providers operate more than 20 homes, but they account for </w:t>
      </w:r>
      <w:r w:rsidR="006A2FFC">
        <w:t>3</w:t>
      </w:r>
      <w:r w:rsidR="00341DAB">
        <w:t>1</w:t>
      </w:r>
      <w:r w:rsidR="00A261F3">
        <w:t> per cent</w:t>
      </w:r>
      <w:r>
        <w:t xml:space="preserve"> of operational places.</w:t>
      </w:r>
    </w:p>
    <w:p w:rsidR="0020638D" w:rsidRPr="00596D01" w:rsidRDefault="00742E34" w:rsidP="00A4014C">
      <w:pPr>
        <w:pStyle w:val="ChartTitle"/>
      </w:pPr>
      <w:bookmarkStart w:id="609" w:name="_Ref452498881"/>
      <w:bookmarkStart w:id="610" w:name="_Ref524428470"/>
      <w:r w:rsidRPr="00596D01">
        <w:t>Provider and operational places by provider s</w:t>
      </w:r>
      <w:bookmarkEnd w:id="609"/>
      <w:r w:rsidR="000F1E7F" w:rsidRPr="00596D01">
        <w:t>cale</w:t>
      </w:r>
      <w:r w:rsidR="00CA52C5" w:rsidRPr="00596D01">
        <w:t>,</w:t>
      </w:r>
      <w:r w:rsidR="00A261F3" w:rsidRPr="00596D01">
        <w:t> 201</w:t>
      </w:r>
      <w:r w:rsidR="00CA52C5" w:rsidRPr="00596D01">
        <w:t>4</w:t>
      </w:r>
      <w:r w:rsidR="00D8721E" w:rsidRPr="00596D01">
        <w:t>–1</w:t>
      </w:r>
      <w:r w:rsidR="00CA52C5" w:rsidRPr="00596D01">
        <w:t>5</w:t>
      </w:r>
      <w:r w:rsidR="00EB43B6" w:rsidRPr="00596D01">
        <w:t> </w:t>
      </w:r>
      <w:r w:rsidR="003E501A" w:rsidRPr="00596D01">
        <w:t>to</w:t>
      </w:r>
      <w:r w:rsidR="00A261F3" w:rsidRPr="00596D01">
        <w:t> 201</w:t>
      </w:r>
      <w:r w:rsidR="00CA52C5" w:rsidRPr="00596D01">
        <w:t>6</w:t>
      </w:r>
      <w:r w:rsidR="00D8721E" w:rsidRPr="00596D01">
        <w:t>–1</w:t>
      </w:r>
      <w:r w:rsidR="00CA52C5" w:rsidRPr="00596D01">
        <w:t>7</w:t>
      </w:r>
      <w:bookmarkEnd w:id="610"/>
      <w:r w:rsidR="00D70BA1" w:rsidRPr="00596D01">
        <w:t xml:space="preserve"> </w:t>
      </w:r>
    </w:p>
    <w:p w:rsidR="00D8721E" w:rsidRDefault="00B56416" w:rsidP="00A4014C">
      <w:r>
        <w:rPr>
          <w:noProof/>
        </w:rPr>
        <w:drawing>
          <wp:inline distT="0" distB="0" distL="0" distR="0" wp14:anchorId="19761665" wp14:editId="6245D0F2">
            <wp:extent cx="6120000" cy="2873581"/>
            <wp:effectExtent l="0" t="0" r="0" b="3175"/>
            <wp:docPr id="58" name="Picture 58" descr="Chart 8.3 Provider and operational places by provider scale, 2014–15 to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zc0004\AppData\Local\Microsoft\Windows\Temporary Internet Files\Content.Outlook\6DIYYC82\Chart_8.3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2873581"/>
                    </a:xfrm>
                    <a:prstGeom prst="rect">
                      <a:avLst/>
                    </a:prstGeom>
                    <a:noFill/>
                    <a:ln>
                      <a:noFill/>
                    </a:ln>
                  </pic:spPr>
                </pic:pic>
              </a:graphicData>
            </a:graphic>
          </wp:inline>
        </w:drawing>
      </w:r>
    </w:p>
    <w:p w:rsidR="00D8721E" w:rsidRDefault="00120B42" w:rsidP="00A4014C">
      <w:pPr>
        <w:rPr>
          <w:lang w:val="en-GB"/>
        </w:rPr>
      </w:pPr>
      <w:bookmarkStart w:id="611" w:name="_Toc487702597"/>
      <w:bookmarkStart w:id="612" w:name="_Toc487702949"/>
      <w:bookmarkStart w:id="613" w:name="_Toc487703447"/>
      <w:bookmarkStart w:id="614" w:name="_Toc487703641"/>
      <w:r w:rsidRPr="006D54EE">
        <w:rPr>
          <w:lang w:val="en-GB"/>
        </w:rPr>
        <w:t>ACFA notes</w:t>
      </w:r>
      <w:r>
        <w:rPr>
          <w:lang w:val="en-GB"/>
        </w:rPr>
        <w:t xml:space="preserve">, as shown in </w:t>
      </w:r>
      <w:r w:rsidR="00492BF8">
        <w:rPr>
          <w:lang w:val="en-GB"/>
        </w:rPr>
        <w:fldChar w:fldCharType="begin"/>
      </w:r>
      <w:r w:rsidR="00492BF8">
        <w:rPr>
          <w:lang w:val="en-GB"/>
        </w:rPr>
        <w:instrText xml:space="preserve"> REF _Ref524429482 \r \h </w:instrText>
      </w:r>
      <w:r w:rsidR="00492BF8">
        <w:rPr>
          <w:lang w:val="en-GB"/>
        </w:rPr>
      </w:r>
      <w:r w:rsidR="00492BF8">
        <w:rPr>
          <w:lang w:val="en-GB"/>
        </w:rPr>
        <w:fldChar w:fldCharType="separate"/>
      </w:r>
      <w:r w:rsidR="00492BF8">
        <w:rPr>
          <w:lang w:val="en-GB"/>
        </w:rPr>
        <w:t>Table 8.3</w:t>
      </w:r>
      <w:r w:rsidR="00492BF8">
        <w:rPr>
          <w:lang w:val="en-GB"/>
        </w:rPr>
        <w:fldChar w:fldCharType="end"/>
      </w:r>
      <w:r>
        <w:rPr>
          <w:lang w:val="en-GB"/>
        </w:rPr>
        <w:t xml:space="preserve">, </w:t>
      </w:r>
      <w:r w:rsidR="000A68FB">
        <w:rPr>
          <w:lang w:val="en-GB"/>
        </w:rPr>
        <w:t xml:space="preserve">that </w:t>
      </w:r>
      <w:r w:rsidRPr="006D54EE">
        <w:rPr>
          <w:lang w:val="en-GB"/>
        </w:rPr>
        <w:t>for-profit and not-for-profit</w:t>
      </w:r>
      <w:r>
        <w:rPr>
          <w:lang w:val="en-GB"/>
        </w:rPr>
        <w:t xml:space="preserve"> providers</w:t>
      </w:r>
      <w:r w:rsidR="000A68FB">
        <w:rPr>
          <w:lang w:val="en-GB"/>
        </w:rPr>
        <w:t xml:space="preserve"> have</w:t>
      </w:r>
      <w:r>
        <w:rPr>
          <w:lang w:val="en-GB"/>
        </w:rPr>
        <w:t xml:space="preserve">, on average, around three </w:t>
      </w:r>
      <w:r w:rsidRPr="006D54EE">
        <w:rPr>
          <w:lang w:val="en-GB"/>
        </w:rPr>
        <w:t>facilities per provider. However within those facilities, for-profit providers</w:t>
      </w:r>
      <w:r>
        <w:rPr>
          <w:lang w:val="en-GB"/>
        </w:rPr>
        <w:t xml:space="preserve">, </w:t>
      </w:r>
      <w:r w:rsidRPr="006D54EE">
        <w:rPr>
          <w:lang w:val="en-GB"/>
        </w:rPr>
        <w:t>on average</w:t>
      </w:r>
      <w:r>
        <w:rPr>
          <w:lang w:val="en-GB"/>
        </w:rPr>
        <w:t>,</w:t>
      </w:r>
      <w:r w:rsidRPr="006D54EE">
        <w:rPr>
          <w:lang w:val="en-GB"/>
        </w:rPr>
        <w:t xml:space="preserve"> </w:t>
      </w:r>
      <w:r>
        <w:rPr>
          <w:lang w:val="en-GB"/>
        </w:rPr>
        <w:t>operate 89 residential care places per facility, compared with not</w:t>
      </w:r>
      <w:r>
        <w:rPr>
          <w:lang w:val="en-GB"/>
        </w:rPr>
        <w:noBreakHyphen/>
        <w:t>for</w:t>
      </w:r>
      <w:r>
        <w:rPr>
          <w:lang w:val="en-GB"/>
        </w:rPr>
        <w:noBreakHyphen/>
        <w:t xml:space="preserve">profit providers who operate only 35 places per facility, partly reflecting their bigger presence in regional locations </w:t>
      </w:r>
    </w:p>
    <w:p w:rsidR="006D54EE" w:rsidRPr="00596D01" w:rsidRDefault="006D54EE" w:rsidP="00A4014C">
      <w:pPr>
        <w:pStyle w:val="TableTitle"/>
      </w:pPr>
      <w:bookmarkStart w:id="615" w:name="_Ref524429482"/>
      <w:r w:rsidRPr="00596D01">
        <w:t xml:space="preserve">Number of facilities per provider, by ownership type, </w:t>
      </w:r>
      <w:r w:rsidR="00A261F3" w:rsidRPr="00596D01">
        <w:t>30 J</w:t>
      </w:r>
      <w:r w:rsidRPr="00596D01">
        <w:t>une</w:t>
      </w:r>
      <w:r w:rsidR="00A261F3" w:rsidRPr="00596D01">
        <w:t> 201</w:t>
      </w:r>
      <w:r w:rsidRPr="00596D01">
        <w:t>7</w:t>
      </w:r>
      <w:bookmarkEnd w:id="615"/>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95"/>
        <w:gridCol w:w="1341"/>
        <w:gridCol w:w="1310"/>
        <w:gridCol w:w="1431"/>
        <w:gridCol w:w="1431"/>
        <w:gridCol w:w="1336"/>
        <w:gridCol w:w="1284"/>
      </w:tblGrid>
      <w:tr w:rsidR="005F2EC2" w:rsidRPr="00513C69"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776" w:type="pct"/>
          </w:tcPr>
          <w:p w:rsidR="006D54EE" w:rsidRPr="00513C69" w:rsidRDefault="006D54EE" w:rsidP="00A4014C">
            <w:pPr>
              <w:rPr>
                <w:rFonts w:ascii="Segoe UI" w:hAnsi="Segoe UI" w:cs="Segoe UI"/>
              </w:rPr>
            </w:pPr>
            <w:r w:rsidRPr="00596D01">
              <w:t>Organisation type</w:t>
            </w:r>
          </w:p>
        </w:tc>
        <w:tc>
          <w:tcPr>
            <w:tcW w:w="696" w:type="pct"/>
          </w:tcPr>
          <w:p w:rsidR="006D54EE" w:rsidRPr="00513C69" w:rsidRDefault="006D54EE" w:rsidP="00A4014C">
            <w:pPr>
              <w:jc w:val="right"/>
              <w:rPr>
                <w:rFonts w:ascii="Segoe UI" w:hAnsi="Segoe UI" w:cs="Segoe UI"/>
                <w:color w:val="FFFFFF"/>
                <w:lang w:eastAsia="en-AU"/>
              </w:rPr>
            </w:pPr>
            <w:r w:rsidRPr="00596D01">
              <w:t>Number of providers</w:t>
            </w:r>
          </w:p>
        </w:tc>
        <w:tc>
          <w:tcPr>
            <w:tcW w:w="680" w:type="pct"/>
          </w:tcPr>
          <w:p w:rsidR="006D54EE" w:rsidRPr="00513C69" w:rsidRDefault="006D54EE" w:rsidP="00A4014C">
            <w:pPr>
              <w:jc w:val="right"/>
              <w:rPr>
                <w:rFonts w:ascii="Segoe UI" w:hAnsi="Segoe UI" w:cs="Segoe UI"/>
                <w:color w:val="FFFFFF"/>
                <w:lang w:eastAsia="en-AU"/>
              </w:rPr>
            </w:pPr>
            <w:r w:rsidRPr="00596D01">
              <w:t>Number of facilities</w:t>
            </w:r>
          </w:p>
        </w:tc>
        <w:tc>
          <w:tcPr>
            <w:tcW w:w="743" w:type="pct"/>
          </w:tcPr>
          <w:p w:rsidR="006D54EE" w:rsidRPr="00513C69" w:rsidRDefault="006D54EE" w:rsidP="00A4014C">
            <w:pPr>
              <w:jc w:val="right"/>
              <w:rPr>
                <w:rFonts w:ascii="Segoe UI" w:hAnsi="Segoe UI" w:cs="Segoe UI"/>
                <w:color w:val="FFFFFF"/>
                <w:lang w:eastAsia="en-AU"/>
              </w:rPr>
            </w:pPr>
            <w:r w:rsidRPr="00596D01">
              <w:t>Average facilities per provider</w:t>
            </w:r>
          </w:p>
        </w:tc>
        <w:tc>
          <w:tcPr>
            <w:tcW w:w="743" w:type="pct"/>
          </w:tcPr>
          <w:p w:rsidR="006D54EE" w:rsidRPr="00513C69" w:rsidRDefault="006D54EE" w:rsidP="00A4014C">
            <w:pPr>
              <w:jc w:val="right"/>
              <w:rPr>
                <w:rFonts w:ascii="Segoe UI" w:hAnsi="Segoe UI" w:cs="Segoe UI"/>
                <w:color w:val="FFFFFF"/>
                <w:lang w:eastAsia="en-AU"/>
              </w:rPr>
            </w:pPr>
            <w:r w:rsidRPr="00596D01">
              <w:t>Total operational places</w:t>
            </w:r>
          </w:p>
        </w:tc>
        <w:tc>
          <w:tcPr>
            <w:tcW w:w="694" w:type="pct"/>
          </w:tcPr>
          <w:p w:rsidR="006D54EE" w:rsidRPr="00513C69" w:rsidRDefault="006D54EE" w:rsidP="00A4014C">
            <w:pPr>
              <w:jc w:val="right"/>
              <w:rPr>
                <w:rFonts w:ascii="Segoe UI" w:hAnsi="Segoe UI" w:cs="Segoe UI"/>
                <w:color w:val="FFFFFF"/>
                <w:lang w:eastAsia="en-AU"/>
              </w:rPr>
            </w:pPr>
            <w:r w:rsidRPr="00596D01">
              <w:t>Average places per provider</w:t>
            </w:r>
          </w:p>
        </w:tc>
        <w:tc>
          <w:tcPr>
            <w:tcW w:w="667" w:type="pct"/>
          </w:tcPr>
          <w:p w:rsidR="006D54EE" w:rsidRPr="00596D01" w:rsidRDefault="006D54EE" w:rsidP="00A4014C">
            <w:pPr>
              <w:jc w:val="right"/>
            </w:pPr>
            <w:r w:rsidRPr="00596D01">
              <w:t>Average places per facility</w:t>
            </w:r>
          </w:p>
        </w:tc>
      </w:tr>
      <w:tr w:rsidR="006D54EE" w:rsidRPr="00513C69" w:rsidTr="00A4014C">
        <w:trPr>
          <w:trHeight w:val="113"/>
        </w:trPr>
        <w:tc>
          <w:tcPr>
            <w:tcW w:w="776" w:type="pct"/>
          </w:tcPr>
          <w:p w:rsidR="006D54EE" w:rsidRPr="00513C69" w:rsidRDefault="006D54EE" w:rsidP="00A4014C">
            <w:pPr>
              <w:rPr>
                <w:rFonts w:ascii="Segoe UI" w:hAnsi="Segoe UI" w:cs="Segoe UI"/>
                <w:lang w:eastAsia="en-AU"/>
              </w:rPr>
            </w:pPr>
            <w:r w:rsidRPr="00513C69">
              <w:rPr>
                <w:rFonts w:ascii="Segoe UI" w:hAnsi="Segoe UI" w:cs="Segoe UI"/>
                <w:lang w:eastAsia="en-AU"/>
              </w:rPr>
              <w:t>For-profit</w:t>
            </w:r>
          </w:p>
        </w:tc>
        <w:tc>
          <w:tcPr>
            <w:tcW w:w="696" w:type="pct"/>
          </w:tcPr>
          <w:p w:rsidR="006D54EE" w:rsidRPr="00513C69" w:rsidRDefault="005E7405" w:rsidP="00A4014C">
            <w:pPr>
              <w:jc w:val="right"/>
              <w:rPr>
                <w:rFonts w:ascii="Segoe UI" w:hAnsi="Segoe UI" w:cs="Segoe UI"/>
                <w:lang w:eastAsia="en-AU"/>
              </w:rPr>
            </w:pPr>
            <w:r>
              <w:rPr>
                <w:rFonts w:ascii="Segoe UI" w:hAnsi="Segoe UI" w:cs="Segoe UI"/>
                <w:lang w:eastAsia="en-AU"/>
              </w:rPr>
              <w:t>301</w:t>
            </w:r>
          </w:p>
        </w:tc>
        <w:tc>
          <w:tcPr>
            <w:tcW w:w="680" w:type="pct"/>
          </w:tcPr>
          <w:p w:rsidR="006D54EE" w:rsidRPr="00513C69" w:rsidRDefault="005E7405" w:rsidP="00A4014C">
            <w:pPr>
              <w:jc w:val="right"/>
              <w:rPr>
                <w:rFonts w:ascii="Segoe UI" w:hAnsi="Segoe UI" w:cs="Segoe UI"/>
                <w:lang w:eastAsia="en-AU"/>
              </w:rPr>
            </w:pPr>
            <w:r>
              <w:rPr>
                <w:rFonts w:ascii="Segoe UI" w:hAnsi="Segoe UI" w:cs="Segoe UI"/>
                <w:lang w:eastAsia="en-AU"/>
              </w:rPr>
              <w:t>880</w:t>
            </w:r>
          </w:p>
        </w:tc>
        <w:tc>
          <w:tcPr>
            <w:tcW w:w="743" w:type="pct"/>
          </w:tcPr>
          <w:p w:rsidR="006D54EE" w:rsidRPr="00513C69" w:rsidRDefault="006D54EE" w:rsidP="00A4014C">
            <w:pPr>
              <w:jc w:val="right"/>
              <w:rPr>
                <w:rFonts w:ascii="Segoe UI" w:hAnsi="Segoe UI" w:cs="Segoe UI"/>
                <w:lang w:eastAsia="en-AU"/>
              </w:rPr>
            </w:pPr>
            <w:r w:rsidRPr="00513C69">
              <w:rPr>
                <w:rFonts w:ascii="Segoe UI" w:hAnsi="Segoe UI" w:cs="Segoe UI"/>
                <w:lang w:eastAsia="en-AU"/>
              </w:rPr>
              <w:t>2.9</w:t>
            </w:r>
            <w:r w:rsidR="005E7405">
              <w:rPr>
                <w:rFonts w:ascii="Segoe UI" w:hAnsi="Segoe UI" w:cs="Segoe UI"/>
                <w:lang w:eastAsia="en-AU"/>
              </w:rPr>
              <w:t>2</w:t>
            </w:r>
          </w:p>
        </w:tc>
        <w:tc>
          <w:tcPr>
            <w:tcW w:w="743" w:type="pct"/>
          </w:tcPr>
          <w:p w:rsidR="006D54EE" w:rsidRPr="00513C69" w:rsidRDefault="005E7405" w:rsidP="00A4014C">
            <w:pPr>
              <w:jc w:val="right"/>
              <w:rPr>
                <w:rFonts w:ascii="Segoe UI" w:hAnsi="Segoe UI" w:cs="Segoe UI"/>
                <w:lang w:eastAsia="en-AU"/>
              </w:rPr>
            </w:pPr>
            <w:r>
              <w:rPr>
                <w:rFonts w:ascii="Segoe UI" w:hAnsi="Segoe UI" w:cs="Segoe UI"/>
                <w:lang w:eastAsia="en-AU"/>
              </w:rPr>
              <w:t>79,75</w:t>
            </w:r>
            <w:r w:rsidR="00A54526">
              <w:rPr>
                <w:rFonts w:ascii="Segoe UI" w:hAnsi="Segoe UI" w:cs="Segoe UI"/>
                <w:lang w:eastAsia="en-AU"/>
              </w:rPr>
              <w:t>8</w:t>
            </w:r>
          </w:p>
        </w:tc>
        <w:tc>
          <w:tcPr>
            <w:tcW w:w="694" w:type="pct"/>
          </w:tcPr>
          <w:p w:rsidR="006D54EE" w:rsidRPr="00513C69" w:rsidRDefault="005E7405" w:rsidP="00A4014C">
            <w:pPr>
              <w:jc w:val="right"/>
              <w:rPr>
                <w:rFonts w:ascii="Segoe UI" w:hAnsi="Segoe UI" w:cs="Segoe UI"/>
                <w:lang w:eastAsia="en-AU"/>
              </w:rPr>
            </w:pPr>
            <w:r>
              <w:rPr>
                <w:rFonts w:ascii="Segoe UI" w:hAnsi="Segoe UI" w:cs="Segoe UI"/>
                <w:lang w:eastAsia="en-AU"/>
              </w:rPr>
              <w:t>265</w:t>
            </w:r>
          </w:p>
        </w:tc>
        <w:tc>
          <w:tcPr>
            <w:tcW w:w="667" w:type="pct"/>
          </w:tcPr>
          <w:p w:rsidR="006D54EE" w:rsidRPr="00513C69" w:rsidRDefault="005E7405" w:rsidP="00A4014C">
            <w:pPr>
              <w:jc w:val="right"/>
              <w:rPr>
                <w:rFonts w:ascii="Segoe UI" w:hAnsi="Segoe UI" w:cs="Segoe UI"/>
                <w:lang w:eastAsia="en-AU"/>
              </w:rPr>
            </w:pPr>
            <w:r>
              <w:rPr>
                <w:rFonts w:ascii="Segoe UI" w:hAnsi="Segoe UI" w:cs="Segoe UI"/>
                <w:lang w:eastAsia="en-AU"/>
              </w:rPr>
              <w:t>91</w:t>
            </w:r>
          </w:p>
        </w:tc>
      </w:tr>
      <w:tr w:rsidR="006D54EE" w:rsidRPr="00513C69" w:rsidTr="00A4014C">
        <w:trPr>
          <w:trHeight w:val="113"/>
        </w:trPr>
        <w:tc>
          <w:tcPr>
            <w:tcW w:w="776" w:type="pct"/>
          </w:tcPr>
          <w:p w:rsidR="006D54EE" w:rsidRPr="00513C69" w:rsidRDefault="006D54EE" w:rsidP="00A4014C">
            <w:pPr>
              <w:rPr>
                <w:rFonts w:ascii="Segoe UI" w:hAnsi="Segoe UI" w:cs="Segoe UI"/>
                <w:lang w:eastAsia="en-AU"/>
              </w:rPr>
            </w:pPr>
            <w:r w:rsidRPr="00513C69">
              <w:rPr>
                <w:rFonts w:ascii="Segoe UI" w:hAnsi="Segoe UI" w:cs="Segoe UI"/>
                <w:lang w:eastAsia="en-AU"/>
              </w:rPr>
              <w:t>Not-for-profit</w:t>
            </w:r>
          </w:p>
        </w:tc>
        <w:tc>
          <w:tcPr>
            <w:tcW w:w="696" w:type="pct"/>
          </w:tcPr>
          <w:p w:rsidR="006D54EE" w:rsidRPr="00513C69" w:rsidRDefault="005E7405" w:rsidP="00A4014C">
            <w:pPr>
              <w:jc w:val="right"/>
              <w:rPr>
                <w:rFonts w:ascii="Segoe UI" w:hAnsi="Segoe UI" w:cs="Segoe UI"/>
                <w:lang w:eastAsia="en-AU"/>
              </w:rPr>
            </w:pPr>
            <w:r>
              <w:rPr>
                <w:rFonts w:ascii="Segoe UI" w:hAnsi="Segoe UI" w:cs="Segoe UI"/>
                <w:lang w:eastAsia="en-AU"/>
              </w:rPr>
              <w:t>505</w:t>
            </w:r>
          </w:p>
        </w:tc>
        <w:tc>
          <w:tcPr>
            <w:tcW w:w="680" w:type="pct"/>
          </w:tcPr>
          <w:p w:rsidR="006D54EE" w:rsidRPr="00513C69" w:rsidRDefault="005E7405" w:rsidP="00A4014C">
            <w:pPr>
              <w:jc w:val="right"/>
              <w:rPr>
                <w:rFonts w:ascii="Segoe UI" w:hAnsi="Segoe UI" w:cs="Segoe UI"/>
                <w:lang w:eastAsia="en-AU"/>
              </w:rPr>
            </w:pPr>
            <w:r>
              <w:rPr>
                <w:rFonts w:ascii="Segoe UI" w:hAnsi="Segoe UI" w:cs="Segoe UI"/>
                <w:lang w:eastAsia="en-AU"/>
              </w:rPr>
              <w:t>154</w:t>
            </w:r>
            <w:r w:rsidR="00A54526">
              <w:rPr>
                <w:rFonts w:ascii="Segoe UI" w:hAnsi="Segoe UI" w:cs="Segoe UI"/>
                <w:lang w:eastAsia="en-AU"/>
              </w:rPr>
              <w:t>9</w:t>
            </w:r>
          </w:p>
        </w:tc>
        <w:tc>
          <w:tcPr>
            <w:tcW w:w="743" w:type="pct"/>
          </w:tcPr>
          <w:p w:rsidR="006D54EE" w:rsidRPr="00513C69" w:rsidRDefault="005E7405" w:rsidP="00A4014C">
            <w:pPr>
              <w:jc w:val="right"/>
              <w:rPr>
                <w:rFonts w:ascii="Segoe UI" w:hAnsi="Segoe UI" w:cs="Segoe UI"/>
                <w:lang w:eastAsia="en-AU"/>
              </w:rPr>
            </w:pPr>
            <w:r>
              <w:rPr>
                <w:rFonts w:ascii="Segoe UI" w:hAnsi="Segoe UI" w:cs="Segoe UI"/>
                <w:lang w:eastAsia="en-AU"/>
              </w:rPr>
              <w:t>3.06</w:t>
            </w:r>
          </w:p>
        </w:tc>
        <w:tc>
          <w:tcPr>
            <w:tcW w:w="743" w:type="pct"/>
          </w:tcPr>
          <w:p w:rsidR="006D54EE" w:rsidRPr="00513C69" w:rsidRDefault="00A54526" w:rsidP="00A4014C">
            <w:pPr>
              <w:jc w:val="right"/>
              <w:rPr>
                <w:rFonts w:ascii="Segoe UI" w:hAnsi="Segoe UI" w:cs="Segoe UI"/>
                <w:lang w:eastAsia="en-AU"/>
              </w:rPr>
            </w:pPr>
            <w:r>
              <w:rPr>
                <w:rFonts w:ascii="Segoe UI" w:hAnsi="Segoe UI" w:cs="Segoe UI"/>
                <w:lang w:eastAsia="en-AU"/>
              </w:rPr>
              <w:t>112</w:t>
            </w:r>
            <w:r w:rsidR="005E7405">
              <w:rPr>
                <w:rFonts w:ascii="Segoe UI" w:hAnsi="Segoe UI" w:cs="Segoe UI"/>
                <w:lang w:eastAsia="en-AU"/>
              </w:rPr>
              <w:t>,</w:t>
            </w:r>
            <w:r>
              <w:rPr>
                <w:rFonts w:ascii="Segoe UI" w:hAnsi="Segoe UI" w:cs="Segoe UI"/>
                <w:lang w:eastAsia="en-AU"/>
              </w:rPr>
              <w:t>142</w:t>
            </w:r>
          </w:p>
        </w:tc>
        <w:tc>
          <w:tcPr>
            <w:tcW w:w="694" w:type="pct"/>
          </w:tcPr>
          <w:p w:rsidR="006D54EE" w:rsidRPr="00513C69" w:rsidRDefault="005E7405" w:rsidP="00A4014C">
            <w:pPr>
              <w:jc w:val="right"/>
              <w:rPr>
                <w:rFonts w:ascii="Segoe UI" w:hAnsi="Segoe UI" w:cs="Segoe UI"/>
                <w:lang w:eastAsia="en-AU"/>
              </w:rPr>
            </w:pPr>
            <w:r>
              <w:rPr>
                <w:rFonts w:ascii="Segoe UI" w:hAnsi="Segoe UI" w:cs="Segoe UI"/>
                <w:lang w:eastAsia="en-AU"/>
              </w:rPr>
              <w:t>221</w:t>
            </w:r>
          </w:p>
        </w:tc>
        <w:tc>
          <w:tcPr>
            <w:tcW w:w="667" w:type="pct"/>
          </w:tcPr>
          <w:p w:rsidR="006D54EE" w:rsidRPr="00513C69" w:rsidRDefault="005E7405" w:rsidP="00A4014C">
            <w:pPr>
              <w:jc w:val="right"/>
              <w:rPr>
                <w:rFonts w:ascii="Segoe UI" w:hAnsi="Segoe UI" w:cs="Segoe UI"/>
                <w:lang w:eastAsia="en-AU"/>
              </w:rPr>
            </w:pPr>
            <w:r>
              <w:rPr>
                <w:rFonts w:ascii="Segoe UI" w:hAnsi="Segoe UI" w:cs="Segoe UI"/>
                <w:lang w:eastAsia="en-AU"/>
              </w:rPr>
              <w:t>72</w:t>
            </w:r>
          </w:p>
        </w:tc>
      </w:tr>
      <w:tr w:rsidR="006D54EE" w:rsidRPr="00513C69" w:rsidTr="00A4014C">
        <w:trPr>
          <w:trHeight w:val="113"/>
        </w:trPr>
        <w:tc>
          <w:tcPr>
            <w:tcW w:w="776" w:type="pct"/>
          </w:tcPr>
          <w:p w:rsidR="006D54EE" w:rsidRPr="00513C69" w:rsidRDefault="006D54EE" w:rsidP="00A4014C">
            <w:pPr>
              <w:rPr>
                <w:rFonts w:ascii="Segoe UI" w:hAnsi="Segoe UI" w:cs="Segoe UI"/>
                <w:lang w:eastAsia="en-AU"/>
              </w:rPr>
            </w:pPr>
            <w:r w:rsidRPr="00513C69">
              <w:rPr>
                <w:rFonts w:ascii="Segoe UI" w:hAnsi="Segoe UI" w:cs="Segoe UI"/>
                <w:lang w:eastAsia="en-AU"/>
              </w:rPr>
              <w:t>Government</w:t>
            </w:r>
          </w:p>
        </w:tc>
        <w:tc>
          <w:tcPr>
            <w:tcW w:w="696" w:type="pct"/>
          </w:tcPr>
          <w:p w:rsidR="006D54EE" w:rsidRPr="00513C69" w:rsidRDefault="005E7405" w:rsidP="00A4014C">
            <w:pPr>
              <w:jc w:val="right"/>
              <w:rPr>
                <w:rFonts w:ascii="Segoe UI" w:hAnsi="Segoe UI" w:cs="Segoe UI"/>
                <w:lang w:eastAsia="en-AU"/>
              </w:rPr>
            </w:pPr>
            <w:r>
              <w:rPr>
                <w:rFonts w:ascii="Segoe UI" w:hAnsi="Segoe UI" w:cs="Segoe UI"/>
                <w:lang w:eastAsia="en-AU"/>
              </w:rPr>
              <w:t>96</w:t>
            </w:r>
          </w:p>
        </w:tc>
        <w:tc>
          <w:tcPr>
            <w:tcW w:w="680" w:type="pct"/>
          </w:tcPr>
          <w:p w:rsidR="006D54EE" w:rsidRPr="00513C69" w:rsidRDefault="005E7405" w:rsidP="00A4014C">
            <w:pPr>
              <w:jc w:val="right"/>
              <w:rPr>
                <w:rFonts w:ascii="Segoe UI" w:hAnsi="Segoe UI" w:cs="Segoe UI"/>
                <w:lang w:eastAsia="en-AU"/>
              </w:rPr>
            </w:pPr>
            <w:r>
              <w:rPr>
                <w:rFonts w:ascii="Segoe UI" w:hAnsi="Segoe UI" w:cs="Segoe UI"/>
                <w:lang w:eastAsia="en-AU"/>
              </w:rPr>
              <w:t>243</w:t>
            </w:r>
          </w:p>
        </w:tc>
        <w:tc>
          <w:tcPr>
            <w:tcW w:w="743" w:type="pct"/>
          </w:tcPr>
          <w:p w:rsidR="006D54EE" w:rsidRPr="00513C69" w:rsidRDefault="005E7405" w:rsidP="00A4014C">
            <w:pPr>
              <w:jc w:val="right"/>
              <w:rPr>
                <w:rFonts w:ascii="Segoe UI" w:hAnsi="Segoe UI" w:cs="Segoe UI"/>
                <w:lang w:eastAsia="en-AU"/>
              </w:rPr>
            </w:pPr>
            <w:r>
              <w:rPr>
                <w:rFonts w:ascii="Segoe UI" w:hAnsi="Segoe UI" w:cs="Segoe UI"/>
                <w:lang w:eastAsia="en-AU"/>
              </w:rPr>
              <w:t>2.53</w:t>
            </w:r>
          </w:p>
        </w:tc>
        <w:tc>
          <w:tcPr>
            <w:tcW w:w="743" w:type="pct"/>
          </w:tcPr>
          <w:p w:rsidR="006D54EE" w:rsidRPr="00513C69" w:rsidRDefault="005E7405" w:rsidP="00A4014C">
            <w:pPr>
              <w:jc w:val="right"/>
              <w:rPr>
                <w:rFonts w:ascii="Segoe UI" w:hAnsi="Segoe UI" w:cs="Segoe UI"/>
                <w:lang w:eastAsia="en-AU"/>
              </w:rPr>
            </w:pPr>
            <w:r>
              <w:rPr>
                <w:rFonts w:ascii="Segoe UI" w:hAnsi="Segoe UI" w:cs="Segoe UI"/>
                <w:lang w:eastAsia="en-AU"/>
              </w:rPr>
              <w:t>8,789</w:t>
            </w:r>
          </w:p>
        </w:tc>
        <w:tc>
          <w:tcPr>
            <w:tcW w:w="694" w:type="pct"/>
          </w:tcPr>
          <w:p w:rsidR="006D54EE" w:rsidRPr="00513C69" w:rsidRDefault="005E7405" w:rsidP="00A4014C">
            <w:pPr>
              <w:jc w:val="right"/>
              <w:rPr>
                <w:rFonts w:ascii="Segoe UI" w:hAnsi="Segoe UI" w:cs="Segoe UI"/>
                <w:lang w:eastAsia="en-AU"/>
              </w:rPr>
            </w:pPr>
            <w:r>
              <w:rPr>
                <w:rFonts w:ascii="Segoe UI" w:hAnsi="Segoe UI" w:cs="Segoe UI"/>
                <w:lang w:eastAsia="en-AU"/>
              </w:rPr>
              <w:t>92</w:t>
            </w:r>
          </w:p>
        </w:tc>
        <w:tc>
          <w:tcPr>
            <w:tcW w:w="667" w:type="pct"/>
          </w:tcPr>
          <w:p w:rsidR="006D54EE" w:rsidRPr="00513C69" w:rsidRDefault="005E7405" w:rsidP="00A4014C">
            <w:pPr>
              <w:jc w:val="right"/>
              <w:rPr>
                <w:rFonts w:ascii="Segoe UI" w:hAnsi="Segoe UI" w:cs="Segoe UI"/>
                <w:lang w:eastAsia="en-AU"/>
              </w:rPr>
            </w:pPr>
            <w:r>
              <w:rPr>
                <w:rFonts w:ascii="Segoe UI" w:hAnsi="Segoe UI" w:cs="Segoe UI"/>
                <w:lang w:eastAsia="en-AU"/>
              </w:rPr>
              <w:t>36</w:t>
            </w:r>
          </w:p>
        </w:tc>
      </w:tr>
    </w:tbl>
    <w:p w:rsidR="00D32360" w:rsidRPr="00596D01" w:rsidRDefault="00E032B1" w:rsidP="00A4014C">
      <w:pPr>
        <w:pStyle w:val="Heading3Numbered"/>
      </w:pPr>
      <w:bookmarkStart w:id="616" w:name="_Toc524424773"/>
      <w:r w:rsidRPr="00596D01">
        <w:t>Provider</w:t>
      </w:r>
      <w:r w:rsidR="004F6D95" w:rsidRPr="00596D01">
        <w:t xml:space="preserve"> l</w:t>
      </w:r>
      <w:r w:rsidR="00D32360" w:rsidRPr="00596D01">
        <w:t>ocation</w:t>
      </w:r>
      <w:bookmarkEnd w:id="611"/>
      <w:bookmarkEnd w:id="612"/>
      <w:bookmarkEnd w:id="613"/>
      <w:bookmarkEnd w:id="614"/>
      <w:bookmarkEnd w:id="616"/>
    </w:p>
    <w:p w:rsidR="00443220" w:rsidRDefault="00443220" w:rsidP="00A4014C">
      <w:r>
        <w:t xml:space="preserve">ACFA </w:t>
      </w:r>
      <w:r w:rsidR="0012782D">
        <w:t xml:space="preserve">generally </w:t>
      </w:r>
      <w:r w:rsidR="00585AC7">
        <w:t>categorises</w:t>
      </w:r>
      <w:r>
        <w:t xml:space="preserve"> </w:t>
      </w:r>
      <w:r w:rsidR="00D63704">
        <w:t xml:space="preserve">residential </w:t>
      </w:r>
      <w:r w:rsidR="00585AC7">
        <w:t>care providers</w:t>
      </w:r>
      <w:r>
        <w:t xml:space="preserve"> as those operating only in metropolitan areas, those operating only in regional</w:t>
      </w:r>
      <w:r w:rsidR="00A47B05">
        <w:rPr>
          <w:rStyle w:val="FootnoteReference"/>
          <w:rFonts w:cs="Segoe UI"/>
        </w:rPr>
        <w:footnoteReference w:id="37"/>
      </w:r>
      <w:r>
        <w:t xml:space="preserve"> areas, and those who have </w:t>
      </w:r>
      <w:r w:rsidR="007D17F7">
        <w:t>facilities</w:t>
      </w:r>
      <w:r>
        <w:t xml:space="preserve"> in both metropolitan and regional</w:t>
      </w:r>
      <w:r w:rsidR="00585AC7">
        <w:t xml:space="preserve"> areas. A provider is categorised</w:t>
      </w:r>
      <w:r>
        <w:t xml:space="preserve"> as being regional if more than 70</w:t>
      </w:r>
      <w:r w:rsidR="00A261F3">
        <w:t> per cent</w:t>
      </w:r>
      <w:r>
        <w:t xml:space="preserve"> of their residents are in facilities in regional areas.</w:t>
      </w:r>
    </w:p>
    <w:p w:rsidR="00D8721E" w:rsidRDefault="00492BF8" w:rsidP="00A4014C">
      <w:r>
        <w:fldChar w:fldCharType="begin"/>
      </w:r>
      <w:r>
        <w:instrText xml:space="preserve"> REF _Ref524428483 \r \h </w:instrText>
      </w:r>
      <w:r>
        <w:fldChar w:fldCharType="separate"/>
      </w:r>
      <w:r>
        <w:t>Chart 8.4</w:t>
      </w:r>
      <w:r>
        <w:fldChar w:fldCharType="end"/>
      </w:r>
      <w:r>
        <w:t xml:space="preserve"> </w:t>
      </w:r>
      <w:r w:rsidR="00834890">
        <w:t>shows that 5</w:t>
      </w:r>
      <w:r w:rsidR="00341DAB">
        <w:t>1</w:t>
      </w:r>
      <w:r w:rsidR="00A261F3">
        <w:t> per cent</w:t>
      </w:r>
      <w:r w:rsidR="00834890">
        <w:t xml:space="preserve"> of providers operate only in metropolitan areas. However, this number has decreased from 5</w:t>
      </w:r>
      <w:r w:rsidR="00D00B54">
        <w:t>8</w:t>
      </w:r>
      <w:r w:rsidR="00A261F3">
        <w:t> per cent</w:t>
      </w:r>
      <w:r w:rsidR="00834890">
        <w:t xml:space="preserve"> in</w:t>
      </w:r>
      <w:r w:rsidR="00A261F3">
        <w:t> 201</w:t>
      </w:r>
      <w:r w:rsidR="00834890">
        <w:t>3</w:t>
      </w:r>
      <w:r w:rsidR="00D8721E">
        <w:t>–1</w:t>
      </w:r>
      <w:r w:rsidR="00834890">
        <w:t>4</w:t>
      </w:r>
      <w:r w:rsidR="00834890" w:rsidRPr="0012782D">
        <w:t xml:space="preserve"> as </w:t>
      </w:r>
      <w:r w:rsidR="00834890">
        <w:t>more providers who previously only provided ser</w:t>
      </w:r>
      <w:r w:rsidR="005E7250">
        <w:t>vices in metropolitan areas expanded</w:t>
      </w:r>
      <w:r w:rsidR="00834890">
        <w:t xml:space="preserve"> into regional areas. </w:t>
      </w:r>
      <w:r w:rsidR="00834890" w:rsidRPr="003167A9">
        <w:t xml:space="preserve">Conversely, </w:t>
      </w:r>
      <w:r w:rsidR="006A2FFC">
        <w:t>10</w:t>
      </w:r>
      <w:r w:rsidR="00A261F3">
        <w:t> per cent</w:t>
      </w:r>
      <w:r w:rsidR="00834890">
        <w:t xml:space="preserve"> of providers operate </w:t>
      </w:r>
      <w:r w:rsidR="007D17F7">
        <w:t>facilities</w:t>
      </w:r>
      <w:r w:rsidR="00834890">
        <w:t xml:space="preserve"> in both metropolitan and regional areas, up from</w:t>
      </w:r>
      <w:r w:rsidR="00853876">
        <w:t xml:space="preserve"> 4</w:t>
      </w:r>
      <w:r w:rsidR="00A261F3">
        <w:t> per cent</w:t>
      </w:r>
      <w:r w:rsidR="00834890">
        <w:t xml:space="preserve"> in</w:t>
      </w:r>
      <w:r w:rsidR="00A261F3">
        <w:t> 201</w:t>
      </w:r>
      <w:r w:rsidR="00834890">
        <w:t>3</w:t>
      </w:r>
      <w:r w:rsidR="00D8721E">
        <w:t>–1</w:t>
      </w:r>
      <w:r w:rsidR="00834890">
        <w:t xml:space="preserve">4. </w:t>
      </w:r>
      <w:r w:rsidR="00834890" w:rsidRPr="0012782D">
        <w:t xml:space="preserve">The </w:t>
      </w:r>
      <w:r w:rsidR="006A2FFC">
        <w:t>remaining 3</w:t>
      </w:r>
      <w:r w:rsidR="00D00B54">
        <w:t>9</w:t>
      </w:r>
      <w:r w:rsidR="00A261F3">
        <w:t> per cent</w:t>
      </w:r>
      <w:r w:rsidR="00834890" w:rsidRPr="0012782D">
        <w:t xml:space="preserve"> </w:t>
      </w:r>
      <w:r w:rsidR="00834890">
        <w:t>of providers operate in regional areas only</w:t>
      </w:r>
      <w:r w:rsidR="00D8721E">
        <w:t>.</w:t>
      </w:r>
    </w:p>
    <w:p w:rsidR="00742E34" w:rsidRPr="00596D01" w:rsidRDefault="00742E34" w:rsidP="00A4014C">
      <w:pPr>
        <w:pStyle w:val="ChartTitle"/>
      </w:pPr>
      <w:bookmarkStart w:id="617" w:name="_Ref452498913"/>
      <w:bookmarkStart w:id="618" w:name="_Ref524428483"/>
      <w:r w:rsidRPr="00596D01">
        <w:lastRenderedPageBreak/>
        <w:t>Provider</w:t>
      </w:r>
      <w:r w:rsidR="00BE6AC7" w:rsidRPr="00596D01">
        <w:t>s</w:t>
      </w:r>
      <w:r w:rsidRPr="00596D01">
        <w:t xml:space="preserve"> location</w:t>
      </w:r>
      <w:bookmarkEnd w:id="617"/>
      <w:r w:rsidR="00CA52C5" w:rsidRPr="00596D01">
        <w:t>,</w:t>
      </w:r>
      <w:r w:rsidR="00A261F3" w:rsidRPr="00596D01">
        <w:t> 201</w:t>
      </w:r>
      <w:r w:rsidR="00ED43AB" w:rsidRPr="00596D01">
        <w:t>3</w:t>
      </w:r>
      <w:r w:rsidR="00D8721E" w:rsidRPr="00596D01">
        <w:t>–1</w:t>
      </w:r>
      <w:r w:rsidR="00ED43AB" w:rsidRPr="00596D01">
        <w:t>4</w:t>
      </w:r>
      <w:r w:rsidR="00BD787E" w:rsidRPr="00596D01">
        <w:t xml:space="preserve"> to</w:t>
      </w:r>
      <w:r w:rsidR="00A261F3" w:rsidRPr="00596D01">
        <w:t> 201</w:t>
      </w:r>
      <w:r w:rsidR="00CA52C5" w:rsidRPr="00596D01">
        <w:t>6</w:t>
      </w:r>
      <w:r w:rsidR="00D8721E" w:rsidRPr="00596D01">
        <w:t>–1</w:t>
      </w:r>
      <w:r w:rsidR="00CA52C5" w:rsidRPr="00596D01">
        <w:t>7</w:t>
      </w:r>
      <w:bookmarkEnd w:id="618"/>
    </w:p>
    <w:p w:rsidR="00D8721E" w:rsidRPr="00596D01" w:rsidRDefault="00AE7260" w:rsidP="00A4014C">
      <w:r w:rsidRPr="00596D01">
        <w:rPr>
          <w:noProof/>
        </w:rPr>
        <w:drawing>
          <wp:inline distT="0" distB="0" distL="0" distR="0" wp14:anchorId="2B6DACDB" wp14:editId="298D1857">
            <wp:extent cx="6120000" cy="3207216"/>
            <wp:effectExtent l="0" t="0" r="0" b="0"/>
            <wp:docPr id="298" name="Picture 298" descr="Chart 8.4 Providers location, 2013–14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zc0004\AppData\Local\Temp\1\7zO4D1BA174\Chart_8.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000" cy="3207216"/>
                    </a:xfrm>
                    <a:prstGeom prst="rect">
                      <a:avLst/>
                    </a:prstGeom>
                    <a:noFill/>
                    <a:ln>
                      <a:noFill/>
                    </a:ln>
                  </pic:spPr>
                </pic:pic>
              </a:graphicData>
            </a:graphic>
          </wp:inline>
        </w:drawing>
      </w:r>
    </w:p>
    <w:p w:rsidR="00A04E4E" w:rsidRPr="00596D01" w:rsidRDefault="00A04E4E" w:rsidP="00A4014C">
      <w:pPr>
        <w:pStyle w:val="Heading3Numbered"/>
      </w:pPr>
      <w:bookmarkStart w:id="619" w:name="_Toc524424774"/>
      <w:r w:rsidRPr="00596D01">
        <w:t>Residential care room configuration</w:t>
      </w:r>
      <w:bookmarkEnd w:id="619"/>
    </w:p>
    <w:p w:rsidR="00D8721E" w:rsidRDefault="00427850" w:rsidP="00A4014C">
      <w:pPr>
        <w:rPr>
          <w:lang w:val="en-GB"/>
        </w:rPr>
      </w:pPr>
      <w:r w:rsidRPr="00427850">
        <w:rPr>
          <w:lang w:val="en-GB"/>
        </w:rPr>
        <w:t xml:space="preserve">The predominant room configuration for residential aged care facilities is a single room with an </w:t>
      </w:r>
      <w:proofErr w:type="spellStart"/>
      <w:r w:rsidRPr="00427850">
        <w:rPr>
          <w:lang w:val="en-GB"/>
        </w:rPr>
        <w:t>ensuite</w:t>
      </w:r>
      <w:proofErr w:type="spellEnd"/>
      <w:r w:rsidRPr="00427850">
        <w:rPr>
          <w:lang w:val="en-GB"/>
        </w:rPr>
        <w:t xml:space="preserve">. Based on </w:t>
      </w:r>
      <w:r>
        <w:rPr>
          <w:lang w:val="en-GB"/>
        </w:rPr>
        <w:t xml:space="preserve">current </w:t>
      </w:r>
      <w:r w:rsidRPr="00427850">
        <w:rPr>
          <w:lang w:val="en-GB"/>
        </w:rPr>
        <w:t xml:space="preserve">data </w:t>
      </w:r>
      <w:r>
        <w:rPr>
          <w:lang w:val="en-GB"/>
        </w:rPr>
        <w:t>provided to</w:t>
      </w:r>
      <w:r w:rsidRPr="00427850">
        <w:rPr>
          <w:lang w:val="en-GB"/>
        </w:rPr>
        <w:t xml:space="preserve"> the Department</w:t>
      </w:r>
      <w:r>
        <w:rPr>
          <w:lang w:val="en-GB"/>
        </w:rPr>
        <w:t xml:space="preserve"> by residential care providers</w:t>
      </w:r>
      <w:r w:rsidRPr="00427850">
        <w:rPr>
          <w:lang w:val="en-GB"/>
        </w:rPr>
        <w:t>, it is estimated that around 77</w:t>
      </w:r>
      <w:r w:rsidR="00A261F3">
        <w:rPr>
          <w:lang w:val="en-GB"/>
        </w:rPr>
        <w:t> per cent</w:t>
      </w:r>
      <w:r w:rsidRPr="00427850">
        <w:rPr>
          <w:lang w:val="en-GB"/>
        </w:rPr>
        <w:t xml:space="preserve"> of rooms are single rooms with an </w:t>
      </w:r>
      <w:proofErr w:type="spellStart"/>
      <w:r w:rsidRPr="00427850">
        <w:rPr>
          <w:lang w:val="en-GB"/>
        </w:rPr>
        <w:t>ensuite</w:t>
      </w:r>
      <w:proofErr w:type="spellEnd"/>
      <w:r w:rsidRPr="00427850">
        <w:rPr>
          <w:lang w:val="en-GB"/>
        </w:rPr>
        <w:t xml:space="preserve"> and around 5</w:t>
      </w:r>
      <w:r w:rsidR="00A261F3">
        <w:rPr>
          <w:lang w:val="en-GB"/>
        </w:rPr>
        <w:t> per cent</w:t>
      </w:r>
      <w:r w:rsidRPr="00427850">
        <w:rPr>
          <w:lang w:val="en-GB"/>
        </w:rPr>
        <w:t xml:space="preserve"> are shared rooms with an </w:t>
      </w:r>
      <w:proofErr w:type="spellStart"/>
      <w:r w:rsidRPr="00427850">
        <w:rPr>
          <w:lang w:val="en-GB"/>
        </w:rPr>
        <w:t>ensuite</w:t>
      </w:r>
      <w:proofErr w:type="spellEnd"/>
      <w:r w:rsidRPr="00427850">
        <w:rPr>
          <w:lang w:val="en-GB"/>
        </w:rPr>
        <w:t>. Around 18</w:t>
      </w:r>
      <w:r w:rsidR="00A261F3">
        <w:rPr>
          <w:lang w:val="en-GB"/>
        </w:rPr>
        <w:t> per cent</w:t>
      </w:r>
      <w:r w:rsidRPr="00427850">
        <w:rPr>
          <w:lang w:val="en-GB"/>
        </w:rPr>
        <w:t xml:space="preserve"> of residents are in rooms that could be considered ‘ward style rooms’ which are shared and have a common shared bathroom</w:t>
      </w:r>
      <w:r w:rsidR="00D8721E">
        <w:rPr>
          <w:lang w:val="en-GB"/>
        </w:rPr>
        <w:t>.</w:t>
      </w:r>
    </w:p>
    <w:p w:rsidR="005601D3" w:rsidRPr="00596D01" w:rsidRDefault="009B57A1" w:rsidP="00A4014C">
      <w:pPr>
        <w:pStyle w:val="Heading3Numbered"/>
      </w:pPr>
      <w:bookmarkStart w:id="620" w:name="_Toc487702598"/>
      <w:bookmarkStart w:id="621" w:name="_Toc487702950"/>
      <w:bookmarkStart w:id="622" w:name="_Toc487703448"/>
      <w:bookmarkStart w:id="623" w:name="_Toc487703642"/>
      <w:bookmarkStart w:id="624" w:name="_Toc524424775"/>
      <w:r w:rsidRPr="00596D01">
        <w:t xml:space="preserve">Provisionally </w:t>
      </w:r>
      <w:r w:rsidR="00A47B05" w:rsidRPr="00596D01">
        <w:t>a</w:t>
      </w:r>
      <w:r w:rsidR="005601D3" w:rsidRPr="00596D01">
        <w:t>llocated places</w:t>
      </w:r>
      <w:bookmarkEnd w:id="620"/>
      <w:bookmarkEnd w:id="621"/>
      <w:bookmarkEnd w:id="622"/>
      <w:bookmarkEnd w:id="623"/>
      <w:bookmarkEnd w:id="624"/>
      <w:r w:rsidR="005601D3" w:rsidRPr="00596D01">
        <w:t xml:space="preserve"> </w:t>
      </w:r>
    </w:p>
    <w:p w:rsidR="00D8721E" w:rsidRDefault="004C1978" w:rsidP="00A4014C">
      <w:r w:rsidRPr="00516C41">
        <w:t>The Commonwealth releases residential aged care places through the</w:t>
      </w:r>
      <w:r w:rsidR="005F34DF">
        <w:t xml:space="preserve"> annual</w:t>
      </w:r>
      <w:r w:rsidRPr="00516C41">
        <w:t xml:space="preserve"> ACAR. After a place is allocated to an approved provider, there is usually a period during which the place is considered ‘provisional’ while the provider constructs the facility or extends the current facility. Once the place is available to be occupied by a resident, it becomes ‘operational’. The average time it takes providers to bring places online is around four years</w:t>
      </w:r>
      <w:r w:rsidR="00D8721E">
        <w:t>.</w:t>
      </w:r>
    </w:p>
    <w:p w:rsidR="004C1978" w:rsidRPr="00516C41" w:rsidRDefault="004C1978" w:rsidP="00A4014C">
      <w:r w:rsidRPr="00516C41">
        <w:t xml:space="preserve">At </w:t>
      </w:r>
      <w:r w:rsidR="00A261F3">
        <w:t>30 J</w:t>
      </w:r>
      <w:r w:rsidR="00ED43AB">
        <w:t>une</w:t>
      </w:r>
      <w:r w:rsidR="00A261F3">
        <w:t> 201</w:t>
      </w:r>
      <w:r w:rsidRPr="00516C41">
        <w:t>7, there were 39,294 provisional residential care places reflecting the carryover of allocated places from previous ACARs which are yet to be</w:t>
      </w:r>
      <w:r w:rsidR="005E7250">
        <w:t>come operational</w:t>
      </w:r>
      <w:r w:rsidRPr="00516C41">
        <w:t>. This represents around 1</w:t>
      </w:r>
      <w:r w:rsidR="00D00B54">
        <w:t>6</w:t>
      </w:r>
      <w:r w:rsidR="00A261F3">
        <w:t> per cent</w:t>
      </w:r>
      <w:r w:rsidRPr="00516C41">
        <w:t xml:space="preserve"> of all allocated places, which compares with 1</w:t>
      </w:r>
      <w:r w:rsidR="008C2527">
        <w:t>4</w:t>
      </w:r>
      <w:r w:rsidR="00A261F3">
        <w:t> per cent</w:t>
      </w:r>
      <w:r w:rsidRPr="00516C41">
        <w:t xml:space="preserve"> at </w:t>
      </w:r>
      <w:r w:rsidR="00A261F3">
        <w:t>30 J</w:t>
      </w:r>
      <w:r w:rsidR="00ED43AB">
        <w:t>une</w:t>
      </w:r>
      <w:r w:rsidR="00A261F3">
        <w:t> 201</w:t>
      </w:r>
      <w:r w:rsidRPr="00516C41">
        <w:t>6 and</w:t>
      </w:r>
      <w:r w:rsidR="0088326C">
        <w:t xml:space="preserve"> </w:t>
      </w:r>
      <w:r w:rsidRPr="00516C41">
        <w:t>1</w:t>
      </w:r>
      <w:r w:rsidR="00341DAB">
        <w:t>2</w:t>
      </w:r>
      <w:r w:rsidR="00A261F3">
        <w:t> per cent</w:t>
      </w:r>
      <w:r w:rsidRPr="00516C41">
        <w:t xml:space="preserve"> at </w:t>
      </w:r>
      <w:r w:rsidR="00A261F3">
        <w:t>30 J</w:t>
      </w:r>
      <w:r w:rsidR="00ED43AB">
        <w:t>une</w:t>
      </w:r>
      <w:r w:rsidR="00A261F3">
        <w:t> 201</w:t>
      </w:r>
      <w:r w:rsidRPr="00516C41">
        <w:t>5. ACFA notes however that 9,911 new residential care places were allocated in May</w:t>
      </w:r>
      <w:r w:rsidR="00A261F3">
        <w:t> 201</w:t>
      </w:r>
      <w:r w:rsidRPr="00516C41">
        <w:t>7 following the</w:t>
      </w:r>
      <w:r w:rsidR="00A261F3">
        <w:t> 201</w:t>
      </w:r>
      <w:r w:rsidRPr="00516C41">
        <w:t>6</w:t>
      </w:r>
      <w:r w:rsidR="00D8721E">
        <w:t>–1</w:t>
      </w:r>
      <w:r w:rsidRPr="00516C41">
        <w:t xml:space="preserve">7 ACAR, which would have contributed to the increase at </w:t>
      </w:r>
      <w:r w:rsidR="00A261F3">
        <w:t>30 J</w:t>
      </w:r>
      <w:r w:rsidR="00ED43AB">
        <w:t>une</w:t>
      </w:r>
      <w:r w:rsidR="00A261F3">
        <w:t> 201</w:t>
      </w:r>
      <w:r w:rsidRPr="00516C41">
        <w:t>7, as the majority of these would not</w:t>
      </w:r>
      <w:r w:rsidR="00C54B36">
        <w:t xml:space="preserve"> have</w:t>
      </w:r>
      <w:r w:rsidRPr="00516C41">
        <w:t xml:space="preserve"> become operational </w:t>
      </w:r>
      <w:r w:rsidR="00C54B36">
        <w:t>in such a short time</w:t>
      </w:r>
      <w:r w:rsidRPr="00516C41">
        <w:t>.</w:t>
      </w:r>
    </w:p>
    <w:p w:rsidR="005A6E13" w:rsidRPr="00B15E25" w:rsidRDefault="005A6E13" w:rsidP="00A4014C">
      <w:pPr>
        <w:rPr>
          <w:lang w:val="en-GB"/>
        </w:rPr>
      </w:pPr>
      <w:r w:rsidRPr="00B15E25">
        <w:rPr>
          <w:lang w:val="en-GB"/>
        </w:rPr>
        <w:t xml:space="preserve">The provisional allocations relate to around </w:t>
      </w:r>
      <w:r w:rsidR="00B15E25" w:rsidRPr="00B15E25">
        <w:rPr>
          <w:lang w:val="en-GB"/>
        </w:rPr>
        <w:t>610</w:t>
      </w:r>
      <w:r w:rsidRPr="00B15E25">
        <w:rPr>
          <w:lang w:val="en-GB"/>
        </w:rPr>
        <w:t xml:space="preserve"> aged care </w:t>
      </w:r>
      <w:r w:rsidR="0045282C">
        <w:rPr>
          <w:lang w:val="en-GB"/>
        </w:rPr>
        <w:t>facilities</w:t>
      </w:r>
      <w:r w:rsidR="005F34DF">
        <w:rPr>
          <w:lang w:val="en-GB"/>
        </w:rPr>
        <w:t>,</w:t>
      </w:r>
      <w:r w:rsidRPr="00B15E25">
        <w:rPr>
          <w:lang w:val="en-GB"/>
        </w:rPr>
        <w:t xml:space="preserve"> which represent around </w:t>
      </w:r>
      <w:r w:rsidR="00B15E25" w:rsidRPr="00B15E25">
        <w:rPr>
          <w:lang w:val="en-GB"/>
        </w:rPr>
        <w:t>2</w:t>
      </w:r>
      <w:r w:rsidR="00341DAB">
        <w:rPr>
          <w:lang w:val="en-GB"/>
        </w:rPr>
        <w:t>3</w:t>
      </w:r>
      <w:r w:rsidR="00A261F3">
        <w:rPr>
          <w:lang w:val="en-GB"/>
        </w:rPr>
        <w:t> per cent</w:t>
      </w:r>
      <w:r w:rsidRPr="00B15E25">
        <w:rPr>
          <w:lang w:val="en-GB"/>
        </w:rPr>
        <w:t xml:space="preserve"> of all</w:t>
      </w:r>
      <w:r w:rsidR="00A4014C">
        <w:rPr>
          <w:lang w:val="en-GB"/>
        </w:rPr>
        <w:t> </w:t>
      </w:r>
      <w:r w:rsidR="0045282C">
        <w:rPr>
          <w:lang w:val="en-GB"/>
        </w:rPr>
        <w:t>facilities</w:t>
      </w:r>
      <w:r w:rsidRPr="00B15E25">
        <w:rPr>
          <w:lang w:val="en-GB"/>
        </w:rPr>
        <w:t>.</w:t>
      </w:r>
    </w:p>
    <w:p w:rsidR="00325AAF" w:rsidRDefault="00325AAF" w:rsidP="00A4014C">
      <w:r w:rsidRPr="00B15E25">
        <w:t>Queensland, Western Australia and the ACT have the highest proportion of provisionally</w:t>
      </w:r>
      <w:r>
        <w:t xml:space="preserve"> allocated places, all having over 20</w:t>
      </w:r>
      <w:r w:rsidR="00A261F3">
        <w:t> per cent</w:t>
      </w:r>
      <w:r>
        <w:t>. The next highest proportion is Victoria with 1</w:t>
      </w:r>
      <w:r w:rsidR="009C307B">
        <w:t>5</w:t>
      </w:r>
      <w:r w:rsidR="00A261F3">
        <w:t> per cent</w:t>
      </w:r>
      <w:r>
        <w:t>. As was the case last year, South Australia and Tasman</w:t>
      </w:r>
      <w:r w:rsidR="005F34DF">
        <w:t xml:space="preserve">ia have by far the lowest with </w:t>
      </w:r>
      <w:r w:rsidR="00853876">
        <w:t>4</w:t>
      </w:r>
      <w:r>
        <w:t xml:space="preserve"> and </w:t>
      </w:r>
      <w:r w:rsidR="00853876">
        <w:t>5</w:t>
      </w:r>
      <w:r w:rsidR="00A261F3">
        <w:t> per cent</w:t>
      </w:r>
      <w:r>
        <w:t xml:space="preserve"> respectively (</w:t>
      </w:r>
      <w:r w:rsidR="00492BF8">
        <w:fldChar w:fldCharType="begin"/>
      </w:r>
      <w:r w:rsidR="00492BF8">
        <w:instrText xml:space="preserve"> REF _Ref524429489 \r \h </w:instrText>
      </w:r>
      <w:r w:rsidR="00492BF8">
        <w:fldChar w:fldCharType="separate"/>
      </w:r>
      <w:r w:rsidR="00492BF8">
        <w:t>Table 8.4</w:t>
      </w:r>
      <w:r w:rsidR="00492BF8">
        <w:fldChar w:fldCharType="end"/>
      </w:r>
      <w:r>
        <w:t>).</w:t>
      </w:r>
    </w:p>
    <w:p w:rsidR="005A6E13" w:rsidRDefault="005A6E13" w:rsidP="00A4014C">
      <w:r>
        <w:t>ACFA also notes that the not-for-profit providers, who have 5</w:t>
      </w:r>
      <w:r w:rsidR="00D00B54">
        <w:t>6</w:t>
      </w:r>
      <w:r w:rsidR="00A261F3">
        <w:t> per cent</w:t>
      </w:r>
      <w:r>
        <w:t xml:space="preserve"> of operational places, only have 50</w:t>
      </w:r>
      <w:r w:rsidR="00A261F3">
        <w:t> per cent</w:t>
      </w:r>
      <w:r>
        <w:t xml:space="preserve"> of provisionally allocated places</w:t>
      </w:r>
      <w:r w:rsidR="005F34DF">
        <w:t>,</w:t>
      </w:r>
      <w:r>
        <w:t xml:space="preserve"> whereas the for-profit providers, who have 3</w:t>
      </w:r>
      <w:r w:rsidR="00D00B54">
        <w:t>6</w:t>
      </w:r>
      <w:r w:rsidR="00A261F3">
        <w:t> per cent</w:t>
      </w:r>
      <w:r>
        <w:t xml:space="preserve"> of operational places, have 4</w:t>
      </w:r>
      <w:r w:rsidR="00341DAB">
        <w:t>3</w:t>
      </w:r>
      <w:r w:rsidR="00A261F3">
        <w:t> per cent</w:t>
      </w:r>
      <w:r>
        <w:t xml:space="preserve"> of the provisionally allocated places.</w:t>
      </w:r>
    </w:p>
    <w:p w:rsidR="00D8721E" w:rsidRDefault="005F34DF" w:rsidP="00A4014C">
      <w:r>
        <w:t xml:space="preserve">In addition, there were also </w:t>
      </w:r>
      <w:r w:rsidRPr="005A6E13">
        <w:t>7,924</w:t>
      </w:r>
      <w:r>
        <w:t xml:space="preserve"> formerly operational places at </w:t>
      </w:r>
      <w:r w:rsidR="00A261F3">
        <w:t>30 J</w:t>
      </w:r>
      <w:r>
        <w:t>une</w:t>
      </w:r>
      <w:r w:rsidR="00A261F3">
        <w:t> 201</w:t>
      </w:r>
      <w:r w:rsidRPr="005A6E13">
        <w:t>7</w:t>
      </w:r>
      <w:r>
        <w:t xml:space="preserve"> that were offline pending refurbishment or redevelopment, or pending sale to another provider.</w:t>
      </w:r>
    </w:p>
    <w:p w:rsidR="002443E5" w:rsidRPr="00596D01" w:rsidRDefault="002443E5" w:rsidP="00A4014C">
      <w:pPr>
        <w:pStyle w:val="TableTitle"/>
      </w:pPr>
      <w:bookmarkStart w:id="625" w:name="_Ref524429489"/>
      <w:r w:rsidRPr="00596D01">
        <w:lastRenderedPageBreak/>
        <w:t>Provisionally</w:t>
      </w:r>
      <w:r w:rsidR="001D231C" w:rsidRPr="00596D01">
        <w:t xml:space="preserve"> allocated </w:t>
      </w:r>
      <w:r w:rsidRPr="00596D01">
        <w:t xml:space="preserve">residential care places by state/territory, </w:t>
      </w:r>
      <w:r w:rsidR="00ED43AB" w:rsidRPr="00596D01">
        <w:t>as </w:t>
      </w:r>
      <w:r w:rsidRPr="00596D01">
        <w:t>at</w:t>
      </w:r>
      <w:r w:rsidR="00ED43AB" w:rsidRPr="00596D01">
        <w:t> </w:t>
      </w:r>
      <w:r w:rsidR="00A261F3" w:rsidRPr="00596D01">
        <w:t>30 J</w:t>
      </w:r>
      <w:r w:rsidRPr="00596D01">
        <w:t>une</w:t>
      </w:r>
      <w:r w:rsidR="00A261F3" w:rsidRPr="00596D01">
        <w:t> 201</w:t>
      </w:r>
      <w:r w:rsidR="006C1357" w:rsidRPr="00596D01">
        <w:t>7.</w:t>
      </w:r>
      <w:bookmarkEnd w:id="625"/>
      <w:r w:rsidR="00C42E64"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80"/>
        <w:gridCol w:w="2834"/>
        <w:gridCol w:w="2436"/>
        <w:gridCol w:w="2378"/>
      </w:tblGrid>
      <w:tr w:rsidR="005601D3" w:rsidRPr="00DE759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28" w:type="pct"/>
          </w:tcPr>
          <w:p w:rsidR="005601D3" w:rsidRPr="00DE7592" w:rsidRDefault="005601D3" w:rsidP="00A4014C">
            <w:pPr>
              <w:rPr>
                <w:rFonts w:ascii="Segoe UI" w:hAnsi="Segoe UI" w:cs="Segoe UI"/>
                <w:sz w:val="22"/>
                <w:szCs w:val="22"/>
              </w:rPr>
            </w:pPr>
            <w:r w:rsidRPr="00596D01">
              <w:t>State/territory</w:t>
            </w:r>
          </w:p>
        </w:tc>
        <w:tc>
          <w:tcPr>
            <w:tcW w:w="1472" w:type="pct"/>
          </w:tcPr>
          <w:p w:rsidR="005601D3" w:rsidRPr="00DE7592" w:rsidRDefault="00ED43AB" w:rsidP="00A4014C">
            <w:pPr>
              <w:jc w:val="right"/>
              <w:rPr>
                <w:rFonts w:ascii="Segoe UI" w:hAnsi="Segoe UI" w:cs="Segoe UI"/>
                <w:sz w:val="22"/>
                <w:szCs w:val="22"/>
              </w:rPr>
            </w:pPr>
            <w:r w:rsidRPr="00596D01">
              <w:t>P</w:t>
            </w:r>
            <w:r w:rsidR="005D06C4" w:rsidRPr="00596D01">
              <w:t>rovisionally allocated places</w:t>
            </w:r>
          </w:p>
        </w:tc>
        <w:tc>
          <w:tcPr>
            <w:tcW w:w="1265" w:type="pct"/>
          </w:tcPr>
          <w:p w:rsidR="005601D3" w:rsidRPr="00DE7592" w:rsidRDefault="005601D3" w:rsidP="00A4014C">
            <w:pPr>
              <w:jc w:val="right"/>
              <w:rPr>
                <w:rFonts w:ascii="Segoe UI" w:hAnsi="Segoe UI" w:cs="Segoe UI"/>
                <w:sz w:val="22"/>
                <w:szCs w:val="22"/>
              </w:rPr>
            </w:pPr>
            <w:r w:rsidRPr="00596D01">
              <w:t>All allocated</w:t>
            </w:r>
            <w:r w:rsidR="00D8721E" w:rsidRPr="00596D01">
              <w:t xml:space="preserve"> </w:t>
            </w:r>
            <w:r w:rsidR="005D06C4" w:rsidRPr="00596D01">
              <w:t>places</w:t>
            </w:r>
          </w:p>
        </w:tc>
        <w:tc>
          <w:tcPr>
            <w:tcW w:w="1235" w:type="pct"/>
          </w:tcPr>
          <w:p w:rsidR="005601D3" w:rsidRPr="00596D01" w:rsidRDefault="005D06C4" w:rsidP="00A4014C">
            <w:pPr>
              <w:jc w:val="right"/>
            </w:pPr>
            <w:r w:rsidRPr="00596D01">
              <w:t xml:space="preserve">Proportion </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NSW</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11,175</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82,778</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13.5%</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Vic</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9,974</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65,527</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15.2%</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Qld</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10,976</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49,141</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22.3%</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WA</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5,333</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22,161</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24.1%</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SA</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748</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18,848</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4.0%</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proofErr w:type="spellStart"/>
            <w:r w:rsidRPr="00D668B0">
              <w:rPr>
                <w:rFonts w:ascii="Segoe UI" w:hAnsi="Segoe UI" w:cs="Segoe UI"/>
                <w:color w:val="000000"/>
              </w:rPr>
              <w:t>Tas</w:t>
            </w:r>
            <w:proofErr w:type="spellEnd"/>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275</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5,357</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5.1%</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ACT</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728</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3,425</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21.3%</w:t>
            </w:r>
          </w:p>
        </w:tc>
      </w:tr>
      <w:tr w:rsidR="00C42E64" w:rsidRPr="00DE7592" w:rsidTr="00A4014C">
        <w:trPr>
          <w:trHeight w:val="113"/>
        </w:trPr>
        <w:tc>
          <w:tcPr>
            <w:tcW w:w="1028" w:type="pct"/>
          </w:tcPr>
          <w:p w:rsidR="00C42E64" w:rsidRPr="00D668B0" w:rsidRDefault="00C42E64" w:rsidP="00A4014C">
            <w:pPr>
              <w:rPr>
                <w:rFonts w:ascii="Segoe UI" w:hAnsi="Segoe UI" w:cs="Segoe UI"/>
                <w:color w:val="000000"/>
              </w:rPr>
            </w:pPr>
            <w:r w:rsidRPr="00D668B0">
              <w:rPr>
                <w:rFonts w:ascii="Segoe UI" w:hAnsi="Segoe UI" w:cs="Segoe UI"/>
                <w:color w:val="000000"/>
              </w:rPr>
              <w:t>NT</w:t>
            </w:r>
          </w:p>
        </w:tc>
        <w:tc>
          <w:tcPr>
            <w:tcW w:w="1472"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85</w:t>
            </w:r>
          </w:p>
        </w:tc>
        <w:tc>
          <w:tcPr>
            <w:tcW w:w="126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670</w:t>
            </w:r>
          </w:p>
        </w:tc>
        <w:tc>
          <w:tcPr>
            <w:tcW w:w="1235" w:type="pct"/>
          </w:tcPr>
          <w:p w:rsidR="00C42E64" w:rsidRPr="00B46ED6" w:rsidRDefault="00C42E64" w:rsidP="00A4014C">
            <w:pPr>
              <w:jc w:val="right"/>
              <w:rPr>
                <w:rFonts w:ascii="Segoe UI" w:hAnsi="Segoe UI" w:cs="Segoe UI"/>
                <w:color w:val="000000"/>
              </w:rPr>
            </w:pPr>
            <w:r w:rsidRPr="00B46ED6">
              <w:rPr>
                <w:rFonts w:ascii="Segoe UI" w:hAnsi="Segoe UI" w:cs="Segoe UI"/>
                <w:color w:val="000000"/>
              </w:rPr>
              <w:t>12.7%</w:t>
            </w:r>
          </w:p>
        </w:tc>
      </w:tr>
      <w:tr w:rsidR="00C42E64" w:rsidRPr="00265EC1" w:rsidTr="00A4014C">
        <w:trPr>
          <w:trHeight w:val="113"/>
        </w:trPr>
        <w:tc>
          <w:tcPr>
            <w:tcW w:w="1028" w:type="pct"/>
          </w:tcPr>
          <w:p w:rsidR="00C42E64" w:rsidRPr="00265EC1" w:rsidRDefault="00C42E64" w:rsidP="00A4014C">
            <w:pPr>
              <w:rPr>
                <w:rFonts w:ascii="Segoe UI" w:hAnsi="Segoe UI" w:cs="Segoe UI"/>
                <w:b/>
                <w:color w:val="0D0D0D" w:themeColor="text1" w:themeTint="F2"/>
                <w:sz w:val="22"/>
                <w:szCs w:val="22"/>
              </w:rPr>
            </w:pPr>
            <w:r w:rsidRPr="00596D01">
              <w:rPr>
                <w:rStyle w:val="Strong"/>
              </w:rPr>
              <w:t xml:space="preserve">Australia </w:t>
            </w:r>
          </w:p>
        </w:tc>
        <w:tc>
          <w:tcPr>
            <w:tcW w:w="1472" w:type="pct"/>
          </w:tcPr>
          <w:p w:rsidR="00C42E64" w:rsidRPr="00B46ED6" w:rsidRDefault="00C42E64" w:rsidP="00A4014C">
            <w:pPr>
              <w:jc w:val="right"/>
              <w:rPr>
                <w:rFonts w:ascii="Segoe UI" w:hAnsi="Segoe UI" w:cs="Segoe UI"/>
                <w:b/>
                <w:color w:val="000000"/>
              </w:rPr>
            </w:pPr>
            <w:r w:rsidRPr="00596D01">
              <w:rPr>
                <w:rStyle w:val="Strong"/>
              </w:rPr>
              <w:t>39,294</w:t>
            </w:r>
          </w:p>
        </w:tc>
        <w:tc>
          <w:tcPr>
            <w:tcW w:w="1265" w:type="pct"/>
          </w:tcPr>
          <w:p w:rsidR="00C42E64" w:rsidRPr="00B46ED6" w:rsidRDefault="00C42E64" w:rsidP="00A4014C">
            <w:pPr>
              <w:jc w:val="right"/>
              <w:rPr>
                <w:rFonts w:ascii="Segoe UI" w:hAnsi="Segoe UI" w:cs="Segoe UI"/>
                <w:b/>
                <w:color w:val="000000"/>
              </w:rPr>
            </w:pPr>
            <w:r w:rsidRPr="00596D01">
              <w:rPr>
                <w:rStyle w:val="Strong"/>
              </w:rPr>
              <w:t>247,907</w:t>
            </w:r>
          </w:p>
        </w:tc>
        <w:tc>
          <w:tcPr>
            <w:tcW w:w="1235" w:type="pct"/>
          </w:tcPr>
          <w:p w:rsidR="00C42E64" w:rsidRPr="00596D01" w:rsidRDefault="00C42E64" w:rsidP="00A4014C">
            <w:pPr>
              <w:jc w:val="right"/>
              <w:rPr>
                <w:rStyle w:val="Strong"/>
              </w:rPr>
            </w:pPr>
            <w:r w:rsidRPr="00596D01">
              <w:rPr>
                <w:rStyle w:val="Strong"/>
              </w:rPr>
              <w:t>15.9%</w:t>
            </w:r>
          </w:p>
        </w:tc>
      </w:tr>
    </w:tbl>
    <w:p w:rsidR="00D8721E" w:rsidRDefault="00F81A85" w:rsidP="00A4014C">
      <w:pPr>
        <w:pStyle w:val="SourceNotes"/>
      </w:pPr>
      <w:r w:rsidRPr="000A68FB">
        <w:t>Table does not include flexible aged care places</w:t>
      </w:r>
    </w:p>
    <w:p w:rsidR="00D8721E" w:rsidRDefault="005F34DF" w:rsidP="00A4014C">
      <w:pPr>
        <w:rPr>
          <w:lang w:val="en-GB"/>
        </w:rPr>
      </w:pPr>
      <w:r>
        <w:rPr>
          <w:lang w:val="en-GB"/>
        </w:rPr>
        <w:t xml:space="preserve">ACFA notes that the Government introduced </w:t>
      </w:r>
      <w:r w:rsidRPr="0088326C">
        <w:rPr>
          <w:lang w:val="en-GB"/>
        </w:rPr>
        <w:t>legislative changes</w:t>
      </w:r>
      <w:r>
        <w:rPr>
          <w:lang w:val="en-GB"/>
        </w:rPr>
        <w:t xml:space="preserve"> in</w:t>
      </w:r>
      <w:r w:rsidR="00A261F3">
        <w:rPr>
          <w:lang w:val="en-GB"/>
        </w:rPr>
        <w:t> 201</w:t>
      </w:r>
      <w:r>
        <w:rPr>
          <w:lang w:val="en-GB"/>
        </w:rPr>
        <w:t xml:space="preserve">6 </w:t>
      </w:r>
      <w:r w:rsidRPr="0088326C">
        <w:rPr>
          <w:lang w:val="en-GB"/>
        </w:rPr>
        <w:t>to encourage providers to operationalise their provisional places</w:t>
      </w:r>
      <w:r>
        <w:rPr>
          <w:lang w:val="en-GB"/>
        </w:rPr>
        <w:t xml:space="preserve"> in a timely manner. The changes </w:t>
      </w:r>
      <w:r w:rsidRPr="0088326C">
        <w:rPr>
          <w:lang w:val="en-GB"/>
        </w:rPr>
        <w:t>limit</w:t>
      </w:r>
      <w:r>
        <w:rPr>
          <w:lang w:val="en-GB"/>
        </w:rPr>
        <w:t xml:space="preserve"> </w:t>
      </w:r>
      <w:r w:rsidRPr="0088326C">
        <w:rPr>
          <w:lang w:val="en-GB"/>
        </w:rPr>
        <w:t xml:space="preserve">the provisional allocation period to four years (noting that up to two extensions of 12 months </w:t>
      </w:r>
      <w:r>
        <w:rPr>
          <w:lang w:val="en-GB"/>
        </w:rPr>
        <w:t xml:space="preserve">each </w:t>
      </w:r>
      <w:r w:rsidRPr="0088326C">
        <w:rPr>
          <w:lang w:val="en-GB"/>
        </w:rPr>
        <w:t>can be granted by the Department</w:t>
      </w:r>
      <w:r>
        <w:rPr>
          <w:lang w:val="en-GB"/>
        </w:rPr>
        <w:t>,</w:t>
      </w:r>
      <w:r w:rsidRPr="0088326C">
        <w:rPr>
          <w:lang w:val="en-GB"/>
        </w:rPr>
        <w:t xml:space="preserve"> and further extensions in exceptional circumstances). At the end of this time, the provisional allocations lapse and the plac</w:t>
      </w:r>
      <w:r>
        <w:rPr>
          <w:lang w:val="en-GB"/>
        </w:rPr>
        <w:t xml:space="preserve">es return to the Department for </w:t>
      </w:r>
      <w:r w:rsidRPr="0088326C">
        <w:rPr>
          <w:lang w:val="en-GB"/>
        </w:rPr>
        <w:t xml:space="preserve">redistribution in a future ACAR. This change applies to all allocations regardless of when they were made. This means that providers who had already exceeded the four years </w:t>
      </w:r>
      <w:r>
        <w:rPr>
          <w:lang w:val="en-GB"/>
        </w:rPr>
        <w:t xml:space="preserve">were required </w:t>
      </w:r>
      <w:r w:rsidRPr="0088326C">
        <w:rPr>
          <w:lang w:val="en-GB"/>
        </w:rPr>
        <w:t>to justify why their places are not operational and demonstrate that steps are being taken to make them operational in order to be granted a further extension</w:t>
      </w:r>
      <w:r w:rsidR="00D8721E">
        <w:rPr>
          <w:lang w:val="en-GB"/>
        </w:rPr>
        <w:t>.</w:t>
      </w:r>
    </w:p>
    <w:p w:rsidR="00D8721E" w:rsidRDefault="00492BF8" w:rsidP="00A4014C">
      <w:r>
        <w:fldChar w:fldCharType="begin"/>
      </w:r>
      <w:r>
        <w:instrText xml:space="preserve"> REF _Ref524429499 \r \h </w:instrText>
      </w:r>
      <w:r>
        <w:fldChar w:fldCharType="separate"/>
      </w:r>
      <w:r>
        <w:t>Tables 8.5</w:t>
      </w:r>
      <w:r>
        <w:fldChar w:fldCharType="end"/>
      </w:r>
      <w:r>
        <w:t xml:space="preserve"> </w:t>
      </w:r>
      <w:r w:rsidR="00FB4519">
        <w:t xml:space="preserve">and </w:t>
      </w:r>
      <w:r>
        <w:fldChar w:fldCharType="begin"/>
      </w:r>
      <w:r>
        <w:instrText xml:space="preserve"> REF _Ref524429507 \r \h </w:instrText>
      </w:r>
      <w:r>
        <w:fldChar w:fldCharType="separate"/>
      </w:r>
      <w:r>
        <w:t>8.6</w:t>
      </w:r>
      <w:r>
        <w:fldChar w:fldCharType="end"/>
      </w:r>
      <w:r>
        <w:t xml:space="preserve"> </w:t>
      </w:r>
      <w:r w:rsidR="00FB4519">
        <w:t>show the distribution of the ages of provisionally allocated places by location and state and territory.</w:t>
      </w:r>
    </w:p>
    <w:p w:rsidR="00A4014C" w:rsidRDefault="00A4014C">
      <w:pPr>
        <w:suppressAutoHyphens w:val="0"/>
        <w:spacing w:before="60" w:after="0"/>
        <w:jc w:val="both"/>
      </w:pPr>
      <w:r>
        <w:br w:type="page"/>
      </w:r>
    </w:p>
    <w:p w:rsidR="009B57A1" w:rsidRPr="00596D01" w:rsidRDefault="00C712B1" w:rsidP="00A4014C">
      <w:pPr>
        <w:pStyle w:val="TableTitle"/>
      </w:pPr>
      <w:bookmarkStart w:id="626" w:name="_Ref524429499"/>
      <w:r w:rsidRPr="00596D01">
        <w:lastRenderedPageBreak/>
        <w:t>Provisional</w:t>
      </w:r>
      <w:r w:rsidR="00F81A85" w:rsidRPr="00596D01">
        <w:t>ly</w:t>
      </w:r>
      <w:r w:rsidRPr="00596D01">
        <w:t xml:space="preserve"> allocated r</w:t>
      </w:r>
      <w:r w:rsidR="009B57A1" w:rsidRPr="00596D01">
        <w:t>esiden</w:t>
      </w:r>
      <w:r w:rsidRPr="00596D01">
        <w:t xml:space="preserve">tial </w:t>
      </w:r>
      <w:r w:rsidR="006B174B" w:rsidRPr="00596D01">
        <w:t xml:space="preserve">care </w:t>
      </w:r>
      <w:r w:rsidRPr="00596D01">
        <w:t>places by location</w:t>
      </w:r>
      <w:r w:rsidR="009B57A1" w:rsidRPr="00596D01">
        <w:t xml:space="preserve"> and </w:t>
      </w:r>
      <w:r w:rsidRPr="00596D01">
        <w:t>y</w:t>
      </w:r>
      <w:r w:rsidR="009B57A1" w:rsidRPr="00596D01">
        <w:t xml:space="preserve">ear </w:t>
      </w:r>
      <w:r w:rsidR="006B174B" w:rsidRPr="00596D01">
        <w:t xml:space="preserve">of </w:t>
      </w:r>
      <w:r w:rsidRPr="00596D01">
        <w:t>d</w:t>
      </w:r>
      <w:r w:rsidR="006C1357" w:rsidRPr="00596D01">
        <w:t xml:space="preserve">istribution, as at </w:t>
      </w:r>
      <w:r w:rsidR="00A261F3" w:rsidRPr="00596D01">
        <w:t>30 J</w:t>
      </w:r>
      <w:r w:rsidR="006C1357" w:rsidRPr="00596D01">
        <w:t>une</w:t>
      </w:r>
      <w:r w:rsidR="00A261F3" w:rsidRPr="00596D01">
        <w:t> 201</w:t>
      </w:r>
      <w:r w:rsidR="006C1357" w:rsidRPr="00596D01">
        <w:t>7</w:t>
      </w:r>
      <w:bookmarkEnd w:id="626"/>
    </w:p>
    <w:tbl>
      <w:tblPr>
        <w:tblStyle w:val="DefaultTable1"/>
        <w:tblW w:w="5000" w:type="pct"/>
        <w:tblLayout w:type="fixed"/>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12"/>
        <w:gridCol w:w="852"/>
        <w:gridCol w:w="1052"/>
        <w:gridCol w:w="1075"/>
        <w:gridCol w:w="1134"/>
        <w:gridCol w:w="1134"/>
        <w:gridCol w:w="1132"/>
        <w:gridCol w:w="851"/>
        <w:gridCol w:w="986"/>
      </w:tblGrid>
      <w:tr w:rsidR="00A4014C" w:rsidRPr="00A4014C"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733" w:type="pct"/>
            <w:hideMark/>
          </w:tcPr>
          <w:p w:rsidR="00224C09" w:rsidRPr="00A4014C" w:rsidRDefault="00224C09" w:rsidP="00A4014C"/>
        </w:tc>
        <w:tc>
          <w:tcPr>
            <w:tcW w:w="442" w:type="pct"/>
            <w:noWrap/>
            <w:hideMark/>
          </w:tcPr>
          <w:p w:rsidR="00224C09" w:rsidRPr="00A4014C" w:rsidRDefault="00224C09" w:rsidP="00A4014C">
            <w:pPr>
              <w:jc w:val="right"/>
            </w:pPr>
            <w:r w:rsidRPr="00A4014C">
              <w:t>&lt;1 year old</w:t>
            </w:r>
          </w:p>
        </w:tc>
        <w:tc>
          <w:tcPr>
            <w:tcW w:w="546" w:type="pct"/>
            <w:noWrap/>
            <w:hideMark/>
          </w:tcPr>
          <w:p w:rsidR="00224C09" w:rsidRPr="00A4014C" w:rsidRDefault="00224C09" w:rsidP="00A4014C">
            <w:pPr>
              <w:jc w:val="right"/>
            </w:pPr>
            <w:r w:rsidRPr="00A4014C">
              <w:t>1</w:t>
            </w:r>
            <w:r w:rsidR="00D8721E" w:rsidRPr="00A4014C">
              <w:t>–2</w:t>
            </w:r>
            <w:r w:rsidRPr="00A4014C">
              <w:t xml:space="preserve"> years old</w:t>
            </w:r>
          </w:p>
        </w:tc>
        <w:tc>
          <w:tcPr>
            <w:tcW w:w="558" w:type="pct"/>
            <w:noWrap/>
            <w:hideMark/>
          </w:tcPr>
          <w:p w:rsidR="00224C09" w:rsidRPr="00A4014C" w:rsidRDefault="00224C09" w:rsidP="00A4014C">
            <w:pPr>
              <w:jc w:val="right"/>
            </w:pPr>
            <w:r w:rsidRPr="00A4014C">
              <w:t>2</w:t>
            </w:r>
            <w:r w:rsidR="00D8721E" w:rsidRPr="00A4014C">
              <w:t>–4</w:t>
            </w:r>
            <w:r w:rsidRPr="00A4014C">
              <w:t xml:space="preserve"> years old</w:t>
            </w:r>
          </w:p>
        </w:tc>
        <w:tc>
          <w:tcPr>
            <w:tcW w:w="589" w:type="pct"/>
            <w:noWrap/>
            <w:hideMark/>
          </w:tcPr>
          <w:p w:rsidR="00224C09" w:rsidRPr="00A4014C" w:rsidRDefault="00224C09" w:rsidP="00A4014C">
            <w:pPr>
              <w:jc w:val="right"/>
            </w:pPr>
            <w:r w:rsidRPr="00A4014C">
              <w:t>4</w:t>
            </w:r>
            <w:r w:rsidR="00D8721E" w:rsidRPr="00A4014C">
              <w:t>–6</w:t>
            </w:r>
            <w:r w:rsidRPr="00A4014C">
              <w:t xml:space="preserve"> years old</w:t>
            </w:r>
          </w:p>
        </w:tc>
        <w:tc>
          <w:tcPr>
            <w:tcW w:w="589" w:type="pct"/>
            <w:noWrap/>
            <w:hideMark/>
          </w:tcPr>
          <w:p w:rsidR="00224C09" w:rsidRPr="00A4014C" w:rsidRDefault="00224C09" w:rsidP="00A4014C">
            <w:pPr>
              <w:jc w:val="right"/>
            </w:pPr>
            <w:r w:rsidRPr="00A4014C">
              <w:t>6</w:t>
            </w:r>
            <w:r w:rsidR="00D8721E" w:rsidRPr="00A4014C">
              <w:t>–8</w:t>
            </w:r>
            <w:r w:rsidRPr="00A4014C">
              <w:t xml:space="preserve"> years old</w:t>
            </w:r>
          </w:p>
        </w:tc>
        <w:tc>
          <w:tcPr>
            <w:tcW w:w="588" w:type="pct"/>
            <w:noWrap/>
            <w:hideMark/>
          </w:tcPr>
          <w:p w:rsidR="00224C09" w:rsidRPr="00A4014C" w:rsidRDefault="00224C09" w:rsidP="00A4014C">
            <w:pPr>
              <w:jc w:val="right"/>
            </w:pPr>
            <w:r w:rsidRPr="00A4014C">
              <w:t>8</w:t>
            </w:r>
            <w:r w:rsidR="00D8721E" w:rsidRPr="00A4014C">
              <w:t>–1</w:t>
            </w:r>
            <w:r w:rsidRPr="00A4014C">
              <w:t>0 years old</w:t>
            </w:r>
          </w:p>
        </w:tc>
        <w:tc>
          <w:tcPr>
            <w:tcW w:w="442" w:type="pct"/>
            <w:noWrap/>
            <w:hideMark/>
          </w:tcPr>
          <w:p w:rsidR="00224C09" w:rsidRPr="00A4014C" w:rsidRDefault="00224C09" w:rsidP="00A4014C">
            <w:pPr>
              <w:jc w:val="right"/>
            </w:pPr>
            <w:r w:rsidRPr="00A4014C">
              <w:t xml:space="preserve">10 + years </w:t>
            </w:r>
          </w:p>
        </w:tc>
        <w:tc>
          <w:tcPr>
            <w:tcW w:w="512" w:type="pct"/>
            <w:noWrap/>
            <w:hideMark/>
          </w:tcPr>
          <w:p w:rsidR="00224C09" w:rsidRPr="00A4014C" w:rsidRDefault="00224C09" w:rsidP="00A4014C">
            <w:pPr>
              <w:jc w:val="right"/>
            </w:pPr>
            <w:r w:rsidRPr="00A4014C">
              <w:t>Total</w:t>
            </w:r>
          </w:p>
        </w:tc>
      </w:tr>
      <w:tr w:rsidR="00A4014C" w:rsidTr="00A4014C">
        <w:trPr>
          <w:trHeight w:val="113"/>
        </w:trPr>
        <w:tc>
          <w:tcPr>
            <w:tcW w:w="733" w:type="pct"/>
            <w:noWrap/>
            <w:hideMark/>
          </w:tcPr>
          <w:p w:rsidR="00895081" w:rsidRPr="00513C69" w:rsidRDefault="00895081" w:rsidP="00A4014C">
            <w:r w:rsidRPr="00513C69">
              <w:t>Metropolitan</w:t>
            </w:r>
          </w:p>
        </w:tc>
        <w:tc>
          <w:tcPr>
            <w:tcW w:w="442" w:type="pct"/>
            <w:noWrap/>
            <w:hideMark/>
          </w:tcPr>
          <w:p w:rsidR="00895081" w:rsidRPr="008C7918" w:rsidRDefault="008C7918" w:rsidP="00A4014C">
            <w:pPr>
              <w:jc w:val="right"/>
              <w:rPr>
                <w:color w:val="000000"/>
              </w:rPr>
            </w:pPr>
            <w:r w:rsidRPr="008C7918">
              <w:rPr>
                <w:color w:val="000000"/>
              </w:rPr>
              <w:t>7,243</w:t>
            </w:r>
          </w:p>
        </w:tc>
        <w:tc>
          <w:tcPr>
            <w:tcW w:w="546" w:type="pct"/>
            <w:noWrap/>
            <w:hideMark/>
          </w:tcPr>
          <w:p w:rsidR="00895081" w:rsidRPr="008C7918" w:rsidRDefault="008C7918" w:rsidP="00A4014C">
            <w:pPr>
              <w:jc w:val="right"/>
              <w:rPr>
                <w:color w:val="000000"/>
              </w:rPr>
            </w:pPr>
            <w:r w:rsidRPr="008C7918">
              <w:rPr>
                <w:color w:val="000000"/>
              </w:rPr>
              <w:t>7,425</w:t>
            </w:r>
          </w:p>
        </w:tc>
        <w:tc>
          <w:tcPr>
            <w:tcW w:w="558" w:type="pct"/>
            <w:noWrap/>
            <w:hideMark/>
          </w:tcPr>
          <w:p w:rsidR="00895081" w:rsidRPr="008C7918" w:rsidRDefault="008C7918" w:rsidP="00A4014C">
            <w:pPr>
              <w:jc w:val="right"/>
              <w:rPr>
                <w:color w:val="000000"/>
              </w:rPr>
            </w:pPr>
            <w:r w:rsidRPr="008C7918">
              <w:rPr>
                <w:color w:val="000000"/>
              </w:rPr>
              <w:t>10,037</w:t>
            </w:r>
          </w:p>
        </w:tc>
        <w:tc>
          <w:tcPr>
            <w:tcW w:w="589" w:type="pct"/>
            <w:noWrap/>
            <w:hideMark/>
          </w:tcPr>
          <w:p w:rsidR="00895081" w:rsidRPr="008C7918" w:rsidRDefault="008C7918" w:rsidP="00A4014C">
            <w:pPr>
              <w:jc w:val="right"/>
              <w:rPr>
                <w:color w:val="000000"/>
              </w:rPr>
            </w:pPr>
            <w:r w:rsidRPr="008C7918">
              <w:rPr>
                <w:color w:val="000000"/>
              </w:rPr>
              <w:t>2,012</w:t>
            </w:r>
          </w:p>
        </w:tc>
        <w:tc>
          <w:tcPr>
            <w:tcW w:w="589" w:type="pct"/>
            <w:noWrap/>
            <w:hideMark/>
          </w:tcPr>
          <w:p w:rsidR="00895081" w:rsidRPr="00BC18DE" w:rsidRDefault="008C7918" w:rsidP="00A4014C">
            <w:pPr>
              <w:jc w:val="right"/>
              <w:rPr>
                <w:color w:val="000000"/>
              </w:rPr>
            </w:pPr>
            <w:r w:rsidRPr="00BC18DE">
              <w:rPr>
                <w:color w:val="000000"/>
              </w:rPr>
              <w:t>1,791</w:t>
            </w:r>
          </w:p>
        </w:tc>
        <w:tc>
          <w:tcPr>
            <w:tcW w:w="588" w:type="pct"/>
            <w:noWrap/>
            <w:hideMark/>
          </w:tcPr>
          <w:p w:rsidR="00895081" w:rsidRPr="00BC18DE" w:rsidRDefault="00BC18DE" w:rsidP="00A4014C">
            <w:pPr>
              <w:jc w:val="right"/>
              <w:rPr>
                <w:color w:val="000000"/>
              </w:rPr>
            </w:pPr>
            <w:r w:rsidRPr="00BC18DE">
              <w:rPr>
                <w:color w:val="000000"/>
              </w:rPr>
              <w:t>422</w:t>
            </w:r>
          </w:p>
        </w:tc>
        <w:tc>
          <w:tcPr>
            <w:tcW w:w="442" w:type="pct"/>
            <w:noWrap/>
            <w:hideMark/>
          </w:tcPr>
          <w:p w:rsidR="00895081" w:rsidRPr="008C7918" w:rsidRDefault="008C7918" w:rsidP="00A4014C">
            <w:pPr>
              <w:jc w:val="right"/>
              <w:rPr>
                <w:color w:val="000000"/>
              </w:rPr>
            </w:pPr>
            <w:r w:rsidRPr="008C7918">
              <w:rPr>
                <w:color w:val="000000"/>
              </w:rPr>
              <w:t>595</w:t>
            </w:r>
          </w:p>
        </w:tc>
        <w:tc>
          <w:tcPr>
            <w:tcW w:w="512" w:type="pct"/>
            <w:noWrap/>
            <w:hideMark/>
          </w:tcPr>
          <w:p w:rsidR="00895081" w:rsidRPr="00A4014C" w:rsidRDefault="008C7918" w:rsidP="00A4014C">
            <w:pPr>
              <w:jc w:val="right"/>
              <w:rPr>
                <w:rStyle w:val="Strong"/>
              </w:rPr>
            </w:pPr>
            <w:r w:rsidRPr="00A4014C">
              <w:rPr>
                <w:rStyle w:val="Strong"/>
              </w:rPr>
              <w:t>29,525</w:t>
            </w:r>
          </w:p>
        </w:tc>
      </w:tr>
      <w:tr w:rsidR="00A4014C" w:rsidTr="00A4014C">
        <w:trPr>
          <w:trHeight w:val="113"/>
        </w:trPr>
        <w:tc>
          <w:tcPr>
            <w:tcW w:w="733" w:type="pct"/>
            <w:noWrap/>
            <w:hideMark/>
          </w:tcPr>
          <w:p w:rsidR="00895081" w:rsidRPr="00513C69" w:rsidRDefault="00895081" w:rsidP="00A4014C">
            <w:r w:rsidRPr="00513C69">
              <w:t>Regional</w:t>
            </w:r>
          </w:p>
        </w:tc>
        <w:tc>
          <w:tcPr>
            <w:tcW w:w="442" w:type="pct"/>
            <w:noWrap/>
            <w:hideMark/>
          </w:tcPr>
          <w:p w:rsidR="00895081" w:rsidRPr="008C7918" w:rsidRDefault="008C7918" w:rsidP="00A4014C">
            <w:pPr>
              <w:jc w:val="right"/>
              <w:rPr>
                <w:color w:val="000000"/>
              </w:rPr>
            </w:pPr>
            <w:r w:rsidRPr="008C7918">
              <w:rPr>
                <w:color w:val="000000"/>
              </w:rPr>
              <w:t>2,556</w:t>
            </w:r>
          </w:p>
        </w:tc>
        <w:tc>
          <w:tcPr>
            <w:tcW w:w="546" w:type="pct"/>
            <w:noWrap/>
            <w:hideMark/>
          </w:tcPr>
          <w:p w:rsidR="00895081" w:rsidRPr="008C7918" w:rsidRDefault="008C7918" w:rsidP="00A4014C">
            <w:pPr>
              <w:jc w:val="right"/>
              <w:rPr>
                <w:color w:val="000000"/>
              </w:rPr>
            </w:pPr>
            <w:r w:rsidRPr="008C7918">
              <w:rPr>
                <w:color w:val="000000"/>
              </w:rPr>
              <w:t>3,062</w:t>
            </w:r>
          </w:p>
        </w:tc>
        <w:tc>
          <w:tcPr>
            <w:tcW w:w="558" w:type="pct"/>
            <w:noWrap/>
            <w:hideMark/>
          </w:tcPr>
          <w:p w:rsidR="00895081" w:rsidRPr="008C7918" w:rsidRDefault="008C7918" w:rsidP="00A4014C">
            <w:pPr>
              <w:jc w:val="right"/>
              <w:rPr>
                <w:color w:val="000000"/>
              </w:rPr>
            </w:pPr>
            <w:r w:rsidRPr="008C7918">
              <w:rPr>
                <w:color w:val="000000"/>
              </w:rPr>
              <w:t>2,924</w:t>
            </w:r>
          </w:p>
        </w:tc>
        <w:tc>
          <w:tcPr>
            <w:tcW w:w="589" w:type="pct"/>
            <w:noWrap/>
            <w:hideMark/>
          </w:tcPr>
          <w:p w:rsidR="00895081" w:rsidRPr="008C7918" w:rsidRDefault="008C7918" w:rsidP="00A4014C">
            <w:pPr>
              <w:jc w:val="right"/>
              <w:rPr>
                <w:color w:val="000000"/>
              </w:rPr>
            </w:pPr>
            <w:r w:rsidRPr="008C7918">
              <w:rPr>
                <w:color w:val="000000"/>
              </w:rPr>
              <w:t>434</w:t>
            </w:r>
          </w:p>
        </w:tc>
        <w:tc>
          <w:tcPr>
            <w:tcW w:w="589" w:type="pct"/>
            <w:noWrap/>
            <w:hideMark/>
          </w:tcPr>
          <w:p w:rsidR="00895081" w:rsidRPr="00BC18DE" w:rsidRDefault="00BC18DE" w:rsidP="00A4014C">
            <w:pPr>
              <w:jc w:val="right"/>
              <w:rPr>
                <w:color w:val="000000"/>
              </w:rPr>
            </w:pPr>
            <w:r>
              <w:rPr>
                <w:color w:val="000000"/>
              </w:rPr>
              <w:t>486</w:t>
            </w:r>
          </w:p>
        </w:tc>
        <w:tc>
          <w:tcPr>
            <w:tcW w:w="588" w:type="pct"/>
            <w:noWrap/>
            <w:hideMark/>
          </w:tcPr>
          <w:p w:rsidR="00895081" w:rsidRPr="00BC18DE" w:rsidRDefault="00BC18DE" w:rsidP="00A4014C">
            <w:pPr>
              <w:jc w:val="right"/>
              <w:rPr>
                <w:color w:val="000000"/>
              </w:rPr>
            </w:pPr>
            <w:r w:rsidRPr="00BC18DE">
              <w:rPr>
                <w:color w:val="000000"/>
              </w:rPr>
              <w:t>175</w:t>
            </w:r>
          </w:p>
        </w:tc>
        <w:tc>
          <w:tcPr>
            <w:tcW w:w="442" w:type="pct"/>
            <w:noWrap/>
            <w:hideMark/>
          </w:tcPr>
          <w:p w:rsidR="00895081" w:rsidRPr="008C7918" w:rsidRDefault="008C7918" w:rsidP="00A4014C">
            <w:pPr>
              <w:jc w:val="right"/>
              <w:rPr>
                <w:color w:val="000000"/>
              </w:rPr>
            </w:pPr>
            <w:r w:rsidRPr="008C7918">
              <w:rPr>
                <w:color w:val="000000"/>
              </w:rPr>
              <w:t>52</w:t>
            </w:r>
          </w:p>
        </w:tc>
        <w:tc>
          <w:tcPr>
            <w:tcW w:w="512" w:type="pct"/>
            <w:noWrap/>
            <w:hideMark/>
          </w:tcPr>
          <w:p w:rsidR="00895081" w:rsidRPr="00A4014C" w:rsidRDefault="008C7918" w:rsidP="00A4014C">
            <w:pPr>
              <w:jc w:val="right"/>
              <w:rPr>
                <w:rStyle w:val="Strong"/>
              </w:rPr>
            </w:pPr>
            <w:r w:rsidRPr="00A4014C">
              <w:rPr>
                <w:rStyle w:val="Strong"/>
              </w:rPr>
              <w:t>9,689</w:t>
            </w:r>
          </w:p>
        </w:tc>
      </w:tr>
      <w:tr w:rsidR="00A4014C" w:rsidTr="00A4014C">
        <w:trPr>
          <w:trHeight w:val="113"/>
        </w:trPr>
        <w:tc>
          <w:tcPr>
            <w:tcW w:w="733" w:type="pct"/>
            <w:noWrap/>
            <w:hideMark/>
          </w:tcPr>
          <w:p w:rsidR="00895081" w:rsidRPr="00513C69" w:rsidRDefault="00895081" w:rsidP="00A4014C">
            <w:r w:rsidRPr="00513C69">
              <w:t>Remote</w:t>
            </w:r>
          </w:p>
        </w:tc>
        <w:tc>
          <w:tcPr>
            <w:tcW w:w="442" w:type="pct"/>
            <w:noWrap/>
            <w:hideMark/>
          </w:tcPr>
          <w:p w:rsidR="00895081" w:rsidRPr="008C7918" w:rsidRDefault="008C7918" w:rsidP="00A4014C">
            <w:pPr>
              <w:jc w:val="right"/>
              <w:rPr>
                <w:color w:val="000000"/>
              </w:rPr>
            </w:pPr>
            <w:r w:rsidRPr="008C7918">
              <w:rPr>
                <w:color w:val="000000"/>
              </w:rPr>
              <w:t>0</w:t>
            </w:r>
          </w:p>
        </w:tc>
        <w:tc>
          <w:tcPr>
            <w:tcW w:w="546" w:type="pct"/>
            <w:noWrap/>
            <w:hideMark/>
          </w:tcPr>
          <w:p w:rsidR="00895081" w:rsidRPr="008C7918" w:rsidRDefault="008C7918" w:rsidP="00A4014C">
            <w:pPr>
              <w:jc w:val="right"/>
              <w:rPr>
                <w:color w:val="000000"/>
              </w:rPr>
            </w:pPr>
            <w:r w:rsidRPr="008C7918">
              <w:rPr>
                <w:color w:val="000000"/>
              </w:rPr>
              <w:t>30</w:t>
            </w:r>
          </w:p>
        </w:tc>
        <w:tc>
          <w:tcPr>
            <w:tcW w:w="558" w:type="pct"/>
            <w:noWrap/>
            <w:hideMark/>
          </w:tcPr>
          <w:p w:rsidR="00895081" w:rsidRPr="008C7918" w:rsidRDefault="00895081" w:rsidP="00A4014C">
            <w:pPr>
              <w:jc w:val="right"/>
              <w:rPr>
                <w:color w:val="000000"/>
              </w:rPr>
            </w:pPr>
            <w:r w:rsidRPr="008C7918">
              <w:rPr>
                <w:color w:val="000000"/>
              </w:rPr>
              <w:t>0</w:t>
            </w:r>
          </w:p>
        </w:tc>
        <w:tc>
          <w:tcPr>
            <w:tcW w:w="589" w:type="pct"/>
            <w:noWrap/>
            <w:hideMark/>
          </w:tcPr>
          <w:p w:rsidR="00895081" w:rsidRPr="008C7918" w:rsidRDefault="00895081" w:rsidP="00A4014C">
            <w:pPr>
              <w:jc w:val="right"/>
              <w:rPr>
                <w:color w:val="000000"/>
              </w:rPr>
            </w:pPr>
            <w:r w:rsidRPr="008C7918">
              <w:rPr>
                <w:color w:val="000000"/>
              </w:rPr>
              <w:t>50</w:t>
            </w:r>
          </w:p>
        </w:tc>
        <w:tc>
          <w:tcPr>
            <w:tcW w:w="589" w:type="pct"/>
            <w:noWrap/>
            <w:hideMark/>
          </w:tcPr>
          <w:p w:rsidR="00895081" w:rsidRPr="00BC18DE" w:rsidRDefault="00895081" w:rsidP="00A4014C">
            <w:pPr>
              <w:jc w:val="right"/>
              <w:rPr>
                <w:color w:val="000000"/>
              </w:rPr>
            </w:pPr>
            <w:r w:rsidRPr="00BC18DE">
              <w:rPr>
                <w:color w:val="000000"/>
              </w:rPr>
              <w:t>0</w:t>
            </w:r>
          </w:p>
        </w:tc>
        <w:tc>
          <w:tcPr>
            <w:tcW w:w="588" w:type="pct"/>
            <w:noWrap/>
            <w:hideMark/>
          </w:tcPr>
          <w:p w:rsidR="00895081" w:rsidRPr="00BC18DE" w:rsidRDefault="00895081" w:rsidP="00A4014C">
            <w:pPr>
              <w:jc w:val="right"/>
              <w:rPr>
                <w:color w:val="000000"/>
              </w:rPr>
            </w:pPr>
            <w:r w:rsidRPr="00BC18DE">
              <w:rPr>
                <w:color w:val="000000"/>
              </w:rPr>
              <w:t>0</w:t>
            </w:r>
          </w:p>
        </w:tc>
        <w:tc>
          <w:tcPr>
            <w:tcW w:w="442" w:type="pct"/>
            <w:noWrap/>
            <w:hideMark/>
          </w:tcPr>
          <w:p w:rsidR="00895081" w:rsidRPr="008C7918" w:rsidRDefault="00895081" w:rsidP="00A4014C">
            <w:pPr>
              <w:jc w:val="right"/>
              <w:rPr>
                <w:color w:val="000000"/>
              </w:rPr>
            </w:pPr>
            <w:r w:rsidRPr="008C7918">
              <w:rPr>
                <w:color w:val="000000"/>
              </w:rPr>
              <w:t>0</w:t>
            </w:r>
          </w:p>
        </w:tc>
        <w:tc>
          <w:tcPr>
            <w:tcW w:w="512" w:type="pct"/>
            <w:noWrap/>
            <w:hideMark/>
          </w:tcPr>
          <w:p w:rsidR="00895081" w:rsidRPr="00A4014C" w:rsidRDefault="00895081" w:rsidP="00A4014C">
            <w:pPr>
              <w:jc w:val="right"/>
              <w:rPr>
                <w:rStyle w:val="Strong"/>
              </w:rPr>
            </w:pPr>
            <w:r w:rsidRPr="00A4014C">
              <w:rPr>
                <w:rStyle w:val="Strong"/>
              </w:rPr>
              <w:t>80</w:t>
            </w:r>
          </w:p>
        </w:tc>
      </w:tr>
      <w:tr w:rsidR="00A4014C" w:rsidTr="00A4014C">
        <w:trPr>
          <w:trHeight w:val="113"/>
        </w:trPr>
        <w:tc>
          <w:tcPr>
            <w:tcW w:w="733" w:type="pct"/>
            <w:noWrap/>
            <w:hideMark/>
          </w:tcPr>
          <w:p w:rsidR="00895081" w:rsidRPr="00A4014C" w:rsidRDefault="00895081" w:rsidP="00A4014C">
            <w:pPr>
              <w:rPr>
                <w:rStyle w:val="Strong"/>
              </w:rPr>
            </w:pPr>
            <w:r w:rsidRPr="00A4014C">
              <w:rPr>
                <w:rStyle w:val="Strong"/>
              </w:rPr>
              <w:t>Total</w:t>
            </w:r>
          </w:p>
        </w:tc>
        <w:tc>
          <w:tcPr>
            <w:tcW w:w="442" w:type="pct"/>
            <w:noWrap/>
            <w:hideMark/>
          </w:tcPr>
          <w:p w:rsidR="00895081" w:rsidRPr="00A4014C" w:rsidRDefault="008C7918" w:rsidP="00A4014C">
            <w:pPr>
              <w:jc w:val="right"/>
              <w:rPr>
                <w:rStyle w:val="Strong"/>
              </w:rPr>
            </w:pPr>
            <w:r w:rsidRPr="00A4014C">
              <w:rPr>
                <w:rStyle w:val="Strong"/>
              </w:rPr>
              <w:t>9,799</w:t>
            </w:r>
          </w:p>
        </w:tc>
        <w:tc>
          <w:tcPr>
            <w:tcW w:w="546" w:type="pct"/>
            <w:noWrap/>
            <w:hideMark/>
          </w:tcPr>
          <w:p w:rsidR="00895081" w:rsidRPr="00A4014C" w:rsidRDefault="008C7918" w:rsidP="00A4014C">
            <w:pPr>
              <w:jc w:val="right"/>
              <w:rPr>
                <w:rStyle w:val="Strong"/>
              </w:rPr>
            </w:pPr>
            <w:r w:rsidRPr="00A4014C">
              <w:rPr>
                <w:rStyle w:val="Strong"/>
              </w:rPr>
              <w:t>10,517</w:t>
            </w:r>
          </w:p>
        </w:tc>
        <w:tc>
          <w:tcPr>
            <w:tcW w:w="558" w:type="pct"/>
            <w:noWrap/>
            <w:hideMark/>
          </w:tcPr>
          <w:p w:rsidR="00895081" w:rsidRPr="00A4014C" w:rsidRDefault="008C7918" w:rsidP="00A4014C">
            <w:pPr>
              <w:jc w:val="right"/>
              <w:rPr>
                <w:rStyle w:val="Strong"/>
              </w:rPr>
            </w:pPr>
            <w:r w:rsidRPr="00A4014C">
              <w:rPr>
                <w:rStyle w:val="Strong"/>
              </w:rPr>
              <w:t>12,961</w:t>
            </w:r>
          </w:p>
        </w:tc>
        <w:tc>
          <w:tcPr>
            <w:tcW w:w="589" w:type="pct"/>
            <w:noWrap/>
            <w:hideMark/>
          </w:tcPr>
          <w:p w:rsidR="00895081" w:rsidRPr="00A4014C" w:rsidRDefault="008C7918" w:rsidP="00A4014C">
            <w:pPr>
              <w:jc w:val="right"/>
              <w:rPr>
                <w:rStyle w:val="Strong"/>
              </w:rPr>
            </w:pPr>
            <w:r w:rsidRPr="00A4014C">
              <w:rPr>
                <w:rStyle w:val="Strong"/>
              </w:rPr>
              <w:t>2,496</w:t>
            </w:r>
          </w:p>
        </w:tc>
        <w:tc>
          <w:tcPr>
            <w:tcW w:w="589" w:type="pct"/>
            <w:noWrap/>
            <w:hideMark/>
          </w:tcPr>
          <w:p w:rsidR="00895081" w:rsidRPr="00A4014C" w:rsidRDefault="00BC18DE" w:rsidP="00A4014C">
            <w:pPr>
              <w:jc w:val="right"/>
              <w:rPr>
                <w:rStyle w:val="Strong"/>
              </w:rPr>
            </w:pPr>
            <w:r w:rsidRPr="00A4014C">
              <w:rPr>
                <w:rStyle w:val="Strong"/>
              </w:rPr>
              <w:t>2,277</w:t>
            </w:r>
          </w:p>
        </w:tc>
        <w:tc>
          <w:tcPr>
            <w:tcW w:w="588" w:type="pct"/>
            <w:noWrap/>
            <w:hideMark/>
          </w:tcPr>
          <w:p w:rsidR="00895081" w:rsidRPr="00A4014C" w:rsidRDefault="00BC18DE" w:rsidP="00A4014C">
            <w:pPr>
              <w:jc w:val="right"/>
              <w:rPr>
                <w:rStyle w:val="Strong"/>
              </w:rPr>
            </w:pPr>
            <w:r w:rsidRPr="00A4014C">
              <w:rPr>
                <w:rStyle w:val="Strong"/>
              </w:rPr>
              <w:t>597</w:t>
            </w:r>
          </w:p>
        </w:tc>
        <w:tc>
          <w:tcPr>
            <w:tcW w:w="442" w:type="pct"/>
            <w:noWrap/>
            <w:hideMark/>
          </w:tcPr>
          <w:p w:rsidR="00895081" w:rsidRPr="00A4014C" w:rsidRDefault="008C7918" w:rsidP="00A4014C">
            <w:pPr>
              <w:jc w:val="right"/>
              <w:rPr>
                <w:rStyle w:val="Strong"/>
              </w:rPr>
            </w:pPr>
            <w:r w:rsidRPr="00A4014C">
              <w:rPr>
                <w:rStyle w:val="Strong"/>
              </w:rPr>
              <w:t>647</w:t>
            </w:r>
          </w:p>
        </w:tc>
        <w:tc>
          <w:tcPr>
            <w:tcW w:w="512" w:type="pct"/>
            <w:noWrap/>
            <w:hideMark/>
          </w:tcPr>
          <w:p w:rsidR="00895081" w:rsidRPr="00A4014C" w:rsidRDefault="008C7918" w:rsidP="00A4014C">
            <w:pPr>
              <w:jc w:val="right"/>
              <w:rPr>
                <w:rStyle w:val="Strong"/>
              </w:rPr>
            </w:pPr>
            <w:r w:rsidRPr="00A4014C">
              <w:rPr>
                <w:rStyle w:val="Strong"/>
              </w:rPr>
              <w:t>39,294</w:t>
            </w:r>
          </w:p>
        </w:tc>
      </w:tr>
    </w:tbl>
    <w:p w:rsidR="00D8721E" w:rsidRDefault="00F81A85" w:rsidP="00A4014C">
      <w:pPr>
        <w:pStyle w:val="SourceNotes"/>
      </w:pPr>
      <w:r w:rsidRPr="000A68FB">
        <w:t>Table d</w:t>
      </w:r>
      <w:r w:rsidR="00437C04" w:rsidRPr="000A68FB">
        <w:t>oes not include flexible aged care places</w:t>
      </w:r>
    </w:p>
    <w:p w:rsidR="00F931B3" w:rsidRPr="00596D01" w:rsidRDefault="001D231C" w:rsidP="00A4014C">
      <w:pPr>
        <w:pStyle w:val="TableTitle"/>
        <w:rPr>
          <w:rStyle w:val="Strong"/>
        </w:rPr>
      </w:pPr>
      <w:bookmarkStart w:id="627" w:name="_Ref524429507"/>
      <w:r w:rsidRPr="00596D01">
        <w:t>Provisional</w:t>
      </w:r>
      <w:r w:rsidR="00F81A85" w:rsidRPr="00596D01">
        <w:t>ly</w:t>
      </w:r>
      <w:r w:rsidRPr="00596D01">
        <w:t xml:space="preserve"> a</w:t>
      </w:r>
      <w:r w:rsidR="003E0E18" w:rsidRPr="00596D01">
        <w:t>llocated r</w:t>
      </w:r>
      <w:r w:rsidR="009B57A1" w:rsidRPr="00596D01">
        <w:t xml:space="preserve">esidential </w:t>
      </w:r>
      <w:r w:rsidR="003E0E18" w:rsidRPr="00596D01">
        <w:t xml:space="preserve">care </w:t>
      </w:r>
      <w:r w:rsidR="009B57A1" w:rsidRPr="00596D01">
        <w:t xml:space="preserve">places by state and year </w:t>
      </w:r>
      <w:r w:rsidR="003E0E18" w:rsidRPr="00596D01">
        <w:t xml:space="preserve">of </w:t>
      </w:r>
      <w:r w:rsidR="009B57A1" w:rsidRPr="00596D01">
        <w:t>d</w:t>
      </w:r>
      <w:r w:rsidR="00C9081F" w:rsidRPr="00596D01">
        <w:t>istribution,</w:t>
      </w:r>
      <w:r w:rsidR="00F81A85" w:rsidRPr="00596D01">
        <w:t> </w:t>
      </w:r>
      <w:r w:rsidR="00C9081F" w:rsidRPr="00596D01">
        <w:t>as</w:t>
      </w:r>
      <w:r w:rsidR="003E0E18" w:rsidRPr="00596D01">
        <w:t> </w:t>
      </w:r>
      <w:r w:rsidR="00C9081F" w:rsidRPr="00596D01">
        <w:t xml:space="preserve">at </w:t>
      </w:r>
      <w:r w:rsidR="00A261F3" w:rsidRPr="00596D01">
        <w:t>30 J</w:t>
      </w:r>
      <w:r w:rsidR="006C1357" w:rsidRPr="00596D01">
        <w:t>une</w:t>
      </w:r>
      <w:r w:rsidR="00A261F3" w:rsidRPr="00596D01">
        <w:t> 201</w:t>
      </w:r>
      <w:r w:rsidR="006C1357" w:rsidRPr="00596D01">
        <w:t>7</w:t>
      </w:r>
      <w:bookmarkEnd w:id="627"/>
    </w:p>
    <w:tbl>
      <w:tblPr>
        <w:tblStyle w:val="DefaultTable1"/>
        <w:tblW w:w="5000" w:type="pct"/>
        <w:tblLayout w:type="fixed"/>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068"/>
        <w:gridCol w:w="1070"/>
        <w:gridCol w:w="1070"/>
        <w:gridCol w:w="1071"/>
        <w:gridCol w:w="1069"/>
        <w:gridCol w:w="1071"/>
        <w:gridCol w:w="1071"/>
        <w:gridCol w:w="1071"/>
        <w:gridCol w:w="1067"/>
      </w:tblGrid>
      <w:tr w:rsidR="00A4014C" w:rsidRPr="00A4014C"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555" w:type="pct"/>
            <w:hideMark/>
          </w:tcPr>
          <w:p w:rsidR="00895081" w:rsidRPr="00A4014C" w:rsidRDefault="00895081" w:rsidP="00A4014C">
            <w:r w:rsidRPr="00A4014C">
              <w:t> </w:t>
            </w:r>
          </w:p>
        </w:tc>
        <w:tc>
          <w:tcPr>
            <w:tcW w:w="556" w:type="pct"/>
            <w:noWrap/>
            <w:hideMark/>
          </w:tcPr>
          <w:p w:rsidR="00895081" w:rsidRPr="00A4014C" w:rsidRDefault="00895081" w:rsidP="00303CD5">
            <w:pPr>
              <w:jc w:val="right"/>
            </w:pPr>
            <w:r w:rsidRPr="00A4014C">
              <w:t>&lt;1 year old</w:t>
            </w:r>
          </w:p>
        </w:tc>
        <w:tc>
          <w:tcPr>
            <w:tcW w:w="556" w:type="pct"/>
            <w:noWrap/>
            <w:hideMark/>
          </w:tcPr>
          <w:p w:rsidR="00895081" w:rsidRPr="00A4014C" w:rsidRDefault="00895081" w:rsidP="00303CD5">
            <w:pPr>
              <w:jc w:val="right"/>
            </w:pPr>
            <w:r w:rsidRPr="00A4014C">
              <w:t>1</w:t>
            </w:r>
            <w:r w:rsidR="00D8721E" w:rsidRPr="00A4014C">
              <w:t>–2</w:t>
            </w:r>
            <w:r w:rsidRPr="00A4014C">
              <w:t xml:space="preserve"> years old</w:t>
            </w:r>
          </w:p>
        </w:tc>
        <w:tc>
          <w:tcPr>
            <w:tcW w:w="556" w:type="pct"/>
            <w:noWrap/>
            <w:hideMark/>
          </w:tcPr>
          <w:p w:rsidR="00895081" w:rsidRPr="00A4014C" w:rsidRDefault="00895081" w:rsidP="00303CD5">
            <w:pPr>
              <w:jc w:val="right"/>
            </w:pPr>
            <w:r w:rsidRPr="00A4014C">
              <w:t>2</w:t>
            </w:r>
            <w:r w:rsidR="00D8721E" w:rsidRPr="00A4014C">
              <w:t>–4</w:t>
            </w:r>
            <w:r w:rsidRPr="00A4014C">
              <w:t xml:space="preserve"> years old</w:t>
            </w:r>
          </w:p>
        </w:tc>
        <w:tc>
          <w:tcPr>
            <w:tcW w:w="555" w:type="pct"/>
            <w:noWrap/>
            <w:hideMark/>
          </w:tcPr>
          <w:p w:rsidR="00895081" w:rsidRPr="00A4014C" w:rsidRDefault="00895081" w:rsidP="00303CD5">
            <w:pPr>
              <w:jc w:val="right"/>
            </w:pPr>
            <w:r w:rsidRPr="00A4014C">
              <w:t>4</w:t>
            </w:r>
            <w:r w:rsidR="00D8721E" w:rsidRPr="00A4014C">
              <w:t>–6</w:t>
            </w:r>
            <w:r w:rsidRPr="00A4014C">
              <w:t xml:space="preserve"> years old</w:t>
            </w:r>
          </w:p>
        </w:tc>
        <w:tc>
          <w:tcPr>
            <w:tcW w:w="556" w:type="pct"/>
            <w:noWrap/>
            <w:hideMark/>
          </w:tcPr>
          <w:p w:rsidR="00895081" w:rsidRPr="00A4014C" w:rsidRDefault="00895081" w:rsidP="00303CD5">
            <w:pPr>
              <w:jc w:val="right"/>
            </w:pPr>
            <w:r w:rsidRPr="00A4014C">
              <w:t>6</w:t>
            </w:r>
            <w:r w:rsidR="00D8721E" w:rsidRPr="00A4014C">
              <w:t>–8</w:t>
            </w:r>
            <w:r w:rsidRPr="00A4014C">
              <w:t xml:space="preserve"> years old</w:t>
            </w:r>
          </w:p>
        </w:tc>
        <w:tc>
          <w:tcPr>
            <w:tcW w:w="556" w:type="pct"/>
            <w:noWrap/>
            <w:hideMark/>
          </w:tcPr>
          <w:p w:rsidR="00895081" w:rsidRPr="00A4014C" w:rsidRDefault="00895081" w:rsidP="00303CD5">
            <w:pPr>
              <w:jc w:val="right"/>
            </w:pPr>
            <w:r w:rsidRPr="00A4014C">
              <w:t>8</w:t>
            </w:r>
            <w:r w:rsidR="00D8721E" w:rsidRPr="00A4014C">
              <w:t>–1</w:t>
            </w:r>
            <w:r w:rsidRPr="00A4014C">
              <w:t>0 years old</w:t>
            </w:r>
          </w:p>
        </w:tc>
        <w:tc>
          <w:tcPr>
            <w:tcW w:w="556" w:type="pct"/>
            <w:noWrap/>
            <w:hideMark/>
          </w:tcPr>
          <w:p w:rsidR="00895081" w:rsidRPr="00A4014C" w:rsidRDefault="00895081" w:rsidP="00303CD5">
            <w:pPr>
              <w:jc w:val="right"/>
            </w:pPr>
            <w:r w:rsidRPr="00A4014C">
              <w:t xml:space="preserve">10 + years </w:t>
            </w:r>
          </w:p>
        </w:tc>
        <w:tc>
          <w:tcPr>
            <w:tcW w:w="556" w:type="pct"/>
            <w:noWrap/>
            <w:hideMark/>
          </w:tcPr>
          <w:p w:rsidR="00895081" w:rsidRPr="00A4014C" w:rsidRDefault="00895081" w:rsidP="00303CD5">
            <w:pPr>
              <w:jc w:val="right"/>
            </w:pPr>
            <w:r w:rsidRPr="00A4014C">
              <w:t>Total</w:t>
            </w:r>
          </w:p>
        </w:tc>
      </w:tr>
      <w:tr w:rsidR="00A4014C" w:rsidRPr="00A4014C" w:rsidTr="00303CD5">
        <w:trPr>
          <w:trHeight w:val="113"/>
        </w:trPr>
        <w:tc>
          <w:tcPr>
            <w:tcW w:w="555" w:type="pct"/>
            <w:noWrap/>
            <w:hideMark/>
          </w:tcPr>
          <w:p w:rsidR="008C7918" w:rsidRPr="00A4014C" w:rsidRDefault="008C7918" w:rsidP="00A4014C">
            <w:r w:rsidRPr="00A4014C">
              <w:t>NSW</w:t>
            </w:r>
          </w:p>
        </w:tc>
        <w:tc>
          <w:tcPr>
            <w:tcW w:w="556" w:type="pct"/>
            <w:noWrap/>
            <w:hideMark/>
          </w:tcPr>
          <w:p w:rsidR="008C7918" w:rsidRPr="00A4014C" w:rsidRDefault="008C7918" w:rsidP="00303CD5">
            <w:pPr>
              <w:jc w:val="right"/>
            </w:pPr>
            <w:r w:rsidRPr="00A4014C">
              <w:t>2,469</w:t>
            </w:r>
          </w:p>
        </w:tc>
        <w:tc>
          <w:tcPr>
            <w:tcW w:w="556" w:type="pct"/>
            <w:noWrap/>
            <w:hideMark/>
          </w:tcPr>
          <w:p w:rsidR="008C7918" w:rsidRPr="00A4014C" w:rsidRDefault="008C7918" w:rsidP="00303CD5">
            <w:pPr>
              <w:jc w:val="right"/>
            </w:pPr>
            <w:r w:rsidRPr="00A4014C">
              <w:t>2,771</w:t>
            </w:r>
          </w:p>
        </w:tc>
        <w:tc>
          <w:tcPr>
            <w:tcW w:w="556" w:type="pct"/>
            <w:noWrap/>
            <w:hideMark/>
          </w:tcPr>
          <w:p w:rsidR="008C7918" w:rsidRPr="00A4014C" w:rsidRDefault="008C7918" w:rsidP="00303CD5">
            <w:pPr>
              <w:jc w:val="right"/>
            </w:pPr>
            <w:r w:rsidRPr="00A4014C">
              <w:t>3,836</w:t>
            </w:r>
          </w:p>
        </w:tc>
        <w:tc>
          <w:tcPr>
            <w:tcW w:w="555" w:type="pct"/>
            <w:noWrap/>
            <w:hideMark/>
          </w:tcPr>
          <w:p w:rsidR="008C7918" w:rsidRPr="00A4014C" w:rsidRDefault="008C7918" w:rsidP="00303CD5">
            <w:pPr>
              <w:jc w:val="right"/>
            </w:pPr>
            <w:r w:rsidRPr="00A4014C">
              <w:t>957</w:t>
            </w:r>
          </w:p>
        </w:tc>
        <w:tc>
          <w:tcPr>
            <w:tcW w:w="556" w:type="pct"/>
            <w:noWrap/>
            <w:hideMark/>
          </w:tcPr>
          <w:p w:rsidR="008C7918" w:rsidRPr="00A4014C" w:rsidRDefault="008C7918" w:rsidP="00303CD5">
            <w:pPr>
              <w:jc w:val="right"/>
            </w:pPr>
            <w:r w:rsidRPr="00A4014C">
              <w:t>793</w:t>
            </w:r>
          </w:p>
        </w:tc>
        <w:tc>
          <w:tcPr>
            <w:tcW w:w="556" w:type="pct"/>
            <w:noWrap/>
            <w:hideMark/>
          </w:tcPr>
          <w:p w:rsidR="008C7918" w:rsidRPr="00A4014C" w:rsidRDefault="008C7918" w:rsidP="00303CD5">
            <w:pPr>
              <w:jc w:val="right"/>
            </w:pPr>
            <w:r w:rsidRPr="00A4014C">
              <w:t>171</w:t>
            </w:r>
          </w:p>
        </w:tc>
        <w:tc>
          <w:tcPr>
            <w:tcW w:w="556" w:type="pct"/>
            <w:noWrap/>
            <w:hideMark/>
          </w:tcPr>
          <w:p w:rsidR="008C7918" w:rsidRPr="00A4014C" w:rsidRDefault="008C7918" w:rsidP="00303CD5">
            <w:pPr>
              <w:jc w:val="right"/>
            </w:pPr>
            <w:r w:rsidRPr="00A4014C">
              <w:t>178</w:t>
            </w:r>
          </w:p>
        </w:tc>
        <w:tc>
          <w:tcPr>
            <w:tcW w:w="556" w:type="pct"/>
            <w:noWrap/>
            <w:hideMark/>
          </w:tcPr>
          <w:p w:rsidR="008C7918" w:rsidRPr="00A4014C" w:rsidRDefault="008C7918" w:rsidP="00303CD5">
            <w:pPr>
              <w:jc w:val="right"/>
              <w:rPr>
                <w:rStyle w:val="Strong"/>
              </w:rPr>
            </w:pPr>
            <w:r w:rsidRPr="00A4014C">
              <w:rPr>
                <w:rStyle w:val="Strong"/>
              </w:rPr>
              <w:t>11,175</w:t>
            </w:r>
          </w:p>
        </w:tc>
      </w:tr>
      <w:tr w:rsidR="00A4014C" w:rsidRPr="00A4014C" w:rsidTr="00303CD5">
        <w:trPr>
          <w:trHeight w:val="113"/>
        </w:trPr>
        <w:tc>
          <w:tcPr>
            <w:tcW w:w="555" w:type="pct"/>
            <w:noWrap/>
            <w:hideMark/>
          </w:tcPr>
          <w:p w:rsidR="008C7918" w:rsidRPr="00A4014C" w:rsidRDefault="008C7918" w:rsidP="00A4014C">
            <w:r w:rsidRPr="00A4014C">
              <w:t>VIC</w:t>
            </w:r>
          </w:p>
        </w:tc>
        <w:tc>
          <w:tcPr>
            <w:tcW w:w="556" w:type="pct"/>
            <w:noWrap/>
            <w:hideMark/>
          </w:tcPr>
          <w:p w:rsidR="008C7918" w:rsidRPr="00A4014C" w:rsidRDefault="008C7918" w:rsidP="00303CD5">
            <w:pPr>
              <w:jc w:val="right"/>
            </w:pPr>
            <w:r w:rsidRPr="00A4014C">
              <w:t>2,627</w:t>
            </w:r>
          </w:p>
        </w:tc>
        <w:tc>
          <w:tcPr>
            <w:tcW w:w="556" w:type="pct"/>
            <w:noWrap/>
            <w:hideMark/>
          </w:tcPr>
          <w:p w:rsidR="008C7918" w:rsidRPr="00A4014C" w:rsidRDefault="008C7918" w:rsidP="00303CD5">
            <w:pPr>
              <w:jc w:val="right"/>
            </w:pPr>
            <w:r w:rsidRPr="00A4014C">
              <w:t>3,010</w:t>
            </w:r>
          </w:p>
        </w:tc>
        <w:tc>
          <w:tcPr>
            <w:tcW w:w="556" w:type="pct"/>
            <w:noWrap/>
            <w:hideMark/>
          </w:tcPr>
          <w:p w:rsidR="008C7918" w:rsidRPr="00A4014C" w:rsidRDefault="008C7918" w:rsidP="00303CD5">
            <w:pPr>
              <w:jc w:val="right"/>
            </w:pPr>
            <w:r w:rsidRPr="00A4014C">
              <w:t>3,626</w:t>
            </w:r>
          </w:p>
        </w:tc>
        <w:tc>
          <w:tcPr>
            <w:tcW w:w="555" w:type="pct"/>
            <w:noWrap/>
            <w:hideMark/>
          </w:tcPr>
          <w:p w:rsidR="008C7918" w:rsidRPr="00A4014C" w:rsidRDefault="008C7918" w:rsidP="00303CD5">
            <w:pPr>
              <w:jc w:val="right"/>
            </w:pPr>
            <w:r w:rsidRPr="00A4014C">
              <w:t>384</w:t>
            </w:r>
          </w:p>
        </w:tc>
        <w:tc>
          <w:tcPr>
            <w:tcW w:w="556" w:type="pct"/>
            <w:noWrap/>
            <w:hideMark/>
          </w:tcPr>
          <w:p w:rsidR="008C7918" w:rsidRPr="00A4014C" w:rsidRDefault="008C7918" w:rsidP="00303CD5">
            <w:pPr>
              <w:jc w:val="right"/>
            </w:pPr>
            <w:r w:rsidRPr="00A4014C">
              <w:t>235</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92</w:t>
            </w:r>
          </w:p>
        </w:tc>
        <w:tc>
          <w:tcPr>
            <w:tcW w:w="556" w:type="pct"/>
            <w:noWrap/>
            <w:hideMark/>
          </w:tcPr>
          <w:p w:rsidR="008C7918" w:rsidRPr="00A4014C" w:rsidRDefault="008C7918" w:rsidP="00303CD5">
            <w:pPr>
              <w:jc w:val="right"/>
              <w:rPr>
                <w:rStyle w:val="Strong"/>
              </w:rPr>
            </w:pPr>
            <w:r w:rsidRPr="00A4014C">
              <w:rPr>
                <w:rStyle w:val="Strong"/>
              </w:rPr>
              <w:t>9,974</w:t>
            </w:r>
          </w:p>
        </w:tc>
      </w:tr>
      <w:tr w:rsidR="00A4014C" w:rsidRPr="00A4014C" w:rsidTr="00303CD5">
        <w:trPr>
          <w:trHeight w:val="113"/>
        </w:trPr>
        <w:tc>
          <w:tcPr>
            <w:tcW w:w="555" w:type="pct"/>
            <w:noWrap/>
            <w:hideMark/>
          </w:tcPr>
          <w:p w:rsidR="008C7918" w:rsidRPr="00A4014C" w:rsidRDefault="008C7918" w:rsidP="00A4014C">
            <w:r w:rsidRPr="00A4014C">
              <w:t>QLD</w:t>
            </w:r>
          </w:p>
        </w:tc>
        <w:tc>
          <w:tcPr>
            <w:tcW w:w="556" w:type="pct"/>
            <w:noWrap/>
            <w:hideMark/>
          </w:tcPr>
          <w:p w:rsidR="008C7918" w:rsidRPr="00A4014C" w:rsidRDefault="008C7918" w:rsidP="00303CD5">
            <w:pPr>
              <w:jc w:val="right"/>
            </w:pPr>
            <w:r w:rsidRPr="00A4014C">
              <w:t>2,600</w:t>
            </w:r>
          </w:p>
        </w:tc>
        <w:tc>
          <w:tcPr>
            <w:tcW w:w="556" w:type="pct"/>
            <w:noWrap/>
            <w:hideMark/>
          </w:tcPr>
          <w:p w:rsidR="008C7918" w:rsidRPr="00A4014C" w:rsidRDefault="008C7918" w:rsidP="00303CD5">
            <w:pPr>
              <w:jc w:val="right"/>
            </w:pPr>
            <w:r w:rsidRPr="00A4014C">
              <w:t>2,969</w:t>
            </w:r>
          </w:p>
        </w:tc>
        <w:tc>
          <w:tcPr>
            <w:tcW w:w="556" w:type="pct"/>
            <w:noWrap/>
            <w:hideMark/>
          </w:tcPr>
          <w:p w:rsidR="008C7918" w:rsidRPr="00A4014C" w:rsidRDefault="008C7918" w:rsidP="00303CD5">
            <w:pPr>
              <w:jc w:val="right"/>
            </w:pPr>
            <w:r w:rsidRPr="00A4014C">
              <w:t>3,329</w:t>
            </w:r>
          </w:p>
        </w:tc>
        <w:tc>
          <w:tcPr>
            <w:tcW w:w="555" w:type="pct"/>
            <w:noWrap/>
            <w:hideMark/>
          </w:tcPr>
          <w:p w:rsidR="008C7918" w:rsidRPr="00A4014C" w:rsidRDefault="008C7918" w:rsidP="00303CD5">
            <w:pPr>
              <w:jc w:val="right"/>
            </w:pPr>
            <w:r w:rsidRPr="00A4014C">
              <w:t>679</w:t>
            </w:r>
          </w:p>
        </w:tc>
        <w:tc>
          <w:tcPr>
            <w:tcW w:w="556" w:type="pct"/>
            <w:noWrap/>
            <w:hideMark/>
          </w:tcPr>
          <w:p w:rsidR="008C7918" w:rsidRPr="00A4014C" w:rsidRDefault="008C7918" w:rsidP="00303CD5">
            <w:pPr>
              <w:jc w:val="right"/>
            </w:pPr>
            <w:r w:rsidRPr="00A4014C">
              <w:t>916</w:t>
            </w:r>
          </w:p>
        </w:tc>
        <w:tc>
          <w:tcPr>
            <w:tcW w:w="556" w:type="pct"/>
            <w:noWrap/>
            <w:hideMark/>
          </w:tcPr>
          <w:p w:rsidR="008C7918" w:rsidRPr="00A4014C" w:rsidRDefault="008C7918" w:rsidP="00303CD5">
            <w:pPr>
              <w:jc w:val="right"/>
            </w:pPr>
            <w:r w:rsidRPr="00A4014C">
              <w:t>292</w:t>
            </w:r>
          </w:p>
        </w:tc>
        <w:tc>
          <w:tcPr>
            <w:tcW w:w="556" w:type="pct"/>
            <w:noWrap/>
            <w:hideMark/>
          </w:tcPr>
          <w:p w:rsidR="008C7918" w:rsidRPr="00A4014C" w:rsidRDefault="008C7918" w:rsidP="00303CD5">
            <w:pPr>
              <w:jc w:val="right"/>
            </w:pPr>
            <w:r w:rsidRPr="00A4014C">
              <w:t>191</w:t>
            </w:r>
          </w:p>
        </w:tc>
        <w:tc>
          <w:tcPr>
            <w:tcW w:w="556" w:type="pct"/>
            <w:noWrap/>
            <w:hideMark/>
          </w:tcPr>
          <w:p w:rsidR="008C7918" w:rsidRPr="00A4014C" w:rsidRDefault="008C7918" w:rsidP="00303CD5">
            <w:pPr>
              <w:jc w:val="right"/>
              <w:rPr>
                <w:rStyle w:val="Strong"/>
              </w:rPr>
            </w:pPr>
            <w:r w:rsidRPr="00A4014C">
              <w:rPr>
                <w:rStyle w:val="Strong"/>
              </w:rPr>
              <w:t>10,976</w:t>
            </w:r>
          </w:p>
        </w:tc>
      </w:tr>
      <w:tr w:rsidR="00A4014C" w:rsidRPr="00A4014C" w:rsidTr="00303CD5">
        <w:trPr>
          <w:trHeight w:val="113"/>
        </w:trPr>
        <w:tc>
          <w:tcPr>
            <w:tcW w:w="555" w:type="pct"/>
            <w:noWrap/>
            <w:hideMark/>
          </w:tcPr>
          <w:p w:rsidR="008C7918" w:rsidRPr="00A4014C" w:rsidRDefault="008C7918" w:rsidP="00A4014C">
            <w:r w:rsidRPr="00A4014C">
              <w:t>WA</w:t>
            </w:r>
          </w:p>
        </w:tc>
        <w:tc>
          <w:tcPr>
            <w:tcW w:w="556" w:type="pct"/>
            <w:noWrap/>
            <w:hideMark/>
          </w:tcPr>
          <w:p w:rsidR="008C7918" w:rsidRPr="00A4014C" w:rsidRDefault="008C7918" w:rsidP="00303CD5">
            <w:pPr>
              <w:jc w:val="right"/>
            </w:pPr>
            <w:r w:rsidRPr="00A4014C">
              <w:t>1,621</w:t>
            </w:r>
          </w:p>
        </w:tc>
        <w:tc>
          <w:tcPr>
            <w:tcW w:w="556" w:type="pct"/>
            <w:noWrap/>
            <w:hideMark/>
          </w:tcPr>
          <w:p w:rsidR="008C7918" w:rsidRPr="00A4014C" w:rsidRDefault="008C7918" w:rsidP="00303CD5">
            <w:pPr>
              <w:jc w:val="right"/>
            </w:pPr>
            <w:r w:rsidRPr="00A4014C">
              <w:t>1,217</w:t>
            </w:r>
          </w:p>
        </w:tc>
        <w:tc>
          <w:tcPr>
            <w:tcW w:w="556" w:type="pct"/>
            <w:noWrap/>
            <w:hideMark/>
          </w:tcPr>
          <w:p w:rsidR="008C7918" w:rsidRPr="00A4014C" w:rsidRDefault="008C7918" w:rsidP="00303CD5">
            <w:pPr>
              <w:jc w:val="right"/>
            </w:pPr>
            <w:r w:rsidRPr="00A4014C">
              <w:t>1,709</w:t>
            </w:r>
          </w:p>
        </w:tc>
        <w:tc>
          <w:tcPr>
            <w:tcW w:w="555" w:type="pct"/>
            <w:noWrap/>
            <w:hideMark/>
          </w:tcPr>
          <w:p w:rsidR="008C7918" w:rsidRPr="00A4014C" w:rsidRDefault="008C7918" w:rsidP="00303CD5">
            <w:pPr>
              <w:jc w:val="right"/>
            </w:pPr>
            <w:r w:rsidRPr="00A4014C">
              <w:t>191</w:t>
            </w:r>
          </w:p>
        </w:tc>
        <w:tc>
          <w:tcPr>
            <w:tcW w:w="556" w:type="pct"/>
            <w:noWrap/>
            <w:hideMark/>
          </w:tcPr>
          <w:p w:rsidR="008C7918" w:rsidRPr="00A4014C" w:rsidRDefault="008C7918" w:rsidP="00303CD5">
            <w:pPr>
              <w:jc w:val="right"/>
            </w:pPr>
            <w:r w:rsidRPr="00A4014C">
              <w:t>333</w:t>
            </w:r>
          </w:p>
        </w:tc>
        <w:tc>
          <w:tcPr>
            <w:tcW w:w="556" w:type="pct"/>
            <w:noWrap/>
            <w:hideMark/>
          </w:tcPr>
          <w:p w:rsidR="008C7918" w:rsidRPr="00A4014C" w:rsidRDefault="008C7918" w:rsidP="00303CD5">
            <w:pPr>
              <w:jc w:val="right"/>
            </w:pPr>
            <w:r w:rsidRPr="00A4014C">
              <w:t>134</w:t>
            </w:r>
          </w:p>
        </w:tc>
        <w:tc>
          <w:tcPr>
            <w:tcW w:w="556" w:type="pct"/>
            <w:noWrap/>
            <w:hideMark/>
          </w:tcPr>
          <w:p w:rsidR="008C7918" w:rsidRPr="00A4014C" w:rsidRDefault="008C7918" w:rsidP="00303CD5">
            <w:pPr>
              <w:jc w:val="right"/>
            </w:pPr>
            <w:r w:rsidRPr="00A4014C">
              <w:t>128</w:t>
            </w:r>
          </w:p>
        </w:tc>
        <w:tc>
          <w:tcPr>
            <w:tcW w:w="556" w:type="pct"/>
            <w:noWrap/>
            <w:hideMark/>
          </w:tcPr>
          <w:p w:rsidR="008C7918" w:rsidRPr="00A4014C" w:rsidRDefault="008C7918" w:rsidP="00303CD5">
            <w:pPr>
              <w:jc w:val="right"/>
              <w:rPr>
                <w:rStyle w:val="Strong"/>
              </w:rPr>
            </w:pPr>
            <w:r w:rsidRPr="00A4014C">
              <w:rPr>
                <w:rStyle w:val="Strong"/>
              </w:rPr>
              <w:t>5,333</w:t>
            </w:r>
          </w:p>
        </w:tc>
      </w:tr>
      <w:tr w:rsidR="00A4014C" w:rsidRPr="00A4014C" w:rsidTr="00303CD5">
        <w:trPr>
          <w:trHeight w:val="113"/>
        </w:trPr>
        <w:tc>
          <w:tcPr>
            <w:tcW w:w="555" w:type="pct"/>
            <w:noWrap/>
            <w:hideMark/>
          </w:tcPr>
          <w:p w:rsidR="008C7918" w:rsidRPr="00A4014C" w:rsidRDefault="008C7918" w:rsidP="00A4014C">
            <w:r w:rsidRPr="00A4014C">
              <w:t>SA</w:t>
            </w:r>
          </w:p>
        </w:tc>
        <w:tc>
          <w:tcPr>
            <w:tcW w:w="556" w:type="pct"/>
            <w:noWrap/>
            <w:hideMark/>
          </w:tcPr>
          <w:p w:rsidR="008C7918" w:rsidRPr="00A4014C" w:rsidRDefault="008C7918" w:rsidP="00303CD5">
            <w:pPr>
              <w:jc w:val="right"/>
            </w:pPr>
            <w:r w:rsidRPr="00A4014C">
              <w:t>205</w:t>
            </w:r>
          </w:p>
        </w:tc>
        <w:tc>
          <w:tcPr>
            <w:tcW w:w="556" w:type="pct"/>
            <w:noWrap/>
            <w:hideMark/>
          </w:tcPr>
          <w:p w:rsidR="008C7918" w:rsidRPr="00A4014C" w:rsidRDefault="008C7918" w:rsidP="00303CD5">
            <w:pPr>
              <w:jc w:val="right"/>
            </w:pPr>
            <w:r w:rsidRPr="00A4014C">
              <w:t>211</w:t>
            </w:r>
          </w:p>
        </w:tc>
        <w:tc>
          <w:tcPr>
            <w:tcW w:w="556" w:type="pct"/>
            <w:noWrap/>
            <w:hideMark/>
          </w:tcPr>
          <w:p w:rsidR="008C7918" w:rsidRPr="00A4014C" w:rsidRDefault="008C7918" w:rsidP="00303CD5">
            <w:pPr>
              <w:jc w:val="right"/>
            </w:pPr>
            <w:r w:rsidRPr="00A4014C">
              <w:t>185</w:t>
            </w:r>
          </w:p>
        </w:tc>
        <w:tc>
          <w:tcPr>
            <w:tcW w:w="555" w:type="pct"/>
            <w:noWrap/>
            <w:hideMark/>
          </w:tcPr>
          <w:p w:rsidR="008C7918" w:rsidRPr="00A4014C" w:rsidRDefault="008C7918" w:rsidP="00303CD5">
            <w:pPr>
              <w:jc w:val="right"/>
            </w:pPr>
            <w:r w:rsidRPr="00A4014C">
              <w:t>147</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rPr>
                <w:rStyle w:val="Strong"/>
              </w:rPr>
            </w:pPr>
            <w:r w:rsidRPr="00A4014C">
              <w:rPr>
                <w:rStyle w:val="Strong"/>
              </w:rPr>
              <w:t>748</w:t>
            </w:r>
          </w:p>
        </w:tc>
      </w:tr>
      <w:tr w:rsidR="00A4014C" w:rsidRPr="00A4014C" w:rsidTr="00303CD5">
        <w:trPr>
          <w:trHeight w:val="113"/>
        </w:trPr>
        <w:tc>
          <w:tcPr>
            <w:tcW w:w="555" w:type="pct"/>
            <w:noWrap/>
            <w:hideMark/>
          </w:tcPr>
          <w:p w:rsidR="008C7918" w:rsidRPr="00A4014C" w:rsidRDefault="008C7918" w:rsidP="00A4014C">
            <w:r w:rsidRPr="00A4014C">
              <w:t>TAS</w:t>
            </w:r>
          </w:p>
        </w:tc>
        <w:tc>
          <w:tcPr>
            <w:tcW w:w="556" w:type="pct"/>
            <w:noWrap/>
            <w:hideMark/>
          </w:tcPr>
          <w:p w:rsidR="008C7918" w:rsidRPr="00A4014C" w:rsidRDefault="008C7918" w:rsidP="00303CD5">
            <w:pPr>
              <w:jc w:val="right"/>
            </w:pPr>
            <w:r w:rsidRPr="00A4014C">
              <w:t>103</w:t>
            </w:r>
          </w:p>
        </w:tc>
        <w:tc>
          <w:tcPr>
            <w:tcW w:w="556" w:type="pct"/>
            <w:noWrap/>
            <w:hideMark/>
          </w:tcPr>
          <w:p w:rsidR="008C7918" w:rsidRPr="00A4014C" w:rsidRDefault="008C7918" w:rsidP="00303CD5">
            <w:pPr>
              <w:jc w:val="right"/>
            </w:pPr>
            <w:r w:rsidRPr="00A4014C">
              <w:t>80</w:t>
            </w:r>
          </w:p>
        </w:tc>
        <w:tc>
          <w:tcPr>
            <w:tcW w:w="556" w:type="pct"/>
            <w:noWrap/>
            <w:hideMark/>
          </w:tcPr>
          <w:p w:rsidR="008C7918" w:rsidRPr="00A4014C" w:rsidRDefault="008C7918" w:rsidP="00303CD5">
            <w:pPr>
              <w:jc w:val="right"/>
            </w:pPr>
            <w:r w:rsidRPr="00A4014C">
              <w:t>89</w:t>
            </w:r>
          </w:p>
        </w:tc>
        <w:tc>
          <w:tcPr>
            <w:tcW w:w="555" w:type="pct"/>
            <w:noWrap/>
            <w:hideMark/>
          </w:tcPr>
          <w:p w:rsidR="008C7918" w:rsidRPr="00A4014C" w:rsidRDefault="008C7918" w:rsidP="00303CD5">
            <w:pPr>
              <w:jc w:val="right"/>
            </w:pPr>
            <w:r w:rsidRPr="00A4014C">
              <w:t>3</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rPr>
                <w:rStyle w:val="Strong"/>
              </w:rPr>
            </w:pPr>
            <w:r w:rsidRPr="00A4014C">
              <w:rPr>
                <w:rStyle w:val="Strong"/>
              </w:rPr>
              <w:t>275</w:t>
            </w:r>
          </w:p>
        </w:tc>
      </w:tr>
      <w:tr w:rsidR="00A4014C" w:rsidRPr="00A4014C" w:rsidTr="00303CD5">
        <w:trPr>
          <w:trHeight w:val="113"/>
        </w:trPr>
        <w:tc>
          <w:tcPr>
            <w:tcW w:w="555" w:type="pct"/>
            <w:noWrap/>
            <w:hideMark/>
          </w:tcPr>
          <w:p w:rsidR="008C7918" w:rsidRPr="00A4014C" w:rsidRDefault="008C7918" w:rsidP="00A4014C">
            <w:r w:rsidRPr="00A4014C">
              <w:t>ACT</w:t>
            </w:r>
          </w:p>
        </w:tc>
        <w:tc>
          <w:tcPr>
            <w:tcW w:w="556" w:type="pct"/>
            <w:noWrap/>
            <w:hideMark/>
          </w:tcPr>
          <w:p w:rsidR="008C7918" w:rsidRPr="00A4014C" w:rsidRDefault="008C7918" w:rsidP="00303CD5">
            <w:pPr>
              <w:jc w:val="right"/>
            </w:pPr>
            <w:r w:rsidRPr="00A4014C">
              <w:t>174</w:t>
            </w:r>
          </w:p>
        </w:tc>
        <w:tc>
          <w:tcPr>
            <w:tcW w:w="556" w:type="pct"/>
            <w:noWrap/>
            <w:hideMark/>
          </w:tcPr>
          <w:p w:rsidR="008C7918" w:rsidRPr="00A4014C" w:rsidRDefault="008C7918" w:rsidP="00303CD5">
            <w:pPr>
              <w:jc w:val="right"/>
            </w:pPr>
            <w:r w:rsidRPr="00A4014C">
              <w:t>194</w:t>
            </w:r>
          </w:p>
        </w:tc>
        <w:tc>
          <w:tcPr>
            <w:tcW w:w="556" w:type="pct"/>
            <w:noWrap/>
            <w:hideMark/>
          </w:tcPr>
          <w:p w:rsidR="008C7918" w:rsidRPr="00A4014C" w:rsidRDefault="008C7918" w:rsidP="00303CD5">
            <w:pPr>
              <w:jc w:val="right"/>
            </w:pPr>
            <w:r w:rsidRPr="00A4014C">
              <w:t>187</w:t>
            </w:r>
          </w:p>
        </w:tc>
        <w:tc>
          <w:tcPr>
            <w:tcW w:w="555" w:type="pct"/>
            <w:noWrap/>
            <w:hideMark/>
          </w:tcPr>
          <w:p w:rsidR="008C7918" w:rsidRPr="00A4014C" w:rsidRDefault="008C7918" w:rsidP="00303CD5">
            <w:pPr>
              <w:jc w:val="right"/>
            </w:pPr>
            <w:r w:rsidRPr="00A4014C">
              <w:t>115</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58</w:t>
            </w:r>
          </w:p>
        </w:tc>
        <w:tc>
          <w:tcPr>
            <w:tcW w:w="556" w:type="pct"/>
            <w:noWrap/>
            <w:hideMark/>
          </w:tcPr>
          <w:p w:rsidR="008C7918" w:rsidRPr="00A4014C" w:rsidRDefault="008C7918" w:rsidP="00303CD5">
            <w:pPr>
              <w:jc w:val="right"/>
              <w:rPr>
                <w:rStyle w:val="Strong"/>
              </w:rPr>
            </w:pPr>
            <w:r w:rsidRPr="00A4014C">
              <w:rPr>
                <w:rStyle w:val="Strong"/>
              </w:rPr>
              <w:t>728</w:t>
            </w:r>
          </w:p>
        </w:tc>
      </w:tr>
      <w:tr w:rsidR="00A4014C" w:rsidRPr="00A4014C" w:rsidTr="00303CD5">
        <w:trPr>
          <w:trHeight w:val="113"/>
        </w:trPr>
        <w:tc>
          <w:tcPr>
            <w:tcW w:w="555" w:type="pct"/>
            <w:noWrap/>
            <w:hideMark/>
          </w:tcPr>
          <w:p w:rsidR="008C7918" w:rsidRPr="00A4014C" w:rsidRDefault="008C7918" w:rsidP="00A4014C">
            <w:r w:rsidRPr="00A4014C">
              <w:t>NT</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65</w:t>
            </w:r>
          </w:p>
        </w:tc>
        <w:tc>
          <w:tcPr>
            <w:tcW w:w="556" w:type="pct"/>
            <w:noWrap/>
            <w:hideMark/>
          </w:tcPr>
          <w:p w:rsidR="008C7918" w:rsidRPr="00A4014C" w:rsidRDefault="008C7918" w:rsidP="00303CD5">
            <w:pPr>
              <w:jc w:val="right"/>
            </w:pPr>
            <w:r w:rsidRPr="00A4014C">
              <w:t>0</w:t>
            </w:r>
          </w:p>
        </w:tc>
        <w:tc>
          <w:tcPr>
            <w:tcW w:w="555" w:type="pct"/>
            <w:noWrap/>
            <w:hideMark/>
          </w:tcPr>
          <w:p w:rsidR="008C7918" w:rsidRPr="00A4014C" w:rsidRDefault="008C7918" w:rsidP="00303CD5">
            <w:pPr>
              <w:jc w:val="right"/>
            </w:pPr>
            <w:r w:rsidRPr="00A4014C">
              <w:t>20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pPr>
            <w:r w:rsidRPr="00A4014C">
              <w:t>0</w:t>
            </w:r>
          </w:p>
        </w:tc>
        <w:tc>
          <w:tcPr>
            <w:tcW w:w="556" w:type="pct"/>
            <w:noWrap/>
            <w:hideMark/>
          </w:tcPr>
          <w:p w:rsidR="008C7918" w:rsidRPr="00A4014C" w:rsidRDefault="008C7918" w:rsidP="00303CD5">
            <w:pPr>
              <w:jc w:val="right"/>
              <w:rPr>
                <w:rStyle w:val="Strong"/>
              </w:rPr>
            </w:pPr>
            <w:r w:rsidRPr="00A4014C">
              <w:rPr>
                <w:rStyle w:val="Strong"/>
              </w:rPr>
              <w:t>85</w:t>
            </w:r>
          </w:p>
        </w:tc>
      </w:tr>
      <w:tr w:rsidR="00A4014C" w:rsidRPr="00A4014C" w:rsidTr="00303CD5">
        <w:trPr>
          <w:trHeight w:val="113"/>
        </w:trPr>
        <w:tc>
          <w:tcPr>
            <w:tcW w:w="555" w:type="pct"/>
            <w:noWrap/>
            <w:hideMark/>
          </w:tcPr>
          <w:p w:rsidR="008C7918" w:rsidRPr="00A4014C" w:rsidRDefault="008C7918" w:rsidP="00A4014C">
            <w:pPr>
              <w:rPr>
                <w:rStyle w:val="Strong"/>
              </w:rPr>
            </w:pPr>
            <w:r w:rsidRPr="00A4014C">
              <w:rPr>
                <w:rStyle w:val="Strong"/>
              </w:rPr>
              <w:t>Total</w:t>
            </w:r>
          </w:p>
        </w:tc>
        <w:tc>
          <w:tcPr>
            <w:tcW w:w="556" w:type="pct"/>
            <w:noWrap/>
            <w:hideMark/>
          </w:tcPr>
          <w:p w:rsidR="008C7918" w:rsidRPr="00A4014C" w:rsidRDefault="008C7918" w:rsidP="00303CD5">
            <w:pPr>
              <w:jc w:val="right"/>
              <w:rPr>
                <w:rStyle w:val="Strong"/>
              </w:rPr>
            </w:pPr>
            <w:r w:rsidRPr="00A4014C">
              <w:rPr>
                <w:rStyle w:val="Strong"/>
              </w:rPr>
              <w:t>9,799</w:t>
            </w:r>
          </w:p>
        </w:tc>
        <w:tc>
          <w:tcPr>
            <w:tcW w:w="556" w:type="pct"/>
            <w:noWrap/>
            <w:hideMark/>
          </w:tcPr>
          <w:p w:rsidR="008C7918" w:rsidRPr="00A4014C" w:rsidRDefault="008C7918" w:rsidP="00303CD5">
            <w:pPr>
              <w:jc w:val="right"/>
              <w:rPr>
                <w:rStyle w:val="Strong"/>
              </w:rPr>
            </w:pPr>
            <w:r w:rsidRPr="00A4014C">
              <w:rPr>
                <w:rStyle w:val="Strong"/>
              </w:rPr>
              <w:t>10,517</w:t>
            </w:r>
          </w:p>
        </w:tc>
        <w:tc>
          <w:tcPr>
            <w:tcW w:w="556" w:type="pct"/>
            <w:noWrap/>
            <w:hideMark/>
          </w:tcPr>
          <w:p w:rsidR="008C7918" w:rsidRPr="00A4014C" w:rsidRDefault="008C7918" w:rsidP="00303CD5">
            <w:pPr>
              <w:jc w:val="right"/>
              <w:rPr>
                <w:rStyle w:val="Strong"/>
              </w:rPr>
            </w:pPr>
            <w:r w:rsidRPr="00A4014C">
              <w:rPr>
                <w:rStyle w:val="Strong"/>
              </w:rPr>
              <w:t>12,961</w:t>
            </w:r>
          </w:p>
        </w:tc>
        <w:tc>
          <w:tcPr>
            <w:tcW w:w="555" w:type="pct"/>
            <w:noWrap/>
            <w:hideMark/>
          </w:tcPr>
          <w:p w:rsidR="008C7918" w:rsidRPr="00A4014C" w:rsidRDefault="008C7918" w:rsidP="00303CD5">
            <w:pPr>
              <w:jc w:val="right"/>
              <w:rPr>
                <w:rStyle w:val="Strong"/>
              </w:rPr>
            </w:pPr>
            <w:r w:rsidRPr="00A4014C">
              <w:rPr>
                <w:rStyle w:val="Strong"/>
              </w:rPr>
              <w:t>2,496</w:t>
            </w:r>
          </w:p>
        </w:tc>
        <w:tc>
          <w:tcPr>
            <w:tcW w:w="556" w:type="pct"/>
            <w:noWrap/>
            <w:hideMark/>
          </w:tcPr>
          <w:p w:rsidR="008C7918" w:rsidRPr="00A4014C" w:rsidRDefault="008C7918" w:rsidP="00303CD5">
            <w:pPr>
              <w:jc w:val="right"/>
              <w:rPr>
                <w:rStyle w:val="Strong"/>
              </w:rPr>
            </w:pPr>
            <w:r w:rsidRPr="00A4014C">
              <w:rPr>
                <w:rStyle w:val="Strong"/>
              </w:rPr>
              <w:t>2,277</w:t>
            </w:r>
          </w:p>
        </w:tc>
        <w:tc>
          <w:tcPr>
            <w:tcW w:w="556" w:type="pct"/>
            <w:noWrap/>
            <w:hideMark/>
          </w:tcPr>
          <w:p w:rsidR="008C7918" w:rsidRPr="00A4014C" w:rsidRDefault="008C7918" w:rsidP="00303CD5">
            <w:pPr>
              <w:jc w:val="right"/>
              <w:rPr>
                <w:rStyle w:val="Strong"/>
              </w:rPr>
            </w:pPr>
            <w:r w:rsidRPr="00A4014C">
              <w:rPr>
                <w:rStyle w:val="Strong"/>
              </w:rPr>
              <w:t>597</w:t>
            </w:r>
          </w:p>
        </w:tc>
        <w:tc>
          <w:tcPr>
            <w:tcW w:w="556" w:type="pct"/>
            <w:noWrap/>
            <w:hideMark/>
          </w:tcPr>
          <w:p w:rsidR="008C7918" w:rsidRPr="00A4014C" w:rsidRDefault="008C7918" w:rsidP="00303CD5">
            <w:pPr>
              <w:jc w:val="right"/>
              <w:rPr>
                <w:rStyle w:val="Strong"/>
              </w:rPr>
            </w:pPr>
            <w:r w:rsidRPr="00A4014C">
              <w:rPr>
                <w:rStyle w:val="Strong"/>
              </w:rPr>
              <w:t>647</w:t>
            </w:r>
          </w:p>
        </w:tc>
        <w:tc>
          <w:tcPr>
            <w:tcW w:w="556" w:type="pct"/>
            <w:noWrap/>
            <w:hideMark/>
          </w:tcPr>
          <w:p w:rsidR="008C7918" w:rsidRPr="00A4014C" w:rsidRDefault="008C7918" w:rsidP="00303CD5">
            <w:pPr>
              <w:jc w:val="right"/>
              <w:rPr>
                <w:rStyle w:val="Strong"/>
              </w:rPr>
            </w:pPr>
            <w:r w:rsidRPr="00A4014C">
              <w:rPr>
                <w:rStyle w:val="Strong"/>
              </w:rPr>
              <w:t>39,294</w:t>
            </w:r>
          </w:p>
        </w:tc>
      </w:tr>
    </w:tbl>
    <w:p w:rsidR="00D8721E" w:rsidRDefault="00F81A85" w:rsidP="00A4014C">
      <w:pPr>
        <w:pStyle w:val="SourceNotes"/>
      </w:pPr>
      <w:r w:rsidRPr="000A68FB">
        <w:t>Table d</w:t>
      </w:r>
      <w:r w:rsidR="00437C04" w:rsidRPr="000A68FB">
        <w:t>oes not include flexible aged care places</w:t>
      </w:r>
    </w:p>
    <w:p w:rsidR="00D8721E" w:rsidRPr="00596D01" w:rsidRDefault="002C4546" w:rsidP="00A4014C">
      <w:pPr>
        <w:pStyle w:val="Heading4"/>
      </w:pPr>
      <w:r w:rsidRPr="00596D01">
        <w:t>Transferring r</w:t>
      </w:r>
      <w:r w:rsidR="009B57A1" w:rsidRPr="00596D01">
        <w:t>esidential aged care places</w:t>
      </w:r>
      <w:r w:rsidR="00D8721E" w:rsidRPr="00596D01">
        <w:t xml:space="preserve"> </w:t>
      </w:r>
    </w:p>
    <w:p w:rsidR="005F34DF" w:rsidRPr="00E56B02" w:rsidRDefault="005F34DF" w:rsidP="00A4014C">
      <w:pPr>
        <w:rPr>
          <w:lang w:val="en-GB"/>
        </w:rPr>
      </w:pPr>
      <w:bookmarkStart w:id="628" w:name="_Capital_investment_in"/>
      <w:bookmarkStart w:id="629" w:name="_Residential_aged_care:_1"/>
      <w:bookmarkStart w:id="630" w:name="_Toc423017955"/>
      <w:bookmarkStart w:id="631" w:name="_Ref423091141"/>
      <w:bookmarkStart w:id="632" w:name="_Toc423447896"/>
      <w:bookmarkStart w:id="633" w:name="_Toc423602238"/>
      <w:bookmarkStart w:id="634" w:name="_Ref452501682"/>
      <w:bookmarkStart w:id="635" w:name="_Toc457549917"/>
      <w:bookmarkStart w:id="636" w:name="_Toc487702599"/>
      <w:bookmarkStart w:id="637" w:name="_Toc487702951"/>
      <w:bookmarkStart w:id="638" w:name="_Toc487703449"/>
      <w:bookmarkStart w:id="639" w:name="_Toc487703643"/>
      <w:bookmarkStart w:id="640" w:name="_Ref421189619"/>
      <w:bookmarkStart w:id="641" w:name="_Toc421223717"/>
      <w:bookmarkEnd w:id="628"/>
      <w:bookmarkEnd w:id="629"/>
      <w:r w:rsidRPr="00E56B02">
        <w:rPr>
          <w:lang w:val="en-GB"/>
        </w:rPr>
        <w:t>Residential aged care places may be transferred between providers. A transfer of operational places commonly occurs as the result of a business transaction between two approved providers where a decision has been made by the transferor to sell</w:t>
      </w:r>
      <w:r>
        <w:rPr>
          <w:lang w:val="en-GB"/>
        </w:rPr>
        <w:t xml:space="preserve"> all or some of their residential</w:t>
      </w:r>
      <w:r w:rsidRPr="00E56B02">
        <w:rPr>
          <w:lang w:val="en-GB"/>
        </w:rPr>
        <w:t xml:space="preserve"> care </w:t>
      </w:r>
      <w:r>
        <w:rPr>
          <w:lang w:val="en-GB"/>
        </w:rPr>
        <w:t xml:space="preserve">places. </w:t>
      </w:r>
      <w:r w:rsidRPr="00E56B02">
        <w:rPr>
          <w:lang w:val="en-GB"/>
        </w:rPr>
        <w:t>Transfers of operational places need to be approved by the Secretary of the Department of Health</w:t>
      </w:r>
      <w:r w:rsidR="009D3D9C">
        <w:rPr>
          <w:lang w:val="en-GB"/>
        </w:rPr>
        <w:t>, or their delegate</w:t>
      </w:r>
      <w:r>
        <w:rPr>
          <w:lang w:val="en-GB"/>
        </w:rPr>
        <w:t>.</w:t>
      </w:r>
    </w:p>
    <w:p w:rsidR="00D8721E" w:rsidRDefault="005F34DF" w:rsidP="00A4014C">
      <w:pPr>
        <w:rPr>
          <w:lang w:val="en-GB"/>
        </w:rPr>
      </w:pPr>
      <w:r w:rsidRPr="00E56B02">
        <w:rPr>
          <w:lang w:val="en-GB"/>
        </w:rPr>
        <w:t>As a general rule, when provisionally allocated places transfer between approved providers, the location in respect of which the places are allocated does not change. These provisions, and the need for approval by the Department, are designed to discourage attempts to subvert the competitive allocation process and to maintain care delivery in the region where the places were originally allocated</w:t>
      </w:r>
      <w:r w:rsidR="00D8721E">
        <w:rPr>
          <w:lang w:val="en-GB"/>
        </w:rPr>
        <w:t>.</w:t>
      </w:r>
    </w:p>
    <w:p w:rsidR="00F667DB" w:rsidRDefault="00F667DB" w:rsidP="00A4014C">
      <w:pPr>
        <w:pStyle w:val="Heading1Numbered"/>
      </w:pPr>
      <w:bookmarkStart w:id="642" w:name="_Toc524424776"/>
      <w:r w:rsidRPr="00557C8E">
        <w:lastRenderedPageBreak/>
        <w:t xml:space="preserve">Residential aged care: operational </w:t>
      </w:r>
      <w:bookmarkEnd w:id="630"/>
      <w:bookmarkEnd w:id="631"/>
      <w:bookmarkEnd w:id="632"/>
      <w:r w:rsidRPr="00557C8E">
        <w:t>performance</w:t>
      </w:r>
      <w:bookmarkEnd w:id="633"/>
      <w:bookmarkEnd w:id="634"/>
      <w:bookmarkEnd w:id="635"/>
      <w:bookmarkEnd w:id="636"/>
      <w:bookmarkEnd w:id="637"/>
      <w:bookmarkEnd w:id="638"/>
      <w:bookmarkEnd w:id="639"/>
      <w:bookmarkEnd w:id="642"/>
    </w:p>
    <w:p w:rsidR="00A4014C" w:rsidRPr="00596D01" w:rsidRDefault="00A4014C" w:rsidP="00A4014C">
      <w:pPr>
        <w:pStyle w:val="Boxed1Heading"/>
      </w:pPr>
      <w:r w:rsidRPr="00596D01">
        <w:t>This chapter provides analysis of the operational performance of residential care providers in 2016–17 and discusses trends emerging in 2017–18.</w:t>
      </w:r>
    </w:p>
    <w:p w:rsidR="00A4014C" w:rsidRPr="00596D01" w:rsidRDefault="00A4014C" w:rsidP="00A4014C">
      <w:pPr>
        <w:pStyle w:val="Boxed1Text"/>
        <w:rPr>
          <w:rStyle w:val="Strong"/>
        </w:rPr>
      </w:pPr>
      <w:r w:rsidRPr="00596D01">
        <w:rPr>
          <w:rStyle w:val="Strong"/>
        </w:rPr>
        <w:t>This chapter discusses:</w:t>
      </w:r>
    </w:p>
    <w:p w:rsidR="00A4014C" w:rsidRPr="00692453" w:rsidRDefault="00A4014C" w:rsidP="00A4014C">
      <w:pPr>
        <w:pStyle w:val="Boxed1Bullet"/>
      </w:pPr>
      <w:r>
        <w:t>f</w:t>
      </w:r>
      <w:r w:rsidRPr="00692453">
        <w:t>unding arrangements for residential care</w:t>
      </w:r>
    </w:p>
    <w:p w:rsidR="00A4014C" w:rsidRPr="00692453" w:rsidRDefault="00A4014C" w:rsidP="00A4014C">
      <w:pPr>
        <w:pStyle w:val="Boxed1Bullet"/>
      </w:pPr>
      <w:r>
        <w:t>t</w:t>
      </w:r>
      <w:r w:rsidRPr="00692453">
        <w:t xml:space="preserve">he operational performance of residential </w:t>
      </w:r>
      <w:r>
        <w:t>care providers in 2016–17</w:t>
      </w:r>
      <w:r w:rsidRPr="00692453">
        <w:t>, including revenue, expenditure and profit</w:t>
      </w:r>
    </w:p>
    <w:p w:rsidR="00A4014C" w:rsidRDefault="00A4014C" w:rsidP="00A4014C">
      <w:pPr>
        <w:pStyle w:val="Boxed1Bullet"/>
      </w:pPr>
      <w:r>
        <w:t>o</w:t>
      </w:r>
      <w:r w:rsidRPr="00692453">
        <w:t>perational performance by provider ownership type, location and scale</w:t>
      </w:r>
    </w:p>
    <w:p w:rsidR="00A4014C" w:rsidRPr="00596D01" w:rsidRDefault="00A4014C" w:rsidP="00A4014C">
      <w:pPr>
        <w:pStyle w:val="Boxed1Text"/>
        <w:rPr>
          <w:rStyle w:val="Strong"/>
        </w:rPr>
      </w:pPr>
      <w:r w:rsidRPr="00596D01">
        <w:rPr>
          <w:rStyle w:val="Strong"/>
        </w:rPr>
        <w:t>Key findings on financial performance in 2016–17 compared with 2015–16:</w:t>
      </w:r>
    </w:p>
    <w:p w:rsidR="00A4014C" w:rsidRPr="0030777A" w:rsidRDefault="00A4014C" w:rsidP="00A4014C">
      <w:pPr>
        <w:pStyle w:val="Boxed1Bullet"/>
      </w:pPr>
      <w:r w:rsidRPr="0030777A">
        <w:t>total revenue of $17.8 billion, equating to revenue of $269.55 per resident per day, an increase of 2.1 per cent from $263.92;</w:t>
      </w:r>
    </w:p>
    <w:p w:rsidR="00A4014C" w:rsidRPr="0030777A" w:rsidRDefault="00A4014C" w:rsidP="00A4014C">
      <w:pPr>
        <w:pStyle w:val="Boxed1Bullet"/>
      </w:pPr>
      <w:r w:rsidRPr="0030777A">
        <w:t>other income of $980 million, down from $1.3 billion</w:t>
      </w:r>
      <w:r w:rsidRPr="0030777A">
        <w:rPr>
          <w:rStyle w:val="FootnoteReference"/>
        </w:rPr>
        <w:footnoteReference w:id="38"/>
      </w:r>
      <w:r w:rsidRPr="0030777A">
        <w:t>;</w:t>
      </w:r>
    </w:p>
    <w:p w:rsidR="00A4014C" w:rsidRPr="00692453" w:rsidRDefault="00A4014C" w:rsidP="00A4014C">
      <w:pPr>
        <w:pStyle w:val="Boxed1Bullet"/>
      </w:pPr>
      <w:r>
        <w:t xml:space="preserve">total expenses </w:t>
      </w:r>
      <w:r w:rsidRPr="00692453">
        <w:t>of</w:t>
      </w:r>
      <w:r>
        <w:t xml:space="preserve"> $16.8 billion, </w:t>
      </w:r>
      <w:r w:rsidRPr="00692453">
        <w:t xml:space="preserve">equating </w:t>
      </w:r>
      <w:r>
        <w:t>to $254.29 per</w:t>
      </w:r>
      <w:r w:rsidRPr="00565504">
        <w:t xml:space="preserve"> resident</w:t>
      </w:r>
      <w:r w:rsidRPr="00692453">
        <w:t xml:space="preserve"> per day,</w:t>
      </w:r>
      <w:r>
        <w:t xml:space="preserve"> compared with $247.58, an increase of 2.7 per cent;</w:t>
      </w:r>
    </w:p>
    <w:p w:rsidR="00A4014C" w:rsidRDefault="00A4014C" w:rsidP="00A4014C">
      <w:pPr>
        <w:pStyle w:val="Boxed1Bullet"/>
      </w:pPr>
      <w:r>
        <w:t xml:space="preserve">average </w:t>
      </w:r>
      <w:r w:rsidRPr="00692453">
        <w:t xml:space="preserve">EBITDA per resident per annum </w:t>
      </w:r>
      <w:r>
        <w:t xml:space="preserve">of $11,481 compared with $11,134, an increase of 3.1 per cent; </w:t>
      </w:r>
    </w:p>
    <w:p w:rsidR="00A4014C" w:rsidRPr="00692453" w:rsidRDefault="00A4014C" w:rsidP="00A4014C">
      <w:pPr>
        <w:pStyle w:val="Boxed1Bullet"/>
      </w:pPr>
      <w:r>
        <w:t>total profit of $1,006 million compared with $1,063 million, a decrease of 5.4 per cent;</w:t>
      </w:r>
    </w:p>
    <w:p w:rsidR="00A4014C" w:rsidRPr="00596D01" w:rsidRDefault="00A4014C" w:rsidP="00A4014C">
      <w:pPr>
        <w:pStyle w:val="Boxed1Bullet"/>
        <w:rPr>
          <w:rStyle w:val="Strong"/>
        </w:rPr>
      </w:pPr>
      <w:r w:rsidRPr="00692453">
        <w:t xml:space="preserve">NPBT </w:t>
      </w:r>
      <w:r>
        <w:t>per resident per annum of $5,572 compared with $5,962, a decrease of 6.5 per cent; and</w:t>
      </w:r>
    </w:p>
    <w:p w:rsidR="00A4014C" w:rsidRDefault="00A4014C" w:rsidP="00A4014C">
      <w:pPr>
        <w:pStyle w:val="Boxed1Bullet"/>
      </w:pPr>
      <w:r w:rsidRPr="00B9440F">
        <w:t>6</w:t>
      </w:r>
      <w:r>
        <w:t>8 per cent</w:t>
      </w:r>
      <w:r w:rsidRPr="00E90195">
        <w:t xml:space="preserve"> of providers achieved a net profit compared with 6</w:t>
      </w:r>
      <w:r>
        <w:t>9 per cent.</w:t>
      </w:r>
    </w:p>
    <w:p w:rsidR="00B01F6E" w:rsidRPr="00596D01" w:rsidRDefault="00B01F6E" w:rsidP="00A4014C">
      <w:pPr>
        <w:pStyle w:val="Heading2Numbered"/>
      </w:pPr>
      <w:bookmarkStart w:id="643" w:name="_Toc457549918"/>
      <w:bookmarkStart w:id="644" w:name="_Toc487702600"/>
      <w:bookmarkStart w:id="645" w:name="_Toc487702952"/>
      <w:bookmarkStart w:id="646" w:name="_Toc487703450"/>
      <w:bookmarkStart w:id="647" w:name="_Toc487703644"/>
      <w:bookmarkStart w:id="648" w:name="_Toc524424777"/>
      <w:bookmarkStart w:id="649" w:name="_Ref426099974"/>
      <w:r w:rsidRPr="00596D01">
        <w:t>Introduction</w:t>
      </w:r>
      <w:bookmarkEnd w:id="643"/>
      <w:bookmarkEnd w:id="644"/>
      <w:bookmarkEnd w:id="645"/>
      <w:bookmarkEnd w:id="646"/>
      <w:bookmarkEnd w:id="647"/>
      <w:bookmarkEnd w:id="648"/>
    </w:p>
    <w:p w:rsidR="00221574" w:rsidRPr="006D006B" w:rsidRDefault="00221574" w:rsidP="00A4014C">
      <w:bookmarkStart w:id="650" w:name="_Toc457549919"/>
      <w:r>
        <w:t xml:space="preserve">Funding for residential aged care is made up of operational funding and capital financing. Operational funding supports day-to-day services such as nursing and personal care, living expenses and accommodation expenses. Capital financing supports the construction of new </w:t>
      </w:r>
      <w:r w:rsidR="00DC3484">
        <w:t xml:space="preserve">residential aged care </w:t>
      </w:r>
      <w:r w:rsidR="007D17F7">
        <w:t>facilities</w:t>
      </w:r>
      <w:r w:rsidR="00DC3484">
        <w:t xml:space="preserve"> </w:t>
      </w:r>
      <w:r>
        <w:t>and</w:t>
      </w:r>
      <w:r w:rsidR="00DC3484">
        <w:t xml:space="preserve"> the</w:t>
      </w:r>
      <w:r>
        <w:t xml:space="preserve"> refurbishment of existing </w:t>
      </w:r>
      <w:r w:rsidR="007D17F7">
        <w:t>facilities</w:t>
      </w:r>
      <w:r>
        <w:t xml:space="preserve">. Capital financing is discussed in </w:t>
      </w:r>
      <w:hyperlink w:anchor="_Residential_aged_care:_2" w:history="1">
        <w:r w:rsidR="00DB397F" w:rsidRPr="006D006B">
          <w:t>C</w:t>
        </w:r>
        <w:r w:rsidRPr="006D006B">
          <w:t xml:space="preserve">hapter 10. </w:t>
        </w:r>
      </w:hyperlink>
    </w:p>
    <w:p w:rsidR="00221574" w:rsidRDefault="00221574" w:rsidP="00A4014C">
      <w:r>
        <w:t xml:space="preserve">In this chapter, the </w:t>
      </w:r>
      <w:r w:rsidR="004F5569">
        <w:t xml:space="preserve">performance of residential </w:t>
      </w:r>
      <w:r>
        <w:t xml:space="preserve">care providers is discussed in four ways: </w:t>
      </w:r>
    </w:p>
    <w:p w:rsidR="00D8721E" w:rsidRDefault="00221574" w:rsidP="00A4014C">
      <w:pPr>
        <w:pStyle w:val="Bullet1"/>
        <w:rPr>
          <w:lang w:eastAsia="en-US"/>
        </w:rPr>
      </w:pPr>
      <w:r w:rsidRPr="00596D01">
        <w:rPr>
          <w:rStyle w:val="Strong"/>
        </w:rPr>
        <w:t xml:space="preserve">All providers. </w:t>
      </w:r>
      <w:r w:rsidR="004F5569">
        <w:rPr>
          <w:lang w:eastAsia="en-US"/>
        </w:rPr>
        <w:t>All residential</w:t>
      </w:r>
      <w:r>
        <w:rPr>
          <w:lang w:eastAsia="en-US"/>
        </w:rPr>
        <w:t xml:space="preserve"> care providers who reported using the </w:t>
      </w:r>
      <w:r w:rsidR="00262942">
        <w:rPr>
          <w:lang w:eastAsia="en-US"/>
        </w:rPr>
        <w:t>Aged Care Financial Report (ACFR)</w:t>
      </w:r>
      <w:r>
        <w:rPr>
          <w:lang w:eastAsia="en-US"/>
        </w:rPr>
        <w:t>, accounting for around 9</w:t>
      </w:r>
      <w:r w:rsidR="00D00B54">
        <w:rPr>
          <w:lang w:eastAsia="en-US"/>
        </w:rPr>
        <w:t>9</w:t>
      </w:r>
      <w:r w:rsidR="00A261F3">
        <w:rPr>
          <w:lang w:eastAsia="en-US"/>
        </w:rPr>
        <w:t> per cent</w:t>
      </w:r>
      <w:r w:rsidR="00262942">
        <w:rPr>
          <w:lang w:eastAsia="en-US"/>
        </w:rPr>
        <w:t xml:space="preserve"> of providers</w:t>
      </w:r>
      <w:r w:rsidR="00D8721E">
        <w:rPr>
          <w:lang w:eastAsia="en-US"/>
        </w:rPr>
        <w:t>.</w:t>
      </w:r>
    </w:p>
    <w:p w:rsidR="00221574" w:rsidRDefault="00221574" w:rsidP="00A4014C">
      <w:pPr>
        <w:pStyle w:val="Bullet1"/>
        <w:rPr>
          <w:lang w:eastAsia="en-US"/>
        </w:rPr>
      </w:pPr>
      <w:r w:rsidRPr="00596D01">
        <w:rPr>
          <w:rStyle w:val="Strong"/>
        </w:rPr>
        <w:t xml:space="preserve">By </w:t>
      </w:r>
      <w:r w:rsidR="00E032B1" w:rsidRPr="00596D01">
        <w:rPr>
          <w:rStyle w:val="Strong"/>
        </w:rPr>
        <w:t xml:space="preserve">provider </w:t>
      </w:r>
      <w:r w:rsidRPr="00596D01">
        <w:rPr>
          <w:rStyle w:val="Strong"/>
        </w:rPr>
        <w:t>ownership type.</w:t>
      </w:r>
      <w:r>
        <w:rPr>
          <w:lang w:eastAsia="en-US"/>
        </w:rPr>
        <w:t xml:space="preserve"> That is, not-for-profit, for-profit and government </w:t>
      </w:r>
      <w:r w:rsidR="00262942">
        <w:rPr>
          <w:lang w:eastAsia="en-US"/>
        </w:rPr>
        <w:t xml:space="preserve">owned </w:t>
      </w:r>
      <w:r>
        <w:rPr>
          <w:lang w:eastAsia="en-US"/>
        </w:rPr>
        <w:t>providers.</w:t>
      </w:r>
    </w:p>
    <w:p w:rsidR="00221574" w:rsidRDefault="00221574" w:rsidP="00A4014C">
      <w:pPr>
        <w:pStyle w:val="Bullet1"/>
        <w:rPr>
          <w:lang w:eastAsia="en-US"/>
        </w:rPr>
      </w:pPr>
      <w:r w:rsidRPr="00596D01">
        <w:rPr>
          <w:rStyle w:val="Strong"/>
        </w:rPr>
        <w:lastRenderedPageBreak/>
        <w:t xml:space="preserve">By </w:t>
      </w:r>
      <w:r w:rsidR="00E032B1" w:rsidRPr="00596D01">
        <w:rPr>
          <w:rStyle w:val="Strong"/>
        </w:rPr>
        <w:t>provider</w:t>
      </w:r>
      <w:r w:rsidRPr="00596D01">
        <w:rPr>
          <w:rStyle w:val="Strong"/>
        </w:rPr>
        <w:t xml:space="preserve"> location.</w:t>
      </w:r>
      <w:r>
        <w:rPr>
          <w:lang w:eastAsia="en-US"/>
        </w:rPr>
        <w:t xml:space="preserve"> Providers with </w:t>
      </w:r>
      <w:r w:rsidR="007D17F7">
        <w:rPr>
          <w:lang w:eastAsia="en-US"/>
        </w:rPr>
        <w:t>facilities</w:t>
      </w:r>
      <w:r>
        <w:rPr>
          <w:lang w:eastAsia="en-US"/>
        </w:rPr>
        <w:t xml:space="preserve"> located in metropolitan areas, regional areas or both metropolitan and regional areas</w:t>
      </w:r>
      <w:r w:rsidR="005F2E5B">
        <w:rPr>
          <w:rStyle w:val="FootnoteReference"/>
          <w:rFonts w:cs="Segoe UI"/>
          <w:lang w:eastAsia="en-US"/>
        </w:rPr>
        <w:footnoteReference w:id="39"/>
      </w:r>
      <w:r>
        <w:rPr>
          <w:lang w:eastAsia="en-US"/>
        </w:rPr>
        <w:t>.</w:t>
      </w:r>
    </w:p>
    <w:p w:rsidR="00221574" w:rsidRDefault="00221574" w:rsidP="00A4014C">
      <w:pPr>
        <w:pStyle w:val="Bullet1"/>
        <w:rPr>
          <w:lang w:eastAsia="en-US"/>
        </w:rPr>
      </w:pPr>
      <w:r w:rsidRPr="00596D01">
        <w:rPr>
          <w:rStyle w:val="Strong"/>
        </w:rPr>
        <w:t xml:space="preserve">By </w:t>
      </w:r>
      <w:r w:rsidR="00E032B1" w:rsidRPr="00596D01">
        <w:rPr>
          <w:rStyle w:val="Strong"/>
        </w:rPr>
        <w:t xml:space="preserve">provider </w:t>
      </w:r>
      <w:r w:rsidRPr="00596D01">
        <w:rPr>
          <w:rStyle w:val="Strong"/>
        </w:rPr>
        <w:t>scale.</w:t>
      </w:r>
      <w:r>
        <w:rPr>
          <w:lang w:eastAsia="en-US"/>
        </w:rPr>
        <w:t xml:space="preserve"> Scale is categorised into providers operating one, two to six, seven</w:t>
      </w:r>
      <w:r w:rsidR="00E978C7">
        <w:rPr>
          <w:lang w:eastAsia="en-US"/>
        </w:rPr>
        <w:t> </w:t>
      </w:r>
      <w:r>
        <w:rPr>
          <w:lang w:eastAsia="en-US"/>
        </w:rPr>
        <w:t>to</w:t>
      </w:r>
      <w:r w:rsidR="00E978C7">
        <w:rPr>
          <w:lang w:eastAsia="en-US"/>
        </w:rPr>
        <w:t> </w:t>
      </w:r>
      <w:r>
        <w:rPr>
          <w:lang w:eastAsia="en-US"/>
        </w:rPr>
        <w:t>19, and 20</w:t>
      </w:r>
      <w:r w:rsidR="00E978C7">
        <w:rPr>
          <w:lang w:eastAsia="en-US"/>
        </w:rPr>
        <w:t> </w:t>
      </w:r>
      <w:r>
        <w:rPr>
          <w:lang w:eastAsia="en-US"/>
        </w:rPr>
        <w:t>or</w:t>
      </w:r>
      <w:r w:rsidR="00E978C7">
        <w:rPr>
          <w:lang w:eastAsia="en-US"/>
        </w:rPr>
        <w:t> </w:t>
      </w:r>
      <w:r>
        <w:rPr>
          <w:lang w:eastAsia="en-US"/>
        </w:rPr>
        <w:t xml:space="preserve">more </w:t>
      </w:r>
      <w:r w:rsidR="00052A73">
        <w:rPr>
          <w:lang w:eastAsia="en-US"/>
        </w:rPr>
        <w:t>aged care</w:t>
      </w:r>
      <w:r w:rsidR="00193EFE">
        <w:rPr>
          <w:lang w:eastAsia="en-US"/>
        </w:rPr>
        <w:t xml:space="preserve"> </w:t>
      </w:r>
      <w:r w:rsidR="007D17F7">
        <w:rPr>
          <w:lang w:eastAsia="en-US"/>
        </w:rPr>
        <w:t>facilities</w:t>
      </w:r>
      <w:r>
        <w:rPr>
          <w:lang w:eastAsia="en-US"/>
        </w:rPr>
        <w:t>.</w:t>
      </w:r>
    </w:p>
    <w:p w:rsidR="00F667DB" w:rsidRPr="00596D01" w:rsidRDefault="00F667DB" w:rsidP="00A4014C">
      <w:pPr>
        <w:pStyle w:val="Heading2Numbered"/>
      </w:pPr>
      <w:bookmarkStart w:id="651" w:name="_Toc487702601"/>
      <w:bookmarkStart w:id="652" w:name="_Toc487702953"/>
      <w:bookmarkStart w:id="653" w:name="_Toc487703451"/>
      <w:bookmarkStart w:id="654" w:name="_Toc487703645"/>
      <w:bookmarkStart w:id="655" w:name="_Toc524424778"/>
      <w:bookmarkStart w:id="656" w:name="_Ref524427807"/>
      <w:r w:rsidRPr="00596D01">
        <w:t>Operational funding</w:t>
      </w:r>
      <w:bookmarkEnd w:id="649"/>
      <w:bookmarkEnd w:id="650"/>
      <w:bookmarkEnd w:id="651"/>
      <w:bookmarkEnd w:id="652"/>
      <w:bookmarkEnd w:id="653"/>
      <w:bookmarkEnd w:id="654"/>
      <w:bookmarkEnd w:id="655"/>
      <w:bookmarkEnd w:id="656"/>
    </w:p>
    <w:p w:rsidR="00D8721E" w:rsidRDefault="0025624C" w:rsidP="00A4014C">
      <w:r w:rsidRPr="00496A86">
        <w:t xml:space="preserve">A combination of </w:t>
      </w:r>
      <w:r>
        <w:t>Australian G</w:t>
      </w:r>
      <w:r w:rsidRPr="00496A86">
        <w:t xml:space="preserve">overnment and resident </w:t>
      </w:r>
      <w:r w:rsidR="00324ABA">
        <w:t>contributions</w:t>
      </w:r>
      <w:r w:rsidRPr="00496A86">
        <w:t xml:space="preserve"> provides the operational fu</w:t>
      </w:r>
      <w:r>
        <w:t>nding for residential aged</w:t>
      </w:r>
      <w:r w:rsidR="001B0676">
        <w:t xml:space="preserve"> care as described in </w:t>
      </w:r>
      <w:r w:rsidR="00492BF8">
        <w:fldChar w:fldCharType="begin"/>
      </w:r>
      <w:r w:rsidR="00492BF8">
        <w:instrText xml:space="preserve"> REF _Ref524428966 \r \h </w:instrText>
      </w:r>
      <w:r w:rsidR="00492BF8">
        <w:fldChar w:fldCharType="separate"/>
      </w:r>
      <w:r w:rsidR="00492BF8">
        <w:t>Figure 9.1</w:t>
      </w:r>
      <w:r w:rsidR="00492BF8">
        <w:fldChar w:fldCharType="end"/>
      </w:r>
      <w:r w:rsidR="00492BF8">
        <w:t>.</w:t>
      </w:r>
    </w:p>
    <w:p w:rsidR="006107CF" w:rsidRPr="00596D01" w:rsidRDefault="006107CF" w:rsidP="00A4014C">
      <w:pPr>
        <w:pStyle w:val="FigureTitle"/>
      </w:pPr>
      <w:bookmarkStart w:id="657" w:name="_Ref524428966"/>
      <w:r w:rsidRPr="00596D01">
        <w:t>Residential aged care services</w:t>
      </w:r>
      <w:bookmarkEnd w:id="657"/>
    </w:p>
    <w:p w:rsidR="00D8721E" w:rsidRDefault="00755F00" w:rsidP="00A4014C">
      <w:r>
        <w:rPr>
          <w:noProof/>
        </w:rPr>
        <w:drawing>
          <wp:inline distT="0" distB="0" distL="0" distR="0" wp14:anchorId="24EB7FB9" wp14:editId="798FA5EF">
            <wp:extent cx="6120000" cy="2391070"/>
            <wp:effectExtent l="0" t="0" r="0" b="9525"/>
            <wp:docPr id="276" name="Picture 276" descr="Figure 9.1 Residential age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Figure_9.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000" cy="2391070"/>
                    </a:xfrm>
                    <a:prstGeom prst="rect">
                      <a:avLst/>
                    </a:prstGeom>
                    <a:noFill/>
                    <a:ln>
                      <a:noFill/>
                    </a:ln>
                  </pic:spPr>
                </pic:pic>
              </a:graphicData>
            </a:graphic>
          </wp:inline>
        </w:drawing>
      </w:r>
    </w:p>
    <w:p w:rsidR="00221574" w:rsidRDefault="00221574" w:rsidP="00A4014C">
      <w:r>
        <w:t>The Commonwealth determines its contributions on behalf of permane</w:t>
      </w:r>
      <w:r w:rsidR="004F5569">
        <w:t>nt residents in residential</w:t>
      </w:r>
      <w:r>
        <w:t xml:space="preserve"> care by setting:</w:t>
      </w:r>
    </w:p>
    <w:p w:rsidR="00221574" w:rsidRDefault="00221574" w:rsidP="00A4014C">
      <w:pPr>
        <w:pStyle w:val="Bullet1"/>
        <w:rPr>
          <w:lang w:eastAsia="en-US"/>
        </w:rPr>
      </w:pPr>
      <w:r>
        <w:rPr>
          <w:lang w:eastAsia="en-US"/>
        </w:rPr>
        <w:t>A basic care subsidy for personal and nursing care;</w:t>
      </w:r>
    </w:p>
    <w:p w:rsidR="00221574" w:rsidRDefault="00221574" w:rsidP="00A4014C">
      <w:pPr>
        <w:pStyle w:val="Bullet1"/>
        <w:rPr>
          <w:lang w:eastAsia="en-US"/>
        </w:rPr>
      </w:pPr>
      <w:r>
        <w:rPr>
          <w:lang w:eastAsia="en-US"/>
        </w:rPr>
        <w:t>the rates of supplements paid to sup</w:t>
      </w:r>
      <w:r w:rsidR="004F5569">
        <w:rPr>
          <w:lang w:eastAsia="en-US"/>
        </w:rPr>
        <w:t>port aspects of residential</w:t>
      </w:r>
      <w:r>
        <w:rPr>
          <w:lang w:eastAsia="en-US"/>
        </w:rPr>
        <w:t xml:space="preserve"> care that incur higher costs to deliver; and</w:t>
      </w:r>
    </w:p>
    <w:p w:rsidR="00221574" w:rsidRDefault="00221574" w:rsidP="00A4014C">
      <w:pPr>
        <w:pStyle w:val="Bullet1"/>
        <w:rPr>
          <w:lang w:eastAsia="en-US"/>
        </w:rPr>
      </w:pPr>
      <w:r>
        <w:rPr>
          <w:lang w:eastAsia="en-US"/>
        </w:rPr>
        <w:t>the maximum rate of accommodation supplement.</w:t>
      </w:r>
    </w:p>
    <w:p w:rsidR="00221574" w:rsidRDefault="00221574" w:rsidP="00A4014C">
      <w:r>
        <w:t>With regard to respite care, the Commonwealth sets the basic respite care subsidy at two levels depending on the level of respite care the consumer is approved for by the A</w:t>
      </w:r>
      <w:r w:rsidR="006D006B">
        <w:t>ged Care Assessment Team (A</w:t>
      </w:r>
      <w:r>
        <w:t>CAT</w:t>
      </w:r>
      <w:r w:rsidR="006D006B">
        <w:t>)</w:t>
      </w:r>
      <w:r>
        <w:t>.</w:t>
      </w:r>
    </w:p>
    <w:p w:rsidR="00221574" w:rsidRDefault="00221574" w:rsidP="00A4014C">
      <w:r>
        <w:t xml:space="preserve">The Commonwealth also sets </w:t>
      </w:r>
      <w:r w:rsidR="00D361AC">
        <w:t xml:space="preserve">the </w:t>
      </w:r>
      <w:r>
        <w:t>maximum levels for contributions made by residents</w:t>
      </w:r>
      <w:r w:rsidR="00D361AC">
        <w:t xml:space="preserve"> for the following</w:t>
      </w:r>
      <w:r>
        <w:t>:</w:t>
      </w:r>
    </w:p>
    <w:p w:rsidR="00221574" w:rsidRDefault="00221574" w:rsidP="00A4014C">
      <w:pPr>
        <w:pStyle w:val="Bullet1"/>
        <w:rPr>
          <w:lang w:eastAsia="en-US"/>
        </w:rPr>
      </w:pPr>
      <w:r>
        <w:rPr>
          <w:lang w:eastAsia="en-US"/>
        </w:rPr>
        <w:t>the maximum rate of the basic daily fee for living expenses</w:t>
      </w:r>
      <w:r w:rsidR="00F81A85">
        <w:rPr>
          <w:lang w:eastAsia="en-US"/>
        </w:rPr>
        <w:t xml:space="preserve"> (permanent and respite)</w:t>
      </w:r>
      <w:r>
        <w:rPr>
          <w:lang w:eastAsia="en-US"/>
        </w:rPr>
        <w:t xml:space="preserve">; and </w:t>
      </w:r>
    </w:p>
    <w:p w:rsidR="00D8721E" w:rsidRDefault="00221574" w:rsidP="00A4014C">
      <w:pPr>
        <w:pStyle w:val="Bullet1"/>
        <w:rPr>
          <w:lang w:eastAsia="en-US"/>
        </w:rPr>
      </w:pPr>
      <w:r>
        <w:rPr>
          <w:lang w:eastAsia="en-US"/>
        </w:rPr>
        <w:t>the maximum means tested care fee that may be charged by providers</w:t>
      </w:r>
      <w:r w:rsidR="00F81A85">
        <w:rPr>
          <w:lang w:eastAsia="en-US"/>
        </w:rPr>
        <w:t xml:space="preserve"> (permanent only)</w:t>
      </w:r>
      <w:r>
        <w:rPr>
          <w:lang w:eastAsia="en-US"/>
        </w:rPr>
        <w:t>.</w:t>
      </w:r>
    </w:p>
    <w:p w:rsidR="00F667DB" w:rsidRPr="00596D01" w:rsidRDefault="009E0325" w:rsidP="0016704B">
      <w:pPr>
        <w:pStyle w:val="Heading3Numbered"/>
        <w:numPr>
          <w:ilvl w:val="2"/>
          <w:numId w:val="24"/>
        </w:numPr>
      </w:pPr>
      <w:bookmarkStart w:id="658" w:name="_Toc423017957"/>
      <w:bookmarkStart w:id="659" w:name="_Toc423098192"/>
      <w:bookmarkStart w:id="660" w:name="_Toc423447897"/>
      <w:bookmarkStart w:id="661" w:name="_Toc423602239"/>
      <w:bookmarkStart w:id="662" w:name="_Toc425243163"/>
      <w:bookmarkStart w:id="663" w:name="_Toc425696567"/>
      <w:bookmarkStart w:id="664" w:name="_Toc425861662"/>
      <w:bookmarkStart w:id="665" w:name="_Toc426111683"/>
      <w:bookmarkStart w:id="666" w:name="_Toc487702602"/>
      <w:bookmarkStart w:id="667" w:name="_Toc487702954"/>
      <w:bookmarkStart w:id="668" w:name="_Toc487703452"/>
      <w:bookmarkStart w:id="669" w:name="_Toc487703646"/>
      <w:bookmarkStart w:id="670" w:name="_Toc524424779"/>
      <w:bookmarkStart w:id="671" w:name="_Toc423017956"/>
      <w:bookmarkStart w:id="672" w:name="_Toc423098191"/>
      <w:r w:rsidRPr="00596D01">
        <w:t xml:space="preserve">Commonwealth </w:t>
      </w:r>
      <w:r w:rsidR="00F667DB" w:rsidRPr="00596D01">
        <w:t>operational funding</w:t>
      </w:r>
      <w:bookmarkEnd w:id="658"/>
      <w:bookmarkEnd w:id="659"/>
      <w:bookmarkEnd w:id="660"/>
      <w:bookmarkEnd w:id="661"/>
      <w:bookmarkEnd w:id="662"/>
      <w:bookmarkEnd w:id="663"/>
      <w:bookmarkEnd w:id="664"/>
      <w:bookmarkEnd w:id="665"/>
      <w:bookmarkEnd w:id="666"/>
      <w:bookmarkEnd w:id="667"/>
      <w:bookmarkEnd w:id="668"/>
      <w:bookmarkEnd w:id="669"/>
      <w:bookmarkEnd w:id="670"/>
    </w:p>
    <w:p w:rsidR="00221574" w:rsidRDefault="00221574" w:rsidP="00A4014C">
      <w:r>
        <w:t>Commonwealth payments for residential aged care in</w:t>
      </w:r>
      <w:r w:rsidR="00A261F3">
        <w:t> 201</w:t>
      </w:r>
      <w:r w:rsidR="0060525A">
        <w:t>6</w:t>
      </w:r>
      <w:r w:rsidR="00D8721E">
        <w:t>–1</w:t>
      </w:r>
      <w:r w:rsidR="0060525A">
        <w:t>7</w:t>
      </w:r>
      <w:r>
        <w:t xml:space="preserve"> can be classified as:</w:t>
      </w:r>
    </w:p>
    <w:p w:rsidR="00221574" w:rsidRPr="000C5D1B" w:rsidRDefault="00221574" w:rsidP="00A4014C">
      <w:pPr>
        <w:pStyle w:val="Bullet1"/>
      </w:pPr>
      <w:r>
        <w:rPr>
          <w:lang w:eastAsia="en-US"/>
        </w:rPr>
        <w:t>basic care subsidies</w:t>
      </w:r>
    </w:p>
    <w:p w:rsidR="000C5D1B" w:rsidRDefault="000C5D1B" w:rsidP="00A4014C">
      <w:pPr>
        <w:pStyle w:val="Bullet1"/>
      </w:pPr>
      <w:r>
        <w:rPr>
          <w:lang w:eastAsia="en-US"/>
        </w:rPr>
        <w:t>respite care subsidies and supplements</w:t>
      </w:r>
    </w:p>
    <w:p w:rsidR="00221574" w:rsidRDefault="00221574" w:rsidP="00A4014C">
      <w:pPr>
        <w:pStyle w:val="Bullet1"/>
        <w:rPr>
          <w:lang w:eastAsia="en-US"/>
        </w:rPr>
      </w:pPr>
      <w:r>
        <w:rPr>
          <w:lang w:eastAsia="en-US"/>
        </w:rPr>
        <w:t>accommodation supplements</w:t>
      </w:r>
    </w:p>
    <w:p w:rsidR="00221574" w:rsidRDefault="00221574" w:rsidP="00A4014C">
      <w:pPr>
        <w:pStyle w:val="Bullet1"/>
        <w:rPr>
          <w:lang w:eastAsia="en-US"/>
        </w:rPr>
      </w:pPr>
      <w:r>
        <w:rPr>
          <w:lang w:eastAsia="en-US"/>
        </w:rPr>
        <w:t xml:space="preserve">viability supplements </w:t>
      </w:r>
    </w:p>
    <w:p w:rsidR="00221574" w:rsidRDefault="00221574" w:rsidP="00A4014C">
      <w:pPr>
        <w:pStyle w:val="Bullet1"/>
        <w:rPr>
          <w:lang w:eastAsia="en-US"/>
        </w:rPr>
      </w:pPr>
      <w:r>
        <w:rPr>
          <w:lang w:eastAsia="en-US"/>
        </w:rPr>
        <w:t>other supplements</w:t>
      </w:r>
    </w:p>
    <w:p w:rsidR="00D8721E" w:rsidRDefault="00221574" w:rsidP="00A4014C">
      <w:r>
        <w:t xml:space="preserve">A full list of subsidies and supplements is at </w:t>
      </w:r>
      <w:r w:rsidR="0069205E">
        <w:fldChar w:fldCharType="begin"/>
      </w:r>
      <w:r w:rsidR="0069205E">
        <w:instrText xml:space="preserve"> REF _Ref524429977 \r \h </w:instrText>
      </w:r>
      <w:r w:rsidR="0069205E">
        <w:fldChar w:fldCharType="separate"/>
      </w:r>
      <w:r w:rsidR="0069205E">
        <w:t>Appendix I</w:t>
      </w:r>
      <w:r w:rsidR="0069205E">
        <w:fldChar w:fldCharType="end"/>
      </w:r>
      <w:r w:rsidR="00D8721E">
        <w:t>.</w:t>
      </w:r>
    </w:p>
    <w:p w:rsidR="00221574" w:rsidRDefault="00221574" w:rsidP="00A4014C">
      <w:r>
        <w:lastRenderedPageBreak/>
        <w:t>Commonwealth subsidies and supplements are generally indexed either biannually (accommodation related) or annually (care related).</w:t>
      </w:r>
    </w:p>
    <w:p w:rsidR="00E61480" w:rsidRPr="00BA16F9" w:rsidRDefault="00E61480" w:rsidP="00A4014C">
      <w:pPr>
        <w:rPr>
          <w:lang w:val="en-GB"/>
        </w:rPr>
      </w:pPr>
      <w:r w:rsidRPr="00BA16F9">
        <w:rPr>
          <w:lang w:val="en-GB"/>
        </w:rPr>
        <w:t>The index</w:t>
      </w:r>
      <w:r w:rsidR="00BA16F9" w:rsidRPr="00BA16F9">
        <w:rPr>
          <w:lang w:val="en-GB"/>
        </w:rPr>
        <w:t>ation</w:t>
      </w:r>
      <w:r w:rsidRPr="00BA16F9">
        <w:rPr>
          <w:lang w:val="en-GB"/>
        </w:rPr>
        <w:t xml:space="preserve"> applied to the basic subsidy for residential care is </w:t>
      </w:r>
      <w:r w:rsidR="00BA16F9" w:rsidRPr="00BA16F9">
        <w:rPr>
          <w:lang w:val="en-GB"/>
        </w:rPr>
        <w:t xml:space="preserve">the </w:t>
      </w:r>
      <w:r w:rsidRPr="00BA16F9">
        <w:rPr>
          <w:lang w:val="en-GB"/>
        </w:rPr>
        <w:t>Wage Cost Index</w:t>
      </w:r>
      <w:r w:rsidR="00BA16F9" w:rsidRPr="00BA16F9">
        <w:rPr>
          <w:lang w:val="en-GB"/>
        </w:rPr>
        <w:t> </w:t>
      </w:r>
      <w:r w:rsidRPr="00BA16F9">
        <w:rPr>
          <w:lang w:val="en-GB"/>
        </w:rPr>
        <w:t>9 (WCI</w:t>
      </w:r>
      <w:r w:rsidR="00D8721E">
        <w:rPr>
          <w:lang w:val="en-GB"/>
        </w:rPr>
        <w:t>–9</w:t>
      </w:r>
      <w:r w:rsidRPr="00BA16F9">
        <w:rPr>
          <w:lang w:val="en-GB"/>
        </w:rPr>
        <w:t>), which is a composite index constructed by the Department of Finance that comprises a wage cost component (weighted at 75</w:t>
      </w:r>
      <w:r w:rsidR="00A261F3">
        <w:rPr>
          <w:lang w:val="en-GB"/>
        </w:rPr>
        <w:t> per cent</w:t>
      </w:r>
      <w:r w:rsidRPr="00BA16F9">
        <w:rPr>
          <w:lang w:val="en-GB"/>
        </w:rPr>
        <w:t>) and a non-wage cost component (weighted at 25</w:t>
      </w:r>
      <w:r w:rsidR="00A261F3">
        <w:rPr>
          <w:lang w:val="en-GB"/>
        </w:rPr>
        <w:t> per cent</w:t>
      </w:r>
      <w:r w:rsidRPr="00BA16F9">
        <w:rPr>
          <w:lang w:val="en-GB"/>
        </w:rPr>
        <w:t>). For all Wage Cost Ind</w:t>
      </w:r>
      <w:r w:rsidR="00BA16F9" w:rsidRPr="00BA16F9">
        <w:rPr>
          <w:lang w:val="en-GB"/>
        </w:rPr>
        <w:t>ices</w:t>
      </w:r>
      <w:r w:rsidRPr="00BA16F9">
        <w:rPr>
          <w:lang w:val="en-GB"/>
        </w:rPr>
        <w:t xml:space="preserve"> the value of the wage cost component is based on the dollar increase in the national minimum wage (as determined annually by the Fair Work Commission) expressed as a percentage of the latest available estimate of average weekly ordinary time earnings (AWOTE) published by the Australian Bureau of Statistics as at November of each year. The value of the non-wage cost component of WCI</w:t>
      </w:r>
      <w:r w:rsidR="00D8721E">
        <w:rPr>
          <w:lang w:val="en-GB"/>
        </w:rPr>
        <w:t>–9</w:t>
      </w:r>
      <w:r w:rsidRPr="00BA16F9">
        <w:rPr>
          <w:lang w:val="en-GB"/>
        </w:rPr>
        <w:t xml:space="preserve"> is based on changes in the Consumer Price Index between March quarters each year.</w:t>
      </w:r>
    </w:p>
    <w:p w:rsidR="00D8721E" w:rsidRDefault="00221574" w:rsidP="00A4014C">
      <w:r w:rsidRPr="00BA16F9">
        <w:t xml:space="preserve">Accommodation related supplements are indexed using the Consumer Price Index </w:t>
      </w:r>
      <w:r w:rsidR="006D006B" w:rsidRPr="00BA16F9">
        <w:t>(CPI)</w:t>
      </w:r>
      <w:r w:rsidR="00D8721E">
        <w:t>.</w:t>
      </w:r>
    </w:p>
    <w:p w:rsidR="00F667DB" w:rsidRPr="00596D01" w:rsidRDefault="00F667DB" w:rsidP="00A4014C">
      <w:pPr>
        <w:pStyle w:val="Heading3Numbered"/>
      </w:pPr>
      <w:bookmarkStart w:id="673" w:name="_Toc487702603"/>
      <w:bookmarkStart w:id="674" w:name="_Toc487702955"/>
      <w:bookmarkStart w:id="675" w:name="_Toc487703453"/>
      <w:bookmarkStart w:id="676" w:name="_Toc487703647"/>
      <w:bookmarkStart w:id="677" w:name="_Toc524424780"/>
      <w:r w:rsidRPr="00596D01">
        <w:t>Basic</w:t>
      </w:r>
      <w:r w:rsidR="00171FA4" w:rsidRPr="00596D01">
        <w:t xml:space="preserve"> c</w:t>
      </w:r>
      <w:r w:rsidR="005C01E8" w:rsidRPr="00596D01">
        <w:t>are</w:t>
      </w:r>
      <w:r w:rsidR="00171FA4" w:rsidRPr="00596D01">
        <w:t xml:space="preserve"> s</w:t>
      </w:r>
      <w:r w:rsidRPr="00596D01">
        <w:t>ubsidies</w:t>
      </w:r>
      <w:bookmarkEnd w:id="673"/>
      <w:bookmarkEnd w:id="674"/>
      <w:bookmarkEnd w:id="675"/>
      <w:bookmarkEnd w:id="676"/>
      <w:bookmarkEnd w:id="677"/>
      <w:r w:rsidRPr="00596D01">
        <w:t xml:space="preserve"> </w:t>
      </w:r>
    </w:p>
    <w:p w:rsidR="00D8721E" w:rsidRDefault="00221574" w:rsidP="00A4014C">
      <w:pPr>
        <w:pStyle w:val="Bullet1"/>
        <w:rPr>
          <w:lang w:eastAsia="en-US"/>
        </w:rPr>
      </w:pPr>
      <w:r w:rsidRPr="00596D01">
        <w:rPr>
          <w:rStyle w:val="Strong"/>
        </w:rPr>
        <w:t xml:space="preserve">The basic care subsidy </w:t>
      </w:r>
      <w:r>
        <w:rPr>
          <w:lang w:eastAsia="en-US"/>
        </w:rPr>
        <w:t>is a payment to support the costs of providing personal and nursing services for</w:t>
      </w:r>
      <w:r w:rsidR="004A5746">
        <w:rPr>
          <w:lang w:eastAsia="en-US"/>
        </w:rPr>
        <w:t xml:space="preserve"> permanent</w:t>
      </w:r>
      <w:r>
        <w:rPr>
          <w:lang w:eastAsia="en-US"/>
        </w:rPr>
        <w:t xml:space="preserve"> residents. It is calculated based on the assessed need of each permanent resident as determined by the provider by applying th</w:t>
      </w:r>
      <w:r w:rsidRPr="00262942">
        <w:rPr>
          <w:lang w:eastAsia="en-US"/>
        </w:rPr>
        <w:t>e</w:t>
      </w:r>
      <w:r w:rsidRPr="00262942">
        <w:rPr>
          <w:bCs/>
          <w:lang w:eastAsia="en-US"/>
        </w:rPr>
        <w:t xml:space="preserve"> Aged Care Funding Instrument (ACFI).</w:t>
      </w:r>
      <w:r w:rsidRPr="00596D01">
        <w:rPr>
          <w:rStyle w:val="Strong"/>
        </w:rPr>
        <w:t xml:space="preserve"> </w:t>
      </w:r>
      <w:r>
        <w:rPr>
          <w:lang w:eastAsia="en-US"/>
        </w:rPr>
        <w:t>The Commonwealth determines the level of payments on behalf of residents by setting the prices and rules for claiming ACFI care subsidies</w:t>
      </w:r>
      <w:r w:rsidR="00D8721E">
        <w:rPr>
          <w:lang w:eastAsia="en-US"/>
        </w:rPr>
        <w:t>.</w:t>
      </w:r>
    </w:p>
    <w:p w:rsidR="00D8721E" w:rsidRDefault="00221574" w:rsidP="00A4014C">
      <w:pPr>
        <w:pStyle w:val="Bullet1"/>
        <w:rPr>
          <w:lang w:eastAsia="en-US"/>
        </w:rPr>
      </w:pPr>
      <w:r w:rsidRPr="00596D01">
        <w:rPr>
          <w:rStyle w:val="Strong"/>
        </w:rPr>
        <w:t xml:space="preserve">The basic respite subsidy </w:t>
      </w:r>
      <w:r>
        <w:rPr>
          <w:lang w:eastAsia="en-US"/>
        </w:rPr>
        <w:t xml:space="preserve">is a payment intended to support the costs of providing personal and nursing services </w:t>
      </w:r>
      <w:r w:rsidR="00F60480">
        <w:rPr>
          <w:lang w:eastAsia="en-US"/>
        </w:rPr>
        <w:t>for respite consumers. Respite consumers</w:t>
      </w:r>
      <w:r>
        <w:rPr>
          <w:lang w:eastAsia="en-US"/>
        </w:rPr>
        <w:t xml:space="preserve"> are assessed by an A</w:t>
      </w:r>
      <w:r w:rsidR="006D006B">
        <w:rPr>
          <w:lang w:eastAsia="en-US"/>
        </w:rPr>
        <w:t>CAT</w:t>
      </w:r>
      <w:r>
        <w:rPr>
          <w:lang w:eastAsia="en-US"/>
        </w:rPr>
        <w:t xml:space="preserve"> as requiring either high or low level care, with payment amounts for each set by the Commonwealth.</w:t>
      </w:r>
    </w:p>
    <w:p w:rsidR="00AA72E1" w:rsidRPr="0029268F" w:rsidRDefault="00AA72E1" w:rsidP="00944018">
      <w:pPr>
        <w:pStyle w:val="Heading5"/>
        <w:rPr>
          <w:rFonts w:ascii="Segoe UI" w:hAnsi="Segoe UI" w:cs="Segoe UI"/>
          <w:color w:val="0D0D0D" w:themeColor="text1" w:themeTint="F2"/>
        </w:rPr>
      </w:pPr>
      <w:r w:rsidRPr="00596D01">
        <w:t>The Aged Care Funding Instrument (ACFI)</w:t>
      </w:r>
    </w:p>
    <w:p w:rsidR="00AA72E1" w:rsidRPr="00367DED" w:rsidRDefault="00AA72E1" w:rsidP="00A4014C">
      <w:r w:rsidRPr="00367DED">
        <w:t xml:space="preserve">The ACFI is a funding allocation </w:t>
      </w:r>
      <w:r>
        <w:t>tool</w:t>
      </w:r>
      <w:r w:rsidRPr="00367DED">
        <w:t xml:space="preserve">. It assesses </w:t>
      </w:r>
      <w:r>
        <w:t xml:space="preserve">the </w:t>
      </w:r>
      <w:r w:rsidRPr="00367DED">
        <w:t xml:space="preserve">care needs </w:t>
      </w:r>
      <w:r>
        <w:t xml:space="preserve">of permanent residents </w:t>
      </w:r>
      <w:r w:rsidRPr="00367DED">
        <w:t xml:space="preserve">as a basis for allocating </w:t>
      </w:r>
      <w:r>
        <w:t xml:space="preserve">care </w:t>
      </w:r>
      <w:r w:rsidRPr="00367DED">
        <w:t>funding by focusing the funding allocation around the main areas that differentiate relative care needs among residents.</w:t>
      </w:r>
    </w:p>
    <w:p w:rsidR="00AA72E1" w:rsidRPr="00367DED" w:rsidRDefault="00AA72E1" w:rsidP="00A4014C">
      <w:r w:rsidRPr="00367DED">
        <w:t xml:space="preserve">The ACFI consists of 12 questions about assessed care needs, each having four ratings (A, B, C or D) and two diagnostic sections. </w:t>
      </w:r>
      <w:r>
        <w:t>ACFI is self-assessed by providers.</w:t>
      </w:r>
    </w:p>
    <w:p w:rsidR="00D8721E" w:rsidRDefault="00AA72E1" w:rsidP="00A4014C">
      <w:pPr>
        <w:rPr>
          <w:lang w:val="en-GB"/>
        </w:rPr>
      </w:pPr>
      <w:r w:rsidRPr="005610B8">
        <w:rPr>
          <w:lang w:val="en-GB"/>
        </w:rPr>
        <w:t>During</w:t>
      </w:r>
      <w:r w:rsidR="00A261F3">
        <w:rPr>
          <w:lang w:val="en-GB"/>
        </w:rPr>
        <w:t> 201</w:t>
      </w:r>
      <w:r w:rsidRPr="005610B8">
        <w:rPr>
          <w:lang w:val="en-GB"/>
        </w:rPr>
        <w:t>5</w:t>
      </w:r>
      <w:r w:rsidR="00D8721E">
        <w:rPr>
          <w:lang w:val="en-GB"/>
        </w:rPr>
        <w:t>–1</w:t>
      </w:r>
      <w:r w:rsidRPr="005610B8">
        <w:rPr>
          <w:lang w:val="en-GB"/>
        </w:rPr>
        <w:t>6, real growth of expenditure per resident per day through the ACFI was 5.</w:t>
      </w:r>
      <w:r>
        <w:rPr>
          <w:lang w:val="en-GB"/>
        </w:rPr>
        <w:t>2</w:t>
      </w:r>
      <w:r w:rsidR="00A261F3">
        <w:rPr>
          <w:lang w:val="en-GB"/>
        </w:rPr>
        <w:t> per cent</w:t>
      </w:r>
      <w:r w:rsidR="00FE6782">
        <w:rPr>
          <w:lang w:val="en-GB"/>
        </w:rPr>
        <w:t>,</w:t>
      </w:r>
      <w:r w:rsidRPr="005610B8">
        <w:rPr>
          <w:lang w:val="en-GB"/>
        </w:rPr>
        <w:t xml:space="preserve"> compared with a Government budgeted growth of 3.</w:t>
      </w:r>
      <w:r>
        <w:rPr>
          <w:lang w:val="en-GB"/>
        </w:rPr>
        <w:t>2</w:t>
      </w:r>
      <w:r w:rsidR="00A261F3">
        <w:rPr>
          <w:lang w:val="en-GB"/>
        </w:rPr>
        <w:t> per cent</w:t>
      </w:r>
      <w:r w:rsidRPr="005610B8">
        <w:rPr>
          <w:lang w:val="en-GB"/>
        </w:rPr>
        <w:t>. This resulted in an increase to the Government’s forecast expenditure over four years of $3.8</w:t>
      </w:r>
      <w:r w:rsidR="00A261F3">
        <w:rPr>
          <w:lang w:val="en-GB"/>
        </w:rPr>
        <w:t> billion</w:t>
      </w:r>
      <w:r w:rsidRPr="005610B8">
        <w:rPr>
          <w:lang w:val="en-GB"/>
        </w:rPr>
        <w:t>. The Government responded by announcing changes to the ACFI and indexation following consultation with the sector. These changes took effect on 1 July</w:t>
      </w:r>
      <w:r w:rsidR="00A261F3">
        <w:rPr>
          <w:lang w:val="en-GB"/>
        </w:rPr>
        <w:t> 201</w:t>
      </w:r>
      <w:r w:rsidRPr="005610B8">
        <w:rPr>
          <w:lang w:val="en-GB"/>
        </w:rPr>
        <w:t>6 and 1</w:t>
      </w:r>
      <w:r>
        <w:rPr>
          <w:lang w:val="en-GB"/>
        </w:rPr>
        <w:t> </w:t>
      </w:r>
      <w:r w:rsidRPr="005610B8">
        <w:rPr>
          <w:lang w:val="en-GB"/>
        </w:rPr>
        <w:t>January</w:t>
      </w:r>
      <w:r w:rsidR="00A261F3">
        <w:rPr>
          <w:lang w:val="en-GB"/>
        </w:rPr>
        <w:t> 201</w:t>
      </w:r>
      <w:r w:rsidRPr="005610B8">
        <w:rPr>
          <w:lang w:val="en-GB"/>
        </w:rPr>
        <w:t>7. The changes to ACFI included a new matrix reducing the rating categories for medication under Question 11 of the Complex Health Care domain and changes to the scoring and eligibility requirements for certain Complex Health Care procedures. These changes were complemented by an indexation pause on all ACFI domains in</w:t>
      </w:r>
      <w:r w:rsidR="00A261F3">
        <w:rPr>
          <w:lang w:val="en-GB"/>
        </w:rPr>
        <w:t> 201</w:t>
      </w:r>
      <w:r w:rsidRPr="005610B8">
        <w:rPr>
          <w:lang w:val="en-GB"/>
        </w:rPr>
        <w:t>7</w:t>
      </w:r>
      <w:r w:rsidR="00D8721E">
        <w:rPr>
          <w:lang w:val="en-GB"/>
        </w:rPr>
        <w:t>–1</w:t>
      </w:r>
      <w:r w:rsidRPr="005610B8">
        <w:rPr>
          <w:lang w:val="en-GB"/>
        </w:rPr>
        <w:t>8</w:t>
      </w:r>
      <w:r>
        <w:rPr>
          <w:lang w:val="en-GB"/>
        </w:rPr>
        <w:t xml:space="preserve"> and a partial indexation pause in</w:t>
      </w:r>
      <w:r w:rsidR="00A261F3">
        <w:rPr>
          <w:lang w:val="en-GB"/>
        </w:rPr>
        <w:t> 201</w:t>
      </w:r>
      <w:r>
        <w:rPr>
          <w:lang w:val="en-GB"/>
        </w:rPr>
        <w:t>8</w:t>
      </w:r>
      <w:r w:rsidR="00D8721E">
        <w:rPr>
          <w:lang w:val="en-GB"/>
        </w:rPr>
        <w:t>–1</w:t>
      </w:r>
      <w:r>
        <w:rPr>
          <w:lang w:val="en-GB"/>
        </w:rPr>
        <w:t>9</w:t>
      </w:r>
      <w:r w:rsidR="00D8721E">
        <w:rPr>
          <w:lang w:val="en-GB"/>
        </w:rPr>
        <w:t>.</w:t>
      </w:r>
    </w:p>
    <w:p w:rsidR="00AA72E1" w:rsidRPr="005610B8" w:rsidRDefault="00AA72E1" w:rsidP="00A4014C">
      <w:pPr>
        <w:rPr>
          <w:lang w:val="en-GB"/>
        </w:rPr>
      </w:pPr>
      <w:r w:rsidRPr="005610B8">
        <w:rPr>
          <w:lang w:val="en-GB"/>
        </w:rPr>
        <w:t>Annual real growth in ACFI expenditure for</w:t>
      </w:r>
      <w:r w:rsidR="00A261F3">
        <w:rPr>
          <w:lang w:val="en-GB"/>
        </w:rPr>
        <w:t> 201</w:t>
      </w:r>
      <w:r w:rsidRPr="005610B8">
        <w:rPr>
          <w:lang w:val="en-GB"/>
        </w:rPr>
        <w:t>6</w:t>
      </w:r>
      <w:r w:rsidR="00D8721E">
        <w:rPr>
          <w:lang w:val="en-GB"/>
        </w:rPr>
        <w:t>–1</w:t>
      </w:r>
      <w:r w:rsidRPr="005610B8">
        <w:rPr>
          <w:lang w:val="en-GB"/>
        </w:rPr>
        <w:t>7 was forecast to be around 1.</w:t>
      </w:r>
      <w:r>
        <w:rPr>
          <w:lang w:val="en-GB"/>
        </w:rPr>
        <w:t>7</w:t>
      </w:r>
      <w:r w:rsidR="00A261F3">
        <w:rPr>
          <w:lang w:val="en-GB"/>
        </w:rPr>
        <w:t> per cent</w:t>
      </w:r>
      <w:r w:rsidRPr="005610B8">
        <w:rPr>
          <w:lang w:val="en-GB"/>
        </w:rPr>
        <w:t xml:space="preserve"> (excluding 1.</w:t>
      </w:r>
      <w:r>
        <w:rPr>
          <w:lang w:val="en-GB"/>
        </w:rPr>
        <w:t>3</w:t>
      </w:r>
      <w:r w:rsidR="00A261F3">
        <w:rPr>
          <w:lang w:val="en-GB"/>
        </w:rPr>
        <w:t> per cent</w:t>
      </w:r>
      <w:r w:rsidRPr="005610B8">
        <w:rPr>
          <w:lang w:val="en-GB"/>
        </w:rPr>
        <w:t xml:space="preserve"> indexation); the actual growth for the year was 2.</w:t>
      </w:r>
      <w:r>
        <w:rPr>
          <w:lang w:val="en-GB"/>
        </w:rPr>
        <w:t>1</w:t>
      </w:r>
      <w:r w:rsidR="00A261F3">
        <w:rPr>
          <w:lang w:val="en-GB"/>
        </w:rPr>
        <w:t> per cent</w:t>
      </w:r>
      <w:r w:rsidRPr="005610B8">
        <w:rPr>
          <w:lang w:val="en-GB"/>
        </w:rPr>
        <w:t>. In</w:t>
      </w:r>
      <w:r w:rsidR="00A261F3">
        <w:rPr>
          <w:lang w:val="en-GB"/>
        </w:rPr>
        <w:t> 201</w:t>
      </w:r>
      <w:r w:rsidRPr="005610B8">
        <w:rPr>
          <w:lang w:val="en-GB"/>
        </w:rPr>
        <w:t>8</w:t>
      </w:r>
      <w:r w:rsidR="00D8721E">
        <w:rPr>
          <w:lang w:val="en-GB"/>
        </w:rPr>
        <w:t>–1</w:t>
      </w:r>
      <w:r w:rsidRPr="005610B8">
        <w:rPr>
          <w:lang w:val="en-GB"/>
        </w:rPr>
        <w:t>9, the majority of indexation for the ACFI will return, with full indexation of ACFI subsidy rates for the Activities of Daily Living and Behaviour domains, while indexation for the Complex Health care domain will be paused by 50</w:t>
      </w:r>
      <w:r w:rsidR="00A261F3">
        <w:rPr>
          <w:lang w:val="en-GB"/>
        </w:rPr>
        <w:t> per cent</w:t>
      </w:r>
      <w:r w:rsidRPr="005610B8">
        <w:rPr>
          <w:lang w:val="en-GB"/>
        </w:rPr>
        <w:t>. All domains of ACFI will be indexed in full from</w:t>
      </w:r>
      <w:r w:rsidR="00A261F3">
        <w:rPr>
          <w:lang w:val="en-GB"/>
        </w:rPr>
        <w:t> 201</w:t>
      </w:r>
      <w:r w:rsidRPr="005610B8">
        <w:rPr>
          <w:lang w:val="en-GB"/>
        </w:rPr>
        <w:t>9</w:t>
      </w:r>
      <w:r w:rsidR="00D8721E">
        <w:rPr>
          <w:lang w:val="en-GB"/>
        </w:rPr>
        <w:t>–2</w:t>
      </w:r>
      <w:r w:rsidRPr="005610B8">
        <w:rPr>
          <w:lang w:val="en-GB"/>
        </w:rPr>
        <w:t>0.</w:t>
      </w:r>
    </w:p>
    <w:p w:rsidR="00AA72E1" w:rsidRDefault="00AA72E1" w:rsidP="00A4014C">
      <w:pPr>
        <w:rPr>
          <w:rStyle w:val="Hyperlink"/>
          <w:rFonts w:ascii="Segoe UI" w:hAnsi="Segoe UI" w:cs="Segoe UI"/>
          <w:color w:val="1361FF" w:themeColor="accent1" w:themeTint="99"/>
          <w:lang w:val="en-GB"/>
        </w:rPr>
      </w:pPr>
      <w:r w:rsidRPr="005610B8">
        <w:rPr>
          <w:lang w:val="en-GB"/>
        </w:rPr>
        <w:t>The Department produces monthly reports regarding actual ACFI expenditure compared with Budget estimates. These reports can be found at</w:t>
      </w:r>
      <w:r>
        <w:rPr>
          <w:lang w:val="en-GB"/>
        </w:rPr>
        <w:t xml:space="preserve"> </w:t>
      </w:r>
      <w:hyperlink r:id="rId76" w:tooltip="Aged Care website" w:history="1">
        <w:r w:rsidRPr="005610B8">
          <w:rPr>
            <w:rStyle w:val="Hyperlink"/>
            <w:rFonts w:ascii="Segoe UI" w:hAnsi="Segoe UI" w:cs="Segoe UI"/>
            <w:color w:val="1361FF" w:themeColor="accent1" w:themeTint="99"/>
            <w:lang w:val="en-GB"/>
          </w:rPr>
          <w:t>https://agedcare.health.gov.au/tools-and-resources/aged-care-funding-instrument-acfi-reports</w:t>
        </w:r>
      </w:hyperlink>
      <w:r w:rsidRPr="005610B8">
        <w:rPr>
          <w:rStyle w:val="Hyperlink"/>
          <w:rFonts w:ascii="Segoe UI" w:hAnsi="Segoe UI" w:cs="Segoe UI"/>
          <w:color w:val="1361FF" w:themeColor="accent1" w:themeTint="99"/>
          <w:lang w:val="en-GB"/>
        </w:rPr>
        <w:t>.</w:t>
      </w:r>
    </w:p>
    <w:p w:rsidR="00D8721E" w:rsidRDefault="00AA72E1" w:rsidP="00A4014C">
      <w:pPr>
        <w:rPr>
          <w:lang w:val="en-GB"/>
        </w:rPr>
      </w:pPr>
      <w:r w:rsidRPr="005610B8">
        <w:rPr>
          <w:lang w:val="en-GB"/>
        </w:rPr>
        <w:t>Following the implementation of the measures, there was an overall reduction in the average ACFI clai</w:t>
      </w:r>
      <w:r>
        <w:rPr>
          <w:lang w:val="en-GB"/>
        </w:rPr>
        <w:t>m, particularly following the 1 </w:t>
      </w:r>
      <w:r w:rsidRPr="005610B8">
        <w:rPr>
          <w:lang w:val="en-GB"/>
        </w:rPr>
        <w:t>January</w:t>
      </w:r>
      <w:r w:rsidR="00A261F3">
        <w:rPr>
          <w:lang w:val="en-GB"/>
        </w:rPr>
        <w:t> 201</w:t>
      </w:r>
      <w:r w:rsidRPr="005610B8">
        <w:rPr>
          <w:lang w:val="en-GB"/>
        </w:rPr>
        <w:t>7 changes, driven by lower average CHC claims and little growth in the other domains due to providers not reappraising residents. Since April</w:t>
      </w:r>
      <w:r w:rsidR="00A261F3">
        <w:rPr>
          <w:lang w:val="en-GB"/>
        </w:rPr>
        <w:t> 201</w:t>
      </w:r>
      <w:r w:rsidRPr="005610B8">
        <w:rPr>
          <w:lang w:val="en-GB"/>
        </w:rPr>
        <w:t>7, the average ACFI claim has grown very slowly: there has been modest growth in the average claims for the ADL domain, which has been offset by a continued reduction in the average CHC claim</w:t>
      </w:r>
      <w:r>
        <w:rPr>
          <w:lang w:val="en-GB"/>
        </w:rPr>
        <w:t xml:space="preserve">. </w:t>
      </w:r>
      <w:r w:rsidRPr="00C874C8">
        <w:rPr>
          <w:lang w:val="en-GB"/>
        </w:rPr>
        <w:t>Overall growth since 1</w:t>
      </w:r>
      <w:r w:rsidR="00C874C8" w:rsidRPr="00C874C8">
        <w:rPr>
          <w:lang w:val="en-GB"/>
        </w:rPr>
        <w:t> </w:t>
      </w:r>
      <w:r w:rsidRPr="00C874C8">
        <w:rPr>
          <w:lang w:val="en-GB"/>
        </w:rPr>
        <w:t>July</w:t>
      </w:r>
      <w:r w:rsidR="00A261F3">
        <w:rPr>
          <w:lang w:val="en-GB"/>
        </w:rPr>
        <w:t> 201</w:t>
      </w:r>
      <w:r w:rsidRPr="00C874C8">
        <w:rPr>
          <w:lang w:val="en-GB"/>
        </w:rPr>
        <w:t>7 to March</w:t>
      </w:r>
      <w:r w:rsidR="00A261F3">
        <w:rPr>
          <w:lang w:val="en-GB"/>
        </w:rPr>
        <w:t> 201</w:t>
      </w:r>
      <w:r w:rsidR="00541C19">
        <w:rPr>
          <w:lang w:val="en-GB"/>
        </w:rPr>
        <w:t>8 has been negative 0.2</w:t>
      </w:r>
      <w:r w:rsidR="00A261F3">
        <w:rPr>
          <w:lang w:val="en-GB"/>
        </w:rPr>
        <w:t> per cent</w:t>
      </w:r>
      <w:r w:rsidRPr="00C874C8">
        <w:rPr>
          <w:lang w:val="en-GB"/>
        </w:rPr>
        <w:t xml:space="preserve"> compared to the nine months from July</w:t>
      </w:r>
      <w:r w:rsidR="00A261F3">
        <w:rPr>
          <w:lang w:val="en-GB"/>
        </w:rPr>
        <w:t> 201</w:t>
      </w:r>
      <w:r w:rsidRPr="00C874C8">
        <w:rPr>
          <w:lang w:val="en-GB"/>
        </w:rPr>
        <w:t>6 to March</w:t>
      </w:r>
      <w:r w:rsidR="00A261F3">
        <w:rPr>
          <w:lang w:val="en-GB"/>
        </w:rPr>
        <w:t> 201</w:t>
      </w:r>
      <w:r w:rsidRPr="00C874C8">
        <w:rPr>
          <w:lang w:val="en-GB"/>
        </w:rPr>
        <w:t xml:space="preserve">7. As shown in </w:t>
      </w:r>
      <w:r w:rsidR="00492BF8">
        <w:rPr>
          <w:lang w:val="en-GB"/>
        </w:rPr>
        <w:lastRenderedPageBreak/>
        <w:fldChar w:fldCharType="begin"/>
      </w:r>
      <w:r w:rsidR="00492BF8">
        <w:rPr>
          <w:lang w:val="en-GB"/>
        </w:rPr>
        <w:instrText xml:space="preserve"> REF _Ref524428494 \r \h </w:instrText>
      </w:r>
      <w:r w:rsidR="00492BF8">
        <w:rPr>
          <w:lang w:val="en-GB"/>
        </w:rPr>
      </w:r>
      <w:r w:rsidR="00492BF8">
        <w:rPr>
          <w:lang w:val="en-GB"/>
        </w:rPr>
        <w:fldChar w:fldCharType="separate"/>
      </w:r>
      <w:r w:rsidR="00492BF8">
        <w:rPr>
          <w:lang w:val="en-GB"/>
        </w:rPr>
        <w:t>Chart 9.1</w:t>
      </w:r>
      <w:r w:rsidR="00492BF8">
        <w:rPr>
          <w:lang w:val="en-GB"/>
        </w:rPr>
        <w:fldChar w:fldCharType="end"/>
      </w:r>
      <w:r w:rsidR="00251564">
        <w:rPr>
          <w:lang w:val="en-GB"/>
        </w:rPr>
        <w:t>,</w:t>
      </w:r>
      <w:r w:rsidRPr="00C874C8">
        <w:rPr>
          <w:lang w:val="en-GB"/>
        </w:rPr>
        <w:t xml:space="preserve"> there was a noticeable decline in ACFI claims following the changes of 1</w:t>
      </w:r>
      <w:r w:rsidR="00C874C8" w:rsidRPr="00C874C8">
        <w:rPr>
          <w:lang w:val="en-GB"/>
        </w:rPr>
        <w:t> </w:t>
      </w:r>
      <w:r w:rsidRPr="00C874C8">
        <w:rPr>
          <w:lang w:val="en-GB"/>
        </w:rPr>
        <w:t>January</w:t>
      </w:r>
      <w:r w:rsidR="00A261F3">
        <w:rPr>
          <w:lang w:val="en-GB"/>
        </w:rPr>
        <w:t> 201</w:t>
      </w:r>
      <w:r w:rsidRPr="00C874C8">
        <w:rPr>
          <w:lang w:val="en-GB"/>
        </w:rPr>
        <w:t>7, however since April</w:t>
      </w:r>
      <w:r w:rsidR="00A261F3">
        <w:rPr>
          <w:lang w:val="en-GB"/>
        </w:rPr>
        <w:t> 201</w:t>
      </w:r>
      <w:r w:rsidRPr="00C874C8">
        <w:rPr>
          <w:lang w:val="en-GB"/>
        </w:rPr>
        <w:t>7</w:t>
      </w:r>
      <w:r w:rsidR="009E789D">
        <w:rPr>
          <w:lang w:val="en-GB"/>
        </w:rPr>
        <w:t xml:space="preserve"> they</w:t>
      </w:r>
      <w:r w:rsidRPr="00C874C8">
        <w:rPr>
          <w:lang w:val="en-GB"/>
        </w:rPr>
        <w:t xml:space="preserve"> have gradually increased each month to March</w:t>
      </w:r>
      <w:r w:rsidR="00A261F3">
        <w:rPr>
          <w:lang w:val="en-GB"/>
        </w:rPr>
        <w:t> 201</w:t>
      </w:r>
      <w:r w:rsidRPr="00C874C8">
        <w:rPr>
          <w:lang w:val="en-GB"/>
        </w:rPr>
        <w:t>8.</w:t>
      </w:r>
    </w:p>
    <w:p w:rsidR="00C874C8" w:rsidRPr="00596D01" w:rsidRDefault="00C874C8" w:rsidP="00A4014C">
      <w:pPr>
        <w:pStyle w:val="ChartTitle"/>
      </w:pPr>
      <w:bookmarkStart w:id="678" w:name="_Ref524428494"/>
      <w:r w:rsidRPr="00596D01">
        <w:t>Average monthly ACFI payments, January</w:t>
      </w:r>
      <w:r w:rsidR="00A261F3" w:rsidRPr="00596D01">
        <w:t> 201</w:t>
      </w:r>
      <w:r w:rsidRPr="00596D01">
        <w:t>6 to March</w:t>
      </w:r>
      <w:r w:rsidR="00A261F3" w:rsidRPr="00596D01">
        <w:t> 201</w:t>
      </w:r>
      <w:r w:rsidRPr="00596D01">
        <w:t>8</w:t>
      </w:r>
      <w:bookmarkEnd w:id="678"/>
      <w:r w:rsidRPr="00596D01">
        <w:t xml:space="preserve"> </w:t>
      </w:r>
    </w:p>
    <w:p w:rsidR="00FB2332" w:rsidRDefault="00FB2332" w:rsidP="00A4014C">
      <w:pPr>
        <w:rPr>
          <w:lang w:val="en-GB"/>
        </w:rPr>
      </w:pPr>
      <w:r>
        <w:rPr>
          <w:noProof/>
        </w:rPr>
        <w:drawing>
          <wp:inline distT="0" distB="0" distL="0" distR="0" wp14:anchorId="16DDB7D7" wp14:editId="52E269E1">
            <wp:extent cx="6120000" cy="3971250"/>
            <wp:effectExtent l="0" t="0" r="0" b="0"/>
            <wp:docPr id="688" name="Picture 688" descr="Chart 9.1 Average monthly ACFI payments, January 2016 to March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cb0036\AppData\Local\Microsoft\Windows\Temporary Internet Files\Content.Outlook\X33EN5GL\Chart_XX_New 26Jul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000" cy="3971250"/>
                    </a:xfrm>
                    <a:prstGeom prst="rect">
                      <a:avLst/>
                    </a:prstGeom>
                    <a:noFill/>
                    <a:ln>
                      <a:noFill/>
                    </a:ln>
                  </pic:spPr>
                </pic:pic>
              </a:graphicData>
            </a:graphic>
          </wp:inline>
        </w:drawing>
      </w:r>
    </w:p>
    <w:p w:rsidR="00D8721E" w:rsidRDefault="00AA72E1" w:rsidP="00A4014C">
      <w:pPr>
        <w:rPr>
          <w:lang w:val="en-GB"/>
        </w:rPr>
      </w:pPr>
      <w:r w:rsidRPr="00250942">
        <w:rPr>
          <w:lang w:val="en-GB"/>
        </w:rPr>
        <w:t>ACFA notes that the Government has commissioned a study on the relative costs of providing care for residents with differing care needs and is consulting with the sector on long-term reform options for residential aged care funding</w:t>
      </w:r>
      <w:r w:rsidR="00C874C8">
        <w:rPr>
          <w:lang w:val="en-GB"/>
        </w:rPr>
        <w:t xml:space="preserve">, discussed in section </w:t>
      </w:r>
      <w:r w:rsidR="00492BF8">
        <w:rPr>
          <w:lang w:val="en-GB"/>
        </w:rPr>
        <w:fldChar w:fldCharType="begin"/>
      </w:r>
      <w:r w:rsidR="00492BF8">
        <w:rPr>
          <w:lang w:val="en-GB"/>
        </w:rPr>
        <w:instrText xml:space="preserve"> REF _Ref524427727 \r \h </w:instrText>
      </w:r>
      <w:r w:rsidR="00492BF8">
        <w:rPr>
          <w:lang w:val="en-GB"/>
        </w:rPr>
      </w:r>
      <w:r w:rsidR="00492BF8">
        <w:rPr>
          <w:lang w:val="en-GB"/>
        </w:rPr>
        <w:fldChar w:fldCharType="separate"/>
      </w:r>
      <w:r w:rsidR="00492BF8">
        <w:rPr>
          <w:lang w:val="en-GB"/>
        </w:rPr>
        <w:t>4.9</w:t>
      </w:r>
      <w:r w:rsidR="00492BF8">
        <w:rPr>
          <w:lang w:val="en-GB"/>
        </w:rPr>
        <w:fldChar w:fldCharType="end"/>
      </w:r>
      <w:r w:rsidR="00D8721E">
        <w:rPr>
          <w:lang w:val="en-GB"/>
        </w:rPr>
        <w:t>.</w:t>
      </w:r>
    </w:p>
    <w:p w:rsidR="00D8721E" w:rsidRDefault="00AA72E1" w:rsidP="00A4014C">
      <w:pPr>
        <w:rPr>
          <w:lang w:val="en-GB"/>
        </w:rPr>
      </w:pPr>
      <w:r w:rsidRPr="00BA16F9">
        <w:rPr>
          <w:lang w:val="en-GB"/>
        </w:rPr>
        <w:t>The ACFI does not apply for residential respite care. Instead, respite care funding is paid at either a low or high rate depending on the level of care for which the consumer is approved by</w:t>
      </w:r>
      <w:r>
        <w:rPr>
          <w:lang w:val="en-GB"/>
        </w:rPr>
        <w:t xml:space="preserve"> the ACAT. Additionally, providers who use 70</w:t>
      </w:r>
      <w:r w:rsidR="00A261F3">
        <w:rPr>
          <w:lang w:val="en-GB"/>
        </w:rPr>
        <w:t> per cent</w:t>
      </w:r>
      <w:r>
        <w:rPr>
          <w:lang w:val="en-GB"/>
        </w:rPr>
        <w:t xml:space="preserve"> or more of their respite allocation over a 12</w:t>
      </w:r>
      <w:r>
        <w:rPr>
          <w:lang w:val="en-GB"/>
        </w:rPr>
        <w:noBreakHyphen/>
        <w:t>month period receive a higher payment</w:t>
      </w:r>
      <w:r>
        <w:rPr>
          <w:rStyle w:val="FootnoteReference"/>
          <w:rFonts w:cs="Segoe UI"/>
          <w:color w:val="313131"/>
          <w:lang w:val="en-GB"/>
        </w:rPr>
        <w:footnoteReference w:id="40"/>
      </w:r>
      <w:r>
        <w:rPr>
          <w:lang w:val="en-GB"/>
        </w:rPr>
        <w:t>.</w:t>
      </w:r>
    </w:p>
    <w:p w:rsidR="00FF58D9" w:rsidRPr="00596D01" w:rsidRDefault="00FF58D9" w:rsidP="00A4014C">
      <w:pPr>
        <w:pStyle w:val="Heading3Numbered"/>
      </w:pPr>
      <w:bookmarkStart w:id="679" w:name="_Toc487702604"/>
      <w:bookmarkStart w:id="680" w:name="_Toc487702956"/>
      <w:bookmarkStart w:id="681" w:name="_Toc487703454"/>
      <w:bookmarkStart w:id="682" w:name="_Toc487703648"/>
      <w:bookmarkStart w:id="683" w:name="_Toc524424781"/>
      <w:r w:rsidRPr="00596D01">
        <w:t xml:space="preserve">Payments </w:t>
      </w:r>
      <w:r w:rsidR="00E978C7" w:rsidRPr="00596D01">
        <w:t>for</w:t>
      </w:r>
      <w:r w:rsidRPr="00596D01">
        <w:t xml:space="preserve"> residential respite care</w:t>
      </w:r>
      <w:bookmarkEnd w:id="679"/>
      <w:bookmarkEnd w:id="680"/>
      <w:bookmarkEnd w:id="681"/>
      <w:bookmarkEnd w:id="682"/>
      <w:bookmarkEnd w:id="683"/>
    </w:p>
    <w:p w:rsidR="00D8721E" w:rsidRDefault="00C30FD9" w:rsidP="00A4014C">
      <w:r>
        <w:t>The Australian Government pays the provider a residential respite subsidy and a respite supplement for each eligible respite resident</w:t>
      </w:r>
      <w:r w:rsidR="00D8721E">
        <w:t>.</w:t>
      </w:r>
    </w:p>
    <w:p w:rsidR="00D8721E" w:rsidRDefault="00D54E2B" w:rsidP="00A4014C">
      <w:r>
        <w:t>T</w:t>
      </w:r>
      <w:r w:rsidR="00C30FD9">
        <w:t>he subsidy and supplement are paid at either a low or high rate depending on the level of respite care the consumer is approved for by the ACAT. Providers that use 70</w:t>
      </w:r>
      <w:r w:rsidR="00A261F3">
        <w:t> per cent</w:t>
      </w:r>
      <w:r w:rsidR="00C30FD9">
        <w:t xml:space="preserve"> or more of their respite allocation over a 12 month period receive a higher daily respite supplement </w:t>
      </w:r>
      <w:r w:rsidR="009A600B">
        <w:t>rate per eligible</w:t>
      </w:r>
      <w:r w:rsidR="00C30FD9">
        <w:t xml:space="preserve"> high care recipient. Respite subsidies are indexed on 1</w:t>
      </w:r>
      <w:r w:rsidR="007156E2">
        <w:t> J</w:t>
      </w:r>
      <w:r w:rsidR="00C30FD9">
        <w:t>uly each year. Supplements are indexed on 20 March and 20 September each year in line with pension indexation.</w:t>
      </w:r>
      <w:r>
        <w:t xml:space="preserve"> </w:t>
      </w:r>
      <w:r w:rsidR="00492BF8">
        <w:fldChar w:fldCharType="begin"/>
      </w:r>
      <w:r w:rsidR="00492BF8">
        <w:instrText xml:space="preserve"> REF _Ref524429533 \r \h </w:instrText>
      </w:r>
      <w:r w:rsidR="00492BF8">
        <w:fldChar w:fldCharType="separate"/>
      </w:r>
      <w:r w:rsidR="00492BF8">
        <w:t>Table 9.1</w:t>
      </w:r>
      <w:r w:rsidR="00492BF8">
        <w:fldChar w:fldCharType="end"/>
      </w:r>
      <w:r w:rsidR="00492BF8">
        <w:t xml:space="preserve"> </w:t>
      </w:r>
      <w:r>
        <w:t>shows the residential care respite rates applicable as at 1 July</w:t>
      </w:r>
      <w:r w:rsidR="00A261F3">
        <w:t> 201</w:t>
      </w:r>
      <w:r>
        <w:t>8.</w:t>
      </w:r>
    </w:p>
    <w:p w:rsidR="00D54E2B" w:rsidRPr="00596D01" w:rsidRDefault="00D54E2B" w:rsidP="00A4014C">
      <w:pPr>
        <w:pStyle w:val="TableTitle"/>
      </w:pPr>
      <w:bookmarkStart w:id="684" w:name="_Ref524429533"/>
      <w:r w:rsidRPr="00596D01">
        <w:lastRenderedPageBreak/>
        <w:t>Residential respite care subsidies and supplement rates, at 1 July</w:t>
      </w:r>
      <w:r w:rsidR="00A261F3" w:rsidRPr="00596D01">
        <w:t> 201</w:t>
      </w:r>
      <w:r w:rsidRPr="00596D01">
        <w:t>8</w:t>
      </w:r>
      <w:bookmarkEnd w:id="684"/>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23"/>
        <w:gridCol w:w="1935"/>
        <w:gridCol w:w="1935"/>
        <w:gridCol w:w="1935"/>
      </w:tblGrid>
      <w:tr w:rsidR="00D54E2B"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985" w:type="pct"/>
          </w:tcPr>
          <w:p w:rsidR="00D54E2B" w:rsidRPr="00513C69" w:rsidRDefault="00D54E2B" w:rsidP="00A4014C">
            <w:pPr>
              <w:rPr>
                <w:lang w:eastAsia="en-AU"/>
              </w:rPr>
            </w:pPr>
          </w:p>
        </w:tc>
        <w:tc>
          <w:tcPr>
            <w:tcW w:w="1005" w:type="pct"/>
          </w:tcPr>
          <w:p w:rsidR="00D54E2B" w:rsidRPr="00513C69" w:rsidRDefault="00D54E2B" w:rsidP="00303CD5">
            <w:pPr>
              <w:jc w:val="right"/>
            </w:pPr>
            <w:r w:rsidRPr="00596D01">
              <w:t>Daily Subsidy</w:t>
            </w:r>
          </w:p>
        </w:tc>
        <w:tc>
          <w:tcPr>
            <w:tcW w:w="1005" w:type="pct"/>
          </w:tcPr>
          <w:p w:rsidR="00D54E2B" w:rsidRPr="00513C69" w:rsidRDefault="00D54E2B" w:rsidP="00303CD5">
            <w:pPr>
              <w:jc w:val="right"/>
            </w:pPr>
            <w:r w:rsidRPr="00596D01">
              <w:t>Daily Supplement</w:t>
            </w:r>
          </w:p>
        </w:tc>
        <w:tc>
          <w:tcPr>
            <w:tcW w:w="1005" w:type="pct"/>
          </w:tcPr>
          <w:p w:rsidR="00D54E2B" w:rsidRPr="00596D01" w:rsidRDefault="00D54E2B" w:rsidP="00303CD5">
            <w:pPr>
              <w:jc w:val="right"/>
            </w:pPr>
            <w:r w:rsidRPr="00596D01">
              <w:t>Total paid per day</w:t>
            </w:r>
          </w:p>
        </w:tc>
      </w:tr>
      <w:tr w:rsidR="00D54E2B" w:rsidRPr="00D54E2B" w:rsidTr="00303CD5">
        <w:trPr>
          <w:trHeight w:val="113"/>
        </w:trPr>
        <w:tc>
          <w:tcPr>
            <w:tcW w:w="1985" w:type="pct"/>
          </w:tcPr>
          <w:p w:rsidR="00D54E2B" w:rsidRPr="00513C69" w:rsidRDefault="00D54E2B" w:rsidP="00A4014C">
            <w:r w:rsidRPr="00513C69">
              <w:t>Low level respite care</w:t>
            </w:r>
          </w:p>
        </w:tc>
        <w:tc>
          <w:tcPr>
            <w:tcW w:w="1005" w:type="pct"/>
          </w:tcPr>
          <w:p w:rsidR="00D54E2B" w:rsidRPr="00513C69" w:rsidRDefault="00D54E2B" w:rsidP="00303CD5">
            <w:pPr>
              <w:jc w:val="right"/>
            </w:pPr>
            <w:r w:rsidRPr="00513C69">
              <w:t>$46.</w:t>
            </w:r>
            <w:r w:rsidR="00083128" w:rsidRPr="00513C69">
              <w:t>74</w:t>
            </w:r>
          </w:p>
        </w:tc>
        <w:tc>
          <w:tcPr>
            <w:tcW w:w="1005" w:type="pct"/>
          </w:tcPr>
          <w:p w:rsidR="00D54E2B" w:rsidRPr="00513C69" w:rsidRDefault="00D54E2B" w:rsidP="00303CD5">
            <w:pPr>
              <w:jc w:val="right"/>
            </w:pPr>
            <w:r w:rsidRPr="00513C69">
              <w:t>$38.46</w:t>
            </w:r>
          </w:p>
        </w:tc>
        <w:tc>
          <w:tcPr>
            <w:tcW w:w="1005" w:type="pct"/>
          </w:tcPr>
          <w:p w:rsidR="00D54E2B" w:rsidRPr="00513C69" w:rsidRDefault="00D54E2B" w:rsidP="00303CD5">
            <w:pPr>
              <w:jc w:val="right"/>
            </w:pPr>
            <w:r w:rsidRPr="00513C69">
              <w:t>$8</w:t>
            </w:r>
            <w:r w:rsidR="00E166A4">
              <w:t>5</w:t>
            </w:r>
            <w:r w:rsidRPr="00513C69">
              <w:t>.</w:t>
            </w:r>
            <w:r w:rsidR="00083128" w:rsidRPr="00513C69">
              <w:t>20</w:t>
            </w:r>
          </w:p>
        </w:tc>
      </w:tr>
      <w:tr w:rsidR="00D54E2B" w:rsidRPr="00D54E2B" w:rsidTr="00303CD5">
        <w:trPr>
          <w:trHeight w:val="113"/>
        </w:trPr>
        <w:tc>
          <w:tcPr>
            <w:tcW w:w="1985" w:type="pct"/>
          </w:tcPr>
          <w:p w:rsidR="00D54E2B" w:rsidRPr="00513C69" w:rsidRDefault="00D54E2B" w:rsidP="00A4014C">
            <w:r w:rsidRPr="00513C69">
              <w:t>High level respite care</w:t>
            </w:r>
          </w:p>
        </w:tc>
        <w:tc>
          <w:tcPr>
            <w:tcW w:w="1005" w:type="pct"/>
          </w:tcPr>
          <w:p w:rsidR="00D54E2B" w:rsidRPr="00513C69" w:rsidRDefault="00D54E2B" w:rsidP="00303CD5">
            <w:pPr>
              <w:jc w:val="right"/>
            </w:pPr>
            <w:r w:rsidRPr="00513C69">
              <w:t>$1</w:t>
            </w:r>
            <w:r w:rsidR="00083128" w:rsidRPr="00513C69">
              <w:t>31.05</w:t>
            </w:r>
          </w:p>
        </w:tc>
        <w:tc>
          <w:tcPr>
            <w:tcW w:w="1005" w:type="pct"/>
          </w:tcPr>
          <w:p w:rsidR="00D54E2B" w:rsidRPr="00513C69" w:rsidRDefault="00D54E2B" w:rsidP="00303CD5">
            <w:pPr>
              <w:jc w:val="right"/>
            </w:pPr>
            <w:r w:rsidRPr="00513C69">
              <w:t>$53.91</w:t>
            </w:r>
          </w:p>
        </w:tc>
        <w:tc>
          <w:tcPr>
            <w:tcW w:w="1005" w:type="pct"/>
          </w:tcPr>
          <w:p w:rsidR="00D54E2B" w:rsidRPr="00513C69" w:rsidRDefault="00D54E2B" w:rsidP="00303CD5">
            <w:pPr>
              <w:jc w:val="right"/>
            </w:pPr>
            <w:r w:rsidRPr="00513C69">
              <w:t>$18</w:t>
            </w:r>
            <w:r w:rsidR="00083128" w:rsidRPr="00513C69">
              <w:t>4</w:t>
            </w:r>
            <w:r w:rsidRPr="00513C69">
              <w:t>.</w:t>
            </w:r>
            <w:r w:rsidR="00083128" w:rsidRPr="00513C69">
              <w:t>96</w:t>
            </w:r>
          </w:p>
        </w:tc>
      </w:tr>
      <w:tr w:rsidR="00D54E2B" w:rsidRPr="00D54E2B" w:rsidTr="00303CD5">
        <w:trPr>
          <w:trHeight w:val="113"/>
        </w:trPr>
        <w:tc>
          <w:tcPr>
            <w:tcW w:w="1985" w:type="pct"/>
          </w:tcPr>
          <w:p w:rsidR="00D54E2B" w:rsidRPr="00513C69" w:rsidRDefault="00D54E2B" w:rsidP="00A4014C">
            <w:r w:rsidRPr="00513C69">
              <w:t xml:space="preserve">High level respite care when </w:t>
            </w:r>
            <w:r w:rsidR="00262942" w:rsidRPr="00513C69">
              <w:t xml:space="preserve">a </w:t>
            </w:r>
            <w:r w:rsidRPr="00513C69">
              <w:t xml:space="preserve">provider </w:t>
            </w:r>
            <w:r w:rsidR="00DB7F4A" w:rsidRPr="00513C69">
              <w:t>uses</w:t>
            </w:r>
            <w:r w:rsidRPr="00513C69">
              <w:t xml:space="preserve"> 70%</w:t>
            </w:r>
            <w:r w:rsidR="00DB7F4A" w:rsidRPr="00513C69">
              <w:t xml:space="preserve"> or more of respite allocation</w:t>
            </w:r>
          </w:p>
        </w:tc>
        <w:tc>
          <w:tcPr>
            <w:tcW w:w="1005" w:type="pct"/>
          </w:tcPr>
          <w:p w:rsidR="00D54E2B" w:rsidRPr="00513C69" w:rsidRDefault="00D54E2B" w:rsidP="00303CD5">
            <w:pPr>
              <w:jc w:val="right"/>
            </w:pPr>
            <w:r w:rsidRPr="00513C69">
              <w:t>$</w:t>
            </w:r>
            <w:r w:rsidR="00083128" w:rsidRPr="00513C69">
              <w:t>131.05</w:t>
            </w:r>
          </w:p>
        </w:tc>
        <w:tc>
          <w:tcPr>
            <w:tcW w:w="1005" w:type="pct"/>
          </w:tcPr>
          <w:p w:rsidR="00D54E2B" w:rsidRPr="00513C69" w:rsidRDefault="00D54E2B" w:rsidP="00303CD5">
            <w:pPr>
              <w:jc w:val="right"/>
            </w:pPr>
            <w:r w:rsidRPr="00513C69">
              <w:t>$91.73</w:t>
            </w:r>
          </w:p>
        </w:tc>
        <w:tc>
          <w:tcPr>
            <w:tcW w:w="1005" w:type="pct"/>
          </w:tcPr>
          <w:p w:rsidR="00D54E2B" w:rsidRPr="00513C69" w:rsidRDefault="00D54E2B" w:rsidP="00303CD5">
            <w:pPr>
              <w:jc w:val="right"/>
            </w:pPr>
            <w:r w:rsidRPr="00513C69">
              <w:t>$22</w:t>
            </w:r>
            <w:r w:rsidR="00083128" w:rsidRPr="00513C69">
              <w:t>2</w:t>
            </w:r>
            <w:r w:rsidRPr="00513C69">
              <w:t>.</w:t>
            </w:r>
            <w:r w:rsidR="00083128" w:rsidRPr="00513C69">
              <w:t>78</w:t>
            </w:r>
          </w:p>
        </w:tc>
      </w:tr>
    </w:tbl>
    <w:p w:rsidR="00D8721E" w:rsidRDefault="00C30FD9" w:rsidP="00A4014C">
      <w:r>
        <w:t xml:space="preserve">The daily amount of low respite care subsidy and supplement combined is higher than the lowest daily rate of care subsidy payable in permanent residential care. The higher respite care subsidy </w:t>
      </w:r>
      <w:r w:rsidR="00F81A85">
        <w:t>plus</w:t>
      </w:r>
      <w:r>
        <w:t xml:space="preserve"> supplement is $222.78, which is approximately equivalent to the highest daily rate of care subsidy payable in permanent residential care</w:t>
      </w:r>
      <w:r w:rsidR="00D8721E">
        <w:t>.</w:t>
      </w:r>
    </w:p>
    <w:p w:rsidR="00C30FD9" w:rsidRDefault="00C30FD9" w:rsidP="00A4014C">
      <w:r>
        <w:t>In addition, residential respite consumers can be eligible for other supplements</w:t>
      </w:r>
      <w:r w:rsidR="00FE6782">
        <w:t>,</w:t>
      </w:r>
      <w:r>
        <w:t xml:space="preserve"> such as oxygen supplement, where there is a need.</w:t>
      </w:r>
    </w:p>
    <w:p w:rsidR="00D8721E" w:rsidRDefault="00492BF8" w:rsidP="00A4014C">
      <w:r>
        <w:fldChar w:fldCharType="begin"/>
      </w:r>
      <w:r>
        <w:instrText xml:space="preserve"> REF _Ref524428500 \r \h </w:instrText>
      </w:r>
      <w:r>
        <w:fldChar w:fldCharType="separate"/>
      </w:r>
      <w:r>
        <w:t>Chart 9.2</w:t>
      </w:r>
      <w:r>
        <w:fldChar w:fldCharType="end"/>
      </w:r>
      <w:r>
        <w:t xml:space="preserve"> </w:t>
      </w:r>
      <w:r w:rsidR="00C30FD9">
        <w:t>shows the Australian Government payments for residential respite care since</w:t>
      </w:r>
      <w:r w:rsidR="00A261F3">
        <w:t> 201</w:t>
      </w:r>
      <w:r w:rsidR="00C30FD9">
        <w:t>2</w:t>
      </w:r>
      <w:r w:rsidR="00D8721E">
        <w:t>–1</w:t>
      </w:r>
      <w:r w:rsidR="00C30FD9">
        <w:t>3. While payments for low care have remained stable, there has been a significant increase in payments for high care since the reforms of 1 July</w:t>
      </w:r>
      <w:r w:rsidR="00A261F3">
        <w:t> 201</w:t>
      </w:r>
      <w:r w:rsidR="00C30FD9">
        <w:t>4.</w:t>
      </w:r>
    </w:p>
    <w:p w:rsidR="00D8721E" w:rsidRPr="00596D01" w:rsidRDefault="002D7C82" w:rsidP="00A4014C">
      <w:pPr>
        <w:pStyle w:val="ChartTitle"/>
      </w:pPr>
      <w:bookmarkStart w:id="685" w:name="_Ref524428500"/>
      <w:r w:rsidRPr="00596D01">
        <w:t>Australian Government payments for residential respite care, by</w:t>
      </w:r>
      <w:r w:rsidR="009837CC" w:rsidRPr="00596D01">
        <w:t> </w:t>
      </w:r>
      <w:r w:rsidRPr="00596D01">
        <w:t>care</w:t>
      </w:r>
      <w:r w:rsidR="009837CC" w:rsidRPr="00596D01">
        <w:t> </w:t>
      </w:r>
      <w:r w:rsidRPr="00596D01">
        <w:t>level,</w:t>
      </w:r>
      <w:r w:rsidR="00A261F3" w:rsidRPr="00596D01">
        <w:t> 201</w:t>
      </w:r>
      <w:r w:rsidRPr="00596D01">
        <w:t>2</w:t>
      </w:r>
      <w:r w:rsidR="00D8721E" w:rsidRPr="00596D01">
        <w:t>–1</w:t>
      </w:r>
      <w:r w:rsidRPr="00596D01">
        <w:t>3 to</w:t>
      </w:r>
      <w:r w:rsidR="00A261F3" w:rsidRPr="00596D01">
        <w:t> 201</w:t>
      </w:r>
      <w:r w:rsidR="003F7DD1" w:rsidRPr="00596D01">
        <w:t>6</w:t>
      </w:r>
      <w:r w:rsidR="00D8721E" w:rsidRPr="00596D01">
        <w:t>–1</w:t>
      </w:r>
      <w:r w:rsidR="003F7DD1" w:rsidRPr="00596D01">
        <w:t>7</w:t>
      </w:r>
      <w:r w:rsidR="00D8721E" w:rsidRPr="00596D01">
        <w:t>.</w:t>
      </w:r>
      <w:bookmarkEnd w:id="685"/>
    </w:p>
    <w:p w:rsidR="00D8721E" w:rsidRPr="00596D01" w:rsidRDefault="003F7DD1" w:rsidP="00A4014C">
      <w:r w:rsidRPr="00596D01">
        <w:rPr>
          <w:noProof/>
        </w:rPr>
        <w:drawing>
          <wp:inline distT="0" distB="0" distL="0" distR="0" wp14:anchorId="5304AE1C" wp14:editId="75984C0C">
            <wp:extent cx="6120000" cy="2999406"/>
            <wp:effectExtent l="0" t="0" r="0" b="0"/>
            <wp:docPr id="34" name="Picture 34" descr="Chart 9.2 Australian Government payments for residential respite care, by care level, 2012–13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zc0004\AppData\Local\Microsoft\Windows\Temporary Internet Files\Content.Outlook\6DIYYC82\Chart_9.1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000" cy="2999406"/>
                    </a:xfrm>
                    <a:prstGeom prst="rect">
                      <a:avLst/>
                    </a:prstGeom>
                    <a:noFill/>
                    <a:ln>
                      <a:noFill/>
                    </a:ln>
                  </pic:spPr>
                </pic:pic>
              </a:graphicData>
            </a:graphic>
          </wp:inline>
        </w:drawing>
      </w:r>
    </w:p>
    <w:p w:rsidR="00F667DB" w:rsidRPr="00596D01" w:rsidRDefault="00F60480" w:rsidP="00A4014C">
      <w:pPr>
        <w:pStyle w:val="Heading3Numbered"/>
      </w:pPr>
      <w:bookmarkStart w:id="686" w:name="_Toc487702605"/>
      <w:bookmarkStart w:id="687" w:name="_Toc487702957"/>
      <w:bookmarkStart w:id="688" w:name="_Toc487703455"/>
      <w:bookmarkStart w:id="689" w:name="_Toc487703649"/>
      <w:bookmarkStart w:id="690" w:name="_Toc524424782"/>
      <w:r w:rsidRPr="00596D01">
        <w:t>Accommodation supplements</w:t>
      </w:r>
      <w:bookmarkEnd w:id="686"/>
      <w:bookmarkEnd w:id="687"/>
      <w:bookmarkEnd w:id="688"/>
      <w:bookmarkEnd w:id="689"/>
      <w:bookmarkEnd w:id="690"/>
    </w:p>
    <w:p w:rsidR="00221574" w:rsidRDefault="00221574" w:rsidP="00A4014C">
      <w:bookmarkStart w:id="691" w:name="_Toc423338739"/>
      <w:r>
        <w:t>Accommodation supplements are paid by the Commonwealth to assist with the accommodation costs of permanent residents who do not have the means to meet all of that cost themselves (supported residents). These supplements include both the current accommodation supplement and grand-parented supplements under previous policies.</w:t>
      </w:r>
    </w:p>
    <w:p w:rsidR="00F60480" w:rsidRDefault="00F60480" w:rsidP="00A4014C">
      <w:r>
        <w:t>Accommodation supplements (or accommodation payments) do not apply for consumers accessing residential respite care.</w:t>
      </w:r>
    </w:p>
    <w:p w:rsidR="00D8721E" w:rsidRDefault="00221574" w:rsidP="00A4014C">
      <w:r>
        <w:t>The Commonwealth determines the amount of accommodation supplement payable by setting the maximum rate of accommodation supplement and determining the share paid by residents based on</w:t>
      </w:r>
      <w:r w:rsidR="005E4E1F">
        <w:t xml:space="preserve"> a means </w:t>
      </w:r>
      <w:r>
        <w:t>test</w:t>
      </w:r>
      <w:r w:rsidR="00D8721E">
        <w:t>.</w:t>
      </w:r>
    </w:p>
    <w:p w:rsidR="00D8721E" w:rsidRDefault="00221574" w:rsidP="00A4014C">
      <w:r>
        <w:lastRenderedPageBreak/>
        <w:t xml:space="preserve">Two significant reforms from </w:t>
      </w:r>
      <w:r w:rsidR="00031ADB">
        <w:t>1 July</w:t>
      </w:r>
      <w:r w:rsidR="00A261F3">
        <w:t> 201</w:t>
      </w:r>
      <w:r w:rsidR="00031ADB">
        <w:t>4</w:t>
      </w:r>
      <w:r>
        <w:t xml:space="preserve"> affected accommodation payments. A new means test that combined the formerly separate income and assets tests was introduced for residents entering residential care after </w:t>
      </w:r>
      <w:r w:rsidR="00031ADB">
        <w:t>1 July</w:t>
      </w:r>
      <w:r w:rsidR="00A261F3">
        <w:t> 201</w:t>
      </w:r>
      <w:r w:rsidR="00031ADB">
        <w:t>4</w:t>
      </w:r>
      <w:r>
        <w:t>, and the accommodation supplement paid by the Commonwealth to a provider on behalf of supported residents living in aged care homes that have b</w:t>
      </w:r>
      <w:r w:rsidR="00DB1499">
        <w:t>een</w:t>
      </w:r>
      <w:r>
        <w:t xml:space="preserve"> built or significa</w:t>
      </w:r>
      <w:r w:rsidR="00935BDB">
        <w:t>ntly refurbished since 20 April</w:t>
      </w:r>
      <w:r w:rsidR="00A261F3">
        <w:t> 201</w:t>
      </w:r>
      <w:r>
        <w:t>2 was significantly increased</w:t>
      </w:r>
      <w:r w:rsidR="00D8721E">
        <w:t>.</w:t>
      </w:r>
    </w:p>
    <w:p w:rsidR="00F667DB" w:rsidRPr="00596D01" w:rsidRDefault="00F667DB" w:rsidP="00A4014C">
      <w:pPr>
        <w:pStyle w:val="Heading3Numbered"/>
      </w:pPr>
      <w:bookmarkStart w:id="692" w:name="_Toc487702606"/>
      <w:bookmarkStart w:id="693" w:name="_Toc487702958"/>
      <w:bookmarkStart w:id="694" w:name="_Toc487703456"/>
      <w:bookmarkStart w:id="695" w:name="_Toc487703650"/>
      <w:bookmarkStart w:id="696" w:name="_Toc524424783"/>
      <w:r w:rsidRPr="00596D01">
        <w:t>Viability supplement</w:t>
      </w:r>
      <w:bookmarkEnd w:id="691"/>
      <w:bookmarkEnd w:id="692"/>
      <w:bookmarkEnd w:id="693"/>
      <w:bookmarkEnd w:id="694"/>
      <w:bookmarkEnd w:id="695"/>
      <w:bookmarkEnd w:id="696"/>
    </w:p>
    <w:p w:rsidR="00221574" w:rsidRDefault="00221574" w:rsidP="00A4014C">
      <w:r>
        <w:t xml:space="preserve">The viability supplement aims to improve the financial position of smaller, rural and remote aged care </w:t>
      </w:r>
      <w:r w:rsidR="007D17F7">
        <w:t>facilities</w:t>
      </w:r>
      <w:r>
        <w:t xml:space="preserve"> that incur additional costs due to their location and are constrained in their ability to realise economies of scale due to smaller numbers of beds. In addition, the viability supplement also supports providers who specialise in aged care serv</w:t>
      </w:r>
      <w:r w:rsidR="006B308B">
        <w:t>ices for Indigenous people, or </w:t>
      </w:r>
      <w:r>
        <w:t>people who are homeless or who are at risk of becoming homeless, in recognition of the often higher costs a</w:t>
      </w:r>
      <w:r w:rsidR="004F5569">
        <w:t xml:space="preserve">ssociated with </w:t>
      </w:r>
      <w:r w:rsidR="00E978C7">
        <w:t xml:space="preserve">providing </w:t>
      </w:r>
      <w:r w:rsidR="004F5569">
        <w:t>these services.</w:t>
      </w:r>
    </w:p>
    <w:p w:rsidR="00D8721E" w:rsidRDefault="0056557F" w:rsidP="00A4014C">
      <w:pPr>
        <w:rPr>
          <w:lang w:val="en-GB"/>
        </w:rPr>
      </w:pPr>
      <w:r w:rsidRPr="00FC3F99">
        <w:rPr>
          <w:lang w:val="en-GB"/>
        </w:rPr>
        <w:t xml:space="preserve">The supplement is available to residential care </w:t>
      </w:r>
      <w:r w:rsidR="007D17F7">
        <w:rPr>
          <w:lang w:val="en-GB"/>
        </w:rPr>
        <w:t>facilities</w:t>
      </w:r>
      <w:r w:rsidRPr="00FC3F99">
        <w:rPr>
          <w:lang w:val="en-GB"/>
        </w:rPr>
        <w:t>, home care services, Multi-Purpose Services and Aboriginal and Torres Strait Isla</w:t>
      </w:r>
      <w:r w:rsidR="00995BFF">
        <w:rPr>
          <w:lang w:val="en-GB"/>
        </w:rPr>
        <w:t>nder Flexible services. In</w:t>
      </w:r>
      <w:r w:rsidR="00A261F3">
        <w:rPr>
          <w:lang w:val="en-GB"/>
        </w:rPr>
        <w:t> 201</w:t>
      </w:r>
      <w:r w:rsidR="00995BFF">
        <w:rPr>
          <w:lang w:val="en-GB"/>
        </w:rPr>
        <w:t>6</w:t>
      </w:r>
      <w:r w:rsidR="00D8721E">
        <w:rPr>
          <w:lang w:val="en-GB"/>
        </w:rPr>
        <w:t>–1</w:t>
      </w:r>
      <w:r w:rsidRPr="00FC3F99">
        <w:rPr>
          <w:lang w:val="en-GB"/>
        </w:rPr>
        <w:t>7, on average, the viability supplement provided $8,600 per resident per annum for residential care facilities in remote and very remote areas, directly improving their financial results</w:t>
      </w:r>
      <w:r w:rsidR="00D8721E">
        <w:rPr>
          <w:lang w:val="en-GB"/>
        </w:rPr>
        <w:t>.</w:t>
      </w:r>
    </w:p>
    <w:p w:rsidR="00D8721E" w:rsidRDefault="00F230EC" w:rsidP="00A4014C">
      <w:r>
        <w:t>On 1 January</w:t>
      </w:r>
      <w:r w:rsidR="00A261F3">
        <w:t> 201</w:t>
      </w:r>
      <w:r w:rsidR="00221574">
        <w:t xml:space="preserve">7, changes were made to the way that </w:t>
      </w:r>
      <w:r w:rsidR="003E403A">
        <w:t>the viability supplement</w:t>
      </w:r>
      <w:r w:rsidR="00221574">
        <w:t xml:space="preserve"> is calculated. The changes includ</w:t>
      </w:r>
      <w:r w:rsidR="00CF3AAA">
        <w:t>ed</w:t>
      </w:r>
      <w:r w:rsidR="00221574">
        <w:t xml:space="preserve"> applying a more </w:t>
      </w:r>
      <w:r w:rsidR="00DB1499">
        <w:t>appropriate</w:t>
      </w:r>
      <w:r w:rsidR="00221574">
        <w:t xml:space="preserve"> remoteness classification tool (the Modified Monash Model) as well as an overall increase </w:t>
      </w:r>
      <w:r w:rsidR="00BC6D13">
        <w:t xml:space="preserve">in </w:t>
      </w:r>
      <w:r w:rsidR="00AD5CA2">
        <w:t>the amount of viability supplement paid</w:t>
      </w:r>
      <w:r w:rsidR="00E9409C">
        <w:t xml:space="preserve"> </w:t>
      </w:r>
      <w:r w:rsidR="00AD5CA2">
        <w:t>($10</w:t>
      </w:r>
      <w:r w:rsidR="00AB6911">
        <w:t>0</w:t>
      </w:r>
      <w:r w:rsidR="00A261F3">
        <w:t> million</w:t>
      </w:r>
      <w:r w:rsidR="00E9409C">
        <w:rPr>
          <w:rStyle w:val="FootnoteReference"/>
          <w:rFonts w:cs="Segoe UI"/>
        </w:rPr>
        <w:footnoteReference w:id="41"/>
      </w:r>
      <w:r w:rsidR="00AD5CA2">
        <w:t xml:space="preserve"> </w:t>
      </w:r>
      <w:r w:rsidR="003E403A">
        <w:t>over four years</w:t>
      </w:r>
      <w:r w:rsidR="00AD5CA2">
        <w:t xml:space="preserve"> or </w:t>
      </w:r>
      <w:r w:rsidR="00BC6D13">
        <w:t xml:space="preserve">a </w:t>
      </w:r>
      <w:r w:rsidR="003E403A">
        <w:t>30</w:t>
      </w:r>
      <w:r w:rsidR="00A261F3">
        <w:t> per cent</w:t>
      </w:r>
      <w:r w:rsidR="00BC6D13">
        <w:t xml:space="preserve"> increase</w:t>
      </w:r>
      <w:r w:rsidR="00995BFF">
        <w:t>).</w:t>
      </w:r>
    </w:p>
    <w:p w:rsidR="00AD5CA2" w:rsidRPr="00596D01" w:rsidRDefault="00AD5CA2" w:rsidP="00A4014C">
      <w:pPr>
        <w:pStyle w:val="Heading3Numbered"/>
      </w:pPr>
      <w:bookmarkStart w:id="697" w:name="_Toc524424784"/>
      <w:r w:rsidRPr="00596D01">
        <w:t>Homeless supplement</w:t>
      </w:r>
      <w:bookmarkEnd w:id="697"/>
    </w:p>
    <w:p w:rsidR="00D8721E" w:rsidRDefault="00221574" w:rsidP="00A4014C">
      <w:bookmarkStart w:id="698" w:name="_Toc423447898"/>
      <w:bookmarkStart w:id="699" w:name="_Toc423602240"/>
      <w:bookmarkStart w:id="700" w:name="_Toc425243164"/>
      <w:bookmarkStart w:id="701" w:name="_Toc425696568"/>
      <w:bookmarkStart w:id="702" w:name="_Toc425778868"/>
      <w:bookmarkStart w:id="703" w:name="_Toc425861663"/>
      <w:bookmarkStart w:id="704" w:name="_Toc426111684"/>
      <w:r>
        <w:t>A homeless supplement is paid to providers for each resident of an eligible aged care home. Eligibility for the supplement is based on an aged care home having more than 50</w:t>
      </w:r>
      <w:r w:rsidR="00A261F3">
        <w:t> per cent</w:t>
      </w:r>
      <w:r>
        <w:t xml:space="preserve"> of its residents who are identified as being homeless, or at risk of being homeless. The supplement is in addition to the funding provided under the viability supplement</w:t>
      </w:r>
      <w:r w:rsidR="00D8721E">
        <w:t>.</w:t>
      </w:r>
    </w:p>
    <w:p w:rsidR="00D8721E" w:rsidRDefault="00600D1F" w:rsidP="00A4014C">
      <w:pPr>
        <w:rPr>
          <w:lang w:val="en-GB"/>
        </w:rPr>
      </w:pPr>
      <w:r w:rsidRPr="00600D1F">
        <w:rPr>
          <w:lang w:val="en-GB"/>
        </w:rPr>
        <w:t xml:space="preserve">As at </w:t>
      </w:r>
      <w:r w:rsidR="00A261F3">
        <w:rPr>
          <w:lang w:val="en-GB"/>
        </w:rPr>
        <w:t>30 J</w:t>
      </w:r>
      <w:r w:rsidR="00ED43AB">
        <w:rPr>
          <w:lang w:val="en-GB"/>
        </w:rPr>
        <w:t>une</w:t>
      </w:r>
      <w:r w:rsidR="00A261F3">
        <w:rPr>
          <w:lang w:val="en-GB"/>
        </w:rPr>
        <w:t> 201</w:t>
      </w:r>
      <w:r w:rsidR="0060525A">
        <w:rPr>
          <w:lang w:val="en-GB"/>
        </w:rPr>
        <w:t>7</w:t>
      </w:r>
      <w:r w:rsidR="002A6183">
        <w:rPr>
          <w:lang w:val="en-GB"/>
        </w:rPr>
        <w:t>,</w:t>
      </w:r>
      <w:r w:rsidRPr="00600D1F">
        <w:rPr>
          <w:lang w:val="en-GB"/>
        </w:rPr>
        <w:t xml:space="preserve"> the homeless supplement was bei</w:t>
      </w:r>
      <w:r w:rsidR="008C0AA9">
        <w:rPr>
          <w:lang w:val="en-GB"/>
        </w:rPr>
        <w:t>ng paid in respect of around 1,5</w:t>
      </w:r>
      <w:r w:rsidRPr="00600D1F">
        <w:rPr>
          <w:lang w:val="en-GB"/>
        </w:rPr>
        <w:t>00 residents</w:t>
      </w:r>
      <w:r>
        <w:rPr>
          <w:lang w:val="en-GB"/>
        </w:rPr>
        <w:t>.</w:t>
      </w:r>
      <w:r w:rsidR="00807B58">
        <w:rPr>
          <w:lang w:val="en-GB"/>
        </w:rPr>
        <w:t xml:space="preserve"> In</w:t>
      </w:r>
      <w:r w:rsidR="00A261F3">
        <w:rPr>
          <w:lang w:val="en-GB"/>
        </w:rPr>
        <w:t> 201</w:t>
      </w:r>
      <w:r w:rsidR="00807B58">
        <w:rPr>
          <w:lang w:val="en-GB"/>
        </w:rPr>
        <w:t>6</w:t>
      </w:r>
      <w:r w:rsidR="00D8721E">
        <w:rPr>
          <w:lang w:val="en-GB"/>
        </w:rPr>
        <w:t>–1</w:t>
      </w:r>
      <w:r w:rsidR="00807B58">
        <w:rPr>
          <w:lang w:val="en-GB"/>
        </w:rPr>
        <w:t>7 $8.3</w:t>
      </w:r>
      <w:r w:rsidR="00A261F3">
        <w:rPr>
          <w:lang w:val="en-GB"/>
        </w:rPr>
        <w:t> million</w:t>
      </w:r>
      <w:r w:rsidR="00807B58">
        <w:rPr>
          <w:lang w:val="en-GB"/>
        </w:rPr>
        <w:t xml:space="preserve"> was paid for the supplement.</w:t>
      </w:r>
    </w:p>
    <w:p w:rsidR="00C665CC" w:rsidRPr="00596D01" w:rsidRDefault="00C665CC" w:rsidP="00A4014C">
      <w:pPr>
        <w:pStyle w:val="Heading3Numbered"/>
      </w:pPr>
      <w:bookmarkStart w:id="705" w:name="_Toc487702608"/>
      <w:bookmarkStart w:id="706" w:name="_Toc487702960"/>
      <w:bookmarkStart w:id="707" w:name="_Toc487703458"/>
      <w:bookmarkStart w:id="708" w:name="_Toc487703652"/>
      <w:bookmarkStart w:id="709" w:name="_Toc524424785"/>
      <w:r w:rsidRPr="00596D01">
        <w:t>Resident operational funding</w:t>
      </w:r>
      <w:bookmarkEnd w:id="705"/>
      <w:bookmarkEnd w:id="706"/>
      <w:bookmarkEnd w:id="707"/>
      <w:bookmarkEnd w:id="708"/>
      <w:bookmarkEnd w:id="709"/>
    </w:p>
    <w:p w:rsidR="00221574" w:rsidRDefault="00221574" w:rsidP="00A4014C">
      <w:pPr>
        <w:rPr>
          <w:lang w:eastAsia="en-US"/>
        </w:rPr>
      </w:pPr>
      <w:r>
        <w:rPr>
          <w:lang w:eastAsia="en-US"/>
        </w:rPr>
        <w:t>Contributions by permanent residents in</w:t>
      </w:r>
      <w:r w:rsidR="00A261F3">
        <w:rPr>
          <w:lang w:eastAsia="en-US"/>
        </w:rPr>
        <w:t> 201</w:t>
      </w:r>
      <w:r w:rsidR="00210CA2">
        <w:rPr>
          <w:lang w:eastAsia="en-US"/>
        </w:rPr>
        <w:t>6</w:t>
      </w:r>
      <w:r w:rsidR="00D8721E">
        <w:rPr>
          <w:lang w:eastAsia="en-US"/>
        </w:rPr>
        <w:t>–1</w:t>
      </w:r>
      <w:r w:rsidR="00210CA2">
        <w:rPr>
          <w:lang w:eastAsia="en-US"/>
        </w:rPr>
        <w:t>7</w:t>
      </w:r>
      <w:r>
        <w:rPr>
          <w:lang w:eastAsia="en-US"/>
        </w:rPr>
        <w:t xml:space="preserve"> for oper</w:t>
      </w:r>
      <w:r w:rsidR="00995BFF">
        <w:rPr>
          <w:lang w:eastAsia="en-US"/>
        </w:rPr>
        <w:t xml:space="preserve">ational funding were made </w:t>
      </w:r>
      <w:r>
        <w:rPr>
          <w:lang w:eastAsia="en-US"/>
        </w:rPr>
        <w:t>up of:</w:t>
      </w:r>
    </w:p>
    <w:p w:rsidR="00221574" w:rsidRDefault="00221574" w:rsidP="00A4014C">
      <w:pPr>
        <w:pStyle w:val="Bullet1"/>
        <w:rPr>
          <w:lang w:eastAsia="en-US"/>
        </w:rPr>
      </w:pPr>
      <w:r w:rsidRPr="00596D01">
        <w:rPr>
          <w:rStyle w:val="Strong"/>
        </w:rPr>
        <w:t xml:space="preserve">A basic daily fee, </w:t>
      </w:r>
      <w:r>
        <w:rPr>
          <w:lang w:eastAsia="en-US"/>
        </w:rPr>
        <w:t xml:space="preserve">which is a contribution towards living expenses such as meals, laundry services, utilities and toiletries. </w:t>
      </w:r>
      <w:r w:rsidR="00F60480">
        <w:rPr>
          <w:lang w:eastAsia="en-US"/>
        </w:rPr>
        <w:t>The price is set by the Commonwealth,</w:t>
      </w:r>
      <w:r w:rsidR="00E978C7">
        <w:rPr>
          <w:lang w:eastAsia="en-US"/>
        </w:rPr>
        <w:t xml:space="preserve"> and</w:t>
      </w:r>
      <w:r w:rsidR="00F60480">
        <w:rPr>
          <w:lang w:eastAsia="en-US"/>
        </w:rPr>
        <w:t xml:space="preserve"> </w:t>
      </w:r>
      <w:r>
        <w:rPr>
          <w:lang w:eastAsia="en-US"/>
        </w:rPr>
        <w:t>is currently set at a maximum of 8</w:t>
      </w:r>
      <w:r w:rsidR="009C307B">
        <w:rPr>
          <w:lang w:eastAsia="en-US"/>
        </w:rPr>
        <w:t>5</w:t>
      </w:r>
      <w:r w:rsidR="00A261F3">
        <w:rPr>
          <w:lang w:eastAsia="en-US"/>
        </w:rPr>
        <w:t> per cent</w:t>
      </w:r>
      <w:r>
        <w:rPr>
          <w:lang w:eastAsia="en-US"/>
        </w:rPr>
        <w:t xml:space="preserve"> of the single basic age pension.</w:t>
      </w:r>
    </w:p>
    <w:p w:rsidR="008D28C0" w:rsidRPr="008D28C0" w:rsidRDefault="008D28C0" w:rsidP="00A4014C">
      <w:pPr>
        <w:pStyle w:val="Bullet1"/>
        <w:rPr>
          <w:lang w:eastAsia="en-US"/>
        </w:rPr>
      </w:pPr>
      <w:r w:rsidRPr="00596D01">
        <w:rPr>
          <w:rStyle w:val="Strong"/>
        </w:rPr>
        <w:t xml:space="preserve">A means tested care fee, </w:t>
      </w:r>
      <w:r w:rsidRPr="008D28C0">
        <w:rPr>
          <w:lang w:eastAsia="en-US"/>
        </w:rPr>
        <w:t>which is a contribution some residents make towards their care costs (personal and nursing) based on their assessable income and assets</w:t>
      </w:r>
      <w:r w:rsidRPr="008D28C0">
        <w:t xml:space="preserve">. </w:t>
      </w:r>
      <w:r w:rsidRPr="008D28C0">
        <w:rPr>
          <w:lang w:eastAsia="en-US"/>
        </w:rPr>
        <w:t>Annual and lifetime caps on care contributions apply as a consumer protection. As at 1 July</w:t>
      </w:r>
      <w:r w:rsidR="00A261F3">
        <w:rPr>
          <w:lang w:eastAsia="en-US"/>
        </w:rPr>
        <w:t> 201</w:t>
      </w:r>
      <w:r w:rsidRPr="008D28C0">
        <w:rPr>
          <w:lang w:eastAsia="en-US"/>
        </w:rPr>
        <w:t>8 the annual cap for a means tested care fee</w:t>
      </w:r>
      <w:r w:rsidR="00BC6D13">
        <w:rPr>
          <w:lang w:eastAsia="en-US"/>
        </w:rPr>
        <w:t xml:space="preserve"> was</w:t>
      </w:r>
      <w:r w:rsidRPr="008D28C0">
        <w:rPr>
          <w:lang w:eastAsia="en-US"/>
        </w:rPr>
        <w:t xml:space="preserve"> $26,964.71, with </w:t>
      </w:r>
      <w:r w:rsidR="00BC6D13">
        <w:rPr>
          <w:lang w:eastAsia="en-US"/>
        </w:rPr>
        <w:t>a</w:t>
      </w:r>
      <w:r w:rsidRPr="008D28C0">
        <w:rPr>
          <w:lang w:eastAsia="en-US"/>
        </w:rPr>
        <w:t> lifetime cap of $64,715.36</w:t>
      </w:r>
      <w:r w:rsidR="00BC6D13">
        <w:rPr>
          <w:lang w:eastAsia="en-US"/>
        </w:rPr>
        <w:t xml:space="preserve"> also </w:t>
      </w:r>
      <w:r w:rsidRPr="008D28C0">
        <w:rPr>
          <w:lang w:eastAsia="en-US"/>
        </w:rPr>
        <w:t>applying.</w:t>
      </w:r>
    </w:p>
    <w:p w:rsidR="00E83FDE" w:rsidRDefault="00221574" w:rsidP="00A4014C">
      <w:pPr>
        <w:pStyle w:val="Bullet1"/>
        <w:rPr>
          <w:lang w:eastAsia="en-US"/>
        </w:rPr>
      </w:pPr>
      <w:r w:rsidRPr="00596D01">
        <w:rPr>
          <w:rStyle w:val="Strong"/>
        </w:rPr>
        <w:t xml:space="preserve">Accommodation payments, </w:t>
      </w:r>
      <w:r w:rsidRPr="00E83FDE">
        <w:rPr>
          <w:lang w:eastAsia="en-US"/>
        </w:rPr>
        <w:t xml:space="preserve">are daily payments for accommodation in an aged care </w:t>
      </w:r>
      <w:r w:rsidR="002A6183">
        <w:rPr>
          <w:lang w:eastAsia="en-US"/>
        </w:rPr>
        <w:t>facility</w:t>
      </w:r>
      <w:r w:rsidRPr="00E83FDE">
        <w:rPr>
          <w:lang w:eastAsia="en-US"/>
        </w:rPr>
        <w:t xml:space="preserve">. Lump sum accommodation deposits are not </w:t>
      </w:r>
      <w:r w:rsidR="00D65E27">
        <w:rPr>
          <w:lang w:eastAsia="en-US"/>
        </w:rPr>
        <w:t>treated as</w:t>
      </w:r>
      <w:r w:rsidRPr="00E83FDE">
        <w:rPr>
          <w:lang w:eastAsia="en-US"/>
        </w:rPr>
        <w:t xml:space="preserve"> revenue</w:t>
      </w:r>
      <w:r w:rsidR="00D65E27">
        <w:rPr>
          <w:lang w:eastAsia="en-US"/>
        </w:rPr>
        <w:t xml:space="preserve">, but as capital financing which </w:t>
      </w:r>
      <w:r w:rsidR="00EA7E6A">
        <w:rPr>
          <w:lang w:eastAsia="en-US"/>
        </w:rPr>
        <w:t>is</w:t>
      </w:r>
      <w:r w:rsidR="00D65E27">
        <w:rPr>
          <w:lang w:eastAsia="en-US"/>
        </w:rPr>
        <w:t xml:space="preserve"> </w:t>
      </w:r>
      <w:r w:rsidR="00DB397F">
        <w:rPr>
          <w:lang w:eastAsia="en-US"/>
        </w:rPr>
        <w:t>discussed in C</w:t>
      </w:r>
      <w:r w:rsidRPr="00E83FDE">
        <w:rPr>
          <w:lang w:eastAsia="en-US"/>
        </w:rPr>
        <w:t>hapter 10.</w:t>
      </w:r>
    </w:p>
    <w:p w:rsidR="00E83FDE" w:rsidRPr="00E83FDE" w:rsidRDefault="00E83FDE" w:rsidP="00A4014C">
      <w:pPr>
        <w:pStyle w:val="Bullet1"/>
        <w:rPr>
          <w:lang w:eastAsia="en-US"/>
        </w:rPr>
      </w:pPr>
      <w:r w:rsidRPr="00596D01">
        <w:rPr>
          <w:rStyle w:val="Strong"/>
        </w:rPr>
        <w:t>Extra service fees,</w:t>
      </w:r>
      <w:r w:rsidRPr="00E83FDE">
        <w:rPr>
          <w:lang w:eastAsia="en-US"/>
        </w:rPr>
        <w:t xml:space="preserve"> which residents </w:t>
      </w:r>
      <w:r w:rsidR="008964C0">
        <w:rPr>
          <w:lang w:eastAsia="en-US"/>
        </w:rPr>
        <w:t xml:space="preserve">in aged care facilities with extra service status </w:t>
      </w:r>
      <w:r w:rsidR="00907556">
        <w:rPr>
          <w:lang w:eastAsia="en-US"/>
        </w:rPr>
        <w:t xml:space="preserve">may be asked to </w:t>
      </w:r>
      <w:r w:rsidRPr="00E83FDE">
        <w:rPr>
          <w:lang w:eastAsia="en-US"/>
        </w:rPr>
        <w:t xml:space="preserve">pay for significantly higher standards of accommodation, food and non-care services. These vary from </w:t>
      </w:r>
      <w:r w:rsidR="002A6183">
        <w:rPr>
          <w:lang w:eastAsia="en-US"/>
        </w:rPr>
        <w:t>facility to faci</w:t>
      </w:r>
      <w:r w:rsidR="008964C0">
        <w:rPr>
          <w:lang w:eastAsia="en-US"/>
        </w:rPr>
        <w:t>l</w:t>
      </w:r>
      <w:r w:rsidR="002A6183">
        <w:rPr>
          <w:lang w:eastAsia="en-US"/>
        </w:rPr>
        <w:t>ity</w:t>
      </w:r>
      <w:r w:rsidRPr="00E83FDE">
        <w:rPr>
          <w:lang w:eastAsia="en-US"/>
        </w:rPr>
        <w:t>.</w:t>
      </w:r>
    </w:p>
    <w:p w:rsidR="00D8721E" w:rsidRDefault="00E83FDE" w:rsidP="00A4014C">
      <w:pPr>
        <w:pStyle w:val="Bullet1"/>
        <w:rPr>
          <w:lang w:eastAsia="en-US"/>
        </w:rPr>
      </w:pPr>
      <w:r w:rsidRPr="00596D01">
        <w:rPr>
          <w:rStyle w:val="Strong"/>
        </w:rPr>
        <w:t>Additional services fees,</w:t>
      </w:r>
      <w:r w:rsidRPr="00E83FDE">
        <w:rPr>
          <w:lang w:eastAsia="en-US"/>
        </w:rPr>
        <w:t xml:space="preserve"> which are for care and services </w:t>
      </w:r>
      <w:r w:rsidR="00BC6D13">
        <w:rPr>
          <w:lang w:eastAsia="en-US"/>
        </w:rPr>
        <w:t xml:space="preserve">in non-extra service facilities that are </w:t>
      </w:r>
      <w:r w:rsidRPr="00E83FDE">
        <w:rPr>
          <w:lang w:eastAsia="en-US"/>
        </w:rPr>
        <w:t>over and above those that providers are required to deliver</w:t>
      </w:r>
      <w:r w:rsidR="00BC6D13">
        <w:rPr>
          <w:lang w:eastAsia="en-US"/>
        </w:rPr>
        <w:t>,</w:t>
      </w:r>
      <w:r w:rsidRPr="00E83FDE">
        <w:rPr>
          <w:lang w:eastAsia="en-US"/>
        </w:rPr>
        <w:t xml:space="preserve"> and must be agreed between the resident and provider. These vary from </w:t>
      </w:r>
      <w:r w:rsidR="005161A3">
        <w:rPr>
          <w:lang w:eastAsia="en-US"/>
        </w:rPr>
        <w:t>facility to facility</w:t>
      </w:r>
      <w:r w:rsidRPr="00E83FDE">
        <w:rPr>
          <w:lang w:eastAsia="en-US"/>
        </w:rPr>
        <w:t>.</w:t>
      </w:r>
    </w:p>
    <w:p w:rsidR="00C665CC" w:rsidRPr="00596D01" w:rsidRDefault="008E4380" w:rsidP="00A4014C">
      <w:pPr>
        <w:pStyle w:val="Heading2Numbered"/>
      </w:pPr>
      <w:bookmarkStart w:id="710" w:name="_Toc423017959"/>
      <w:bookmarkStart w:id="711" w:name="_Toc423447899"/>
      <w:bookmarkStart w:id="712" w:name="_Toc423602241"/>
      <w:bookmarkStart w:id="713" w:name="_Toc457549920"/>
      <w:bookmarkStart w:id="714" w:name="_Toc487702609"/>
      <w:bookmarkStart w:id="715" w:name="_Toc487702961"/>
      <w:bookmarkStart w:id="716" w:name="_Toc487703459"/>
      <w:bookmarkStart w:id="717" w:name="_Toc487703653"/>
      <w:bookmarkStart w:id="718" w:name="_Toc524424786"/>
      <w:r w:rsidRPr="00596D01">
        <w:lastRenderedPageBreak/>
        <w:t>Analysis of</w:t>
      </w:r>
      <w:r w:rsidR="00A261F3" w:rsidRPr="00596D01">
        <w:t> 201</w:t>
      </w:r>
      <w:r w:rsidR="00597C30" w:rsidRPr="00596D01">
        <w:t>6</w:t>
      </w:r>
      <w:r w:rsidR="00D8721E" w:rsidRPr="00596D01">
        <w:t>–1</w:t>
      </w:r>
      <w:r w:rsidR="00597C30" w:rsidRPr="00596D01">
        <w:t>7</w:t>
      </w:r>
      <w:r w:rsidR="00C665CC" w:rsidRPr="00596D01">
        <w:t xml:space="preserve"> </w:t>
      </w:r>
      <w:r w:rsidR="00EB4D90" w:rsidRPr="00596D01">
        <w:t>financial performance of residential aged c</w:t>
      </w:r>
      <w:r w:rsidR="00C665CC" w:rsidRPr="00596D01">
        <w:t>are</w:t>
      </w:r>
      <w:bookmarkEnd w:id="710"/>
      <w:bookmarkEnd w:id="711"/>
      <w:bookmarkEnd w:id="712"/>
      <w:r w:rsidR="00EB4D90" w:rsidRPr="00596D01">
        <w:t xml:space="preserve"> p</w:t>
      </w:r>
      <w:r w:rsidR="00C665CC" w:rsidRPr="00596D01">
        <w:t>roviders</w:t>
      </w:r>
      <w:bookmarkEnd w:id="713"/>
      <w:bookmarkEnd w:id="714"/>
      <w:bookmarkEnd w:id="715"/>
      <w:bookmarkEnd w:id="716"/>
      <w:bookmarkEnd w:id="717"/>
      <w:bookmarkEnd w:id="718"/>
    </w:p>
    <w:p w:rsidR="00D8721E" w:rsidRDefault="00221574" w:rsidP="00A4014C">
      <w:pPr>
        <w:rPr>
          <w:lang w:val="en-GB"/>
        </w:rPr>
      </w:pPr>
      <w:bookmarkStart w:id="719" w:name="01"/>
      <w:bookmarkStart w:id="720" w:name="03"/>
      <w:bookmarkStart w:id="721" w:name="05"/>
      <w:bookmarkStart w:id="722" w:name="06"/>
      <w:bookmarkStart w:id="723" w:name="07"/>
      <w:bookmarkStart w:id="724" w:name="10"/>
      <w:bookmarkStart w:id="725" w:name="12"/>
      <w:bookmarkStart w:id="726" w:name="_Ref452499131"/>
      <w:bookmarkStart w:id="727" w:name="_Ref453223834"/>
      <w:bookmarkEnd w:id="671"/>
      <w:bookmarkEnd w:id="672"/>
      <w:bookmarkEnd w:id="698"/>
      <w:bookmarkEnd w:id="699"/>
      <w:bookmarkEnd w:id="700"/>
      <w:bookmarkEnd w:id="701"/>
      <w:bookmarkEnd w:id="702"/>
      <w:bookmarkEnd w:id="703"/>
      <w:bookmarkEnd w:id="704"/>
      <w:bookmarkEnd w:id="719"/>
      <w:bookmarkEnd w:id="720"/>
      <w:bookmarkEnd w:id="721"/>
      <w:bookmarkEnd w:id="722"/>
      <w:bookmarkEnd w:id="723"/>
      <w:bookmarkEnd w:id="724"/>
      <w:bookmarkEnd w:id="725"/>
      <w:r w:rsidRPr="005161A3">
        <w:rPr>
          <w:lang w:val="en-GB"/>
        </w:rPr>
        <w:t xml:space="preserve">As noted in previous ACFA reports, the financial </w:t>
      </w:r>
      <w:r w:rsidR="003D1F8C" w:rsidRPr="005161A3">
        <w:rPr>
          <w:lang w:val="en-GB"/>
        </w:rPr>
        <w:t xml:space="preserve">performance of residential </w:t>
      </w:r>
      <w:r w:rsidRPr="005161A3">
        <w:rPr>
          <w:lang w:val="en-GB"/>
        </w:rPr>
        <w:t xml:space="preserve">care providers is affected by variations in both revenue and expenditure. It </w:t>
      </w:r>
      <w:r w:rsidR="006B308B" w:rsidRPr="005161A3">
        <w:rPr>
          <w:lang w:val="en-GB"/>
        </w:rPr>
        <w:t xml:space="preserve">can also vary depending on the location </w:t>
      </w:r>
      <w:r w:rsidRPr="005161A3">
        <w:rPr>
          <w:lang w:val="en-GB"/>
        </w:rPr>
        <w:t>in which care is delivered</w:t>
      </w:r>
      <w:r w:rsidR="00D8721E">
        <w:rPr>
          <w:lang w:val="en-GB"/>
        </w:rPr>
        <w:t>.</w:t>
      </w:r>
    </w:p>
    <w:p w:rsidR="00D8721E" w:rsidRDefault="00221574" w:rsidP="00A4014C">
      <w:pPr>
        <w:rPr>
          <w:lang w:val="en-GB"/>
        </w:rPr>
      </w:pPr>
      <w:r w:rsidRPr="005161A3">
        <w:rPr>
          <w:lang w:val="en-GB"/>
        </w:rPr>
        <w:t>Operational funding contributes to the cost of provision of services to residents. Additionally, if surpluses in any one year contribute to Retained Earnings in the balance sheet, such equity may be contributed towards capital financing for the provision of infrastructure</w:t>
      </w:r>
      <w:r w:rsidR="00D8721E">
        <w:rPr>
          <w:lang w:val="en-GB"/>
        </w:rPr>
        <w:t>.</w:t>
      </w:r>
    </w:p>
    <w:p w:rsidR="00D8721E" w:rsidRDefault="002D3E32" w:rsidP="00A4014C">
      <w:pPr>
        <w:rPr>
          <w:lang w:val="en-GB"/>
        </w:rPr>
      </w:pPr>
      <w:r w:rsidRPr="005161A3">
        <w:rPr>
          <w:lang w:val="en-GB"/>
        </w:rPr>
        <w:t xml:space="preserve">The </w:t>
      </w:r>
      <w:r w:rsidR="00B52E08">
        <w:rPr>
          <w:lang w:val="en-GB"/>
        </w:rPr>
        <w:t>top half</w:t>
      </w:r>
      <w:r w:rsidR="00BC6D13">
        <w:rPr>
          <w:lang w:val="en-GB"/>
        </w:rPr>
        <w:t xml:space="preserve"> of</w:t>
      </w:r>
      <w:r w:rsidR="00B52E08">
        <w:rPr>
          <w:lang w:val="en-GB"/>
        </w:rPr>
        <w:t xml:space="preserve"> </w:t>
      </w:r>
      <w:r w:rsidR="00492BF8">
        <w:rPr>
          <w:lang w:val="en-GB"/>
        </w:rPr>
        <w:fldChar w:fldCharType="begin"/>
      </w:r>
      <w:r w:rsidR="00492BF8">
        <w:rPr>
          <w:lang w:val="en-GB"/>
        </w:rPr>
        <w:instrText xml:space="preserve"> REF _Ref524428980 \r \h </w:instrText>
      </w:r>
      <w:r w:rsidR="00492BF8">
        <w:rPr>
          <w:lang w:val="en-GB"/>
        </w:rPr>
      </w:r>
      <w:r w:rsidR="00492BF8">
        <w:rPr>
          <w:lang w:val="en-GB"/>
        </w:rPr>
        <w:fldChar w:fldCharType="separate"/>
      </w:r>
      <w:r w:rsidR="00492BF8">
        <w:rPr>
          <w:lang w:val="en-GB"/>
        </w:rPr>
        <w:t>Figure 9.2</w:t>
      </w:r>
      <w:r w:rsidR="00492BF8">
        <w:rPr>
          <w:lang w:val="en-GB"/>
        </w:rPr>
        <w:fldChar w:fldCharType="end"/>
      </w:r>
      <w:r w:rsidR="00492BF8">
        <w:rPr>
          <w:lang w:val="en-GB"/>
        </w:rPr>
        <w:t xml:space="preserve"> </w:t>
      </w:r>
      <w:r w:rsidRPr="005161A3">
        <w:rPr>
          <w:lang w:val="en-GB"/>
        </w:rPr>
        <w:t>maps operational funding of the residential care sector in</w:t>
      </w:r>
      <w:r w:rsidR="00A261F3">
        <w:rPr>
          <w:lang w:val="en-GB"/>
        </w:rPr>
        <w:t> 201</w:t>
      </w:r>
      <w:r w:rsidRPr="005161A3">
        <w:rPr>
          <w:lang w:val="en-GB"/>
        </w:rPr>
        <w:t>6</w:t>
      </w:r>
      <w:r w:rsidR="00D8721E">
        <w:rPr>
          <w:lang w:val="en-GB"/>
        </w:rPr>
        <w:t>–1</w:t>
      </w:r>
      <w:r w:rsidRPr="005161A3">
        <w:rPr>
          <w:lang w:val="en-GB"/>
        </w:rPr>
        <w:t xml:space="preserve">7. The capital financing portion of the Figure is explained and </w:t>
      </w:r>
      <w:r w:rsidR="00FE6782">
        <w:rPr>
          <w:lang w:val="en-GB"/>
        </w:rPr>
        <w:t>discussed in Chapter 10 (</w:t>
      </w:r>
      <w:r w:rsidR="00492BF8">
        <w:rPr>
          <w:lang w:val="en-GB"/>
        </w:rPr>
        <w:fldChar w:fldCharType="begin"/>
      </w:r>
      <w:r w:rsidR="00492BF8">
        <w:rPr>
          <w:lang w:val="en-GB"/>
        </w:rPr>
        <w:instrText xml:space="preserve"> REF _Ref524428996 \r \h </w:instrText>
      </w:r>
      <w:r w:rsidR="00492BF8">
        <w:rPr>
          <w:lang w:val="en-GB"/>
        </w:rPr>
      </w:r>
      <w:r w:rsidR="00492BF8">
        <w:rPr>
          <w:lang w:val="en-GB"/>
        </w:rPr>
        <w:fldChar w:fldCharType="separate"/>
      </w:r>
      <w:r w:rsidR="00492BF8">
        <w:rPr>
          <w:lang w:val="en-GB"/>
        </w:rPr>
        <w:t>Figure 10.1</w:t>
      </w:r>
      <w:r w:rsidR="00492BF8">
        <w:rPr>
          <w:lang w:val="en-GB"/>
        </w:rPr>
        <w:fldChar w:fldCharType="end"/>
      </w:r>
      <w:r w:rsidRPr="005161A3">
        <w:rPr>
          <w:lang w:val="en-GB"/>
        </w:rPr>
        <w:t>). The financial performance (profit and loss in the current financial year) is discussed in this section.</w:t>
      </w:r>
    </w:p>
    <w:p w:rsidR="00052188" w:rsidRPr="00596D01" w:rsidRDefault="00FB0B5E" w:rsidP="00A4014C">
      <w:pPr>
        <w:pStyle w:val="FigureTitle"/>
      </w:pPr>
      <w:bookmarkStart w:id="728" w:name="_Ref524428980"/>
      <w:r w:rsidRPr="00596D01">
        <w:t>Residential aged care funding/financing sources,</w:t>
      </w:r>
      <w:r w:rsidR="00A261F3" w:rsidRPr="00596D01">
        <w:t> 201</w:t>
      </w:r>
      <w:r w:rsidRPr="00596D01">
        <w:t>6</w:t>
      </w:r>
      <w:r w:rsidR="00D8721E" w:rsidRPr="00596D01">
        <w:t>–1</w:t>
      </w:r>
      <w:r w:rsidRPr="00596D01">
        <w:t>7</w:t>
      </w:r>
      <w:bookmarkEnd w:id="728"/>
    </w:p>
    <w:p w:rsidR="00D8721E" w:rsidRPr="00596D01" w:rsidRDefault="00605C04" w:rsidP="00A4014C">
      <w:r w:rsidRPr="00596D01">
        <w:rPr>
          <w:noProof/>
        </w:rPr>
        <w:drawing>
          <wp:inline distT="0" distB="0" distL="0" distR="0" wp14:anchorId="6EAA6D6E" wp14:editId="1B350595">
            <wp:extent cx="6120000" cy="3359243"/>
            <wp:effectExtent l="0" t="0" r="0" b="0"/>
            <wp:docPr id="42" name="Picture 42" descr="Figure 9.2 Residential aged care funding/financing sources,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zc0004\AppData\Local\Microsoft\Windows\Temporary Internet Files\Content.Outlook\6DIYYC82\Figure_9.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000" cy="3359243"/>
                    </a:xfrm>
                    <a:prstGeom prst="rect">
                      <a:avLst/>
                    </a:prstGeom>
                    <a:noFill/>
                    <a:ln>
                      <a:noFill/>
                    </a:ln>
                  </pic:spPr>
                </pic:pic>
              </a:graphicData>
            </a:graphic>
          </wp:inline>
        </w:drawing>
      </w:r>
    </w:p>
    <w:p w:rsidR="00DE25E2" w:rsidRPr="002A5BF6" w:rsidRDefault="00DE25E2" w:rsidP="00A4014C">
      <w:pPr>
        <w:rPr>
          <w:color w:val="FF0000"/>
          <w:lang w:val="en-GB"/>
        </w:rPr>
      </w:pPr>
      <w:r>
        <w:rPr>
          <w:lang w:val="en-GB"/>
        </w:rPr>
        <w:t>ACFA notes there are some reporting differences in</w:t>
      </w:r>
      <w:r w:rsidR="00A261F3">
        <w:rPr>
          <w:lang w:val="en-GB"/>
        </w:rPr>
        <w:t> 201</w:t>
      </w:r>
      <w:r>
        <w:rPr>
          <w:lang w:val="en-GB"/>
        </w:rPr>
        <w:t>6</w:t>
      </w:r>
      <w:r w:rsidR="00D8721E">
        <w:rPr>
          <w:lang w:val="en-GB"/>
        </w:rPr>
        <w:t>–1</w:t>
      </w:r>
      <w:r>
        <w:rPr>
          <w:lang w:val="en-GB"/>
        </w:rPr>
        <w:t>7 which affect some comparisons between</w:t>
      </w:r>
      <w:r w:rsidR="00A261F3">
        <w:rPr>
          <w:lang w:val="en-GB"/>
        </w:rPr>
        <w:t> 201</w:t>
      </w:r>
      <w:r>
        <w:rPr>
          <w:lang w:val="en-GB"/>
        </w:rPr>
        <w:t>6</w:t>
      </w:r>
      <w:r w:rsidR="00D8721E">
        <w:rPr>
          <w:lang w:val="en-GB"/>
        </w:rPr>
        <w:t>–1</w:t>
      </w:r>
      <w:r>
        <w:rPr>
          <w:lang w:val="en-GB"/>
        </w:rPr>
        <w:t>7 and previous years. I</w:t>
      </w:r>
      <w:r w:rsidRPr="00DE25E2">
        <w:rPr>
          <w:lang w:val="en-GB"/>
        </w:rPr>
        <w:t>n its September</w:t>
      </w:r>
      <w:r w:rsidR="00A261F3">
        <w:rPr>
          <w:lang w:val="en-GB"/>
        </w:rPr>
        <w:t> 201</w:t>
      </w:r>
      <w:r w:rsidRPr="00DE25E2">
        <w:rPr>
          <w:lang w:val="en-GB"/>
        </w:rPr>
        <w:t xml:space="preserve">4 report, </w:t>
      </w:r>
      <w:r w:rsidRPr="00596D01">
        <w:rPr>
          <w:rStyle w:val="Emphasis"/>
        </w:rPr>
        <w:t>Improving the Collection of Financial Data from Aged Care Providers</w:t>
      </w:r>
      <w:r w:rsidRPr="00DE25E2">
        <w:rPr>
          <w:lang w:val="en-GB"/>
        </w:rPr>
        <w:t xml:space="preserve">, </w:t>
      </w:r>
      <w:r w:rsidR="008C59D5">
        <w:rPr>
          <w:lang w:val="en-GB"/>
        </w:rPr>
        <w:t xml:space="preserve">ACFA </w:t>
      </w:r>
      <w:r w:rsidRPr="00DE25E2">
        <w:rPr>
          <w:lang w:val="en-GB"/>
        </w:rPr>
        <w:t xml:space="preserve">recommended a new </w:t>
      </w:r>
      <w:r>
        <w:rPr>
          <w:lang w:val="en-GB"/>
        </w:rPr>
        <w:t xml:space="preserve">Aged Care Financial Report (ACFR) </w:t>
      </w:r>
      <w:r w:rsidRPr="00DE25E2">
        <w:rPr>
          <w:lang w:val="en-GB"/>
        </w:rPr>
        <w:t>be introduced to consolidate the General Purpose Financial Report (GPFR), the Annual Prudential Compliance Statement (APCS), the Survey of Aged Care Homes (SACH) and the home care Financial</w:t>
      </w:r>
      <w:r w:rsidR="002A5BF6">
        <w:rPr>
          <w:lang w:val="en-GB"/>
        </w:rPr>
        <w:t xml:space="preserve"> Accountability Reports (FAR). </w:t>
      </w:r>
      <w:r w:rsidR="006A61A9">
        <w:rPr>
          <w:lang w:val="en-GB"/>
        </w:rPr>
        <w:t>I</w:t>
      </w:r>
      <w:r w:rsidR="002A5BF6" w:rsidRPr="006A61A9">
        <w:rPr>
          <w:lang w:val="en-GB"/>
        </w:rPr>
        <w:t>nformation obtained through the GPFRs is</w:t>
      </w:r>
      <w:r w:rsidR="006A61A9" w:rsidRPr="006A61A9">
        <w:rPr>
          <w:lang w:val="en-GB"/>
        </w:rPr>
        <w:t xml:space="preserve"> still </w:t>
      </w:r>
      <w:r w:rsidR="002A5BF6" w:rsidRPr="006A61A9">
        <w:rPr>
          <w:lang w:val="en-GB"/>
        </w:rPr>
        <w:t>used for comparisons with previous years.</w:t>
      </w:r>
    </w:p>
    <w:p w:rsidR="00D8721E" w:rsidRDefault="00DE25E2" w:rsidP="00A4014C">
      <w:pPr>
        <w:rPr>
          <w:lang w:val="en-GB"/>
        </w:rPr>
      </w:pPr>
      <w:r w:rsidRPr="00DE25E2">
        <w:rPr>
          <w:lang w:val="en-GB"/>
        </w:rPr>
        <w:t>The ACFR</w:t>
      </w:r>
      <w:r>
        <w:rPr>
          <w:lang w:val="en-GB"/>
        </w:rPr>
        <w:t xml:space="preserve"> became mandatory for all residential care providers </w:t>
      </w:r>
      <w:r w:rsidR="00BC6D13">
        <w:rPr>
          <w:lang w:val="en-GB"/>
        </w:rPr>
        <w:t>from</w:t>
      </w:r>
      <w:r w:rsidR="00A261F3">
        <w:rPr>
          <w:lang w:val="en-GB"/>
        </w:rPr>
        <w:t> 201</w:t>
      </w:r>
      <w:r>
        <w:rPr>
          <w:lang w:val="en-GB"/>
        </w:rPr>
        <w:t>6</w:t>
      </w:r>
      <w:r w:rsidR="00D8721E">
        <w:rPr>
          <w:lang w:val="en-GB"/>
        </w:rPr>
        <w:t>–1</w:t>
      </w:r>
      <w:r>
        <w:rPr>
          <w:lang w:val="en-GB"/>
        </w:rPr>
        <w:t>7</w:t>
      </w:r>
      <w:r w:rsidR="00BC6D13">
        <w:rPr>
          <w:lang w:val="en-GB"/>
        </w:rPr>
        <w:t xml:space="preserve">, </w:t>
      </w:r>
      <w:r>
        <w:rPr>
          <w:lang w:val="en-GB"/>
        </w:rPr>
        <w:t xml:space="preserve">and </w:t>
      </w:r>
      <w:r w:rsidRPr="00DE25E2">
        <w:rPr>
          <w:lang w:val="en-GB"/>
        </w:rPr>
        <w:t>introduced a</w:t>
      </w:r>
      <w:r w:rsidR="002A5BF6">
        <w:rPr>
          <w:lang w:val="en-GB"/>
        </w:rPr>
        <w:t xml:space="preserve"> </w:t>
      </w:r>
      <w:r w:rsidRPr="00DE25E2">
        <w:rPr>
          <w:lang w:val="en-GB"/>
        </w:rPr>
        <w:t>number of mandatory data items for providers with the aim of improving the consistency, quality and usability of the</w:t>
      </w:r>
      <w:r>
        <w:rPr>
          <w:lang w:val="en-GB"/>
        </w:rPr>
        <w:t xml:space="preserve"> financial data being received</w:t>
      </w:r>
      <w:r w:rsidR="00D8721E">
        <w:rPr>
          <w:lang w:val="en-GB"/>
        </w:rPr>
        <w:t>.</w:t>
      </w:r>
    </w:p>
    <w:p w:rsidR="00DE25E2" w:rsidRPr="00DE25E2" w:rsidRDefault="00DE25E2" w:rsidP="00A4014C">
      <w:pPr>
        <w:rPr>
          <w:lang w:val="en-GB"/>
        </w:rPr>
      </w:pPr>
      <w:r w:rsidRPr="00DE25E2">
        <w:rPr>
          <w:lang w:val="en-GB"/>
        </w:rPr>
        <w:t xml:space="preserve">As the ACFR provides </w:t>
      </w:r>
      <w:r w:rsidR="005B1FA9">
        <w:rPr>
          <w:lang w:val="en-GB"/>
        </w:rPr>
        <w:t>more complete data, ACFA is</w:t>
      </w:r>
      <w:r w:rsidRPr="00DE25E2">
        <w:rPr>
          <w:lang w:val="en-GB"/>
        </w:rPr>
        <w:t xml:space="preserve"> </w:t>
      </w:r>
      <w:r w:rsidR="00BC6D13">
        <w:rPr>
          <w:lang w:val="en-GB"/>
        </w:rPr>
        <w:t xml:space="preserve">able </w:t>
      </w:r>
      <w:r w:rsidRPr="00DE25E2">
        <w:rPr>
          <w:lang w:val="en-GB"/>
        </w:rPr>
        <w:t>to provide enhanced analysis of the fi</w:t>
      </w:r>
      <w:r>
        <w:rPr>
          <w:lang w:val="en-GB"/>
        </w:rPr>
        <w:t>nancial operations of providers. Y</w:t>
      </w:r>
      <w:r w:rsidRPr="00DE25E2">
        <w:rPr>
          <w:lang w:val="en-GB"/>
        </w:rPr>
        <w:t>ear-to-year comparison of prior year financial data</w:t>
      </w:r>
      <w:r>
        <w:rPr>
          <w:lang w:val="en-GB"/>
        </w:rPr>
        <w:t xml:space="preserve"> however is </w:t>
      </w:r>
      <w:r w:rsidR="005161A3">
        <w:rPr>
          <w:lang w:val="en-GB"/>
        </w:rPr>
        <w:t>hampered in some cases or not possible in others</w:t>
      </w:r>
      <w:r w:rsidR="00BC6D13">
        <w:rPr>
          <w:lang w:val="en-GB"/>
        </w:rPr>
        <w:t>,</w:t>
      </w:r>
      <w:r w:rsidR="005161A3">
        <w:rPr>
          <w:lang w:val="en-GB"/>
        </w:rPr>
        <w:t xml:space="preserve"> </w:t>
      </w:r>
      <w:r w:rsidRPr="00DE25E2">
        <w:rPr>
          <w:lang w:val="en-GB"/>
        </w:rPr>
        <w:t xml:space="preserve">due to the different </w:t>
      </w:r>
      <w:r w:rsidR="00BC6D13">
        <w:rPr>
          <w:lang w:val="en-GB"/>
        </w:rPr>
        <w:t xml:space="preserve">reporting </w:t>
      </w:r>
      <w:r w:rsidRPr="00DE25E2">
        <w:rPr>
          <w:lang w:val="en-GB"/>
        </w:rPr>
        <w:t>requirements of the ACFR.</w:t>
      </w:r>
    </w:p>
    <w:bookmarkEnd w:id="726"/>
    <w:bookmarkEnd w:id="727"/>
    <w:p w:rsidR="00D8721E" w:rsidRPr="00A4014C" w:rsidRDefault="00BC6D13" w:rsidP="00A4014C">
      <w:pPr>
        <w:rPr>
          <w:spacing w:val="-2"/>
          <w:lang w:val="en-GB"/>
        </w:rPr>
      </w:pPr>
      <w:r w:rsidRPr="00A4014C">
        <w:rPr>
          <w:spacing w:val="-2"/>
          <w:lang w:val="en-GB"/>
        </w:rPr>
        <w:t>As noted, when presenting comparisons with previous years</w:t>
      </w:r>
      <w:r w:rsidR="00EE5AA9" w:rsidRPr="00A4014C">
        <w:rPr>
          <w:spacing w:val="-2"/>
          <w:lang w:val="en-GB"/>
        </w:rPr>
        <w:t>,</w:t>
      </w:r>
      <w:r w:rsidRPr="00A4014C">
        <w:rPr>
          <w:spacing w:val="-2"/>
          <w:lang w:val="en-GB"/>
        </w:rPr>
        <w:t xml:space="preserve"> ACFA </w:t>
      </w:r>
      <w:r w:rsidR="002A5BF6" w:rsidRPr="00A4014C">
        <w:rPr>
          <w:spacing w:val="-2"/>
          <w:lang w:val="en-GB"/>
        </w:rPr>
        <w:t>is utilising data provided through the GPFRs</w:t>
      </w:r>
      <w:r w:rsidR="00111110" w:rsidRPr="00A4014C">
        <w:rPr>
          <w:spacing w:val="-2"/>
          <w:lang w:val="en-GB"/>
        </w:rPr>
        <w:t xml:space="preserve">. </w:t>
      </w:r>
      <w:r w:rsidR="00492BF8">
        <w:rPr>
          <w:spacing w:val="-2"/>
          <w:lang w:val="en-GB"/>
        </w:rPr>
        <w:fldChar w:fldCharType="begin"/>
      </w:r>
      <w:r w:rsidR="00492BF8">
        <w:rPr>
          <w:spacing w:val="-2"/>
          <w:lang w:val="en-GB"/>
        </w:rPr>
        <w:instrText xml:space="preserve"> REF _Ref524429544 \r \h </w:instrText>
      </w:r>
      <w:r w:rsidR="00492BF8">
        <w:rPr>
          <w:spacing w:val="-2"/>
          <w:lang w:val="en-GB"/>
        </w:rPr>
      </w:r>
      <w:r w:rsidR="00492BF8">
        <w:rPr>
          <w:spacing w:val="-2"/>
          <w:lang w:val="en-GB"/>
        </w:rPr>
        <w:fldChar w:fldCharType="separate"/>
      </w:r>
      <w:r w:rsidR="00492BF8">
        <w:rPr>
          <w:spacing w:val="-2"/>
          <w:lang w:val="en-GB"/>
        </w:rPr>
        <w:t>Table 9.2</w:t>
      </w:r>
      <w:r w:rsidR="00492BF8">
        <w:rPr>
          <w:spacing w:val="-2"/>
          <w:lang w:val="en-GB"/>
        </w:rPr>
        <w:fldChar w:fldCharType="end"/>
      </w:r>
      <w:r w:rsidR="00492BF8">
        <w:rPr>
          <w:spacing w:val="-2"/>
          <w:lang w:val="en-GB"/>
        </w:rPr>
        <w:t xml:space="preserve"> </w:t>
      </w:r>
      <w:r w:rsidR="006C6676" w:rsidRPr="00A4014C">
        <w:rPr>
          <w:spacing w:val="-2"/>
          <w:lang w:val="en-GB"/>
        </w:rPr>
        <w:t xml:space="preserve">shows the overall financial performance of residential care providers </w:t>
      </w:r>
      <w:r w:rsidR="00111110" w:rsidRPr="00A4014C">
        <w:rPr>
          <w:spacing w:val="-2"/>
          <w:lang w:val="en-GB"/>
        </w:rPr>
        <w:t>who submitted their GPFRs for the years up to</w:t>
      </w:r>
      <w:r w:rsidR="00A261F3" w:rsidRPr="00A4014C">
        <w:rPr>
          <w:spacing w:val="-2"/>
          <w:lang w:val="en-GB"/>
        </w:rPr>
        <w:t> 201</w:t>
      </w:r>
      <w:r w:rsidR="00111110" w:rsidRPr="00A4014C">
        <w:rPr>
          <w:spacing w:val="-2"/>
          <w:lang w:val="en-GB"/>
        </w:rPr>
        <w:t>5</w:t>
      </w:r>
      <w:r w:rsidR="00D8721E" w:rsidRPr="00A4014C">
        <w:rPr>
          <w:spacing w:val="-2"/>
          <w:lang w:val="en-GB"/>
        </w:rPr>
        <w:t>–1</w:t>
      </w:r>
      <w:r w:rsidR="00111110" w:rsidRPr="00A4014C">
        <w:rPr>
          <w:spacing w:val="-2"/>
          <w:lang w:val="en-GB"/>
        </w:rPr>
        <w:t>6 and ACFR for</w:t>
      </w:r>
      <w:r w:rsidR="00A261F3" w:rsidRPr="00A4014C">
        <w:rPr>
          <w:spacing w:val="-2"/>
          <w:lang w:val="en-GB"/>
        </w:rPr>
        <w:t> 201</w:t>
      </w:r>
      <w:r w:rsidR="006C6676" w:rsidRPr="00A4014C">
        <w:rPr>
          <w:spacing w:val="-2"/>
          <w:lang w:val="en-GB"/>
        </w:rPr>
        <w:t>6</w:t>
      </w:r>
      <w:r w:rsidR="00D8721E" w:rsidRPr="00A4014C">
        <w:rPr>
          <w:spacing w:val="-2"/>
          <w:lang w:val="en-GB"/>
        </w:rPr>
        <w:t>–1</w:t>
      </w:r>
      <w:r w:rsidR="006C6676" w:rsidRPr="00A4014C">
        <w:rPr>
          <w:spacing w:val="-2"/>
          <w:lang w:val="en-GB"/>
        </w:rPr>
        <w:t xml:space="preserve">7. The </w:t>
      </w:r>
      <w:r w:rsidR="00FB0B5E" w:rsidRPr="00A4014C">
        <w:rPr>
          <w:spacing w:val="-2"/>
          <w:lang w:val="en-GB"/>
        </w:rPr>
        <w:t>total</w:t>
      </w:r>
      <w:r w:rsidR="003E403A" w:rsidRPr="00A4014C">
        <w:rPr>
          <w:spacing w:val="-2"/>
          <w:lang w:val="en-GB"/>
        </w:rPr>
        <w:t xml:space="preserve"> revenue</w:t>
      </w:r>
      <w:r w:rsidR="006C6676" w:rsidRPr="00A4014C">
        <w:rPr>
          <w:spacing w:val="-2"/>
          <w:lang w:val="en-GB"/>
        </w:rPr>
        <w:t xml:space="preserve"> i</w:t>
      </w:r>
      <w:r w:rsidR="00FB0B5E" w:rsidRPr="00A4014C">
        <w:rPr>
          <w:spacing w:val="-2"/>
          <w:lang w:val="en-GB"/>
        </w:rPr>
        <w:t>ncreased</w:t>
      </w:r>
      <w:r w:rsidR="006C6676" w:rsidRPr="00A4014C">
        <w:rPr>
          <w:spacing w:val="-2"/>
          <w:lang w:val="en-GB"/>
        </w:rPr>
        <w:t xml:space="preserve"> across each of the five years with the net profit before tax improving in </w:t>
      </w:r>
      <w:r w:rsidR="00FB0B5E" w:rsidRPr="00A4014C">
        <w:rPr>
          <w:spacing w:val="-2"/>
          <w:lang w:val="en-GB"/>
        </w:rPr>
        <w:t>the four years to</w:t>
      </w:r>
      <w:r w:rsidR="00A261F3" w:rsidRPr="00A4014C">
        <w:rPr>
          <w:spacing w:val="-2"/>
          <w:lang w:val="en-GB"/>
        </w:rPr>
        <w:t> 201</w:t>
      </w:r>
      <w:r w:rsidR="00FB0B5E" w:rsidRPr="00A4014C">
        <w:rPr>
          <w:spacing w:val="-2"/>
          <w:lang w:val="en-GB"/>
        </w:rPr>
        <w:t>5</w:t>
      </w:r>
      <w:r w:rsidR="00D8721E" w:rsidRPr="00A4014C">
        <w:rPr>
          <w:spacing w:val="-2"/>
          <w:lang w:val="en-GB"/>
        </w:rPr>
        <w:t>–1</w:t>
      </w:r>
      <w:r w:rsidR="00FB0B5E" w:rsidRPr="00A4014C">
        <w:rPr>
          <w:spacing w:val="-2"/>
          <w:lang w:val="en-GB"/>
        </w:rPr>
        <w:t xml:space="preserve">6 before </w:t>
      </w:r>
      <w:r w:rsidR="006C6676" w:rsidRPr="00A4014C">
        <w:rPr>
          <w:spacing w:val="-2"/>
          <w:lang w:val="en-GB"/>
        </w:rPr>
        <w:t>dropping slightly in</w:t>
      </w:r>
      <w:r w:rsidR="00A261F3" w:rsidRPr="00A4014C">
        <w:rPr>
          <w:spacing w:val="-2"/>
          <w:lang w:val="en-GB"/>
        </w:rPr>
        <w:t> 201</w:t>
      </w:r>
      <w:r w:rsidR="00FB0B5E" w:rsidRPr="00A4014C">
        <w:rPr>
          <w:spacing w:val="-2"/>
          <w:lang w:val="en-GB"/>
        </w:rPr>
        <w:t>6</w:t>
      </w:r>
      <w:r w:rsidR="00D8721E" w:rsidRPr="00A4014C">
        <w:rPr>
          <w:spacing w:val="-2"/>
          <w:lang w:val="en-GB"/>
        </w:rPr>
        <w:t>–1</w:t>
      </w:r>
      <w:r w:rsidR="00FB0B5E" w:rsidRPr="00A4014C">
        <w:rPr>
          <w:spacing w:val="-2"/>
          <w:lang w:val="en-GB"/>
        </w:rPr>
        <w:t>7</w:t>
      </w:r>
      <w:r w:rsidR="00D8721E" w:rsidRPr="00A4014C">
        <w:rPr>
          <w:spacing w:val="-2"/>
          <w:lang w:val="en-GB"/>
        </w:rPr>
        <w:t>.</w:t>
      </w:r>
    </w:p>
    <w:p w:rsidR="00D8721E" w:rsidRDefault="00FB0B5E" w:rsidP="00A4014C">
      <w:pPr>
        <w:rPr>
          <w:lang w:val="en-GB"/>
        </w:rPr>
      </w:pPr>
      <w:r w:rsidRPr="00912A6A">
        <w:rPr>
          <w:lang w:val="en-GB"/>
        </w:rPr>
        <w:lastRenderedPageBreak/>
        <w:t>The average EBITDA per resident improve</w:t>
      </w:r>
      <w:r w:rsidR="003E403A">
        <w:rPr>
          <w:lang w:val="en-GB"/>
        </w:rPr>
        <w:t>d</w:t>
      </w:r>
      <w:r w:rsidRPr="00912A6A">
        <w:rPr>
          <w:lang w:val="en-GB"/>
        </w:rPr>
        <w:t xml:space="preserve"> across each of the last five years. The EBITDA </w:t>
      </w:r>
      <w:r w:rsidR="003E403A" w:rsidRPr="00912A6A">
        <w:rPr>
          <w:lang w:val="en-GB"/>
        </w:rPr>
        <w:t xml:space="preserve">margin </w:t>
      </w:r>
      <w:r w:rsidR="003E403A">
        <w:rPr>
          <w:lang w:val="en-GB"/>
        </w:rPr>
        <w:t>also</w:t>
      </w:r>
      <w:r>
        <w:rPr>
          <w:lang w:val="en-GB"/>
        </w:rPr>
        <w:t xml:space="preserve"> improved across the last five years, albeit only by 0.</w:t>
      </w:r>
      <w:r w:rsidR="00341DAB">
        <w:rPr>
          <w:lang w:val="en-GB"/>
        </w:rPr>
        <w:t>1</w:t>
      </w:r>
      <w:r w:rsidR="00A261F3">
        <w:rPr>
          <w:lang w:val="en-GB"/>
        </w:rPr>
        <w:t> per cent</w:t>
      </w:r>
      <w:r w:rsidR="009E7AE5">
        <w:rPr>
          <w:lang w:val="en-GB"/>
        </w:rPr>
        <w:t>,</w:t>
      </w:r>
      <w:r>
        <w:rPr>
          <w:lang w:val="en-GB"/>
        </w:rPr>
        <w:t xml:space="preserve"> to 11.</w:t>
      </w:r>
      <w:r w:rsidR="00D00B54">
        <w:rPr>
          <w:lang w:val="en-GB"/>
        </w:rPr>
        <w:t>7</w:t>
      </w:r>
      <w:r w:rsidR="00A261F3">
        <w:rPr>
          <w:lang w:val="en-GB"/>
        </w:rPr>
        <w:t> per cent</w:t>
      </w:r>
      <w:r>
        <w:rPr>
          <w:lang w:val="en-GB"/>
        </w:rPr>
        <w:t xml:space="preserve"> i</w:t>
      </w:r>
      <w:r w:rsidRPr="00912A6A">
        <w:rPr>
          <w:lang w:val="en-GB"/>
        </w:rPr>
        <w:t>n</w:t>
      </w:r>
      <w:r w:rsidR="00A261F3">
        <w:rPr>
          <w:lang w:val="en-GB"/>
        </w:rPr>
        <w:t> 201</w:t>
      </w:r>
      <w:r w:rsidRPr="00912A6A">
        <w:rPr>
          <w:lang w:val="en-GB"/>
        </w:rPr>
        <w:t>6</w:t>
      </w:r>
      <w:r w:rsidR="00D8721E">
        <w:rPr>
          <w:lang w:val="en-GB"/>
        </w:rPr>
        <w:t>–1</w:t>
      </w:r>
      <w:r w:rsidRPr="00912A6A">
        <w:rPr>
          <w:lang w:val="en-GB"/>
        </w:rPr>
        <w:t xml:space="preserve">7. </w:t>
      </w:r>
      <w:r>
        <w:rPr>
          <w:lang w:val="en-GB"/>
        </w:rPr>
        <w:t>The NPBT margin declined slightly in</w:t>
      </w:r>
      <w:r w:rsidR="00A261F3">
        <w:rPr>
          <w:lang w:val="en-GB"/>
        </w:rPr>
        <w:t> 201</w:t>
      </w:r>
      <w:r>
        <w:rPr>
          <w:lang w:val="en-GB"/>
        </w:rPr>
        <w:t>6</w:t>
      </w:r>
      <w:r w:rsidR="00D8721E">
        <w:rPr>
          <w:lang w:val="en-GB"/>
        </w:rPr>
        <w:t>–1</w:t>
      </w:r>
      <w:r>
        <w:rPr>
          <w:lang w:val="en-GB"/>
        </w:rPr>
        <w:t>7 to 5.</w:t>
      </w:r>
      <w:r w:rsidR="00D00B54">
        <w:rPr>
          <w:lang w:val="en-GB"/>
        </w:rPr>
        <w:t>7</w:t>
      </w:r>
      <w:r w:rsidR="00A261F3">
        <w:rPr>
          <w:lang w:val="en-GB"/>
        </w:rPr>
        <w:t> per cent</w:t>
      </w:r>
      <w:r>
        <w:rPr>
          <w:lang w:val="en-GB"/>
        </w:rPr>
        <w:t>, down from 6.</w:t>
      </w:r>
      <w:r w:rsidR="00341DAB">
        <w:rPr>
          <w:lang w:val="en-GB"/>
        </w:rPr>
        <w:t>2</w:t>
      </w:r>
      <w:r w:rsidR="00A261F3">
        <w:rPr>
          <w:lang w:val="en-GB"/>
        </w:rPr>
        <w:t> per cent</w:t>
      </w:r>
      <w:r w:rsidR="00D8721E">
        <w:rPr>
          <w:lang w:val="en-GB"/>
        </w:rPr>
        <w:t>.</w:t>
      </w:r>
    </w:p>
    <w:p w:rsidR="00135DEF" w:rsidRPr="00596D01" w:rsidRDefault="00135DEF" w:rsidP="00A4014C">
      <w:pPr>
        <w:pStyle w:val="TableTitle"/>
        <w:rPr>
          <w:rStyle w:val="Strong"/>
        </w:rPr>
      </w:pPr>
      <w:bookmarkStart w:id="729" w:name="_Ref524429544"/>
      <w:r w:rsidRPr="00596D01">
        <w:t xml:space="preserve">Summary of financial performance of </w:t>
      </w:r>
      <w:r w:rsidR="00FE6782" w:rsidRPr="00596D01">
        <w:t>residential aged care providers,</w:t>
      </w:r>
      <w:r w:rsidR="00A4014C">
        <w:t xml:space="preserve"> </w:t>
      </w:r>
      <w:r w:rsidR="00A4014C">
        <w:br/>
      </w:r>
      <w:r w:rsidR="00A261F3" w:rsidRPr="00596D01">
        <w:t>201</w:t>
      </w:r>
      <w:r w:rsidRPr="00596D01">
        <w:t>2</w:t>
      </w:r>
      <w:r w:rsidR="00D8721E" w:rsidRPr="00596D01">
        <w:t>–1</w:t>
      </w:r>
      <w:r w:rsidRPr="00596D01">
        <w:t>3</w:t>
      </w:r>
      <w:r w:rsidR="009101B4" w:rsidRPr="00596D01">
        <w:t> </w:t>
      </w:r>
      <w:r w:rsidRPr="00596D01">
        <w:t>to</w:t>
      </w:r>
      <w:r w:rsidR="00A261F3" w:rsidRPr="00596D01">
        <w:t> 201</w:t>
      </w:r>
      <w:r w:rsidRPr="00596D01">
        <w:t>6</w:t>
      </w:r>
      <w:r w:rsidR="00D8721E" w:rsidRPr="00596D01">
        <w:t>–1</w:t>
      </w:r>
      <w:r w:rsidRPr="00596D01">
        <w:t>7</w:t>
      </w:r>
      <w:bookmarkEnd w:id="729"/>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307"/>
        <w:gridCol w:w="1365"/>
        <w:gridCol w:w="1450"/>
        <w:gridCol w:w="1691"/>
        <w:gridCol w:w="1571"/>
        <w:gridCol w:w="1244"/>
      </w:tblGrid>
      <w:tr w:rsidR="00966BAF"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198" w:type="pct"/>
          </w:tcPr>
          <w:p w:rsidR="00135DEF" w:rsidRPr="00513C69" w:rsidRDefault="00135DEF" w:rsidP="00A4014C">
            <w:pPr>
              <w:rPr>
                <w:lang w:eastAsia="en-AU"/>
              </w:rPr>
            </w:pPr>
          </w:p>
        </w:tc>
        <w:tc>
          <w:tcPr>
            <w:tcW w:w="709" w:type="pct"/>
          </w:tcPr>
          <w:p w:rsidR="00135DEF" w:rsidRPr="00513C69" w:rsidRDefault="00135DEF" w:rsidP="00303CD5">
            <w:pPr>
              <w:jc w:val="right"/>
            </w:pPr>
            <w:r w:rsidRPr="00596D01">
              <w:t>2012</w:t>
            </w:r>
            <w:r w:rsidR="00D8721E" w:rsidRPr="00596D01">
              <w:t>–1</w:t>
            </w:r>
            <w:r w:rsidRPr="00596D01">
              <w:t>3</w:t>
            </w:r>
          </w:p>
        </w:tc>
        <w:tc>
          <w:tcPr>
            <w:tcW w:w="753" w:type="pct"/>
          </w:tcPr>
          <w:p w:rsidR="00135DEF" w:rsidRPr="00513C69" w:rsidRDefault="00135DEF" w:rsidP="00303CD5">
            <w:pPr>
              <w:jc w:val="right"/>
            </w:pPr>
            <w:r w:rsidRPr="00596D01">
              <w:t>2013</w:t>
            </w:r>
            <w:r w:rsidR="00D8721E" w:rsidRPr="00596D01">
              <w:t>–1</w:t>
            </w:r>
            <w:r w:rsidRPr="00596D01">
              <w:t>4</w:t>
            </w:r>
          </w:p>
        </w:tc>
        <w:tc>
          <w:tcPr>
            <w:tcW w:w="878" w:type="pct"/>
          </w:tcPr>
          <w:p w:rsidR="00135DEF" w:rsidRPr="00513C69" w:rsidRDefault="00135DEF" w:rsidP="00303CD5">
            <w:pPr>
              <w:jc w:val="right"/>
            </w:pPr>
            <w:r w:rsidRPr="00596D01">
              <w:t>2014</w:t>
            </w:r>
            <w:r w:rsidR="00D8721E" w:rsidRPr="00596D01">
              <w:t>–1</w:t>
            </w:r>
            <w:r w:rsidRPr="00596D01">
              <w:t>5</w:t>
            </w:r>
          </w:p>
        </w:tc>
        <w:tc>
          <w:tcPr>
            <w:tcW w:w="816" w:type="pct"/>
          </w:tcPr>
          <w:p w:rsidR="00135DEF" w:rsidRPr="00513C69" w:rsidRDefault="00135DEF" w:rsidP="00303CD5">
            <w:pPr>
              <w:jc w:val="right"/>
            </w:pPr>
            <w:r w:rsidRPr="00596D01">
              <w:t>2015</w:t>
            </w:r>
            <w:r w:rsidR="00D8721E" w:rsidRPr="00596D01">
              <w:t>–1</w:t>
            </w:r>
            <w:r w:rsidRPr="00596D01">
              <w:t>6</w:t>
            </w:r>
          </w:p>
        </w:tc>
        <w:tc>
          <w:tcPr>
            <w:tcW w:w="646" w:type="pct"/>
          </w:tcPr>
          <w:p w:rsidR="00135DEF" w:rsidRPr="00596D01" w:rsidRDefault="00135DEF" w:rsidP="00303CD5">
            <w:pPr>
              <w:jc w:val="right"/>
            </w:pPr>
            <w:r w:rsidRPr="00596D01">
              <w:t>2016</w:t>
            </w:r>
            <w:r w:rsidR="00D8721E" w:rsidRPr="00596D01">
              <w:t>–1</w:t>
            </w:r>
            <w:r w:rsidRPr="00596D01">
              <w:t>7</w:t>
            </w:r>
          </w:p>
        </w:tc>
      </w:tr>
      <w:tr w:rsidR="00135DEF" w:rsidTr="00303CD5">
        <w:trPr>
          <w:trHeight w:val="113"/>
        </w:trPr>
        <w:tc>
          <w:tcPr>
            <w:tcW w:w="1198" w:type="pct"/>
          </w:tcPr>
          <w:p w:rsidR="00135DEF" w:rsidRPr="00513C69" w:rsidRDefault="00135DEF" w:rsidP="00A4014C">
            <w:r w:rsidRPr="00513C69">
              <w:t>Revenue ($m)</w:t>
            </w:r>
          </w:p>
        </w:tc>
        <w:tc>
          <w:tcPr>
            <w:tcW w:w="709" w:type="pct"/>
          </w:tcPr>
          <w:p w:rsidR="00135DEF" w:rsidRPr="00513C69" w:rsidRDefault="00135DEF" w:rsidP="00303CD5">
            <w:pPr>
              <w:jc w:val="right"/>
            </w:pPr>
            <w:r w:rsidRPr="00513C69">
              <w:t>$13,961</w:t>
            </w:r>
          </w:p>
        </w:tc>
        <w:tc>
          <w:tcPr>
            <w:tcW w:w="753" w:type="pct"/>
          </w:tcPr>
          <w:p w:rsidR="00135DEF" w:rsidRPr="00513C69" w:rsidRDefault="00135DEF" w:rsidP="00303CD5">
            <w:pPr>
              <w:jc w:val="right"/>
            </w:pPr>
            <w:r w:rsidRPr="00513C69">
              <w:t>$14,826</w:t>
            </w:r>
          </w:p>
        </w:tc>
        <w:tc>
          <w:tcPr>
            <w:tcW w:w="878" w:type="pct"/>
          </w:tcPr>
          <w:p w:rsidR="00135DEF" w:rsidRPr="00513C69" w:rsidRDefault="00135DEF" w:rsidP="00303CD5">
            <w:pPr>
              <w:jc w:val="right"/>
            </w:pPr>
            <w:r w:rsidRPr="00513C69">
              <w:t>$15,810</w:t>
            </w:r>
          </w:p>
        </w:tc>
        <w:tc>
          <w:tcPr>
            <w:tcW w:w="816" w:type="pct"/>
          </w:tcPr>
          <w:p w:rsidR="00135DEF" w:rsidRPr="00513C69" w:rsidRDefault="00135DEF" w:rsidP="00303CD5">
            <w:pPr>
              <w:jc w:val="right"/>
            </w:pPr>
            <w:r w:rsidRPr="00513C69">
              <w:t>$17,172</w:t>
            </w:r>
          </w:p>
        </w:tc>
        <w:tc>
          <w:tcPr>
            <w:tcW w:w="646" w:type="pct"/>
          </w:tcPr>
          <w:p w:rsidR="00135DEF" w:rsidRPr="00513C69" w:rsidRDefault="00135DEF" w:rsidP="00303CD5">
            <w:pPr>
              <w:jc w:val="right"/>
            </w:pPr>
            <w:r w:rsidRPr="00513C69">
              <w:t xml:space="preserve">$17,757 </w:t>
            </w:r>
          </w:p>
        </w:tc>
      </w:tr>
      <w:tr w:rsidR="00135DEF" w:rsidTr="00303CD5">
        <w:trPr>
          <w:trHeight w:val="113"/>
        </w:trPr>
        <w:tc>
          <w:tcPr>
            <w:tcW w:w="1198" w:type="pct"/>
          </w:tcPr>
          <w:p w:rsidR="00135DEF" w:rsidRPr="00513C69" w:rsidRDefault="00135DEF" w:rsidP="00A4014C">
            <w:r w:rsidRPr="00513C69">
              <w:t>Expenses ($m)</w:t>
            </w:r>
          </w:p>
        </w:tc>
        <w:tc>
          <w:tcPr>
            <w:tcW w:w="709" w:type="pct"/>
          </w:tcPr>
          <w:p w:rsidR="00135DEF" w:rsidRPr="00513C69" w:rsidRDefault="00135DEF" w:rsidP="00303CD5">
            <w:pPr>
              <w:jc w:val="right"/>
            </w:pPr>
            <w:r w:rsidRPr="00513C69">
              <w:t>$13,367</w:t>
            </w:r>
          </w:p>
        </w:tc>
        <w:tc>
          <w:tcPr>
            <w:tcW w:w="753" w:type="pct"/>
          </w:tcPr>
          <w:p w:rsidR="00135DEF" w:rsidRPr="00513C69" w:rsidRDefault="00135DEF" w:rsidP="00303CD5">
            <w:pPr>
              <w:jc w:val="right"/>
            </w:pPr>
            <w:r w:rsidRPr="00513C69">
              <w:t>$14,115</w:t>
            </w:r>
          </w:p>
        </w:tc>
        <w:tc>
          <w:tcPr>
            <w:tcW w:w="878" w:type="pct"/>
          </w:tcPr>
          <w:p w:rsidR="00135DEF" w:rsidRPr="00513C69" w:rsidRDefault="00135DEF" w:rsidP="00303CD5">
            <w:pPr>
              <w:jc w:val="right"/>
            </w:pPr>
            <w:r w:rsidRPr="00513C69">
              <w:t>$14,903</w:t>
            </w:r>
          </w:p>
        </w:tc>
        <w:tc>
          <w:tcPr>
            <w:tcW w:w="816" w:type="pct"/>
          </w:tcPr>
          <w:p w:rsidR="00135DEF" w:rsidRPr="00513C69" w:rsidRDefault="00135DEF" w:rsidP="00303CD5">
            <w:pPr>
              <w:jc w:val="right"/>
            </w:pPr>
            <w:r w:rsidRPr="00513C69">
              <w:t>$16,109</w:t>
            </w:r>
          </w:p>
        </w:tc>
        <w:tc>
          <w:tcPr>
            <w:tcW w:w="646" w:type="pct"/>
          </w:tcPr>
          <w:p w:rsidR="00135DEF" w:rsidRPr="00513C69" w:rsidRDefault="00135DEF" w:rsidP="00303CD5">
            <w:pPr>
              <w:jc w:val="right"/>
            </w:pPr>
            <w:r w:rsidRPr="00513C69">
              <w:t xml:space="preserve">$16,751 </w:t>
            </w:r>
          </w:p>
        </w:tc>
      </w:tr>
      <w:tr w:rsidR="00135DEF" w:rsidTr="00303CD5">
        <w:trPr>
          <w:trHeight w:val="113"/>
        </w:trPr>
        <w:tc>
          <w:tcPr>
            <w:tcW w:w="1198" w:type="pct"/>
          </w:tcPr>
          <w:p w:rsidR="00135DEF" w:rsidRPr="00513C69" w:rsidRDefault="008C59D5" w:rsidP="00A4014C">
            <w:r w:rsidRPr="00513C69">
              <w:t xml:space="preserve">NPBT </w:t>
            </w:r>
            <w:r w:rsidR="00135DEF" w:rsidRPr="00513C69">
              <w:t>($m)</w:t>
            </w:r>
          </w:p>
        </w:tc>
        <w:tc>
          <w:tcPr>
            <w:tcW w:w="709" w:type="pct"/>
          </w:tcPr>
          <w:p w:rsidR="00135DEF" w:rsidRPr="00513C69" w:rsidRDefault="00135DEF" w:rsidP="00303CD5">
            <w:pPr>
              <w:jc w:val="right"/>
            </w:pPr>
            <w:r w:rsidRPr="00513C69">
              <w:t>$594</w:t>
            </w:r>
          </w:p>
        </w:tc>
        <w:tc>
          <w:tcPr>
            <w:tcW w:w="753" w:type="pct"/>
          </w:tcPr>
          <w:p w:rsidR="00135DEF" w:rsidRPr="00513C69" w:rsidRDefault="00135DEF" w:rsidP="00303CD5">
            <w:pPr>
              <w:jc w:val="right"/>
            </w:pPr>
            <w:r w:rsidRPr="00513C69">
              <w:t>$712</w:t>
            </w:r>
          </w:p>
        </w:tc>
        <w:tc>
          <w:tcPr>
            <w:tcW w:w="878" w:type="pct"/>
          </w:tcPr>
          <w:p w:rsidR="00135DEF" w:rsidRPr="00513C69" w:rsidRDefault="00135DEF" w:rsidP="00303CD5">
            <w:pPr>
              <w:jc w:val="right"/>
            </w:pPr>
            <w:r w:rsidRPr="00513C69">
              <w:t>$907</w:t>
            </w:r>
          </w:p>
        </w:tc>
        <w:tc>
          <w:tcPr>
            <w:tcW w:w="816" w:type="pct"/>
          </w:tcPr>
          <w:p w:rsidR="00135DEF" w:rsidRPr="00513C69" w:rsidRDefault="00135DEF" w:rsidP="00303CD5">
            <w:pPr>
              <w:jc w:val="right"/>
            </w:pPr>
            <w:r w:rsidRPr="00513C69">
              <w:t>$1,063</w:t>
            </w:r>
          </w:p>
        </w:tc>
        <w:tc>
          <w:tcPr>
            <w:tcW w:w="646" w:type="pct"/>
          </w:tcPr>
          <w:p w:rsidR="00135DEF" w:rsidRPr="00513C69" w:rsidRDefault="002973D3" w:rsidP="00303CD5">
            <w:pPr>
              <w:jc w:val="right"/>
            </w:pPr>
            <w:r>
              <w:t>$1,006</w:t>
            </w:r>
          </w:p>
        </w:tc>
      </w:tr>
      <w:tr w:rsidR="008C59D5" w:rsidTr="00303CD5">
        <w:trPr>
          <w:trHeight w:val="113"/>
        </w:trPr>
        <w:tc>
          <w:tcPr>
            <w:tcW w:w="1198" w:type="pct"/>
          </w:tcPr>
          <w:p w:rsidR="008C59D5" w:rsidRPr="00513C69" w:rsidRDefault="008C59D5" w:rsidP="00A4014C">
            <w:r w:rsidRPr="00513C69">
              <w:t>NPBT margin</w:t>
            </w:r>
          </w:p>
        </w:tc>
        <w:tc>
          <w:tcPr>
            <w:tcW w:w="709" w:type="pct"/>
          </w:tcPr>
          <w:p w:rsidR="008C59D5" w:rsidRPr="00513C69" w:rsidRDefault="008C59D5" w:rsidP="00303CD5">
            <w:pPr>
              <w:jc w:val="right"/>
            </w:pPr>
            <w:r w:rsidRPr="00513C69">
              <w:t>4.3%</w:t>
            </w:r>
          </w:p>
        </w:tc>
        <w:tc>
          <w:tcPr>
            <w:tcW w:w="753" w:type="pct"/>
          </w:tcPr>
          <w:p w:rsidR="008C59D5" w:rsidRPr="00513C69" w:rsidRDefault="008C59D5" w:rsidP="00303CD5">
            <w:pPr>
              <w:jc w:val="right"/>
            </w:pPr>
            <w:r w:rsidRPr="00513C69">
              <w:t>4.9%</w:t>
            </w:r>
          </w:p>
        </w:tc>
        <w:tc>
          <w:tcPr>
            <w:tcW w:w="878" w:type="pct"/>
          </w:tcPr>
          <w:p w:rsidR="008C59D5" w:rsidRPr="00513C69" w:rsidRDefault="008C59D5" w:rsidP="00303CD5">
            <w:pPr>
              <w:jc w:val="right"/>
            </w:pPr>
            <w:r w:rsidRPr="00513C69">
              <w:t>5.8%</w:t>
            </w:r>
          </w:p>
        </w:tc>
        <w:tc>
          <w:tcPr>
            <w:tcW w:w="816" w:type="pct"/>
          </w:tcPr>
          <w:p w:rsidR="008C59D5" w:rsidRPr="00513C69" w:rsidRDefault="008C59D5" w:rsidP="00303CD5">
            <w:pPr>
              <w:jc w:val="right"/>
            </w:pPr>
            <w:r w:rsidRPr="00513C69">
              <w:t>6.2%</w:t>
            </w:r>
          </w:p>
        </w:tc>
        <w:tc>
          <w:tcPr>
            <w:tcW w:w="646" w:type="pct"/>
          </w:tcPr>
          <w:p w:rsidR="008C59D5" w:rsidRPr="00513C69" w:rsidRDefault="008C59D5" w:rsidP="00303CD5">
            <w:pPr>
              <w:jc w:val="right"/>
            </w:pPr>
            <w:r w:rsidRPr="00513C69">
              <w:t>5.7%</w:t>
            </w:r>
          </w:p>
        </w:tc>
      </w:tr>
      <w:tr w:rsidR="008C59D5" w:rsidTr="00303CD5">
        <w:trPr>
          <w:trHeight w:val="113"/>
        </w:trPr>
        <w:tc>
          <w:tcPr>
            <w:tcW w:w="1198" w:type="pct"/>
          </w:tcPr>
          <w:p w:rsidR="008C59D5" w:rsidRPr="00513C69" w:rsidRDefault="008C59D5" w:rsidP="00A4014C">
            <w:r w:rsidRPr="00513C69">
              <w:t>EBITDA ($m)</w:t>
            </w:r>
          </w:p>
        </w:tc>
        <w:tc>
          <w:tcPr>
            <w:tcW w:w="709" w:type="pct"/>
          </w:tcPr>
          <w:p w:rsidR="008C59D5" w:rsidRPr="00513C69" w:rsidRDefault="008C59D5" w:rsidP="00303CD5">
            <w:pPr>
              <w:jc w:val="right"/>
            </w:pPr>
            <w:r w:rsidRPr="00513C69">
              <w:t>$1,473</w:t>
            </w:r>
          </w:p>
        </w:tc>
        <w:tc>
          <w:tcPr>
            <w:tcW w:w="753" w:type="pct"/>
          </w:tcPr>
          <w:p w:rsidR="008C59D5" w:rsidRPr="00513C69" w:rsidRDefault="008C59D5" w:rsidP="00303CD5">
            <w:pPr>
              <w:jc w:val="right"/>
            </w:pPr>
            <w:r w:rsidRPr="00513C69">
              <w:t>$1,582</w:t>
            </w:r>
          </w:p>
        </w:tc>
        <w:tc>
          <w:tcPr>
            <w:tcW w:w="878" w:type="pct"/>
          </w:tcPr>
          <w:p w:rsidR="008C59D5" w:rsidRPr="00513C69" w:rsidRDefault="008C59D5" w:rsidP="00303CD5">
            <w:pPr>
              <w:jc w:val="right"/>
            </w:pPr>
            <w:r w:rsidRPr="00513C69">
              <w:t>$1,776</w:t>
            </w:r>
          </w:p>
        </w:tc>
        <w:tc>
          <w:tcPr>
            <w:tcW w:w="816" w:type="pct"/>
          </w:tcPr>
          <w:p w:rsidR="008C59D5" w:rsidRPr="00513C69" w:rsidRDefault="008C59D5" w:rsidP="00303CD5">
            <w:pPr>
              <w:jc w:val="right"/>
            </w:pPr>
            <w:r w:rsidRPr="00513C69">
              <w:t>$1,985</w:t>
            </w:r>
          </w:p>
        </w:tc>
        <w:tc>
          <w:tcPr>
            <w:tcW w:w="646" w:type="pct"/>
          </w:tcPr>
          <w:p w:rsidR="008C59D5" w:rsidRPr="00513C69" w:rsidRDefault="008C59D5" w:rsidP="00303CD5">
            <w:pPr>
              <w:jc w:val="right"/>
            </w:pPr>
            <w:r w:rsidRPr="00513C69">
              <w:t>$2,072</w:t>
            </w:r>
          </w:p>
        </w:tc>
      </w:tr>
      <w:tr w:rsidR="008C59D5" w:rsidTr="00303CD5">
        <w:trPr>
          <w:trHeight w:val="113"/>
        </w:trPr>
        <w:tc>
          <w:tcPr>
            <w:tcW w:w="1198" w:type="pct"/>
          </w:tcPr>
          <w:p w:rsidR="008C59D5" w:rsidRPr="00513C69" w:rsidRDefault="008C59D5" w:rsidP="00A4014C">
            <w:r w:rsidRPr="00513C69">
              <w:t>Average EBITDA per resident per annum</w:t>
            </w:r>
          </w:p>
        </w:tc>
        <w:tc>
          <w:tcPr>
            <w:tcW w:w="709" w:type="pct"/>
          </w:tcPr>
          <w:p w:rsidR="008C59D5" w:rsidRPr="00513C69" w:rsidRDefault="008C59D5" w:rsidP="00303CD5">
            <w:pPr>
              <w:jc w:val="right"/>
            </w:pPr>
            <w:r w:rsidRPr="00513C69">
              <w:t>$8,660</w:t>
            </w:r>
          </w:p>
        </w:tc>
        <w:tc>
          <w:tcPr>
            <w:tcW w:w="753" w:type="pct"/>
          </w:tcPr>
          <w:p w:rsidR="008C59D5" w:rsidRPr="00513C69" w:rsidRDefault="008C59D5" w:rsidP="00303CD5">
            <w:pPr>
              <w:jc w:val="right"/>
            </w:pPr>
            <w:r w:rsidRPr="00513C69">
              <w:t>$9,224</w:t>
            </w:r>
          </w:p>
        </w:tc>
        <w:tc>
          <w:tcPr>
            <w:tcW w:w="878" w:type="pct"/>
          </w:tcPr>
          <w:p w:rsidR="008C59D5" w:rsidRPr="00513C69" w:rsidRDefault="008C59D5" w:rsidP="00303CD5">
            <w:pPr>
              <w:jc w:val="right"/>
            </w:pPr>
            <w:r w:rsidRPr="00513C69">
              <w:t>$10,222</w:t>
            </w:r>
          </w:p>
        </w:tc>
        <w:tc>
          <w:tcPr>
            <w:tcW w:w="816" w:type="pct"/>
          </w:tcPr>
          <w:p w:rsidR="008C59D5" w:rsidRPr="00513C69" w:rsidRDefault="008C59D5" w:rsidP="00303CD5">
            <w:pPr>
              <w:jc w:val="right"/>
            </w:pPr>
            <w:r w:rsidRPr="00513C69">
              <w:t>$11,134</w:t>
            </w:r>
          </w:p>
        </w:tc>
        <w:tc>
          <w:tcPr>
            <w:tcW w:w="646" w:type="pct"/>
          </w:tcPr>
          <w:p w:rsidR="008C59D5" w:rsidRPr="00513C69" w:rsidRDefault="008C59D5" w:rsidP="00303CD5">
            <w:pPr>
              <w:jc w:val="right"/>
            </w:pPr>
            <w:r w:rsidRPr="00513C69">
              <w:t>$11,481</w:t>
            </w:r>
          </w:p>
        </w:tc>
      </w:tr>
      <w:tr w:rsidR="00135DEF" w:rsidTr="00303CD5">
        <w:trPr>
          <w:trHeight w:val="113"/>
        </w:trPr>
        <w:tc>
          <w:tcPr>
            <w:tcW w:w="1198" w:type="pct"/>
          </w:tcPr>
          <w:p w:rsidR="00135DEF" w:rsidRPr="00513C69" w:rsidRDefault="00135DEF" w:rsidP="00A4014C">
            <w:r w:rsidRPr="00513C69">
              <w:t>EBITDA margin</w:t>
            </w:r>
          </w:p>
        </w:tc>
        <w:tc>
          <w:tcPr>
            <w:tcW w:w="709" w:type="pct"/>
          </w:tcPr>
          <w:p w:rsidR="00135DEF" w:rsidRPr="00513C69" w:rsidRDefault="00135DEF" w:rsidP="00303CD5">
            <w:pPr>
              <w:jc w:val="right"/>
            </w:pPr>
            <w:r w:rsidRPr="00513C69">
              <w:t>10.6%</w:t>
            </w:r>
          </w:p>
        </w:tc>
        <w:tc>
          <w:tcPr>
            <w:tcW w:w="753" w:type="pct"/>
          </w:tcPr>
          <w:p w:rsidR="00135DEF" w:rsidRPr="00513C69" w:rsidRDefault="00135DEF" w:rsidP="00303CD5">
            <w:pPr>
              <w:jc w:val="right"/>
            </w:pPr>
            <w:r w:rsidRPr="00513C69">
              <w:t>10.7%</w:t>
            </w:r>
          </w:p>
        </w:tc>
        <w:tc>
          <w:tcPr>
            <w:tcW w:w="878" w:type="pct"/>
          </w:tcPr>
          <w:p w:rsidR="00135DEF" w:rsidRPr="00513C69" w:rsidRDefault="00135DEF" w:rsidP="00303CD5">
            <w:pPr>
              <w:jc w:val="right"/>
            </w:pPr>
            <w:r w:rsidRPr="00513C69">
              <w:t>11.2%</w:t>
            </w:r>
          </w:p>
        </w:tc>
        <w:tc>
          <w:tcPr>
            <w:tcW w:w="816" w:type="pct"/>
          </w:tcPr>
          <w:p w:rsidR="00135DEF" w:rsidRPr="00513C69" w:rsidRDefault="00135DEF" w:rsidP="00303CD5">
            <w:pPr>
              <w:jc w:val="right"/>
            </w:pPr>
            <w:r w:rsidRPr="00513C69">
              <w:t>11.6%</w:t>
            </w:r>
          </w:p>
        </w:tc>
        <w:tc>
          <w:tcPr>
            <w:tcW w:w="646" w:type="pct"/>
          </w:tcPr>
          <w:p w:rsidR="00135DEF" w:rsidRPr="00513C69" w:rsidRDefault="00135DEF" w:rsidP="00303CD5">
            <w:pPr>
              <w:jc w:val="right"/>
            </w:pPr>
            <w:r w:rsidRPr="00513C69">
              <w:t>11.7%</w:t>
            </w:r>
          </w:p>
        </w:tc>
      </w:tr>
    </w:tbl>
    <w:p w:rsidR="00A4014C" w:rsidRDefault="00A4014C" w:rsidP="00A4014C">
      <w:pPr>
        <w:rPr>
          <w:lang w:val="en-GB"/>
        </w:rPr>
      </w:pPr>
      <w:r>
        <w:rPr>
          <w:lang w:val="en-GB"/>
        </w:rPr>
        <w:br w:type="page"/>
      </w:r>
    </w:p>
    <w:p w:rsidR="00D8721E" w:rsidRPr="00A4014C" w:rsidRDefault="00492BF8" w:rsidP="00A4014C">
      <w:pPr>
        <w:rPr>
          <w:spacing w:val="-3"/>
          <w:lang w:val="en-GB"/>
        </w:rPr>
      </w:pPr>
      <w:r>
        <w:rPr>
          <w:spacing w:val="-3"/>
          <w:lang w:val="en-GB"/>
        </w:rPr>
        <w:lastRenderedPageBreak/>
        <w:fldChar w:fldCharType="begin"/>
      </w:r>
      <w:r>
        <w:rPr>
          <w:spacing w:val="-3"/>
          <w:lang w:val="en-GB"/>
        </w:rPr>
        <w:instrText xml:space="preserve"> REF _Ref524429552 \r \h </w:instrText>
      </w:r>
      <w:r>
        <w:rPr>
          <w:spacing w:val="-3"/>
          <w:lang w:val="en-GB"/>
        </w:rPr>
      </w:r>
      <w:r>
        <w:rPr>
          <w:spacing w:val="-3"/>
          <w:lang w:val="en-GB"/>
        </w:rPr>
        <w:fldChar w:fldCharType="separate"/>
      </w:r>
      <w:r>
        <w:rPr>
          <w:spacing w:val="-3"/>
          <w:lang w:val="en-GB"/>
        </w:rPr>
        <w:t>Table 9.3</w:t>
      </w:r>
      <w:r>
        <w:rPr>
          <w:spacing w:val="-3"/>
          <w:lang w:val="en-GB"/>
        </w:rPr>
        <w:fldChar w:fldCharType="end"/>
      </w:r>
      <w:r>
        <w:rPr>
          <w:spacing w:val="-3"/>
          <w:lang w:val="en-GB"/>
        </w:rPr>
        <w:t xml:space="preserve"> </w:t>
      </w:r>
      <w:r w:rsidR="00BC6D13" w:rsidRPr="00A4014C">
        <w:rPr>
          <w:spacing w:val="-3"/>
          <w:lang w:val="en-GB"/>
        </w:rPr>
        <w:t>shows the overall financial performance of providers by ownership type, location and scale in</w:t>
      </w:r>
      <w:r w:rsidR="00A4014C" w:rsidRPr="00A4014C">
        <w:rPr>
          <w:spacing w:val="-3"/>
          <w:lang w:val="en-GB"/>
        </w:rPr>
        <w:t xml:space="preserve"> </w:t>
      </w:r>
      <w:r w:rsidR="00A261F3" w:rsidRPr="00A4014C">
        <w:rPr>
          <w:spacing w:val="-3"/>
          <w:lang w:val="en-GB"/>
        </w:rPr>
        <w:t>201</w:t>
      </w:r>
      <w:r w:rsidR="00BC6D13" w:rsidRPr="00A4014C">
        <w:rPr>
          <w:spacing w:val="-3"/>
          <w:lang w:val="en-GB"/>
        </w:rPr>
        <w:t>6</w:t>
      </w:r>
      <w:r w:rsidR="00D8721E" w:rsidRPr="00A4014C">
        <w:rPr>
          <w:spacing w:val="-3"/>
          <w:lang w:val="en-GB"/>
        </w:rPr>
        <w:t>–1</w:t>
      </w:r>
      <w:r w:rsidR="00BC6D13" w:rsidRPr="00A4014C">
        <w:rPr>
          <w:spacing w:val="-3"/>
          <w:lang w:val="en-GB"/>
        </w:rPr>
        <w:t>7.</w:t>
      </w:r>
    </w:p>
    <w:p w:rsidR="0047397F" w:rsidRPr="00596D01" w:rsidRDefault="0047397F" w:rsidP="00A4014C">
      <w:pPr>
        <w:pStyle w:val="TableTitle"/>
        <w:rPr>
          <w:rStyle w:val="Strong"/>
        </w:rPr>
      </w:pPr>
      <w:bookmarkStart w:id="730" w:name="_Ref524429552"/>
      <w:r w:rsidRPr="00596D01">
        <w:t>Summa</w:t>
      </w:r>
      <w:r w:rsidR="009D1EAD" w:rsidRPr="00596D01">
        <w:t>ry of financial performance of residential aged c</w:t>
      </w:r>
      <w:r w:rsidR="00AC32A4" w:rsidRPr="00596D01">
        <w:t>are providers</w:t>
      </w:r>
      <w:r w:rsidR="00597C30" w:rsidRPr="00596D01">
        <w:t>,</w:t>
      </w:r>
      <w:r w:rsidR="00A261F3" w:rsidRPr="00596D01">
        <w:t> 201</w:t>
      </w:r>
      <w:r w:rsidR="00597C30" w:rsidRPr="00596D01">
        <w:t>6</w:t>
      </w:r>
      <w:r w:rsidR="00D8721E" w:rsidRPr="00596D01">
        <w:t>–1</w:t>
      </w:r>
      <w:r w:rsidR="00597C30" w:rsidRPr="00596D01">
        <w:t>7</w:t>
      </w:r>
      <w:bookmarkEnd w:id="730"/>
    </w:p>
    <w:tbl>
      <w:tblPr>
        <w:tblStyle w:val="DefaultTable1"/>
        <w:tblW w:w="5000" w:type="pct"/>
        <w:tblLayout w:type="fixed"/>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124"/>
        <w:gridCol w:w="708"/>
        <w:gridCol w:w="710"/>
        <w:gridCol w:w="708"/>
        <w:gridCol w:w="708"/>
        <w:gridCol w:w="711"/>
        <w:gridCol w:w="709"/>
        <w:gridCol w:w="709"/>
        <w:gridCol w:w="711"/>
        <w:gridCol w:w="709"/>
        <w:gridCol w:w="709"/>
        <w:gridCol w:w="709"/>
        <w:gridCol w:w="703"/>
      </w:tblGrid>
      <w:tr w:rsidR="00A4014C" w:rsidRPr="00A4014C" w:rsidTr="00A4014C">
        <w:trPr>
          <w:cnfStyle w:val="100000000000" w:firstRow="1" w:lastRow="0" w:firstColumn="0" w:lastColumn="0" w:oddVBand="0" w:evenVBand="0" w:oddHBand="0" w:evenHBand="0" w:firstRowFirstColumn="0" w:firstRowLastColumn="0" w:lastRowFirstColumn="0" w:lastRowLastColumn="0"/>
          <w:trHeight w:val="113"/>
          <w:tblHeader/>
        </w:trPr>
        <w:tc>
          <w:tcPr>
            <w:tcW w:w="1321" w:type="pct"/>
            <w:gridSpan w:val="3"/>
            <w:tcBorders>
              <w:right w:val="single" w:sz="4" w:space="0" w:color="FFFFFF" w:themeColor="background1"/>
            </w:tcBorders>
            <w:hideMark/>
          </w:tcPr>
          <w:p w:rsidR="00546923" w:rsidRPr="00A4014C" w:rsidRDefault="00C665CC" w:rsidP="00A4014C">
            <w:pPr>
              <w:rPr>
                <w:sz w:val="16"/>
                <w:szCs w:val="16"/>
              </w:rPr>
            </w:pPr>
            <w:r w:rsidRPr="00A4014C">
              <w:rPr>
                <w:sz w:val="16"/>
                <w:szCs w:val="16"/>
              </w:rPr>
              <w:t xml:space="preserve"> </w:t>
            </w:r>
          </w:p>
        </w:tc>
        <w:tc>
          <w:tcPr>
            <w:tcW w:w="1105" w:type="pct"/>
            <w:gridSpan w:val="3"/>
            <w:tcBorders>
              <w:left w:val="single" w:sz="4" w:space="0" w:color="FFFFFF" w:themeColor="background1"/>
              <w:right w:val="single" w:sz="4" w:space="0" w:color="FFFFFF" w:themeColor="background1"/>
            </w:tcBorders>
            <w:hideMark/>
          </w:tcPr>
          <w:p w:rsidR="00546923" w:rsidRPr="00A4014C" w:rsidRDefault="00546923" w:rsidP="00A4014C">
            <w:pPr>
              <w:jc w:val="center"/>
              <w:rPr>
                <w:sz w:val="16"/>
                <w:szCs w:val="16"/>
              </w:rPr>
            </w:pPr>
            <w:r w:rsidRPr="00A4014C">
              <w:rPr>
                <w:sz w:val="16"/>
                <w:szCs w:val="16"/>
              </w:rPr>
              <w:t xml:space="preserve">Ownership type </w:t>
            </w:r>
            <w:r w:rsidR="00A4014C" w:rsidRPr="00A4014C">
              <w:rPr>
                <w:sz w:val="16"/>
                <w:szCs w:val="16"/>
              </w:rPr>
              <w:br/>
            </w:r>
            <w:r w:rsidR="008E5431" w:rsidRPr="00A4014C">
              <w:rPr>
                <w:sz w:val="16"/>
                <w:szCs w:val="16"/>
              </w:rPr>
              <w:t>2016</w:t>
            </w:r>
            <w:r w:rsidR="00D8721E" w:rsidRPr="00A4014C">
              <w:rPr>
                <w:sz w:val="16"/>
                <w:szCs w:val="16"/>
              </w:rPr>
              <w:t>–1</w:t>
            </w:r>
            <w:r w:rsidR="008E5431" w:rsidRPr="00A4014C">
              <w:rPr>
                <w:sz w:val="16"/>
                <w:szCs w:val="16"/>
              </w:rPr>
              <w:t>7</w:t>
            </w:r>
          </w:p>
        </w:tc>
        <w:tc>
          <w:tcPr>
            <w:tcW w:w="1105" w:type="pct"/>
            <w:gridSpan w:val="3"/>
            <w:tcBorders>
              <w:left w:val="single" w:sz="4" w:space="0" w:color="FFFFFF" w:themeColor="background1"/>
              <w:right w:val="single" w:sz="4" w:space="0" w:color="FFFFFF" w:themeColor="background1"/>
            </w:tcBorders>
            <w:hideMark/>
          </w:tcPr>
          <w:p w:rsidR="00546923" w:rsidRPr="00A4014C" w:rsidRDefault="00E032B1" w:rsidP="00A4014C">
            <w:pPr>
              <w:jc w:val="center"/>
              <w:rPr>
                <w:sz w:val="16"/>
                <w:szCs w:val="16"/>
              </w:rPr>
            </w:pPr>
            <w:r w:rsidRPr="00A4014C">
              <w:rPr>
                <w:sz w:val="16"/>
                <w:szCs w:val="16"/>
              </w:rPr>
              <w:t>L</w:t>
            </w:r>
            <w:r w:rsidR="00546923" w:rsidRPr="00A4014C">
              <w:rPr>
                <w:sz w:val="16"/>
                <w:szCs w:val="16"/>
              </w:rPr>
              <w:t xml:space="preserve">ocation </w:t>
            </w:r>
            <w:r w:rsidR="00A4014C" w:rsidRPr="00A4014C">
              <w:rPr>
                <w:sz w:val="16"/>
                <w:szCs w:val="16"/>
              </w:rPr>
              <w:br/>
            </w:r>
            <w:r w:rsidR="008E5431" w:rsidRPr="00A4014C">
              <w:rPr>
                <w:sz w:val="16"/>
                <w:szCs w:val="16"/>
              </w:rPr>
              <w:t>2016</w:t>
            </w:r>
            <w:r w:rsidR="00D8721E" w:rsidRPr="00A4014C">
              <w:rPr>
                <w:sz w:val="16"/>
                <w:szCs w:val="16"/>
              </w:rPr>
              <w:t>–1</w:t>
            </w:r>
            <w:r w:rsidR="008E5431" w:rsidRPr="00A4014C">
              <w:rPr>
                <w:sz w:val="16"/>
                <w:szCs w:val="16"/>
              </w:rPr>
              <w:t>7</w:t>
            </w:r>
          </w:p>
        </w:tc>
        <w:tc>
          <w:tcPr>
            <w:tcW w:w="1469" w:type="pct"/>
            <w:gridSpan w:val="4"/>
            <w:tcBorders>
              <w:left w:val="single" w:sz="4" w:space="0" w:color="FFFFFF" w:themeColor="background1"/>
            </w:tcBorders>
            <w:hideMark/>
          </w:tcPr>
          <w:p w:rsidR="00546923" w:rsidRPr="00A4014C" w:rsidRDefault="00E032B1" w:rsidP="00A4014C">
            <w:pPr>
              <w:jc w:val="center"/>
              <w:rPr>
                <w:sz w:val="16"/>
                <w:szCs w:val="16"/>
              </w:rPr>
            </w:pPr>
            <w:r w:rsidRPr="00A4014C">
              <w:rPr>
                <w:sz w:val="16"/>
                <w:szCs w:val="16"/>
              </w:rPr>
              <w:t>S</w:t>
            </w:r>
            <w:r w:rsidR="00546923" w:rsidRPr="00A4014C">
              <w:rPr>
                <w:sz w:val="16"/>
                <w:szCs w:val="16"/>
              </w:rPr>
              <w:t xml:space="preserve">cale </w:t>
            </w:r>
            <w:r w:rsidR="00A4014C" w:rsidRPr="00A4014C">
              <w:rPr>
                <w:sz w:val="16"/>
                <w:szCs w:val="16"/>
              </w:rPr>
              <w:br/>
            </w:r>
            <w:r w:rsidR="008E5431" w:rsidRPr="00A4014C">
              <w:rPr>
                <w:sz w:val="16"/>
                <w:szCs w:val="16"/>
              </w:rPr>
              <w:t>2016</w:t>
            </w:r>
            <w:r w:rsidR="00D8721E" w:rsidRPr="00A4014C">
              <w:rPr>
                <w:sz w:val="16"/>
                <w:szCs w:val="16"/>
              </w:rPr>
              <w:t>–1</w:t>
            </w:r>
            <w:r w:rsidR="008E5431" w:rsidRPr="00A4014C">
              <w:rPr>
                <w:sz w:val="16"/>
                <w:szCs w:val="16"/>
              </w:rPr>
              <w:t>7</w:t>
            </w:r>
          </w:p>
        </w:tc>
      </w:tr>
      <w:tr w:rsidR="00A4014C" w:rsidRPr="00A4014C" w:rsidTr="00A4014C">
        <w:trPr>
          <w:cnfStyle w:val="100000000000" w:firstRow="1" w:lastRow="0" w:firstColumn="0" w:lastColumn="0" w:oddVBand="0" w:evenVBand="0" w:oddHBand="0" w:evenHBand="0" w:firstRowFirstColumn="0" w:firstRowLastColumn="0" w:lastRowFirstColumn="0" w:lastRowLastColumn="0"/>
          <w:trHeight w:val="1997"/>
          <w:tblHeader/>
        </w:trPr>
        <w:tc>
          <w:tcPr>
            <w:tcW w:w="584" w:type="pct"/>
            <w:tcBorders>
              <w:right w:val="single" w:sz="4" w:space="0" w:color="FFFFFF" w:themeColor="background1"/>
            </w:tcBorders>
            <w:hideMark/>
          </w:tcPr>
          <w:p w:rsidR="00546923" w:rsidRPr="00A4014C" w:rsidRDefault="00546923" w:rsidP="00A4014C">
            <w:pPr>
              <w:rPr>
                <w:sz w:val="16"/>
                <w:szCs w:val="16"/>
              </w:rPr>
            </w:pPr>
            <w:r w:rsidRPr="00A4014C">
              <w:rPr>
                <w:sz w:val="16"/>
                <w:szCs w:val="16"/>
              </w:rPr>
              <w:t> </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6C1357" w:rsidP="00A4014C">
            <w:pPr>
              <w:rPr>
                <w:sz w:val="16"/>
                <w:szCs w:val="16"/>
              </w:rPr>
            </w:pPr>
            <w:r w:rsidRPr="00A4014C">
              <w:rPr>
                <w:sz w:val="16"/>
                <w:szCs w:val="16"/>
              </w:rPr>
              <w:t>Total sector</w:t>
            </w:r>
            <w:r w:rsidR="00A261F3" w:rsidRPr="00A4014C">
              <w:rPr>
                <w:sz w:val="16"/>
                <w:szCs w:val="16"/>
              </w:rPr>
              <w:t> 201</w:t>
            </w:r>
            <w:r w:rsidRPr="00A4014C">
              <w:rPr>
                <w:sz w:val="16"/>
                <w:szCs w:val="16"/>
              </w:rPr>
              <w:t>5</w:t>
            </w:r>
            <w:r w:rsidR="00D8721E" w:rsidRPr="00A4014C">
              <w:rPr>
                <w:sz w:val="16"/>
                <w:szCs w:val="16"/>
              </w:rPr>
              <w:t>–1</w:t>
            </w:r>
            <w:r w:rsidRPr="00A4014C">
              <w:rPr>
                <w:sz w:val="16"/>
                <w:szCs w:val="16"/>
              </w:rPr>
              <w:t>6</w:t>
            </w:r>
          </w:p>
        </w:tc>
        <w:tc>
          <w:tcPr>
            <w:tcW w:w="369" w:type="pct"/>
            <w:tcBorders>
              <w:left w:val="single" w:sz="4" w:space="0" w:color="FFFFFF" w:themeColor="background1"/>
              <w:right w:val="single" w:sz="4" w:space="0" w:color="FFFFFF" w:themeColor="background1"/>
            </w:tcBorders>
            <w:textDirection w:val="btLr"/>
            <w:hideMark/>
          </w:tcPr>
          <w:p w:rsidR="00546923" w:rsidRPr="00A4014C" w:rsidRDefault="006C1357" w:rsidP="00A4014C">
            <w:pPr>
              <w:rPr>
                <w:sz w:val="16"/>
                <w:szCs w:val="16"/>
              </w:rPr>
            </w:pPr>
            <w:r w:rsidRPr="00A4014C">
              <w:rPr>
                <w:sz w:val="16"/>
                <w:szCs w:val="16"/>
              </w:rPr>
              <w:t>Total sector</w:t>
            </w:r>
            <w:r w:rsidR="00A261F3" w:rsidRPr="00A4014C">
              <w:rPr>
                <w:sz w:val="16"/>
                <w:szCs w:val="16"/>
              </w:rPr>
              <w:t> 201</w:t>
            </w:r>
            <w:r w:rsidRPr="00A4014C">
              <w:rPr>
                <w:sz w:val="16"/>
                <w:szCs w:val="16"/>
              </w:rPr>
              <w:t>6</w:t>
            </w:r>
            <w:r w:rsidR="00D8721E" w:rsidRPr="00A4014C">
              <w:rPr>
                <w:sz w:val="16"/>
                <w:szCs w:val="16"/>
              </w:rPr>
              <w:t>–1</w:t>
            </w:r>
            <w:r w:rsidRPr="00A4014C">
              <w:rPr>
                <w:sz w:val="16"/>
                <w:szCs w:val="16"/>
              </w:rPr>
              <w:t>7</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Not-for-profit</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For-profit</w:t>
            </w:r>
          </w:p>
        </w:tc>
        <w:tc>
          <w:tcPr>
            <w:tcW w:w="369"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Government</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Metropolitan</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Regional</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Metropolitan &amp; regional</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Single home</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2 To 6 homes</w:t>
            </w:r>
          </w:p>
        </w:tc>
        <w:tc>
          <w:tcPr>
            <w:tcW w:w="368" w:type="pct"/>
            <w:tcBorders>
              <w:left w:val="single" w:sz="4" w:space="0" w:color="FFFFFF" w:themeColor="background1"/>
              <w:righ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7 To 19 homes</w:t>
            </w:r>
          </w:p>
        </w:tc>
        <w:tc>
          <w:tcPr>
            <w:tcW w:w="365" w:type="pct"/>
            <w:tcBorders>
              <w:left w:val="single" w:sz="4" w:space="0" w:color="FFFFFF" w:themeColor="background1"/>
            </w:tcBorders>
            <w:textDirection w:val="btLr"/>
            <w:hideMark/>
          </w:tcPr>
          <w:p w:rsidR="00546923" w:rsidRPr="00A4014C" w:rsidRDefault="00546923" w:rsidP="00A4014C">
            <w:pPr>
              <w:rPr>
                <w:sz w:val="16"/>
                <w:szCs w:val="16"/>
              </w:rPr>
            </w:pPr>
            <w:r w:rsidRPr="00A4014C">
              <w:rPr>
                <w:sz w:val="16"/>
                <w:szCs w:val="16"/>
              </w:rPr>
              <w:t>20 &amp; more homes</w:t>
            </w:r>
          </w:p>
        </w:tc>
      </w:tr>
      <w:tr w:rsidR="00A4014C" w:rsidRPr="00A4014C" w:rsidTr="00A4014C">
        <w:trPr>
          <w:trHeight w:val="113"/>
        </w:trPr>
        <w:tc>
          <w:tcPr>
            <w:tcW w:w="584" w:type="pct"/>
            <w:hideMark/>
          </w:tcPr>
          <w:p w:rsidR="00622FE1" w:rsidRPr="00A4014C" w:rsidRDefault="00622FE1" w:rsidP="00A4014C">
            <w:pPr>
              <w:rPr>
                <w:color w:val="000000"/>
                <w:sz w:val="16"/>
                <w:szCs w:val="16"/>
                <w:lang w:eastAsia="en-AU"/>
              </w:rPr>
            </w:pPr>
            <w:r w:rsidRPr="00A4014C">
              <w:rPr>
                <w:color w:val="000000"/>
                <w:sz w:val="16"/>
                <w:szCs w:val="16"/>
                <w:lang w:eastAsia="en-AU"/>
              </w:rPr>
              <w:t>Revenue ($m)</w:t>
            </w:r>
          </w:p>
        </w:tc>
        <w:tc>
          <w:tcPr>
            <w:tcW w:w="368" w:type="pct"/>
          </w:tcPr>
          <w:p w:rsidR="00622FE1" w:rsidRPr="00A4014C" w:rsidRDefault="00302E0C" w:rsidP="00A4014C">
            <w:pPr>
              <w:jc w:val="right"/>
              <w:rPr>
                <w:color w:val="000000" w:themeColor="text1"/>
                <w:sz w:val="16"/>
                <w:szCs w:val="16"/>
              </w:rPr>
            </w:pPr>
            <w:r w:rsidRPr="00A4014C">
              <w:rPr>
                <w:color w:val="000000" w:themeColor="text1"/>
                <w:sz w:val="16"/>
                <w:szCs w:val="16"/>
              </w:rPr>
              <w:t>$17,172</w:t>
            </w:r>
          </w:p>
        </w:tc>
        <w:tc>
          <w:tcPr>
            <w:tcW w:w="369" w:type="pct"/>
          </w:tcPr>
          <w:p w:rsidR="00622FE1" w:rsidRPr="00A4014C" w:rsidRDefault="00FE6782" w:rsidP="00A4014C">
            <w:pPr>
              <w:jc w:val="right"/>
              <w:rPr>
                <w:color w:val="000000" w:themeColor="text1"/>
                <w:sz w:val="16"/>
                <w:szCs w:val="16"/>
              </w:rPr>
            </w:pPr>
            <w:r w:rsidRPr="00A4014C">
              <w:rPr>
                <w:color w:val="000000" w:themeColor="text1"/>
                <w:sz w:val="16"/>
                <w:szCs w:val="16"/>
              </w:rPr>
              <w:t>$17,757</w:t>
            </w:r>
          </w:p>
        </w:tc>
        <w:tc>
          <w:tcPr>
            <w:tcW w:w="368"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$9,737</w:t>
            </w:r>
          </w:p>
        </w:tc>
        <w:tc>
          <w:tcPr>
            <w:tcW w:w="368"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$7,143</w:t>
            </w:r>
          </w:p>
        </w:tc>
        <w:tc>
          <w:tcPr>
            <w:tcW w:w="369"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$877</w:t>
            </w:r>
          </w:p>
        </w:tc>
        <w:tc>
          <w:tcPr>
            <w:tcW w:w="368" w:type="pct"/>
          </w:tcPr>
          <w:p w:rsidR="00622FE1" w:rsidRPr="00A4014C" w:rsidRDefault="00302E0C" w:rsidP="00A4014C">
            <w:pPr>
              <w:jc w:val="right"/>
              <w:rPr>
                <w:color w:val="000000" w:themeColor="text1"/>
                <w:sz w:val="16"/>
                <w:szCs w:val="16"/>
              </w:rPr>
            </w:pPr>
            <w:r w:rsidRPr="00A4014C">
              <w:rPr>
                <w:color w:val="000000" w:themeColor="text1"/>
                <w:sz w:val="16"/>
                <w:szCs w:val="16"/>
              </w:rPr>
              <w:t>$11,089</w:t>
            </w:r>
          </w:p>
        </w:tc>
        <w:tc>
          <w:tcPr>
            <w:tcW w:w="368" w:type="pct"/>
          </w:tcPr>
          <w:p w:rsidR="00622FE1" w:rsidRPr="00A4014C" w:rsidRDefault="00302E0C" w:rsidP="00A4014C">
            <w:pPr>
              <w:jc w:val="right"/>
              <w:rPr>
                <w:color w:val="000000" w:themeColor="text1"/>
                <w:sz w:val="16"/>
                <w:szCs w:val="16"/>
              </w:rPr>
            </w:pPr>
            <w:r w:rsidRPr="00A4014C">
              <w:rPr>
                <w:color w:val="000000" w:themeColor="text1"/>
                <w:sz w:val="16"/>
                <w:szCs w:val="16"/>
              </w:rPr>
              <w:t>$2,797</w:t>
            </w:r>
          </w:p>
        </w:tc>
        <w:tc>
          <w:tcPr>
            <w:tcW w:w="368" w:type="pct"/>
          </w:tcPr>
          <w:p w:rsidR="00622FE1" w:rsidRPr="00A4014C" w:rsidRDefault="00302E0C" w:rsidP="00A4014C">
            <w:pPr>
              <w:jc w:val="right"/>
              <w:rPr>
                <w:color w:val="000000" w:themeColor="text1"/>
                <w:sz w:val="16"/>
                <w:szCs w:val="16"/>
              </w:rPr>
            </w:pPr>
            <w:r w:rsidRPr="00A4014C">
              <w:rPr>
                <w:color w:val="000000" w:themeColor="text1"/>
                <w:sz w:val="16"/>
                <w:szCs w:val="16"/>
              </w:rPr>
              <w:t>$3,870</w:t>
            </w:r>
          </w:p>
        </w:tc>
        <w:tc>
          <w:tcPr>
            <w:tcW w:w="368"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$3,718</w:t>
            </w:r>
          </w:p>
        </w:tc>
        <w:tc>
          <w:tcPr>
            <w:tcW w:w="368"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$4,268</w:t>
            </w:r>
          </w:p>
        </w:tc>
        <w:tc>
          <w:tcPr>
            <w:tcW w:w="368"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$4,123</w:t>
            </w:r>
          </w:p>
        </w:tc>
        <w:tc>
          <w:tcPr>
            <w:tcW w:w="365" w:type="pct"/>
            <w:shd w:val="clear" w:color="auto" w:fill="E8E8E8" w:themeFill="background2"/>
          </w:tcPr>
          <w:p w:rsidR="00622FE1" w:rsidRPr="00A4014C" w:rsidRDefault="00302E0C" w:rsidP="00A4014C">
            <w:pPr>
              <w:jc w:val="right"/>
              <w:rPr>
                <w:color w:val="000000" w:themeColor="text1"/>
                <w:sz w:val="16"/>
                <w:szCs w:val="16"/>
              </w:rPr>
            </w:pPr>
            <w:r w:rsidRPr="00A4014C">
              <w:rPr>
                <w:color w:val="000000" w:themeColor="text1"/>
                <w:sz w:val="16"/>
                <w:szCs w:val="16"/>
              </w:rPr>
              <w:t>$5,647</w:t>
            </w:r>
          </w:p>
        </w:tc>
      </w:tr>
      <w:tr w:rsidR="00A4014C" w:rsidRPr="00A4014C" w:rsidTr="00A4014C">
        <w:trPr>
          <w:trHeight w:val="113"/>
        </w:trPr>
        <w:tc>
          <w:tcPr>
            <w:tcW w:w="584" w:type="pct"/>
            <w:hideMark/>
          </w:tcPr>
          <w:p w:rsidR="00622FE1" w:rsidRPr="00A4014C" w:rsidRDefault="00622FE1" w:rsidP="00A4014C">
            <w:pPr>
              <w:rPr>
                <w:color w:val="000000"/>
                <w:sz w:val="16"/>
                <w:szCs w:val="16"/>
                <w:lang w:eastAsia="en-AU"/>
              </w:rPr>
            </w:pPr>
            <w:r w:rsidRPr="00A4014C">
              <w:rPr>
                <w:color w:val="000000"/>
                <w:sz w:val="16"/>
                <w:szCs w:val="16"/>
                <w:lang w:eastAsia="en-AU"/>
              </w:rPr>
              <w:t>Expenses ($m)</w:t>
            </w:r>
          </w:p>
        </w:tc>
        <w:tc>
          <w:tcPr>
            <w:tcW w:w="368" w:type="pct"/>
          </w:tcPr>
          <w:p w:rsidR="00622FE1" w:rsidRPr="00A4014C" w:rsidRDefault="00302E0C" w:rsidP="00A4014C">
            <w:pPr>
              <w:jc w:val="right"/>
              <w:rPr>
                <w:color w:val="000000" w:themeColor="text1"/>
                <w:sz w:val="16"/>
                <w:szCs w:val="16"/>
              </w:rPr>
            </w:pPr>
            <w:r w:rsidRPr="00A4014C">
              <w:rPr>
                <w:color w:val="000000" w:themeColor="text1"/>
                <w:sz w:val="16"/>
                <w:szCs w:val="16"/>
              </w:rPr>
              <w:t>$16,109</w:t>
            </w:r>
          </w:p>
        </w:tc>
        <w:tc>
          <w:tcPr>
            <w:tcW w:w="369" w:type="pct"/>
          </w:tcPr>
          <w:p w:rsidR="00622FE1" w:rsidRPr="00A4014C" w:rsidRDefault="001B7870" w:rsidP="00A4014C">
            <w:pPr>
              <w:jc w:val="right"/>
              <w:rPr>
                <w:color w:val="000000" w:themeColor="text1"/>
                <w:sz w:val="16"/>
                <w:szCs w:val="16"/>
              </w:rPr>
            </w:pPr>
            <w:r w:rsidRPr="00A4014C">
              <w:rPr>
                <w:color w:val="000000" w:themeColor="text1"/>
                <w:sz w:val="16"/>
                <w:szCs w:val="16"/>
              </w:rPr>
              <w:t>$16,751</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$9,209</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$6,580</w:t>
            </w:r>
          </w:p>
        </w:tc>
        <w:tc>
          <w:tcPr>
            <w:tcW w:w="369"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$962</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$10,344</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$2,734</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$3,673</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$3,448</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$4,067</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$3,985</w:t>
            </w:r>
          </w:p>
        </w:tc>
        <w:tc>
          <w:tcPr>
            <w:tcW w:w="365"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$5,251</w:t>
            </w:r>
          </w:p>
        </w:tc>
      </w:tr>
      <w:tr w:rsidR="00A4014C" w:rsidRPr="00A4014C" w:rsidTr="00A4014C">
        <w:trPr>
          <w:trHeight w:val="113"/>
        </w:trPr>
        <w:tc>
          <w:tcPr>
            <w:tcW w:w="584" w:type="pct"/>
            <w:hideMark/>
          </w:tcPr>
          <w:p w:rsidR="00622FE1" w:rsidRPr="00A4014C" w:rsidRDefault="00622FE1" w:rsidP="00A4014C">
            <w:pPr>
              <w:rPr>
                <w:color w:val="000000"/>
                <w:sz w:val="16"/>
                <w:szCs w:val="16"/>
                <w:lang w:eastAsia="en-AU"/>
              </w:rPr>
            </w:pPr>
            <w:r w:rsidRPr="00A4014C">
              <w:rPr>
                <w:color w:val="000000"/>
                <w:sz w:val="16"/>
                <w:szCs w:val="16"/>
                <w:lang w:eastAsia="en-AU"/>
              </w:rPr>
              <w:t>Profit ($m)</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$1,063</w:t>
            </w:r>
          </w:p>
        </w:tc>
        <w:tc>
          <w:tcPr>
            <w:tcW w:w="369" w:type="pct"/>
          </w:tcPr>
          <w:p w:rsidR="00622FE1" w:rsidRPr="00A4014C" w:rsidRDefault="001B7870" w:rsidP="00A4014C">
            <w:pPr>
              <w:jc w:val="right"/>
              <w:rPr>
                <w:color w:val="000000" w:themeColor="text1"/>
                <w:sz w:val="16"/>
                <w:szCs w:val="16"/>
              </w:rPr>
            </w:pPr>
            <w:r w:rsidRPr="00A4014C">
              <w:rPr>
                <w:color w:val="000000" w:themeColor="text1"/>
                <w:sz w:val="16"/>
                <w:szCs w:val="16"/>
              </w:rPr>
              <w:t>$1,006</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$528</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$563</w:t>
            </w:r>
          </w:p>
        </w:tc>
        <w:tc>
          <w:tcPr>
            <w:tcW w:w="369"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-$85</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$745</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$62</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$198</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$270</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$201</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$139</w:t>
            </w:r>
          </w:p>
        </w:tc>
        <w:tc>
          <w:tcPr>
            <w:tcW w:w="365"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$395</w:t>
            </w:r>
          </w:p>
        </w:tc>
      </w:tr>
      <w:tr w:rsidR="00A4014C" w:rsidRPr="00A4014C" w:rsidTr="00A4014C">
        <w:trPr>
          <w:trHeight w:val="113"/>
        </w:trPr>
        <w:tc>
          <w:tcPr>
            <w:tcW w:w="584" w:type="pct"/>
          </w:tcPr>
          <w:p w:rsidR="00622FE1" w:rsidRPr="00A4014C" w:rsidRDefault="00622FE1" w:rsidP="00A4014C">
            <w:pPr>
              <w:rPr>
                <w:color w:val="000000"/>
                <w:sz w:val="16"/>
                <w:szCs w:val="16"/>
                <w:lang w:eastAsia="en-AU"/>
              </w:rPr>
            </w:pPr>
            <w:r w:rsidRPr="00A4014C">
              <w:rPr>
                <w:color w:val="000000"/>
                <w:sz w:val="16"/>
                <w:szCs w:val="16"/>
                <w:lang w:eastAsia="en-AU"/>
              </w:rPr>
              <w:t>EBITDA ($m)</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$1,985</w:t>
            </w:r>
          </w:p>
        </w:tc>
        <w:tc>
          <w:tcPr>
            <w:tcW w:w="369" w:type="pct"/>
          </w:tcPr>
          <w:p w:rsidR="00622FE1" w:rsidRPr="00A4014C" w:rsidRDefault="001B7870" w:rsidP="00A4014C">
            <w:pPr>
              <w:jc w:val="right"/>
              <w:rPr>
                <w:color w:val="000000" w:themeColor="text1"/>
                <w:sz w:val="16"/>
                <w:szCs w:val="16"/>
              </w:rPr>
            </w:pPr>
            <w:r w:rsidRPr="00A4014C">
              <w:rPr>
                <w:color w:val="000000" w:themeColor="text1"/>
                <w:sz w:val="16"/>
                <w:szCs w:val="16"/>
              </w:rPr>
              <w:t>$2,072</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$1,174</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$928</w:t>
            </w:r>
          </w:p>
        </w:tc>
        <w:tc>
          <w:tcPr>
            <w:tcW w:w="369"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-$30</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$1,401</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$233</w:t>
            </w:r>
          </w:p>
        </w:tc>
        <w:tc>
          <w:tcPr>
            <w:tcW w:w="368" w:type="pct"/>
          </w:tcPr>
          <w:p w:rsidR="00622FE1" w:rsidRPr="00A4014C" w:rsidRDefault="001B7870" w:rsidP="00A4014C">
            <w:pPr>
              <w:jc w:val="right"/>
              <w:rPr>
                <w:color w:val="000000" w:themeColor="text1"/>
                <w:sz w:val="16"/>
                <w:szCs w:val="16"/>
              </w:rPr>
            </w:pPr>
            <w:r w:rsidRPr="00A4014C">
              <w:rPr>
                <w:color w:val="000000" w:themeColor="text1"/>
                <w:sz w:val="16"/>
                <w:szCs w:val="16"/>
              </w:rPr>
              <w:t>$439</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$479</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$451</w:t>
            </w:r>
          </w:p>
        </w:tc>
        <w:tc>
          <w:tcPr>
            <w:tcW w:w="368"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$406</w:t>
            </w:r>
          </w:p>
        </w:tc>
        <w:tc>
          <w:tcPr>
            <w:tcW w:w="365" w:type="pct"/>
            <w:shd w:val="clear" w:color="auto" w:fill="E8E8E8" w:themeFill="background2"/>
          </w:tcPr>
          <w:p w:rsidR="00622FE1" w:rsidRPr="00A4014C" w:rsidRDefault="001B7870" w:rsidP="00A4014C">
            <w:pPr>
              <w:jc w:val="right"/>
              <w:rPr>
                <w:color w:val="000000" w:themeColor="text1"/>
                <w:sz w:val="16"/>
                <w:szCs w:val="16"/>
              </w:rPr>
            </w:pPr>
            <w:r w:rsidRPr="00A4014C">
              <w:rPr>
                <w:color w:val="000000" w:themeColor="text1"/>
                <w:sz w:val="16"/>
                <w:szCs w:val="16"/>
              </w:rPr>
              <w:t>$736</w:t>
            </w:r>
          </w:p>
        </w:tc>
      </w:tr>
      <w:tr w:rsidR="00A4014C" w:rsidRPr="00A4014C" w:rsidTr="00A4014C">
        <w:trPr>
          <w:trHeight w:val="113"/>
        </w:trPr>
        <w:tc>
          <w:tcPr>
            <w:tcW w:w="584" w:type="pct"/>
          </w:tcPr>
          <w:p w:rsidR="00622FE1" w:rsidRPr="00A4014C" w:rsidRDefault="00622FE1" w:rsidP="00A4014C">
            <w:pPr>
              <w:rPr>
                <w:color w:val="000000"/>
                <w:sz w:val="16"/>
                <w:szCs w:val="16"/>
                <w:lang w:eastAsia="en-AU"/>
              </w:rPr>
            </w:pPr>
            <w:r w:rsidRPr="00A4014C">
              <w:rPr>
                <w:color w:val="000000"/>
                <w:sz w:val="16"/>
                <w:szCs w:val="16"/>
                <w:lang w:eastAsia="en-AU"/>
              </w:rPr>
              <w:t xml:space="preserve">EBITDA </w:t>
            </w:r>
            <w:proofErr w:type="spellStart"/>
            <w:r w:rsidRPr="00A4014C">
              <w:rPr>
                <w:color w:val="000000"/>
                <w:sz w:val="16"/>
                <w:szCs w:val="16"/>
                <w:lang w:eastAsia="en-AU"/>
              </w:rPr>
              <w:t>p</w:t>
            </w:r>
            <w:r w:rsidR="006C3BC7" w:rsidRPr="00A4014C">
              <w:rPr>
                <w:color w:val="000000"/>
                <w:sz w:val="16"/>
                <w:szCs w:val="16"/>
                <w:lang w:eastAsia="en-AU"/>
              </w:rPr>
              <w:t>.r.p.a</w:t>
            </w:r>
            <w:proofErr w:type="spellEnd"/>
            <w:r w:rsidR="006C3BC7" w:rsidRPr="00A4014C">
              <w:rPr>
                <w:color w:val="000000"/>
                <w:sz w:val="16"/>
                <w:szCs w:val="16"/>
                <w:lang w:eastAsia="en-AU"/>
              </w:rPr>
              <w:t xml:space="preserve"> </w:t>
            </w:r>
            <w:r w:rsidRPr="00A4014C">
              <w:rPr>
                <w:color w:val="000000"/>
                <w:sz w:val="16"/>
                <w:szCs w:val="16"/>
                <w:lang w:eastAsia="en-AU"/>
              </w:rPr>
              <w:t>($)</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$11,134</w:t>
            </w:r>
          </w:p>
        </w:tc>
        <w:tc>
          <w:tcPr>
            <w:tcW w:w="369" w:type="pct"/>
          </w:tcPr>
          <w:p w:rsidR="00622FE1" w:rsidRPr="00A4014C" w:rsidRDefault="00622FE1" w:rsidP="00A4014C">
            <w:pPr>
              <w:jc w:val="right"/>
              <w:rPr>
                <w:color w:val="000000" w:themeColor="text1"/>
                <w:sz w:val="16"/>
                <w:szCs w:val="16"/>
              </w:rPr>
            </w:pPr>
            <w:r w:rsidRPr="00A4014C">
              <w:rPr>
                <w:color w:val="000000" w:themeColor="text1"/>
                <w:sz w:val="16"/>
                <w:szCs w:val="16"/>
              </w:rPr>
              <w:t>$11,481</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$11,40</w:t>
            </w:r>
            <w:r w:rsidR="00111110" w:rsidRPr="00A4014C">
              <w:rPr>
                <w:color w:val="000000" w:themeColor="text1"/>
                <w:sz w:val="16"/>
                <w:szCs w:val="16"/>
              </w:rPr>
              <w:t>8</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$13,3</w:t>
            </w:r>
            <w:r w:rsidR="00111110" w:rsidRPr="00A4014C">
              <w:rPr>
                <w:color w:val="000000" w:themeColor="text1"/>
                <w:sz w:val="16"/>
                <w:szCs w:val="16"/>
              </w:rPr>
              <w:t>16</w:t>
            </w:r>
          </w:p>
        </w:tc>
        <w:tc>
          <w:tcPr>
            <w:tcW w:w="369"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$3,791</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$12,422</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$8,257</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$11,093</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$12,534</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$10,586</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$9,709</w:t>
            </w:r>
          </w:p>
        </w:tc>
        <w:tc>
          <w:tcPr>
            <w:tcW w:w="365"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$12,726</w:t>
            </w:r>
          </w:p>
        </w:tc>
      </w:tr>
      <w:tr w:rsidR="00A4014C" w:rsidRPr="00A4014C" w:rsidTr="00A4014C">
        <w:trPr>
          <w:trHeight w:val="113"/>
        </w:trPr>
        <w:tc>
          <w:tcPr>
            <w:tcW w:w="584" w:type="pct"/>
            <w:hideMark/>
          </w:tcPr>
          <w:p w:rsidR="00622FE1" w:rsidRPr="00A4014C" w:rsidRDefault="00622FE1" w:rsidP="00A4014C">
            <w:pPr>
              <w:rPr>
                <w:color w:val="000000"/>
                <w:sz w:val="16"/>
                <w:szCs w:val="16"/>
                <w:lang w:eastAsia="en-AU"/>
              </w:rPr>
            </w:pPr>
            <w:r w:rsidRPr="00A4014C">
              <w:rPr>
                <w:color w:val="000000"/>
                <w:sz w:val="16"/>
                <w:szCs w:val="16"/>
                <w:lang w:eastAsia="en-AU"/>
              </w:rPr>
              <w:t>EBITDA margin</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11.6%</w:t>
            </w:r>
          </w:p>
        </w:tc>
        <w:tc>
          <w:tcPr>
            <w:tcW w:w="369" w:type="pct"/>
          </w:tcPr>
          <w:p w:rsidR="00622FE1" w:rsidRPr="00A4014C" w:rsidRDefault="00622FE1" w:rsidP="00A4014C">
            <w:pPr>
              <w:jc w:val="right"/>
              <w:rPr>
                <w:color w:val="000000" w:themeColor="text1"/>
                <w:sz w:val="16"/>
                <w:szCs w:val="16"/>
              </w:rPr>
            </w:pPr>
            <w:r w:rsidRPr="00A4014C">
              <w:rPr>
                <w:color w:val="000000" w:themeColor="text1"/>
                <w:sz w:val="16"/>
                <w:szCs w:val="16"/>
              </w:rPr>
              <w:t>11.7%</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12.1%</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13.0%</w:t>
            </w:r>
          </w:p>
        </w:tc>
        <w:tc>
          <w:tcPr>
            <w:tcW w:w="369" w:type="pct"/>
            <w:shd w:val="clear" w:color="auto" w:fill="E8E8E8" w:themeFill="background2"/>
          </w:tcPr>
          <w:p w:rsidR="00622FE1" w:rsidRPr="00A4014C" w:rsidRDefault="00D8721E" w:rsidP="00A4014C">
            <w:pPr>
              <w:jc w:val="right"/>
              <w:rPr>
                <w:color w:val="000000" w:themeColor="text1"/>
                <w:sz w:val="16"/>
                <w:szCs w:val="16"/>
              </w:rPr>
            </w:pPr>
            <w:r w:rsidRPr="00A4014C">
              <w:rPr>
                <w:color w:val="000000" w:themeColor="text1"/>
                <w:sz w:val="16"/>
                <w:szCs w:val="16"/>
              </w:rPr>
              <w:t>–3</w:t>
            </w:r>
            <w:r w:rsidR="00622FE1" w:rsidRPr="00A4014C">
              <w:rPr>
                <w:color w:val="000000" w:themeColor="text1"/>
                <w:sz w:val="16"/>
                <w:szCs w:val="16"/>
              </w:rPr>
              <w:t>.4%</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12.6%</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8.3%</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11.3%</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12.9%</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10.6%</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9.8%</w:t>
            </w:r>
          </w:p>
        </w:tc>
        <w:tc>
          <w:tcPr>
            <w:tcW w:w="365"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13.0%</w:t>
            </w:r>
          </w:p>
        </w:tc>
      </w:tr>
      <w:tr w:rsidR="00A4014C" w:rsidRPr="00A4014C" w:rsidTr="00A4014C">
        <w:trPr>
          <w:trHeight w:val="113"/>
        </w:trPr>
        <w:tc>
          <w:tcPr>
            <w:tcW w:w="584" w:type="pct"/>
          </w:tcPr>
          <w:p w:rsidR="00622FE1" w:rsidRPr="00A4014C" w:rsidRDefault="00622FE1" w:rsidP="00A4014C">
            <w:pPr>
              <w:rPr>
                <w:color w:val="000000"/>
                <w:sz w:val="16"/>
                <w:szCs w:val="16"/>
                <w:lang w:eastAsia="en-AU"/>
              </w:rPr>
            </w:pPr>
            <w:r w:rsidRPr="00A4014C">
              <w:rPr>
                <w:color w:val="000000"/>
                <w:sz w:val="16"/>
                <w:szCs w:val="16"/>
                <w:lang w:eastAsia="en-AU"/>
              </w:rPr>
              <w:t>NPBT margin</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6.2%</w:t>
            </w:r>
          </w:p>
        </w:tc>
        <w:tc>
          <w:tcPr>
            <w:tcW w:w="369" w:type="pct"/>
          </w:tcPr>
          <w:p w:rsidR="00622FE1" w:rsidRPr="00A4014C" w:rsidRDefault="00622FE1" w:rsidP="00A4014C">
            <w:pPr>
              <w:jc w:val="right"/>
              <w:rPr>
                <w:color w:val="000000" w:themeColor="text1"/>
                <w:sz w:val="16"/>
                <w:szCs w:val="16"/>
              </w:rPr>
            </w:pPr>
            <w:r w:rsidRPr="00A4014C">
              <w:rPr>
                <w:color w:val="000000" w:themeColor="text1"/>
                <w:sz w:val="16"/>
                <w:szCs w:val="16"/>
              </w:rPr>
              <w:t>5.7%</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5.4%</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7.9%</w:t>
            </w:r>
          </w:p>
        </w:tc>
        <w:tc>
          <w:tcPr>
            <w:tcW w:w="369" w:type="pct"/>
            <w:shd w:val="clear" w:color="auto" w:fill="E8E8E8" w:themeFill="background2"/>
          </w:tcPr>
          <w:p w:rsidR="00622FE1" w:rsidRPr="00A4014C" w:rsidRDefault="00D8721E" w:rsidP="00A4014C">
            <w:pPr>
              <w:jc w:val="right"/>
              <w:rPr>
                <w:color w:val="000000" w:themeColor="text1"/>
                <w:sz w:val="16"/>
                <w:szCs w:val="16"/>
              </w:rPr>
            </w:pPr>
            <w:r w:rsidRPr="00A4014C">
              <w:rPr>
                <w:color w:val="000000" w:themeColor="text1"/>
                <w:sz w:val="16"/>
                <w:szCs w:val="16"/>
              </w:rPr>
              <w:t>–1</w:t>
            </w:r>
            <w:r w:rsidR="00622FE1" w:rsidRPr="00A4014C">
              <w:rPr>
                <w:color w:val="000000" w:themeColor="text1"/>
                <w:sz w:val="16"/>
                <w:szCs w:val="16"/>
              </w:rPr>
              <w:t>1.5%</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6.7%</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2.4%</w:t>
            </w:r>
          </w:p>
        </w:tc>
        <w:tc>
          <w:tcPr>
            <w:tcW w:w="368" w:type="pct"/>
          </w:tcPr>
          <w:p w:rsidR="00622FE1" w:rsidRPr="00A4014C" w:rsidRDefault="00622FE1" w:rsidP="00A4014C">
            <w:pPr>
              <w:jc w:val="right"/>
              <w:rPr>
                <w:color w:val="000000" w:themeColor="text1"/>
                <w:sz w:val="16"/>
                <w:szCs w:val="16"/>
              </w:rPr>
            </w:pPr>
            <w:r w:rsidRPr="00A4014C">
              <w:rPr>
                <w:color w:val="000000" w:themeColor="text1"/>
                <w:sz w:val="16"/>
                <w:szCs w:val="16"/>
              </w:rPr>
              <w:t>5.1%</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7.3%</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4.7%</w:t>
            </w:r>
          </w:p>
        </w:tc>
        <w:tc>
          <w:tcPr>
            <w:tcW w:w="368"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3.5%</w:t>
            </w:r>
          </w:p>
        </w:tc>
        <w:tc>
          <w:tcPr>
            <w:tcW w:w="365" w:type="pct"/>
            <w:shd w:val="clear" w:color="auto" w:fill="E8E8E8" w:themeFill="background2"/>
          </w:tcPr>
          <w:p w:rsidR="00622FE1" w:rsidRPr="00A4014C" w:rsidRDefault="00622FE1" w:rsidP="00A4014C">
            <w:pPr>
              <w:jc w:val="right"/>
              <w:rPr>
                <w:color w:val="000000" w:themeColor="text1"/>
                <w:sz w:val="16"/>
                <w:szCs w:val="16"/>
              </w:rPr>
            </w:pPr>
            <w:r w:rsidRPr="00A4014C">
              <w:rPr>
                <w:color w:val="000000" w:themeColor="text1"/>
                <w:sz w:val="16"/>
                <w:szCs w:val="16"/>
              </w:rPr>
              <w:t>7.0%</w:t>
            </w:r>
          </w:p>
        </w:tc>
      </w:tr>
    </w:tbl>
    <w:p w:rsidR="001B0AFE" w:rsidRPr="0066081F" w:rsidRDefault="001B0AFE" w:rsidP="00D934E8">
      <w:pPr>
        <w:pStyle w:val="Source"/>
        <w:jc w:val="center"/>
        <w:rPr>
          <w:rFonts w:ascii="Segoe UI" w:hAnsi="Segoe UI" w:cs="Segoe UI"/>
          <w:sz w:val="6"/>
          <w:szCs w:val="6"/>
        </w:rPr>
      </w:pPr>
    </w:p>
    <w:p w:rsidR="00A4014C" w:rsidRDefault="00A4014C" w:rsidP="00A4014C">
      <w:pPr>
        <w:pStyle w:val="SourceNotesHeading"/>
      </w:pPr>
      <w:r>
        <w:t>Notes</w:t>
      </w:r>
    </w:p>
    <w:p w:rsidR="00A4014C" w:rsidRDefault="000159FA" w:rsidP="0016704B">
      <w:pPr>
        <w:pStyle w:val="SourceNotesNumbered"/>
        <w:numPr>
          <w:ilvl w:val="0"/>
          <w:numId w:val="25"/>
        </w:numPr>
      </w:pPr>
      <w:r w:rsidRPr="002973D3">
        <w:t xml:space="preserve">Amounts presented in this table </w:t>
      </w:r>
      <w:r w:rsidR="00221574" w:rsidRPr="002973D3">
        <w:t xml:space="preserve">represent those providers who have given their </w:t>
      </w:r>
      <w:r w:rsidR="002A5BF6" w:rsidRPr="002973D3">
        <w:t>ACFR</w:t>
      </w:r>
      <w:r w:rsidR="00221574" w:rsidRPr="002973D3">
        <w:t>s (9</w:t>
      </w:r>
      <w:r w:rsidR="001D3E48" w:rsidRPr="002973D3">
        <w:t>8.5</w:t>
      </w:r>
      <w:r w:rsidR="000F4EED" w:rsidRPr="002973D3">
        <w:t>per cent</w:t>
      </w:r>
      <w:r w:rsidR="00221574" w:rsidRPr="002973D3">
        <w:t xml:space="preserve"> of the sector).</w:t>
      </w:r>
    </w:p>
    <w:p w:rsidR="00A4014C" w:rsidRDefault="00221574" w:rsidP="00A4014C">
      <w:pPr>
        <w:pStyle w:val="SourceNotesNumbered"/>
      </w:pPr>
      <w:r w:rsidRPr="002973D3">
        <w:t xml:space="preserve">The amount of tax and Net Profit/Loss After Tax is not given in the </w:t>
      </w:r>
      <w:r w:rsidR="00111110" w:rsidRPr="002973D3">
        <w:t>ACFR</w:t>
      </w:r>
      <w:r w:rsidRPr="002973D3">
        <w:t xml:space="preserve"> at the residential aged care segment level by all providers. </w:t>
      </w:r>
    </w:p>
    <w:p w:rsidR="00D8721E" w:rsidRDefault="00221574" w:rsidP="00A4014C">
      <w:pPr>
        <w:pStyle w:val="SourceNotesNumbered"/>
      </w:pPr>
      <w:r w:rsidRPr="002973D3">
        <w:t>The amount of un-appropriated profit flowing to the balance sheet is not given by all providers at the residential aged care segment level</w:t>
      </w:r>
      <w:r w:rsidR="00D8721E">
        <w:t>.</w:t>
      </w:r>
    </w:p>
    <w:p w:rsidR="00D8721E" w:rsidRDefault="003E403A" w:rsidP="00A4014C">
      <w:pPr>
        <w:rPr>
          <w:lang w:val="en-GB"/>
        </w:rPr>
      </w:pPr>
      <w:r>
        <w:rPr>
          <w:lang w:val="en-GB"/>
        </w:rPr>
        <w:t>There was an improvement in the o</w:t>
      </w:r>
      <w:r w:rsidRPr="00912A6A">
        <w:rPr>
          <w:lang w:val="en-GB"/>
        </w:rPr>
        <w:t xml:space="preserve">verall financial performance </w:t>
      </w:r>
      <w:r>
        <w:rPr>
          <w:lang w:val="en-GB"/>
        </w:rPr>
        <w:t>of not</w:t>
      </w:r>
      <w:r>
        <w:rPr>
          <w:lang w:val="en-GB"/>
        </w:rPr>
        <w:noBreakHyphen/>
        <w:t>for</w:t>
      </w:r>
      <w:r>
        <w:rPr>
          <w:lang w:val="en-GB"/>
        </w:rPr>
        <w:noBreakHyphen/>
        <w:t>profit providers</w:t>
      </w:r>
      <w:r w:rsidR="00471A41">
        <w:rPr>
          <w:lang w:val="en-GB"/>
        </w:rPr>
        <w:t>,</w:t>
      </w:r>
      <w:r>
        <w:rPr>
          <w:lang w:val="en-GB"/>
        </w:rPr>
        <w:t xml:space="preserve"> with EBITDA increasing from $1,04</w:t>
      </w:r>
      <w:r w:rsidR="00B97D56">
        <w:rPr>
          <w:lang w:val="en-GB"/>
        </w:rPr>
        <w:t>7</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$1,17</w:t>
      </w:r>
      <w:r w:rsidR="00AB6911">
        <w:rPr>
          <w:lang w:val="en-GB"/>
        </w:rPr>
        <w:t>4</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 an increase of $12</w:t>
      </w:r>
      <w:r w:rsidR="00B97D56">
        <w:rPr>
          <w:lang w:val="en-GB"/>
        </w:rPr>
        <w:t>7</w:t>
      </w:r>
      <w:r w:rsidR="00A261F3">
        <w:rPr>
          <w:lang w:val="en-GB"/>
        </w:rPr>
        <w:t> million</w:t>
      </w:r>
      <w:r w:rsidR="00471A41">
        <w:rPr>
          <w:lang w:val="en-GB"/>
        </w:rPr>
        <w:t xml:space="preserve">. </w:t>
      </w:r>
      <w:r>
        <w:rPr>
          <w:lang w:val="en-GB"/>
        </w:rPr>
        <w:t>EBITDA per resident per annum increas</w:t>
      </w:r>
      <w:r w:rsidR="00471A41">
        <w:rPr>
          <w:lang w:val="en-GB"/>
        </w:rPr>
        <w:t>ed</w:t>
      </w:r>
      <w:r>
        <w:rPr>
          <w:lang w:val="en-GB"/>
        </w:rPr>
        <w:t xml:space="preserve"> by $1,219 to $11,40</w:t>
      </w:r>
      <w:r w:rsidR="00111110">
        <w:rPr>
          <w:lang w:val="en-GB"/>
        </w:rPr>
        <w:t>8</w:t>
      </w:r>
      <w:r>
        <w:rPr>
          <w:lang w:val="en-GB"/>
        </w:rPr>
        <w:t xml:space="preserve"> in</w:t>
      </w:r>
      <w:r w:rsidR="00A261F3">
        <w:rPr>
          <w:lang w:val="en-GB"/>
        </w:rPr>
        <w:t> 201</w:t>
      </w:r>
      <w:r>
        <w:rPr>
          <w:lang w:val="en-GB"/>
        </w:rPr>
        <w:t>6</w:t>
      </w:r>
      <w:r w:rsidR="00D8721E">
        <w:rPr>
          <w:lang w:val="en-GB"/>
        </w:rPr>
        <w:t>–1</w:t>
      </w:r>
      <w:r>
        <w:rPr>
          <w:lang w:val="en-GB"/>
        </w:rPr>
        <w:t>7. The EBITDA of the for-profit providers dropped slightly from $93</w:t>
      </w:r>
      <w:r w:rsidR="00B97D56">
        <w:rPr>
          <w:lang w:val="en-GB"/>
        </w:rPr>
        <w:t>8</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$92</w:t>
      </w:r>
      <w:r w:rsidR="00B97D56">
        <w:rPr>
          <w:lang w:val="en-GB"/>
        </w:rPr>
        <w:t>8</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 The EBITDA per resident per annum of the for-profit providers also dropped marginally from $13,908 in</w:t>
      </w:r>
      <w:r w:rsidR="00A261F3">
        <w:rPr>
          <w:lang w:val="en-GB"/>
        </w:rPr>
        <w:t> 201</w:t>
      </w:r>
      <w:r>
        <w:rPr>
          <w:lang w:val="en-GB"/>
        </w:rPr>
        <w:t>5</w:t>
      </w:r>
      <w:r w:rsidR="00D8721E">
        <w:rPr>
          <w:lang w:val="en-GB"/>
        </w:rPr>
        <w:t>–1</w:t>
      </w:r>
      <w:r>
        <w:rPr>
          <w:lang w:val="en-GB"/>
        </w:rPr>
        <w:t>6 to $13,3</w:t>
      </w:r>
      <w:r w:rsidR="00111110">
        <w:rPr>
          <w:lang w:val="en-GB"/>
        </w:rPr>
        <w:t>16</w:t>
      </w:r>
      <w:r>
        <w:rPr>
          <w:lang w:val="en-GB"/>
        </w:rPr>
        <w:t xml:space="preserve"> in</w:t>
      </w:r>
      <w:r w:rsidR="00A261F3">
        <w:rPr>
          <w:lang w:val="en-GB"/>
        </w:rPr>
        <w:t> 201</w:t>
      </w:r>
      <w:r>
        <w:rPr>
          <w:lang w:val="en-GB"/>
        </w:rPr>
        <w:t>6</w:t>
      </w:r>
      <w:r w:rsidR="00D8721E">
        <w:rPr>
          <w:lang w:val="en-GB"/>
        </w:rPr>
        <w:t>–1</w:t>
      </w:r>
      <w:r>
        <w:rPr>
          <w:lang w:val="en-GB"/>
        </w:rPr>
        <w:t>7</w:t>
      </w:r>
      <w:r w:rsidR="00471A41">
        <w:rPr>
          <w:lang w:val="en-GB"/>
        </w:rPr>
        <w:t>.</w:t>
      </w:r>
      <w:r>
        <w:rPr>
          <w:lang w:val="en-GB"/>
        </w:rPr>
        <w:t xml:space="preserve"> Government providers reported a</w:t>
      </w:r>
      <w:r w:rsidR="00D84B4F">
        <w:rPr>
          <w:lang w:val="en-GB"/>
        </w:rPr>
        <w:t>n overall</w:t>
      </w:r>
      <w:r>
        <w:rPr>
          <w:lang w:val="en-GB"/>
        </w:rPr>
        <w:t xml:space="preserve"> loss of $3</w:t>
      </w:r>
      <w:r w:rsidR="00AB6911">
        <w:rPr>
          <w:lang w:val="en-GB"/>
        </w:rPr>
        <w:t>0</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 xml:space="preserve">7 </w:t>
      </w:r>
      <w:r w:rsidR="002A5BF6">
        <w:rPr>
          <w:lang w:val="en-GB"/>
        </w:rPr>
        <w:t xml:space="preserve">and </w:t>
      </w:r>
      <w:r>
        <w:rPr>
          <w:lang w:val="en-GB"/>
        </w:rPr>
        <w:t xml:space="preserve">a </w:t>
      </w:r>
      <w:r w:rsidR="00D84B4F">
        <w:rPr>
          <w:lang w:val="en-GB"/>
        </w:rPr>
        <w:t>loss</w:t>
      </w:r>
      <w:r>
        <w:rPr>
          <w:lang w:val="en-GB"/>
        </w:rPr>
        <w:t xml:space="preserve"> in EBITDA per resident per annum of $3,791.</w:t>
      </w:r>
    </w:p>
    <w:p w:rsidR="00D8721E" w:rsidRDefault="003E403A" w:rsidP="00A4014C">
      <w:pPr>
        <w:rPr>
          <w:lang w:val="en-GB"/>
        </w:rPr>
      </w:pPr>
      <w:r>
        <w:rPr>
          <w:lang w:val="en-GB"/>
        </w:rPr>
        <w:t>In</w:t>
      </w:r>
      <w:r w:rsidR="00A261F3">
        <w:rPr>
          <w:lang w:val="en-GB"/>
        </w:rPr>
        <w:t> 201</w:t>
      </w:r>
      <w:r>
        <w:rPr>
          <w:lang w:val="en-GB"/>
        </w:rPr>
        <w:t>6</w:t>
      </w:r>
      <w:r w:rsidR="00D8721E">
        <w:rPr>
          <w:lang w:val="en-GB"/>
        </w:rPr>
        <w:t>–1</w:t>
      </w:r>
      <w:r>
        <w:rPr>
          <w:lang w:val="en-GB"/>
        </w:rPr>
        <w:t>7, the overall financial performance improved for metropolitan providers and providers operating in both metropolitan and regional locations. The EBITDA increased for metropolitan providers from $1,30</w:t>
      </w:r>
      <w:r w:rsidR="00B97D56">
        <w:rPr>
          <w:lang w:val="en-GB"/>
        </w:rPr>
        <w:t>6</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$1,40</w:t>
      </w:r>
      <w:r w:rsidR="00AB6911">
        <w:rPr>
          <w:lang w:val="en-GB"/>
        </w:rPr>
        <w:t>1</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w:t>
      </w:r>
      <w:r w:rsidR="002A5BF6">
        <w:rPr>
          <w:lang w:val="en-GB"/>
        </w:rPr>
        <w:t>,</w:t>
      </w:r>
      <w:r>
        <w:rPr>
          <w:lang w:val="en-GB"/>
        </w:rPr>
        <w:t xml:space="preserve"> with the EBITDA per resident per annum improving from $11,701 in</w:t>
      </w:r>
      <w:r w:rsidR="00A261F3">
        <w:rPr>
          <w:lang w:val="en-GB"/>
        </w:rPr>
        <w:t> 201</w:t>
      </w:r>
      <w:r>
        <w:rPr>
          <w:lang w:val="en-GB"/>
        </w:rPr>
        <w:t>5</w:t>
      </w:r>
      <w:r w:rsidR="00D8721E">
        <w:rPr>
          <w:lang w:val="en-GB"/>
        </w:rPr>
        <w:t>–1</w:t>
      </w:r>
      <w:r>
        <w:rPr>
          <w:lang w:val="en-GB"/>
        </w:rPr>
        <w:t>6 to $12,422 in</w:t>
      </w:r>
      <w:r w:rsidR="00A261F3">
        <w:rPr>
          <w:lang w:val="en-GB"/>
        </w:rPr>
        <w:t> 201</w:t>
      </w:r>
      <w:r>
        <w:rPr>
          <w:lang w:val="en-GB"/>
        </w:rPr>
        <w:t>6</w:t>
      </w:r>
      <w:r w:rsidR="00D8721E">
        <w:rPr>
          <w:lang w:val="en-GB"/>
        </w:rPr>
        <w:t>–1</w:t>
      </w:r>
      <w:r>
        <w:rPr>
          <w:lang w:val="en-GB"/>
        </w:rPr>
        <w:t>7. For regional providers, the EBITDA decreased from $26</w:t>
      </w:r>
      <w:r w:rsidR="00B97D56">
        <w:rPr>
          <w:lang w:val="en-GB"/>
        </w:rPr>
        <w:t>6</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$233</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 a decrease of $33</w:t>
      </w:r>
      <w:r w:rsidR="00A261F3">
        <w:rPr>
          <w:lang w:val="en-GB"/>
        </w:rPr>
        <w:t> million</w:t>
      </w:r>
      <w:r w:rsidR="002A5BF6">
        <w:rPr>
          <w:lang w:val="en-GB"/>
        </w:rPr>
        <w:t>,</w:t>
      </w:r>
      <w:r>
        <w:rPr>
          <w:lang w:val="en-GB"/>
        </w:rPr>
        <w:t xml:space="preserve"> and the EBITDA per resident per annum dropped from $9,046 in</w:t>
      </w:r>
      <w:r w:rsidR="00A261F3">
        <w:rPr>
          <w:lang w:val="en-GB"/>
        </w:rPr>
        <w:t> 201</w:t>
      </w:r>
      <w:r>
        <w:rPr>
          <w:lang w:val="en-GB"/>
        </w:rPr>
        <w:t>5</w:t>
      </w:r>
      <w:r w:rsidR="00D8721E">
        <w:rPr>
          <w:lang w:val="en-GB"/>
        </w:rPr>
        <w:t>–1</w:t>
      </w:r>
      <w:r>
        <w:rPr>
          <w:lang w:val="en-GB"/>
        </w:rPr>
        <w:t>6 to $8,257 in</w:t>
      </w:r>
      <w:r w:rsidR="00A261F3">
        <w:rPr>
          <w:lang w:val="en-GB"/>
        </w:rPr>
        <w:t> 201</w:t>
      </w:r>
      <w:r>
        <w:rPr>
          <w:lang w:val="en-GB"/>
        </w:rPr>
        <w:t>6</w:t>
      </w:r>
      <w:r w:rsidR="00D8721E">
        <w:rPr>
          <w:lang w:val="en-GB"/>
        </w:rPr>
        <w:t>–1</w:t>
      </w:r>
      <w:r>
        <w:rPr>
          <w:lang w:val="en-GB"/>
        </w:rPr>
        <w:t>7. Providers operating in both metropolitan and regional locations improved their reported EBITDA from $413</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$43</w:t>
      </w:r>
      <w:r w:rsidR="00B97D56">
        <w:rPr>
          <w:lang w:val="en-GB"/>
        </w:rPr>
        <w:t>9</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 an increase of $2</w:t>
      </w:r>
      <w:r w:rsidR="00B97D56">
        <w:rPr>
          <w:lang w:val="en-GB"/>
        </w:rPr>
        <w:t>6</w:t>
      </w:r>
      <w:r w:rsidR="00A261F3">
        <w:rPr>
          <w:lang w:val="en-GB"/>
        </w:rPr>
        <w:t> million</w:t>
      </w:r>
      <w:r w:rsidR="002A5BF6">
        <w:rPr>
          <w:lang w:val="en-GB"/>
        </w:rPr>
        <w:t>,</w:t>
      </w:r>
      <w:r>
        <w:rPr>
          <w:lang w:val="en-GB"/>
        </w:rPr>
        <w:t xml:space="preserve"> with the EBITDA per resident per annum, increasing from $11,081 in</w:t>
      </w:r>
      <w:r w:rsidR="00A261F3">
        <w:rPr>
          <w:lang w:val="en-GB"/>
        </w:rPr>
        <w:t> 201</w:t>
      </w:r>
      <w:r>
        <w:rPr>
          <w:lang w:val="en-GB"/>
        </w:rPr>
        <w:t>5</w:t>
      </w:r>
      <w:r w:rsidR="00D8721E">
        <w:rPr>
          <w:lang w:val="en-GB"/>
        </w:rPr>
        <w:t>–1</w:t>
      </w:r>
      <w:r>
        <w:rPr>
          <w:lang w:val="en-GB"/>
        </w:rPr>
        <w:t>6 to $11,093 in</w:t>
      </w:r>
      <w:r w:rsidR="00A261F3">
        <w:rPr>
          <w:lang w:val="en-GB"/>
        </w:rPr>
        <w:t> 201</w:t>
      </w:r>
      <w:r>
        <w:rPr>
          <w:lang w:val="en-GB"/>
        </w:rPr>
        <w:t>6</w:t>
      </w:r>
      <w:r w:rsidR="00D8721E">
        <w:rPr>
          <w:lang w:val="en-GB"/>
        </w:rPr>
        <w:t>–1</w:t>
      </w:r>
      <w:r>
        <w:rPr>
          <w:lang w:val="en-GB"/>
        </w:rPr>
        <w:t>7.</w:t>
      </w:r>
    </w:p>
    <w:p w:rsidR="00D8721E" w:rsidRDefault="003E403A" w:rsidP="00A4014C">
      <w:pPr>
        <w:rPr>
          <w:lang w:val="en-GB"/>
        </w:rPr>
      </w:pPr>
      <w:r>
        <w:rPr>
          <w:lang w:val="en-GB"/>
        </w:rPr>
        <w:lastRenderedPageBreak/>
        <w:t>In terms of provider scale, in</w:t>
      </w:r>
      <w:r w:rsidR="00A261F3">
        <w:rPr>
          <w:lang w:val="en-GB"/>
        </w:rPr>
        <w:t> 201</w:t>
      </w:r>
      <w:r>
        <w:rPr>
          <w:lang w:val="en-GB"/>
        </w:rPr>
        <w:t>6</w:t>
      </w:r>
      <w:r w:rsidR="00D8721E">
        <w:rPr>
          <w:lang w:val="en-GB"/>
        </w:rPr>
        <w:t>–1</w:t>
      </w:r>
      <w:r>
        <w:rPr>
          <w:lang w:val="en-GB"/>
        </w:rPr>
        <w:t>7</w:t>
      </w:r>
      <w:r w:rsidR="00715FD4">
        <w:rPr>
          <w:lang w:val="en-GB"/>
        </w:rPr>
        <w:t xml:space="preserve"> compared with</w:t>
      </w:r>
      <w:r w:rsidR="00A261F3">
        <w:rPr>
          <w:lang w:val="en-GB"/>
        </w:rPr>
        <w:t> 201</w:t>
      </w:r>
      <w:r w:rsidR="00715FD4">
        <w:rPr>
          <w:lang w:val="en-GB"/>
        </w:rPr>
        <w:t>5</w:t>
      </w:r>
      <w:r w:rsidR="00D8721E">
        <w:rPr>
          <w:lang w:val="en-GB"/>
        </w:rPr>
        <w:t>–1</w:t>
      </w:r>
      <w:r w:rsidR="00715FD4">
        <w:rPr>
          <w:lang w:val="en-GB"/>
        </w:rPr>
        <w:t>6,</w:t>
      </w:r>
      <w:r>
        <w:rPr>
          <w:lang w:val="en-GB"/>
        </w:rPr>
        <w:t xml:space="preserve"> the overall financial performance improved for providers operating more than 20 homes and </w:t>
      </w:r>
      <w:r w:rsidR="002A5BF6">
        <w:rPr>
          <w:lang w:val="en-GB"/>
        </w:rPr>
        <w:t xml:space="preserve">for </w:t>
      </w:r>
      <w:r>
        <w:rPr>
          <w:lang w:val="en-GB"/>
        </w:rPr>
        <w:t>providers operating up to 6</w:t>
      </w:r>
      <w:r w:rsidR="00715FD4">
        <w:rPr>
          <w:lang w:val="en-GB"/>
        </w:rPr>
        <w:t> </w:t>
      </w:r>
      <w:r>
        <w:rPr>
          <w:lang w:val="en-GB"/>
        </w:rPr>
        <w:t>homes. The EBITDA for those operating 7 to 19 homes declined from $48</w:t>
      </w:r>
      <w:r w:rsidR="00AB6911">
        <w:rPr>
          <w:lang w:val="en-GB"/>
        </w:rPr>
        <w:t>1</w:t>
      </w:r>
      <w:r w:rsidR="00A261F3">
        <w:rPr>
          <w:lang w:val="en-GB"/>
        </w:rPr>
        <w:t> million</w:t>
      </w:r>
      <w:r>
        <w:rPr>
          <w:lang w:val="en-GB"/>
        </w:rPr>
        <w:t xml:space="preserve"> in</w:t>
      </w:r>
      <w:r w:rsidR="00A261F3">
        <w:rPr>
          <w:lang w:val="en-GB"/>
        </w:rPr>
        <w:t> 201</w:t>
      </w:r>
      <w:r>
        <w:rPr>
          <w:lang w:val="en-GB"/>
        </w:rPr>
        <w:t>5</w:t>
      </w:r>
      <w:r w:rsidR="00D8721E">
        <w:rPr>
          <w:lang w:val="en-GB"/>
        </w:rPr>
        <w:t>–1</w:t>
      </w:r>
      <w:r>
        <w:rPr>
          <w:lang w:val="en-GB"/>
        </w:rPr>
        <w:t>6 to $40</w:t>
      </w:r>
      <w:r w:rsidR="00B97D56">
        <w:rPr>
          <w:lang w:val="en-GB"/>
        </w:rPr>
        <w:t>6</w:t>
      </w:r>
      <w:r w:rsidR="00A261F3">
        <w:rPr>
          <w:lang w:val="en-GB"/>
        </w:rPr>
        <w:t> million</w:t>
      </w:r>
      <w:r>
        <w:rPr>
          <w:lang w:val="en-GB"/>
        </w:rPr>
        <w:t xml:space="preserve"> in</w:t>
      </w:r>
      <w:r w:rsidR="00A261F3">
        <w:rPr>
          <w:lang w:val="en-GB"/>
        </w:rPr>
        <w:t> 201</w:t>
      </w:r>
      <w:r>
        <w:rPr>
          <w:lang w:val="en-GB"/>
        </w:rPr>
        <w:t>6</w:t>
      </w:r>
      <w:r w:rsidR="00D8721E">
        <w:rPr>
          <w:lang w:val="en-GB"/>
        </w:rPr>
        <w:t>–1</w:t>
      </w:r>
      <w:r>
        <w:rPr>
          <w:lang w:val="en-GB"/>
        </w:rPr>
        <w:t>7</w:t>
      </w:r>
      <w:r w:rsidR="002A5BF6">
        <w:rPr>
          <w:lang w:val="en-GB"/>
        </w:rPr>
        <w:t>,</w:t>
      </w:r>
      <w:r>
        <w:rPr>
          <w:lang w:val="en-GB"/>
        </w:rPr>
        <w:t xml:space="preserve"> with the EBITDA per resident per annum declining from $10,901 to $9,709. Providers operating single homes increased EBITDA per resident per annum, up from $12,220 in</w:t>
      </w:r>
      <w:r w:rsidR="00A261F3">
        <w:rPr>
          <w:lang w:val="en-GB"/>
        </w:rPr>
        <w:t> 201</w:t>
      </w:r>
      <w:r>
        <w:rPr>
          <w:lang w:val="en-GB"/>
        </w:rPr>
        <w:t>5</w:t>
      </w:r>
      <w:r w:rsidR="00D8721E">
        <w:rPr>
          <w:lang w:val="en-GB"/>
        </w:rPr>
        <w:t>–1</w:t>
      </w:r>
      <w:r>
        <w:rPr>
          <w:lang w:val="en-GB"/>
        </w:rPr>
        <w:t>6 to $12,534 in</w:t>
      </w:r>
      <w:r w:rsidR="00A261F3">
        <w:rPr>
          <w:lang w:val="en-GB"/>
        </w:rPr>
        <w:t> 201</w:t>
      </w:r>
      <w:r>
        <w:rPr>
          <w:lang w:val="en-GB"/>
        </w:rPr>
        <w:t>6</w:t>
      </w:r>
      <w:r w:rsidR="00D8721E">
        <w:rPr>
          <w:lang w:val="en-GB"/>
        </w:rPr>
        <w:t>–1</w:t>
      </w:r>
      <w:r>
        <w:rPr>
          <w:lang w:val="en-GB"/>
        </w:rPr>
        <w:t>7. Providers operating 2 to 6 homes had the biggest improvement in EBITDA per resident per annum, up from $9,072 in</w:t>
      </w:r>
      <w:r w:rsidR="00A261F3">
        <w:rPr>
          <w:lang w:val="en-GB"/>
        </w:rPr>
        <w:t> 201</w:t>
      </w:r>
      <w:r>
        <w:rPr>
          <w:lang w:val="en-GB"/>
        </w:rPr>
        <w:t>5</w:t>
      </w:r>
      <w:r w:rsidR="00D8721E">
        <w:rPr>
          <w:lang w:val="en-GB"/>
        </w:rPr>
        <w:t>–1</w:t>
      </w:r>
      <w:r>
        <w:rPr>
          <w:lang w:val="en-GB"/>
        </w:rPr>
        <w:t>6 to $10,586 in</w:t>
      </w:r>
      <w:r w:rsidR="00A261F3">
        <w:rPr>
          <w:lang w:val="en-GB"/>
        </w:rPr>
        <w:t> 201</w:t>
      </w:r>
      <w:r>
        <w:rPr>
          <w:lang w:val="en-GB"/>
        </w:rPr>
        <w:t>6</w:t>
      </w:r>
      <w:r w:rsidR="00D8721E">
        <w:rPr>
          <w:lang w:val="en-GB"/>
        </w:rPr>
        <w:t>–1</w:t>
      </w:r>
      <w:r>
        <w:rPr>
          <w:lang w:val="en-GB"/>
        </w:rPr>
        <w:t>7. Providers operating more than 20 homes also improved EBITDA per resident per annum from $12,325 in</w:t>
      </w:r>
      <w:r w:rsidR="00A261F3">
        <w:rPr>
          <w:lang w:val="en-GB"/>
        </w:rPr>
        <w:t> 201</w:t>
      </w:r>
      <w:r>
        <w:rPr>
          <w:lang w:val="en-GB"/>
        </w:rPr>
        <w:t>5</w:t>
      </w:r>
      <w:r w:rsidR="00D8721E">
        <w:rPr>
          <w:lang w:val="en-GB"/>
        </w:rPr>
        <w:t>–1</w:t>
      </w:r>
      <w:r>
        <w:rPr>
          <w:lang w:val="en-GB"/>
        </w:rPr>
        <w:t>6 to $12,726 in</w:t>
      </w:r>
      <w:r w:rsidR="00A261F3">
        <w:rPr>
          <w:lang w:val="en-GB"/>
        </w:rPr>
        <w:t> 201</w:t>
      </w:r>
      <w:r>
        <w:rPr>
          <w:lang w:val="en-GB"/>
        </w:rPr>
        <w:t>6</w:t>
      </w:r>
      <w:r w:rsidR="00D8721E">
        <w:rPr>
          <w:lang w:val="en-GB"/>
        </w:rPr>
        <w:t>–1</w:t>
      </w:r>
      <w:r>
        <w:rPr>
          <w:lang w:val="en-GB"/>
        </w:rPr>
        <w:t>7.</w:t>
      </w:r>
    </w:p>
    <w:p w:rsidR="00752E94" w:rsidRPr="00596D01" w:rsidRDefault="00752E94" w:rsidP="0016704B">
      <w:pPr>
        <w:pStyle w:val="Heading3Numbered"/>
        <w:numPr>
          <w:ilvl w:val="2"/>
          <w:numId w:val="30"/>
        </w:numPr>
      </w:pPr>
      <w:bookmarkStart w:id="731" w:name="_Toc487702610"/>
      <w:bookmarkStart w:id="732" w:name="_Toc487702962"/>
      <w:bookmarkStart w:id="733" w:name="_Toc487703460"/>
      <w:bookmarkStart w:id="734" w:name="_Toc487703654"/>
      <w:bookmarkStart w:id="735" w:name="_Toc524424787"/>
      <w:r w:rsidRPr="00596D01">
        <w:t>Revenue</w:t>
      </w:r>
      <w:bookmarkEnd w:id="731"/>
      <w:bookmarkEnd w:id="732"/>
      <w:bookmarkEnd w:id="733"/>
      <w:bookmarkEnd w:id="734"/>
      <w:bookmarkEnd w:id="735"/>
    </w:p>
    <w:p w:rsidR="00D8721E" w:rsidRDefault="00752E94" w:rsidP="00A4014C">
      <w:bookmarkStart w:id="736" w:name="_Ref452499323"/>
      <w:r>
        <w:t xml:space="preserve">ACFA broadly describes revenue for residential care providers in four categories: care related, living expenses, accommodation and other. </w:t>
      </w:r>
      <w:r w:rsidR="00492BF8">
        <w:fldChar w:fldCharType="begin"/>
      </w:r>
      <w:r w:rsidR="00492BF8">
        <w:instrText xml:space="preserve"> REF _Ref524429561 \r \h </w:instrText>
      </w:r>
      <w:r w:rsidR="00492BF8">
        <w:fldChar w:fldCharType="separate"/>
      </w:r>
      <w:r w:rsidR="00492BF8">
        <w:t>Table 9.4</w:t>
      </w:r>
      <w:r w:rsidR="00492BF8">
        <w:fldChar w:fldCharType="end"/>
      </w:r>
      <w:r w:rsidR="00492BF8">
        <w:t xml:space="preserve"> </w:t>
      </w:r>
      <w:r>
        <w:t>provides a breakdown of the revenue reported by residential care providers in</w:t>
      </w:r>
      <w:r w:rsidR="00A261F3">
        <w:t> 201</w:t>
      </w:r>
      <w:r>
        <w:t>6</w:t>
      </w:r>
      <w:r w:rsidR="00D8721E">
        <w:t>–1</w:t>
      </w:r>
      <w:r>
        <w:t>7, compared with</w:t>
      </w:r>
      <w:r w:rsidR="00A261F3">
        <w:t> 201</w:t>
      </w:r>
      <w:r>
        <w:t>5</w:t>
      </w:r>
      <w:r w:rsidR="00D8721E">
        <w:t>–1</w:t>
      </w:r>
      <w:r>
        <w:t>6</w:t>
      </w:r>
      <w:r w:rsidR="00D8721E">
        <w:t>.</w:t>
      </w:r>
    </w:p>
    <w:p w:rsidR="00752E94" w:rsidRPr="00596D01" w:rsidRDefault="00752E94" w:rsidP="00A4014C">
      <w:pPr>
        <w:pStyle w:val="TableTitle"/>
      </w:pPr>
      <w:bookmarkStart w:id="737" w:name="_Ref524429561"/>
      <w:r w:rsidRPr="00596D01">
        <w:t>Revenue sources for residential care providers</w:t>
      </w:r>
      <w:r w:rsidR="00AC32A4" w:rsidRPr="00596D01">
        <w:t xml:space="preserve">, </w:t>
      </w:r>
      <w:r w:rsidRPr="00596D01">
        <w:t xml:space="preserve">by care, accommodation, living and </w:t>
      </w:r>
      <w:r w:rsidR="00AC32A4" w:rsidRPr="00596D01">
        <w:t>‘</w:t>
      </w:r>
      <w:r w:rsidRPr="00596D01">
        <w:t>other</w:t>
      </w:r>
      <w:r w:rsidR="00AC32A4" w:rsidRPr="00596D01">
        <w:t>’</w:t>
      </w:r>
      <w:r w:rsidRPr="00596D01">
        <w:t>,</w:t>
      </w:r>
      <w:r w:rsidR="00A261F3" w:rsidRPr="00596D01">
        <w:t> 201</w:t>
      </w:r>
      <w:r w:rsidRPr="00596D01">
        <w:t>5</w:t>
      </w:r>
      <w:r w:rsidR="00D8721E" w:rsidRPr="00596D01">
        <w:t>–1</w:t>
      </w:r>
      <w:r w:rsidRPr="00596D01">
        <w:t>6 and</w:t>
      </w:r>
      <w:r w:rsidR="00A261F3" w:rsidRPr="00596D01">
        <w:t> 201</w:t>
      </w:r>
      <w:r w:rsidRPr="00596D01">
        <w:t>6</w:t>
      </w:r>
      <w:r w:rsidR="00D8721E" w:rsidRPr="00596D01">
        <w:t>–1</w:t>
      </w:r>
      <w:r w:rsidRPr="00596D01">
        <w:t>7</w:t>
      </w:r>
      <w:bookmarkEnd w:id="737"/>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744"/>
        <w:gridCol w:w="1641"/>
        <w:gridCol w:w="1585"/>
        <w:gridCol w:w="21"/>
        <w:gridCol w:w="1460"/>
        <w:gridCol w:w="1150"/>
        <w:gridCol w:w="17"/>
        <w:gridCol w:w="10"/>
      </w:tblGrid>
      <w:tr w:rsidR="00752E94" w:rsidRPr="0019295B" w:rsidTr="00A4014C">
        <w:trPr>
          <w:gridAfter w:val="2"/>
          <w:cnfStyle w:val="100000000000" w:firstRow="1" w:lastRow="0" w:firstColumn="0" w:lastColumn="0" w:oddVBand="0" w:evenVBand="0" w:oddHBand="0" w:evenHBand="0" w:firstRowFirstColumn="0" w:firstRowLastColumn="0" w:lastRowFirstColumn="0" w:lastRowLastColumn="0"/>
          <w:wAfter w:w="14" w:type="pct"/>
          <w:trHeight w:val="113"/>
          <w:tblHeader/>
        </w:trPr>
        <w:tc>
          <w:tcPr>
            <w:tcW w:w="1944" w:type="pct"/>
            <w:hideMark/>
          </w:tcPr>
          <w:p w:rsidR="00752E94" w:rsidRPr="0019295B" w:rsidRDefault="00752E94" w:rsidP="00A4014C">
            <w:pPr>
              <w:rPr>
                <w:rFonts w:ascii="Segoe UI" w:hAnsi="Segoe UI" w:cs="Segoe UI"/>
                <w:color w:val="FFFFFF"/>
              </w:rPr>
            </w:pPr>
            <w:r w:rsidRPr="00596D01">
              <w:t>Revenue sources</w:t>
            </w:r>
          </w:p>
        </w:tc>
        <w:tc>
          <w:tcPr>
            <w:tcW w:w="852" w:type="pct"/>
            <w:hideMark/>
          </w:tcPr>
          <w:p w:rsidR="00752E94" w:rsidRPr="0019295B" w:rsidRDefault="00752E94" w:rsidP="00A4014C">
            <w:pPr>
              <w:jc w:val="right"/>
              <w:rPr>
                <w:rFonts w:ascii="Segoe UI" w:hAnsi="Segoe UI" w:cs="Segoe UI"/>
                <w:color w:val="FFFFFF"/>
              </w:rPr>
            </w:pPr>
            <w:r w:rsidRPr="00596D01">
              <w:t>2015</w:t>
            </w:r>
            <w:r w:rsidR="00D8721E" w:rsidRPr="00596D01">
              <w:t>–1</w:t>
            </w:r>
            <w:r w:rsidRPr="00596D01">
              <w:t>6</w:t>
            </w:r>
            <w:r w:rsidR="00A4014C">
              <w:br/>
            </w:r>
            <w:r w:rsidRPr="00596D01">
              <w:t>($million)</w:t>
            </w:r>
          </w:p>
        </w:tc>
        <w:tc>
          <w:tcPr>
            <w:tcW w:w="834" w:type="pct"/>
            <w:gridSpan w:val="2"/>
            <w:hideMark/>
          </w:tcPr>
          <w:p w:rsidR="00752E94" w:rsidRPr="0019295B" w:rsidRDefault="00752E94" w:rsidP="00A4014C">
            <w:pPr>
              <w:jc w:val="right"/>
              <w:rPr>
                <w:rFonts w:ascii="Segoe UI" w:hAnsi="Segoe UI" w:cs="Segoe UI"/>
                <w:color w:val="FFFFFF"/>
              </w:rPr>
            </w:pPr>
            <w:r w:rsidRPr="00596D01">
              <w:t>2016</w:t>
            </w:r>
            <w:r w:rsidR="00D8721E" w:rsidRPr="00596D01">
              <w:t>–1</w:t>
            </w:r>
            <w:r w:rsidRPr="00596D01">
              <w:t>7</w:t>
            </w:r>
            <w:r w:rsidR="00A4014C">
              <w:br/>
            </w:r>
            <w:r w:rsidRPr="00596D01">
              <w:t>($million)</w:t>
            </w:r>
          </w:p>
        </w:tc>
        <w:tc>
          <w:tcPr>
            <w:tcW w:w="758" w:type="pct"/>
            <w:hideMark/>
          </w:tcPr>
          <w:p w:rsidR="00752E94" w:rsidRPr="0019295B" w:rsidRDefault="00752E94" w:rsidP="00A4014C">
            <w:pPr>
              <w:jc w:val="right"/>
              <w:rPr>
                <w:rFonts w:ascii="Segoe UI" w:hAnsi="Segoe UI" w:cs="Segoe UI"/>
                <w:color w:val="FFFFFF"/>
              </w:rPr>
            </w:pPr>
            <w:r w:rsidRPr="00596D01">
              <w:t xml:space="preserve">Change </w:t>
            </w:r>
            <w:r w:rsidR="00A4014C">
              <w:br/>
            </w:r>
            <w:r w:rsidRPr="00596D01">
              <w:t>($million)</w:t>
            </w:r>
          </w:p>
        </w:tc>
        <w:tc>
          <w:tcPr>
            <w:tcW w:w="597" w:type="pct"/>
            <w:hideMark/>
          </w:tcPr>
          <w:p w:rsidR="00752E94" w:rsidRPr="00596D01" w:rsidRDefault="00752E94" w:rsidP="00A4014C">
            <w:pPr>
              <w:jc w:val="right"/>
            </w:pPr>
            <w:r w:rsidRPr="00596D01">
              <w:t>Change (%)</w:t>
            </w:r>
          </w:p>
        </w:tc>
      </w:tr>
      <w:tr w:rsidR="00752E94" w:rsidRPr="0019295B" w:rsidTr="00A4014C">
        <w:trPr>
          <w:gridAfter w:val="2"/>
          <w:wAfter w:w="14" w:type="pct"/>
          <w:trHeight w:val="113"/>
        </w:trPr>
        <w:tc>
          <w:tcPr>
            <w:tcW w:w="1944" w:type="pct"/>
            <w:shd w:val="clear" w:color="auto" w:fill="E8E8E8" w:themeFill="background2"/>
            <w:hideMark/>
          </w:tcPr>
          <w:p w:rsidR="00752E94" w:rsidRPr="00A4014C" w:rsidRDefault="00752E94" w:rsidP="00A4014C">
            <w:pPr>
              <w:rPr>
                <w:rStyle w:val="Strong"/>
              </w:rPr>
            </w:pPr>
            <w:r w:rsidRPr="00A4014C">
              <w:rPr>
                <w:rStyle w:val="Strong"/>
              </w:rPr>
              <w:t xml:space="preserve">Care related </w:t>
            </w:r>
          </w:p>
        </w:tc>
        <w:tc>
          <w:tcPr>
            <w:tcW w:w="852" w:type="pct"/>
            <w:shd w:val="clear" w:color="auto" w:fill="E8E8E8" w:themeFill="background2"/>
          </w:tcPr>
          <w:p w:rsidR="00752E94" w:rsidRPr="00A4014C" w:rsidRDefault="00752E94" w:rsidP="00A4014C">
            <w:pPr>
              <w:jc w:val="right"/>
              <w:rPr>
                <w:rStyle w:val="Strong"/>
              </w:rPr>
            </w:pPr>
          </w:p>
        </w:tc>
        <w:tc>
          <w:tcPr>
            <w:tcW w:w="834" w:type="pct"/>
            <w:gridSpan w:val="2"/>
            <w:shd w:val="clear" w:color="auto" w:fill="E8E8E8" w:themeFill="background2"/>
          </w:tcPr>
          <w:p w:rsidR="00752E94" w:rsidRPr="00A4014C" w:rsidRDefault="00752E94" w:rsidP="00A4014C">
            <w:pPr>
              <w:jc w:val="right"/>
              <w:rPr>
                <w:rStyle w:val="Strong"/>
              </w:rPr>
            </w:pPr>
          </w:p>
        </w:tc>
        <w:tc>
          <w:tcPr>
            <w:tcW w:w="758" w:type="pct"/>
            <w:shd w:val="clear" w:color="auto" w:fill="E8E8E8" w:themeFill="background2"/>
          </w:tcPr>
          <w:p w:rsidR="00752E94" w:rsidRPr="00A4014C" w:rsidRDefault="00752E94" w:rsidP="00A4014C">
            <w:pPr>
              <w:jc w:val="right"/>
              <w:rPr>
                <w:rStyle w:val="Strong"/>
              </w:rPr>
            </w:pPr>
          </w:p>
        </w:tc>
        <w:tc>
          <w:tcPr>
            <w:tcW w:w="597" w:type="pct"/>
            <w:shd w:val="clear" w:color="auto" w:fill="E8E8E8" w:themeFill="background2"/>
          </w:tcPr>
          <w:p w:rsidR="00752E94" w:rsidRPr="00A4014C" w:rsidRDefault="00752E94" w:rsidP="00A4014C">
            <w:pPr>
              <w:jc w:val="right"/>
              <w:rPr>
                <w:rStyle w:val="Strong"/>
              </w:rPr>
            </w:pP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rPr>
            </w:pPr>
            <w:r w:rsidRPr="0019295B">
              <w:rPr>
                <w:rFonts w:ascii="Segoe UI" w:hAnsi="Segoe UI" w:cs="Segoe UI"/>
                <w:lang w:eastAsia="en-AU"/>
              </w:rPr>
              <w:t>Basic care subsidy (ACFI)</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$9,991.3</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$10,741.7</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$750.4</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7.5%</w:t>
            </w: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Respite subsidy</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$287.7</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$301.4</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$13.7</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4.8%</w:t>
            </w: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Other supplements</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$72.8</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$89.3</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$16.5</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22.7%</w:t>
            </w: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 xml:space="preserve">Resident means tested care fees </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$456.0</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$468.9</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$12.9</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2.8%</w:t>
            </w:r>
          </w:p>
        </w:tc>
      </w:tr>
      <w:tr w:rsidR="00752E94" w:rsidRPr="0019295B" w:rsidTr="00A4014C">
        <w:trPr>
          <w:gridAfter w:val="2"/>
          <w:wAfter w:w="14" w:type="pct"/>
          <w:trHeight w:val="113"/>
        </w:trPr>
        <w:tc>
          <w:tcPr>
            <w:tcW w:w="1944" w:type="pct"/>
            <w:hideMark/>
          </w:tcPr>
          <w:p w:rsidR="00752E94" w:rsidRPr="0019295B" w:rsidRDefault="003834CC" w:rsidP="00A4014C">
            <w:pPr>
              <w:rPr>
                <w:rFonts w:ascii="Segoe UI" w:hAnsi="Segoe UI" w:cs="Segoe UI"/>
                <w:lang w:eastAsia="en-AU"/>
              </w:rPr>
            </w:pPr>
            <w:r>
              <w:rPr>
                <w:rFonts w:ascii="Segoe UI" w:hAnsi="Segoe UI" w:cs="Segoe UI"/>
                <w:lang w:eastAsia="en-AU"/>
              </w:rPr>
              <w:t>Resident other care fees</w:t>
            </w:r>
            <w:r w:rsidRPr="00660C00">
              <w:rPr>
                <w:rStyle w:val="FootnoteReference"/>
              </w:rPr>
              <w:footnoteReference w:id="42"/>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$0</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$61.2</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$61.2</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N/A</w:t>
            </w:r>
          </w:p>
        </w:tc>
      </w:tr>
      <w:tr w:rsidR="00752E94" w:rsidRPr="0019295B" w:rsidTr="00A4014C">
        <w:trPr>
          <w:gridAfter w:val="2"/>
          <w:wAfter w:w="14" w:type="pct"/>
          <w:trHeight w:val="113"/>
        </w:trPr>
        <w:tc>
          <w:tcPr>
            <w:tcW w:w="1944" w:type="pct"/>
            <w:hideMark/>
          </w:tcPr>
          <w:p w:rsidR="00752E94" w:rsidRPr="00A4014C" w:rsidRDefault="00752E94" w:rsidP="00A4014C">
            <w:pPr>
              <w:rPr>
                <w:rStyle w:val="Strong"/>
              </w:rPr>
            </w:pPr>
            <w:r w:rsidRPr="00A4014C">
              <w:rPr>
                <w:rStyle w:val="Strong"/>
              </w:rPr>
              <w:t>Total care revenue</w:t>
            </w:r>
          </w:p>
        </w:tc>
        <w:tc>
          <w:tcPr>
            <w:tcW w:w="852" w:type="pct"/>
          </w:tcPr>
          <w:p w:rsidR="00752E94" w:rsidRPr="00A4014C" w:rsidRDefault="00752E94" w:rsidP="00A4014C">
            <w:pPr>
              <w:jc w:val="right"/>
              <w:rPr>
                <w:rStyle w:val="Strong"/>
              </w:rPr>
            </w:pPr>
            <w:r w:rsidRPr="00A4014C">
              <w:rPr>
                <w:rStyle w:val="Strong"/>
              </w:rPr>
              <w:t>$10,807.8</w:t>
            </w:r>
          </w:p>
        </w:tc>
        <w:tc>
          <w:tcPr>
            <w:tcW w:w="834" w:type="pct"/>
            <w:gridSpan w:val="2"/>
          </w:tcPr>
          <w:p w:rsidR="00752E94" w:rsidRPr="00A4014C" w:rsidRDefault="00752E94" w:rsidP="00A4014C">
            <w:pPr>
              <w:jc w:val="right"/>
              <w:rPr>
                <w:rStyle w:val="Strong"/>
              </w:rPr>
            </w:pPr>
            <w:r w:rsidRPr="00A4014C">
              <w:rPr>
                <w:rStyle w:val="Strong"/>
              </w:rPr>
              <w:t>$11,662.5</w:t>
            </w:r>
          </w:p>
        </w:tc>
        <w:tc>
          <w:tcPr>
            <w:tcW w:w="758" w:type="pct"/>
          </w:tcPr>
          <w:p w:rsidR="00752E94" w:rsidRPr="00A4014C" w:rsidRDefault="00752E94" w:rsidP="00A4014C">
            <w:pPr>
              <w:jc w:val="right"/>
              <w:rPr>
                <w:rStyle w:val="Strong"/>
              </w:rPr>
            </w:pPr>
            <w:r w:rsidRPr="00A4014C">
              <w:rPr>
                <w:rStyle w:val="Strong"/>
              </w:rPr>
              <w:t>$854.7</w:t>
            </w:r>
          </w:p>
        </w:tc>
        <w:tc>
          <w:tcPr>
            <w:tcW w:w="597" w:type="pct"/>
          </w:tcPr>
          <w:p w:rsidR="00752E94" w:rsidRPr="00A4014C" w:rsidRDefault="00752E94" w:rsidP="00A4014C">
            <w:pPr>
              <w:jc w:val="right"/>
              <w:rPr>
                <w:rStyle w:val="Strong"/>
              </w:rPr>
            </w:pPr>
            <w:r w:rsidRPr="00A4014C">
              <w:rPr>
                <w:rStyle w:val="Strong"/>
              </w:rPr>
              <w:t>7.9%</w:t>
            </w:r>
          </w:p>
        </w:tc>
      </w:tr>
      <w:tr w:rsidR="00752E94" w:rsidRPr="0019295B" w:rsidTr="00A4014C">
        <w:trPr>
          <w:gridAfter w:val="2"/>
          <w:wAfter w:w="14" w:type="pct"/>
          <w:trHeight w:val="113"/>
        </w:trPr>
        <w:tc>
          <w:tcPr>
            <w:tcW w:w="1944" w:type="pct"/>
            <w:shd w:val="clear" w:color="auto" w:fill="E8E8E8" w:themeFill="background2"/>
            <w:hideMark/>
          </w:tcPr>
          <w:p w:rsidR="00752E94" w:rsidRPr="00A4014C" w:rsidRDefault="00752E94" w:rsidP="00A4014C">
            <w:pPr>
              <w:rPr>
                <w:rStyle w:val="Strong"/>
              </w:rPr>
            </w:pPr>
            <w:r w:rsidRPr="00A4014C">
              <w:rPr>
                <w:rStyle w:val="Strong"/>
              </w:rPr>
              <w:t xml:space="preserve">Living related </w:t>
            </w:r>
          </w:p>
        </w:tc>
        <w:tc>
          <w:tcPr>
            <w:tcW w:w="852" w:type="pct"/>
            <w:shd w:val="clear" w:color="auto" w:fill="E8E8E8" w:themeFill="background2"/>
          </w:tcPr>
          <w:p w:rsidR="00752E94" w:rsidRPr="00A4014C" w:rsidRDefault="00752E94" w:rsidP="00A4014C">
            <w:pPr>
              <w:jc w:val="right"/>
              <w:rPr>
                <w:rStyle w:val="Strong"/>
                <w:highlight w:val="yellow"/>
              </w:rPr>
            </w:pPr>
          </w:p>
        </w:tc>
        <w:tc>
          <w:tcPr>
            <w:tcW w:w="834" w:type="pct"/>
            <w:gridSpan w:val="2"/>
            <w:shd w:val="clear" w:color="auto" w:fill="E8E8E8" w:themeFill="background2"/>
          </w:tcPr>
          <w:p w:rsidR="00752E94" w:rsidRPr="00A4014C" w:rsidRDefault="00752E94" w:rsidP="00A4014C">
            <w:pPr>
              <w:jc w:val="right"/>
              <w:rPr>
                <w:rStyle w:val="Strong"/>
                <w:highlight w:val="yellow"/>
              </w:rPr>
            </w:pPr>
          </w:p>
        </w:tc>
        <w:tc>
          <w:tcPr>
            <w:tcW w:w="758" w:type="pct"/>
            <w:shd w:val="clear" w:color="auto" w:fill="E8E8E8" w:themeFill="background2"/>
          </w:tcPr>
          <w:p w:rsidR="00752E94" w:rsidRPr="00A4014C" w:rsidRDefault="00752E94" w:rsidP="00A4014C">
            <w:pPr>
              <w:jc w:val="right"/>
              <w:rPr>
                <w:rStyle w:val="Strong"/>
                <w:highlight w:val="yellow"/>
              </w:rPr>
            </w:pPr>
          </w:p>
        </w:tc>
        <w:tc>
          <w:tcPr>
            <w:tcW w:w="597" w:type="pct"/>
            <w:shd w:val="clear" w:color="auto" w:fill="E8E8E8" w:themeFill="background2"/>
          </w:tcPr>
          <w:p w:rsidR="00752E94" w:rsidRPr="00A4014C" w:rsidRDefault="00752E94" w:rsidP="00A4014C">
            <w:pPr>
              <w:jc w:val="right"/>
              <w:rPr>
                <w:rStyle w:val="Strong"/>
                <w:highlight w:val="yellow"/>
              </w:rPr>
            </w:pP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Resident basic daily fee</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$3,088.9</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$3,186.7</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$97.8</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3.2%</w:t>
            </w: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 xml:space="preserve">Extra service fees </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$146.9</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$157.5</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$10.6</w:t>
            </w:r>
          </w:p>
        </w:tc>
        <w:tc>
          <w:tcPr>
            <w:tcW w:w="597"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7.2%</w:t>
            </w:r>
          </w:p>
        </w:tc>
      </w:tr>
      <w:tr w:rsidR="00752E94" w:rsidRPr="0019295B" w:rsidTr="00A4014C">
        <w:trPr>
          <w:gridAfter w:val="2"/>
          <w:wAfter w:w="14" w:type="pct"/>
          <w:trHeight w:val="113"/>
        </w:trPr>
        <w:tc>
          <w:tcPr>
            <w:tcW w:w="1944" w:type="pct"/>
            <w:hideMark/>
          </w:tcPr>
          <w:p w:rsidR="00752E94" w:rsidRPr="00A4014C" w:rsidRDefault="00752E94" w:rsidP="00A4014C">
            <w:pPr>
              <w:rPr>
                <w:rStyle w:val="Strong"/>
              </w:rPr>
            </w:pPr>
            <w:r w:rsidRPr="00A4014C">
              <w:rPr>
                <w:rStyle w:val="Strong"/>
              </w:rPr>
              <w:t>Total living related revenue</w:t>
            </w:r>
          </w:p>
        </w:tc>
        <w:tc>
          <w:tcPr>
            <w:tcW w:w="852" w:type="pct"/>
          </w:tcPr>
          <w:p w:rsidR="00752E94" w:rsidRPr="00A4014C" w:rsidRDefault="00752E94" w:rsidP="00A4014C">
            <w:pPr>
              <w:jc w:val="right"/>
              <w:rPr>
                <w:rStyle w:val="Strong"/>
              </w:rPr>
            </w:pPr>
            <w:r w:rsidRPr="00A4014C">
              <w:rPr>
                <w:rStyle w:val="Strong"/>
              </w:rPr>
              <w:t>$3,235.8</w:t>
            </w:r>
          </w:p>
        </w:tc>
        <w:tc>
          <w:tcPr>
            <w:tcW w:w="834" w:type="pct"/>
            <w:gridSpan w:val="2"/>
          </w:tcPr>
          <w:p w:rsidR="00752E94" w:rsidRPr="00A4014C" w:rsidRDefault="00752E94" w:rsidP="00A4014C">
            <w:pPr>
              <w:jc w:val="right"/>
              <w:rPr>
                <w:rStyle w:val="Strong"/>
              </w:rPr>
            </w:pPr>
            <w:r w:rsidRPr="00A4014C">
              <w:rPr>
                <w:rStyle w:val="Strong"/>
              </w:rPr>
              <w:t>$3,344.2</w:t>
            </w:r>
          </w:p>
        </w:tc>
        <w:tc>
          <w:tcPr>
            <w:tcW w:w="758" w:type="pct"/>
          </w:tcPr>
          <w:p w:rsidR="00752E94" w:rsidRPr="00A4014C" w:rsidRDefault="00752E94" w:rsidP="00A4014C">
            <w:pPr>
              <w:jc w:val="right"/>
              <w:rPr>
                <w:rStyle w:val="Strong"/>
              </w:rPr>
            </w:pPr>
            <w:r w:rsidRPr="00A4014C">
              <w:rPr>
                <w:rStyle w:val="Strong"/>
              </w:rPr>
              <w:t>$108.4</w:t>
            </w:r>
          </w:p>
        </w:tc>
        <w:tc>
          <w:tcPr>
            <w:tcW w:w="597" w:type="pct"/>
          </w:tcPr>
          <w:p w:rsidR="00752E94" w:rsidRPr="00A4014C" w:rsidRDefault="00752E94" w:rsidP="00A4014C">
            <w:pPr>
              <w:jc w:val="right"/>
              <w:rPr>
                <w:rStyle w:val="Strong"/>
              </w:rPr>
            </w:pPr>
            <w:r w:rsidRPr="00A4014C">
              <w:rPr>
                <w:rStyle w:val="Strong"/>
              </w:rPr>
              <w:t>3.4%</w:t>
            </w:r>
          </w:p>
        </w:tc>
      </w:tr>
      <w:tr w:rsidR="00752E94" w:rsidRPr="0019295B" w:rsidTr="00A4014C">
        <w:trPr>
          <w:gridAfter w:val="2"/>
          <w:wAfter w:w="14" w:type="pct"/>
          <w:trHeight w:val="113"/>
        </w:trPr>
        <w:tc>
          <w:tcPr>
            <w:tcW w:w="1944" w:type="pct"/>
            <w:shd w:val="clear" w:color="auto" w:fill="E8E8E8" w:themeFill="background2"/>
            <w:hideMark/>
          </w:tcPr>
          <w:p w:rsidR="00752E94" w:rsidRPr="00A4014C" w:rsidRDefault="00752E94" w:rsidP="00A4014C">
            <w:pPr>
              <w:rPr>
                <w:rStyle w:val="Strong"/>
              </w:rPr>
            </w:pPr>
            <w:r w:rsidRPr="00A4014C">
              <w:rPr>
                <w:rStyle w:val="Strong"/>
              </w:rPr>
              <w:t>Accommodation related</w:t>
            </w:r>
          </w:p>
        </w:tc>
        <w:tc>
          <w:tcPr>
            <w:tcW w:w="852" w:type="pct"/>
            <w:shd w:val="clear" w:color="auto" w:fill="E8E8E8" w:themeFill="background2"/>
          </w:tcPr>
          <w:p w:rsidR="00752E94" w:rsidRPr="00A4014C" w:rsidRDefault="00752E94" w:rsidP="00A4014C">
            <w:pPr>
              <w:jc w:val="right"/>
              <w:rPr>
                <w:rStyle w:val="Strong"/>
              </w:rPr>
            </w:pPr>
          </w:p>
        </w:tc>
        <w:tc>
          <w:tcPr>
            <w:tcW w:w="834" w:type="pct"/>
            <w:gridSpan w:val="2"/>
            <w:shd w:val="clear" w:color="auto" w:fill="E8E8E8" w:themeFill="background2"/>
          </w:tcPr>
          <w:p w:rsidR="00752E94" w:rsidRPr="00A4014C" w:rsidRDefault="00752E94" w:rsidP="00A4014C">
            <w:pPr>
              <w:jc w:val="right"/>
              <w:rPr>
                <w:rStyle w:val="Strong"/>
              </w:rPr>
            </w:pPr>
          </w:p>
        </w:tc>
        <w:tc>
          <w:tcPr>
            <w:tcW w:w="758" w:type="pct"/>
            <w:shd w:val="clear" w:color="auto" w:fill="E8E8E8" w:themeFill="background2"/>
          </w:tcPr>
          <w:p w:rsidR="00752E94" w:rsidRPr="00A4014C" w:rsidRDefault="00752E94" w:rsidP="00A4014C">
            <w:pPr>
              <w:jc w:val="right"/>
              <w:rPr>
                <w:rStyle w:val="Strong"/>
              </w:rPr>
            </w:pPr>
          </w:p>
        </w:tc>
        <w:tc>
          <w:tcPr>
            <w:tcW w:w="597" w:type="pct"/>
            <w:shd w:val="clear" w:color="auto" w:fill="E8E8E8" w:themeFill="background2"/>
          </w:tcPr>
          <w:p w:rsidR="00752E94" w:rsidRPr="00A4014C" w:rsidRDefault="00752E94" w:rsidP="00A4014C">
            <w:pPr>
              <w:jc w:val="right"/>
              <w:rPr>
                <w:rStyle w:val="Strong"/>
                <w:highlight w:val="yellow"/>
              </w:rPr>
            </w:pPr>
          </w:p>
        </w:tc>
      </w:tr>
      <w:tr w:rsidR="00752E94" w:rsidRPr="0019295B" w:rsidTr="00A4014C">
        <w:trPr>
          <w:gridAfter w:val="2"/>
          <w:wAfter w:w="14"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Accommodation supplement</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$941.6</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$929.7</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-$11.9</w:t>
            </w:r>
          </w:p>
        </w:tc>
        <w:tc>
          <w:tcPr>
            <w:tcW w:w="597" w:type="pct"/>
          </w:tcPr>
          <w:p w:rsidR="00752E94" w:rsidRPr="0019295B" w:rsidRDefault="00D8721E" w:rsidP="00A4014C">
            <w:pPr>
              <w:jc w:val="right"/>
              <w:rPr>
                <w:rFonts w:ascii="Segoe UI" w:hAnsi="Segoe UI" w:cs="Segoe UI"/>
                <w:color w:val="000000"/>
                <w:highlight w:val="yellow"/>
              </w:rPr>
            </w:pPr>
            <w:r>
              <w:rPr>
                <w:rFonts w:ascii="Segoe UI" w:hAnsi="Segoe UI" w:cs="Segoe UI"/>
                <w:color w:val="000000"/>
              </w:rPr>
              <w:t>–1</w:t>
            </w:r>
            <w:r w:rsidR="00752E94" w:rsidRPr="0019295B">
              <w:rPr>
                <w:rFonts w:ascii="Segoe UI" w:hAnsi="Segoe UI" w:cs="Segoe UI"/>
                <w:color w:val="000000"/>
              </w:rPr>
              <w:t>.3%</w:t>
            </w:r>
          </w:p>
        </w:tc>
      </w:tr>
      <w:tr w:rsidR="00752E94" w:rsidRPr="0019295B" w:rsidTr="00A4014C">
        <w:trPr>
          <w:gridAfter w:val="2"/>
          <w:wAfter w:w="14"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lastRenderedPageBreak/>
              <w:t>Accommodation payments from residents</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$850.8</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$778.4</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-$72.4</w:t>
            </w:r>
          </w:p>
        </w:tc>
        <w:tc>
          <w:tcPr>
            <w:tcW w:w="597" w:type="pct"/>
          </w:tcPr>
          <w:p w:rsidR="00752E94" w:rsidRPr="0019295B" w:rsidRDefault="00D8721E" w:rsidP="00A4014C">
            <w:pPr>
              <w:jc w:val="right"/>
              <w:rPr>
                <w:rFonts w:ascii="Segoe UI" w:hAnsi="Segoe UI" w:cs="Segoe UI"/>
                <w:color w:val="000000"/>
                <w:highlight w:val="yellow"/>
              </w:rPr>
            </w:pPr>
            <w:r>
              <w:rPr>
                <w:rFonts w:ascii="Segoe UI" w:hAnsi="Segoe UI" w:cs="Segoe UI"/>
                <w:color w:val="000000"/>
              </w:rPr>
              <w:t>–8</w:t>
            </w:r>
            <w:r w:rsidR="00752E94" w:rsidRPr="0019295B">
              <w:rPr>
                <w:rFonts w:ascii="Segoe UI" w:hAnsi="Segoe UI" w:cs="Segoe UI"/>
                <w:color w:val="000000"/>
              </w:rPr>
              <w:t>.5%</w:t>
            </w:r>
          </w:p>
        </w:tc>
      </w:tr>
      <w:tr w:rsidR="00752E94" w:rsidRPr="0019295B" w:rsidTr="00A4014C">
        <w:trPr>
          <w:gridAfter w:val="2"/>
          <w:wAfter w:w="14"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Capital grants</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$0</w:t>
            </w:r>
          </w:p>
        </w:tc>
        <w:tc>
          <w:tcPr>
            <w:tcW w:w="834"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$61.7</w:t>
            </w:r>
          </w:p>
        </w:tc>
        <w:tc>
          <w:tcPr>
            <w:tcW w:w="758"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$61.7</w:t>
            </w:r>
          </w:p>
        </w:tc>
        <w:tc>
          <w:tcPr>
            <w:tcW w:w="597" w:type="pct"/>
          </w:tcPr>
          <w:p w:rsidR="00752E94" w:rsidRPr="0019295B" w:rsidRDefault="00752E94" w:rsidP="00A4014C">
            <w:pPr>
              <w:jc w:val="right"/>
              <w:rPr>
                <w:rFonts w:ascii="Segoe UI" w:hAnsi="Segoe UI" w:cs="Segoe UI"/>
                <w:color w:val="000000"/>
                <w:highlight w:val="yellow"/>
              </w:rPr>
            </w:pPr>
            <w:r w:rsidRPr="0019295B">
              <w:rPr>
                <w:rFonts w:ascii="Segoe UI" w:hAnsi="Segoe UI" w:cs="Segoe UI"/>
                <w:color w:val="000000"/>
              </w:rPr>
              <w:t>N/A</w:t>
            </w:r>
          </w:p>
        </w:tc>
      </w:tr>
      <w:tr w:rsidR="00752E94" w:rsidRPr="0019295B" w:rsidTr="00A4014C">
        <w:trPr>
          <w:gridAfter w:val="2"/>
          <w:wAfter w:w="14" w:type="pct"/>
          <w:trHeight w:val="113"/>
        </w:trPr>
        <w:tc>
          <w:tcPr>
            <w:tcW w:w="1944" w:type="pct"/>
          </w:tcPr>
          <w:p w:rsidR="00752E94" w:rsidRPr="00A4014C" w:rsidRDefault="00752E94" w:rsidP="00A4014C">
            <w:pPr>
              <w:rPr>
                <w:rStyle w:val="Strong"/>
              </w:rPr>
            </w:pPr>
            <w:r w:rsidRPr="00A4014C">
              <w:rPr>
                <w:rStyle w:val="Strong"/>
              </w:rPr>
              <w:t>Total accommodation related revenue</w:t>
            </w:r>
          </w:p>
        </w:tc>
        <w:tc>
          <w:tcPr>
            <w:tcW w:w="852" w:type="pct"/>
          </w:tcPr>
          <w:p w:rsidR="00752E94" w:rsidRPr="00A4014C" w:rsidRDefault="00752E94" w:rsidP="00A4014C">
            <w:pPr>
              <w:jc w:val="right"/>
              <w:rPr>
                <w:rStyle w:val="Strong"/>
              </w:rPr>
            </w:pPr>
            <w:r w:rsidRPr="00A4014C">
              <w:rPr>
                <w:rStyle w:val="Strong"/>
              </w:rPr>
              <w:t>$1,792.4</w:t>
            </w:r>
          </w:p>
        </w:tc>
        <w:tc>
          <w:tcPr>
            <w:tcW w:w="834" w:type="pct"/>
            <w:gridSpan w:val="2"/>
          </w:tcPr>
          <w:p w:rsidR="00752E94" w:rsidRPr="00A4014C" w:rsidRDefault="00752E94" w:rsidP="00A4014C">
            <w:pPr>
              <w:jc w:val="right"/>
              <w:rPr>
                <w:rStyle w:val="Strong"/>
              </w:rPr>
            </w:pPr>
            <w:r w:rsidRPr="00A4014C">
              <w:rPr>
                <w:rStyle w:val="Strong"/>
              </w:rPr>
              <w:t>$1,769.8</w:t>
            </w:r>
          </w:p>
        </w:tc>
        <w:tc>
          <w:tcPr>
            <w:tcW w:w="758" w:type="pct"/>
          </w:tcPr>
          <w:p w:rsidR="00752E94" w:rsidRPr="00A4014C" w:rsidRDefault="00752E94" w:rsidP="00A4014C">
            <w:pPr>
              <w:jc w:val="right"/>
              <w:rPr>
                <w:rStyle w:val="Strong"/>
              </w:rPr>
            </w:pPr>
            <w:r w:rsidRPr="00A4014C">
              <w:rPr>
                <w:rStyle w:val="Strong"/>
              </w:rPr>
              <w:t>-$22.6</w:t>
            </w:r>
          </w:p>
        </w:tc>
        <w:tc>
          <w:tcPr>
            <w:tcW w:w="597" w:type="pct"/>
          </w:tcPr>
          <w:p w:rsidR="00752E94" w:rsidRPr="00A4014C" w:rsidRDefault="00D8721E" w:rsidP="00A4014C">
            <w:pPr>
              <w:jc w:val="right"/>
              <w:rPr>
                <w:rStyle w:val="Strong"/>
                <w:highlight w:val="yellow"/>
              </w:rPr>
            </w:pPr>
            <w:r w:rsidRPr="00A4014C">
              <w:rPr>
                <w:rStyle w:val="Strong"/>
              </w:rPr>
              <w:t>–1</w:t>
            </w:r>
            <w:r w:rsidR="00752E94" w:rsidRPr="00A4014C">
              <w:rPr>
                <w:rStyle w:val="Strong"/>
              </w:rPr>
              <w:t>.3%</w:t>
            </w:r>
          </w:p>
        </w:tc>
      </w:tr>
      <w:tr w:rsidR="00752E94" w:rsidRPr="003A4033" w:rsidTr="00A4014C">
        <w:trPr>
          <w:trHeight w:val="113"/>
        </w:trPr>
        <w:tc>
          <w:tcPr>
            <w:tcW w:w="1944" w:type="pct"/>
            <w:shd w:val="clear" w:color="auto" w:fill="E8E8E8" w:themeFill="background2"/>
            <w:hideMark/>
          </w:tcPr>
          <w:p w:rsidR="00752E94" w:rsidRPr="00A4014C" w:rsidRDefault="00752E94" w:rsidP="00A4014C">
            <w:pPr>
              <w:rPr>
                <w:rStyle w:val="Strong"/>
              </w:rPr>
            </w:pPr>
            <w:r w:rsidRPr="00A4014C">
              <w:rPr>
                <w:rStyle w:val="Strong"/>
              </w:rPr>
              <w:br w:type="page"/>
              <w:t>Other income</w:t>
            </w:r>
          </w:p>
        </w:tc>
        <w:tc>
          <w:tcPr>
            <w:tcW w:w="852" w:type="pct"/>
            <w:shd w:val="clear" w:color="auto" w:fill="E8E8E8" w:themeFill="background2"/>
          </w:tcPr>
          <w:p w:rsidR="00752E94" w:rsidRPr="00A4014C" w:rsidRDefault="00752E94" w:rsidP="00A4014C">
            <w:pPr>
              <w:jc w:val="right"/>
              <w:rPr>
                <w:rStyle w:val="Strong"/>
              </w:rPr>
            </w:pPr>
          </w:p>
        </w:tc>
        <w:tc>
          <w:tcPr>
            <w:tcW w:w="823" w:type="pct"/>
            <w:shd w:val="clear" w:color="auto" w:fill="E8E8E8" w:themeFill="background2"/>
          </w:tcPr>
          <w:p w:rsidR="00752E94" w:rsidRPr="00A4014C" w:rsidRDefault="00752E94" w:rsidP="00A4014C">
            <w:pPr>
              <w:jc w:val="right"/>
              <w:rPr>
                <w:rStyle w:val="Strong"/>
              </w:rPr>
            </w:pPr>
          </w:p>
        </w:tc>
        <w:tc>
          <w:tcPr>
            <w:tcW w:w="769" w:type="pct"/>
            <w:gridSpan w:val="2"/>
            <w:shd w:val="clear" w:color="auto" w:fill="E8E8E8" w:themeFill="background2"/>
          </w:tcPr>
          <w:p w:rsidR="00752E94" w:rsidRPr="00A4014C" w:rsidRDefault="00752E94" w:rsidP="00A4014C">
            <w:pPr>
              <w:jc w:val="right"/>
              <w:rPr>
                <w:rStyle w:val="Strong"/>
              </w:rPr>
            </w:pPr>
          </w:p>
        </w:tc>
        <w:tc>
          <w:tcPr>
            <w:tcW w:w="611" w:type="pct"/>
            <w:gridSpan w:val="3"/>
            <w:shd w:val="clear" w:color="auto" w:fill="E8E8E8" w:themeFill="background2"/>
          </w:tcPr>
          <w:p w:rsidR="00752E94" w:rsidRPr="00A4014C" w:rsidRDefault="00752E94" w:rsidP="00A4014C">
            <w:pPr>
              <w:jc w:val="right"/>
              <w:rPr>
                <w:rStyle w:val="Strong"/>
                <w:highlight w:val="yellow"/>
              </w:rPr>
            </w:pPr>
          </w:p>
        </w:tc>
      </w:tr>
      <w:tr w:rsidR="00752E94" w:rsidRPr="0019295B" w:rsidTr="00A4014C">
        <w:trPr>
          <w:gridAfter w:val="1"/>
          <w:wAfter w:w="5" w:type="pct"/>
          <w:trHeight w:val="113"/>
        </w:trPr>
        <w:tc>
          <w:tcPr>
            <w:tcW w:w="1944"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Interest</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$0</w:t>
            </w:r>
          </w:p>
        </w:tc>
        <w:tc>
          <w:tcPr>
            <w:tcW w:w="823"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$313.8</w:t>
            </w:r>
          </w:p>
        </w:tc>
        <w:tc>
          <w:tcPr>
            <w:tcW w:w="769"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$313.8</w:t>
            </w:r>
          </w:p>
        </w:tc>
        <w:tc>
          <w:tcPr>
            <w:tcW w:w="606" w:type="pct"/>
            <w:gridSpan w:val="2"/>
          </w:tcPr>
          <w:p w:rsidR="00752E94" w:rsidRPr="0019295B" w:rsidRDefault="00752E94" w:rsidP="00A4014C">
            <w:pPr>
              <w:jc w:val="right"/>
              <w:rPr>
                <w:rFonts w:ascii="Segoe UI" w:hAnsi="Segoe UI" w:cs="Segoe UI"/>
                <w:strike/>
                <w:color w:val="000000"/>
                <w:highlight w:val="yellow"/>
              </w:rPr>
            </w:pPr>
            <w:r w:rsidRPr="0019295B">
              <w:rPr>
                <w:rFonts w:ascii="Segoe UI" w:hAnsi="Segoe UI" w:cs="Segoe UI"/>
                <w:color w:val="000000"/>
              </w:rPr>
              <w:t>N/A</w:t>
            </w:r>
          </w:p>
        </w:tc>
      </w:tr>
      <w:tr w:rsidR="00752E94" w:rsidRPr="0019295B" w:rsidTr="00A4014C">
        <w:trPr>
          <w:gridAfter w:val="1"/>
          <w:wAfter w:w="5"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Donations and fundraising</w:t>
            </w:r>
          </w:p>
        </w:tc>
        <w:tc>
          <w:tcPr>
            <w:tcW w:w="852"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$0</w:t>
            </w:r>
          </w:p>
        </w:tc>
        <w:tc>
          <w:tcPr>
            <w:tcW w:w="823"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$32.3</w:t>
            </w:r>
          </w:p>
        </w:tc>
        <w:tc>
          <w:tcPr>
            <w:tcW w:w="769"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$32.3</w:t>
            </w:r>
          </w:p>
        </w:tc>
        <w:tc>
          <w:tcPr>
            <w:tcW w:w="606"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N/A</w:t>
            </w:r>
          </w:p>
        </w:tc>
      </w:tr>
      <w:tr w:rsidR="00752E94" w:rsidRPr="0019295B" w:rsidTr="00A4014C">
        <w:trPr>
          <w:gridAfter w:val="1"/>
          <w:wAfter w:w="5"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Gain on sale of assets</w:t>
            </w:r>
          </w:p>
        </w:tc>
        <w:tc>
          <w:tcPr>
            <w:tcW w:w="852" w:type="pct"/>
          </w:tcPr>
          <w:p w:rsidR="00752E94" w:rsidRPr="0019295B" w:rsidRDefault="00752E94" w:rsidP="00A4014C">
            <w:pPr>
              <w:jc w:val="right"/>
              <w:rPr>
                <w:rFonts w:ascii="Segoe UI" w:hAnsi="Segoe UI" w:cs="Segoe UI"/>
              </w:rPr>
            </w:pPr>
            <w:r w:rsidRPr="0019295B">
              <w:rPr>
                <w:rFonts w:ascii="Segoe UI" w:hAnsi="Segoe UI" w:cs="Segoe UI"/>
                <w:color w:val="000000"/>
              </w:rPr>
              <w:t>$0</w:t>
            </w:r>
          </w:p>
        </w:tc>
        <w:tc>
          <w:tcPr>
            <w:tcW w:w="823"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$29.1</w:t>
            </w:r>
          </w:p>
        </w:tc>
        <w:tc>
          <w:tcPr>
            <w:tcW w:w="769"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$29.1</w:t>
            </w:r>
          </w:p>
        </w:tc>
        <w:tc>
          <w:tcPr>
            <w:tcW w:w="606"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N/A</w:t>
            </w:r>
          </w:p>
        </w:tc>
      </w:tr>
      <w:tr w:rsidR="00752E94" w:rsidRPr="0019295B" w:rsidTr="00A4014C">
        <w:trPr>
          <w:gridAfter w:val="1"/>
          <w:wAfter w:w="5"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Revaluation of assets</w:t>
            </w:r>
          </w:p>
        </w:tc>
        <w:tc>
          <w:tcPr>
            <w:tcW w:w="852" w:type="pct"/>
          </w:tcPr>
          <w:p w:rsidR="00752E94" w:rsidRPr="0019295B" w:rsidRDefault="00752E94" w:rsidP="00A4014C">
            <w:pPr>
              <w:jc w:val="right"/>
              <w:rPr>
                <w:rFonts w:ascii="Segoe UI" w:hAnsi="Segoe UI" w:cs="Segoe UI"/>
              </w:rPr>
            </w:pPr>
            <w:r w:rsidRPr="0019295B">
              <w:rPr>
                <w:rFonts w:ascii="Segoe UI" w:hAnsi="Segoe UI" w:cs="Segoe UI"/>
                <w:color w:val="000000"/>
              </w:rPr>
              <w:t>$0</w:t>
            </w:r>
          </w:p>
        </w:tc>
        <w:tc>
          <w:tcPr>
            <w:tcW w:w="823"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$130.4</w:t>
            </w:r>
          </w:p>
        </w:tc>
        <w:tc>
          <w:tcPr>
            <w:tcW w:w="769"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$130.4</w:t>
            </w:r>
          </w:p>
        </w:tc>
        <w:tc>
          <w:tcPr>
            <w:tcW w:w="606"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N/A</w:t>
            </w:r>
          </w:p>
        </w:tc>
      </w:tr>
      <w:tr w:rsidR="00752E94" w:rsidRPr="0019295B" w:rsidTr="00A4014C">
        <w:trPr>
          <w:gridAfter w:val="1"/>
          <w:wAfter w:w="5" w:type="pct"/>
          <w:trHeight w:val="113"/>
        </w:trPr>
        <w:tc>
          <w:tcPr>
            <w:tcW w:w="1944"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Other</w:t>
            </w:r>
          </w:p>
        </w:tc>
        <w:tc>
          <w:tcPr>
            <w:tcW w:w="852" w:type="pct"/>
          </w:tcPr>
          <w:p w:rsidR="00752E94" w:rsidRPr="0019295B" w:rsidRDefault="00752E94" w:rsidP="00A4014C">
            <w:pPr>
              <w:jc w:val="right"/>
              <w:rPr>
                <w:rFonts w:ascii="Segoe UI" w:hAnsi="Segoe UI" w:cs="Segoe UI"/>
              </w:rPr>
            </w:pPr>
            <w:r w:rsidRPr="0019295B">
              <w:rPr>
                <w:rFonts w:ascii="Segoe UI" w:hAnsi="Segoe UI" w:cs="Segoe UI"/>
                <w:color w:val="000000"/>
              </w:rPr>
              <w:t>$1,335.8</w:t>
            </w:r>
          </w:p>
        </w:tc>
        <w:tc>
          <w:tcPr>
            <w:tcW w:w="823" w:type="pct"/>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$474.4</w:t>
            </w:r>
          </w:p>
        </w:tc>
        <w:tc>
          <w:tcPr>
            <w:tcW w:w="769" w:type="pct"/>
            <w:gridSpan w:val="2"/>
          </w:tcPr>
          <w:p w:rsidR="00752E94" w:rsidRPr="0019295B" w:rsidRDefault="00752E94" w:rsidP="00A4014C">
            <w:pPr>
              <w:jc w:val="right"/>
              <w:rPr>
                <w:rFonts w:ascii="Segoe UI" w:hAnsi="Segoe UI" w:cs="Segoe UI"/>
                <w:color w:val="000000"/>
              </w:rPr>
            </w:pPr>
            <w:r w:rsidRPr="0019295B">
              <w:rPr>
                <w:rFonts w:ascii="Segoe UI" w:hAnsi="Segoe UI" w:cs="Segoe UI"/>
                <w:color w:val="000000"/>
              </w:rPr>
              <w:t>-$861.4</w:t>
            </w:r>
          </w:p>
        </w:tc>
        <w:tc>
          <w:tcPr>
            <w:tcW w:w="606" w:type="pct"/>
            <w:gridSpan w:val="2"/>
          </w:tcPr>
          <w:p w:rsidR="00752E94" w:rsidRPr="0019295B" w:rsidRDefault="00D8721E" w:rsidP="00A4014C">
            <w:pPr>
              <w:jc w:val="right"/>
              <w:rPr>
                <w:rFonts w:ascii="Segoe UI" w:hAnsi="Segoe UI" w:cs="Segoe UI"/>
                <w:color w:val="000000"/>
              </w:rPr>
            </w:pPr>
            <w:r>
              <w:rPr>
                <w:rFonts w:ascii="Segoe UI" w:hAnsi="Segoe UI" w:cs="Segoe UI"/>
                <w:color w:val="000000"/>
              </w:rPr>
              <w:t>–6</w:t>
            </w:r>
            <w:r w:rsidR="00752E94" w:rsidRPr="0019295B">
              <w:rPr>
                <w:rFonts w:ascii="Segoe UI" w:hAnsi="Segoe UI" w:cs="Segoe UI"/>
                <w:color w:val="000000"/>
              </w:rPr>
              <w:t>4.5%</w:t>
            </w:r>
          </w:p>
        </w:tc>
      </w:tr>
      <w:tr w:rsidR="00752E94" w:rsidRPr="003A4033" w:rsidTr="00A4014C">
        <w:trPr>
          <w:trHeight w:val="113"/>
        </w:trPr>
        <w:tc>
          <w:tcPr>
            <w:tcW w:w="1944" w:type="pct"/>
          </w:tcPr>
          <w:p w:rsidR="00752E94" w:rsidRPr="00A4014C" w:rsidRDefault="00752E94" w:rsidP="00A4014C">
            <w:pPr>
              <w:rPr>
                <w:rStyle w:val="Strong"/>
              </w:rPr>
            </w:pPr>
            <w:r w:rsidRPr="00A4014C">
              <w:rPr>
                <w:rStyle w:val="Strong"/>
              </w:rPr>
              <w:t>Total other revenue</w:t>
            </w:r>
          </w:p>
        </w:tc>
        <w:tc>
          <w:tcPr>
            <w:tcW w:w="852" w:type="pct"/>
          </w:tcPr>
          <w:p w:rsidR="00752E94" w:rsidRPr="00A4014C" w:rsidRDefault="00752E94" w:rsidP="00A4014C">
            <w:pPr>
              <w:jc w:val="right"/>
              <w:rPr>
                <w:rStyle w:val="Strong"/>
              </w:rPr>
            </w:pPr>
            <w:r w:rsidRPr="00A4014C">
              <w:rPr>
                <w:rStyle w:val="Strong"/>
              </w:rPr>
              <w:t>$1,335.8</w:t>
            </w:r>
          </w:p>
        </w:tc>
        <w:tc>
          <w:tcPr>
            <w:tcW w:w="823" w:type="pct"/>
          </w:tcPr>
          <w:p w:rsidR="00752E94" w:rsidRPr="00A4014C" w:rsidRDefault="00752E94" w:rsidP="00A4014C">
            <w:pPr>
              <w:jc w:val="right"/>
              <w:rPr>
                <w:rStyle w:val="Strong"/>
              </w:rPr>
            </w:pPr>
            <w:r w:rsidRPr="00A4014C">
              <w:rPr>
                <w:rStyle w:val="Strong"/>
              </w:rPr>
              <w:t>$980.0</w:t>
            </w:r>
          </w:p>
        </w:tc>
        <w:tc>
          <w:tcPr>
            <w:tcW w:w="769" w:type="pct"/>
            <w:gridSpan w:val="2"/>
          </w:tcPr>
          <w:p w:rsidR="00752E94" w:rsidRPr="00A4014C" w:rsidRDefault="00752E94" w:rsidP="00A4014C">
            <w:pPr>
              <w:jc w:val="right"/>
              <w:rPr>
                <w:rStyle w:val="Strong"/>
              </w:rPr>
            </w:pPr>
            <w:r w:rsidRPr="00A4014C">
              <w:rPr>
                <w:rStyle w:val="Strong"/>
              </w:rPr>
              <w:t>-$355.8</w:t>
            </w:r>
          </w:p>
        </w:tc>
        <w:tc>
          <w:tcPr>
            <w:tcW w:w="611" w:type="pct"/>
            <w:gridSpan w:val="3"/>
          </w:tcPr>
          <w:p w:rsidR="00752E94" w:rsidRPr="00A4014C" w:rsidRDefault="00D8721E" w:rsidP="00A4014C">
            <w:pPr>
              <w:jc w:val="right"/>
              <w:rPr>
                <w:rStyle w:val="Strong"/>
              </w:rPr>
            </w:pPr>
            <w:r w:rsidRPr="00A4014C">
              <w:rPr>
                <w:rStyle w:val="Strong"/>
              </w:rPr>
              <w:t>–2</w:t>
            </w:r>
            <w:r w:rsidR="00752E94" w:rsidRPr="00A4014C">
              <w:rPr>
                <w:rStyle w:val="Strong"/>
              </w:rPr>
              <w:t>6.6%</w:t>
            </w:r>
          </w:p>
        </w:tc>
      </w:tr>
      <w:tr w:rsidR="00752E94" w:rsidRPr="00A4014C" w:rsidTr="00A4014C">
        <w:trPr>
          <w:trHeight w:val="113"/>
        </w:trPr>
        <w:tc>
          <w:tcPr>
            <w:tcW w:w="1944" w:type="pct"/>
            <w:shd w:val="clear" w:color="auto" w:fill="E8E8E8" w:themeFill="background2"/>
          </w:tcPr>
          <w:p w:rsidR="00752E94" w:rsidRPr="00A4014C" w:rsidRDefault="00752E94" w:rsidP="00A4014C">
            <w:pPr>
              <w:rPr>
                <w:rStyle w:val="Strong"/>
              </w:rPr>
            </w:pPr>
            <w:r w:rsidRPr="00A4014C">
              <w:rPr>
                <w:rStyle w:val="Strong"/>
              </w:rPr>
              <w:t>Total residential provider revenue</w:t>
            </w:r>
          </w:p>
        </w:tc>
        <w:tc>
          <w:tcPr>
            <w:tcW w:w="852" w:type="pct"/>
            <w:shd w:val="clear" w:color="auto" w:fill="E8E8E8" w:themeFill="background2"/>
          </w:tcPr>
          <w:p w:rsidR="00752E94" w:rsidRPr="00A4014C" w:rsidRDefault="00752E94" w:rsidP="00A4014C">
            <w:pPr>
              <w:jc w:val="right"/>
              <w:rPr>
                <w:rStyle w:val="Strong"/>
                <w:highlight w:val="yellow"/>
              </w:rPr>
            </w:pPr>
            <w:r w:rsidRPr="00A4014C">
              <w:rPr>
                <w:rStyle w:val="Strong"/>
              </w:rPr>
              <w:t>$17,171.8</w:t>
            </w:r>
          </w:p>
        </w:tc>
        <w:tc>
          <w:tcPr>
            <w:tcW w:w="823" w:type="pct"/>
            <w:shd w:val="clear" w:color="auto" w:fill="E8E8E8" w:themeFill="background2"/>
          </w:tcPr>
          <w:p w:rsidR="00752E94" w:rsidRPr="00A4014C" w:rsidRDefault="00752E94" w:rsidP="00A4014C">
            <w:pPr>
              <w:jc w:val="right"/>
              <w:rPr>
                <w:rStyle w:val="Strong"/>
                <w:highlight w:val="yellow"/>
              </w:rPr>
            </w:pPr>
            <w:r w:rsidRPr="00A4014C">
              <w:rPr>
                <w:rStyle w:val="Strong"/>
              </w:rPr>
              <w:t>$17,756.5</w:t>
            </w:r>
          </w:p>
        </w:tc>
        <w:tc>
          <w:tcPr>
            <w:tcW w:w="769" w:type="pct"/>
            <w:gridSpan w:val="2"/>
            <w:shd w:val="clear" w:color="auto" w:fill="E8E8E8" w:themeFill="background2"/>
          </w:tcPr>
          <w:p w:rsidR="00752E94" w:rsidRPr="00A4014C" w:rsidRDefault="00752E94" w:rsidP="00A4014C">
            <w:pPr>
              <w:jc w:val="right"/>
              <w:rPr>
                <w:rStyle w:val="Strong"/>
                <w:highlight w:val="yellow"/>
              </w:rPr>
            </w:pPr>
            <w:r w:rsidRPr="00A4014C">
              <w:rPr>
                <w:rStyle w:val="Strong"/>
              </w:rPr>
              <w:t>$584.7</w:t>
            </w:r>
          </w:p>
        </w:tc>
        <w:tc>
          <w:tcPr>
            <w:tcW w:w="611" w:type="pct"/>
            <w:gridSpan w:val="3"/>
            <w:shd w:val="clear" w:color="auto" w:fill="E8E8E8" w:themeFill="background2"/>
          </w:tcPr>
          <w:p w:rsidR="00752E94" w:rsidRPr="00A4014C" w:rsidRDefault="00752E94" w:rsidP="00A4014C">
            <w:pPr>
              <w:jc w:val="right"/>
              <w:rPr>
                <w:rStyle w:val="Strong"/>
              </w:rPr>
            </w:pPr>
            <w:r w:rsidRPr="00A4014C">
              <w:rPr>
                <w:rStyle w:val="Strong"/>
              </w:rPr>
              <w:t>3.4%</w:t>
            </w:r>
          </w:p>
        </w:tc>
      </w:tr>
    </w:tbl>
    <w:p w:rsidR="00A4014C" w:rsidRDefault="00A4014C" w:rsidP="00A4014C">
      <w:pPr>
        <w:pStyle w:val="SourceNotesHeading"/>
      </w:pPr>
      <w:r>
        <w:t>Notes</w:t>
      </w:r>
    </w:p>
    <w:p w:rsidR="00752E94" w:rsidRDefault="00752E94" w:rsidP="0016704B">
      <w:pPr>
        <w:pStyle w:val="SourceNotesNumbered"/>
        <w:numPr>
          <w:ilvl w:val="0"/>
          <w:numId w:val="26"/>
        </w:numPr>
      </w:pPr>
      <w:r w:rsidRPr="00204C17">
        <w:t xml:space="preserve">Extra service subsidy reduction does not apply to new residents entering care from </w:t>
      </w:r>
      <w:r>
        <w:t>1 July</w:t>
      </w:r>
      <w:r w:rsidR="00A261F3">
        <w:t> 201</w:t>
      </w:r>
      <w:r>
        <w:t>4</w:t>
      </w:r>
      <w:r w:rsidRPr="00204C17">
        <w:t>, however it still applies to residents in ES</w:t>
      </w:r>
      <w:r>
        <w:t>S</w:t>
      </w:r>
      <w:r w:rsidRPr="00204C17">
        <w:t xml:space="preserve"> places who were in care prior to </w:t>
      </w:r>
      <w:r>
        <w:t>1 July</w:t>
      </w:r>
      <w:r w:rsidR="00A261F3">
        <w:t> 201</w:t>
      </w:r>
      <w:r>
        <w:t>4</w:t>
      </w:r>
      <w:r w:rsidRPr="00204C17">
        <w:t>.</w:t>
      </w:r>
    </w:p>
    <w:p w:rsidR="00D8721E" w:rsidRDefault="00752E94" w:rsidP="00A4014C">
      <w:pPr>
        <w:pStyle w:val="SourceNotesNumbered"/>
      </w:pPr>
      <w:r>
        <w:t>Some revenue items in this table are reported as $0 for</w:t>
      </w:r>
      <w:r w:rsidR="00A261F3">
        <w:t> 201</w:t>
      </w:r>
      <w:r>
        <w:t>5</w:t>
      </w:r>
      <w:r w:rsidR="00D8721E">
        <w:t>–1</w:t>
      </w:r>
      <w:r>
        <w:t>6. This is due to lack of data available for these items prior to the</w:t>
      </w:r>
      <w:r w:rsidR="00A261F3">
        <w:t> 201</w:t>
      </w:r>
      <w:r>
        <w:t>6</w:t>
      </w:r>
      <w:r w:rsidR="00D8721E">
        <w:t>–1</w:t>
      </w:r>
      <w:r>
        <w:t>7 year.</w:t>
      </w:r>
    </w:p>
    <w:p w:rsidR="00752E94" w:rsidRDefault="00752E94" w:rsidP="00A4014C">
      <w:r w:rsidRPr="00915B80">
        <w:t>In</w:t>
      </w:r>
      <w:r w:rsidR="00A261F3">
        <w:t> 201</w:t>
      </w:r>
      <w:r w:rsidRPr="00915B80">
        <w:t>6</w:t>
      </w:r>
      <w:r w:rsidR="00D8721E">
        <w:t>–1</w:t>
      </w:r>
      <w:r w:rsidRPr="00915B80">
        <w:t>7, care related revenue formed 65</w:t>
      </w:r>
      <w:r>
        <w:t>.7</w:t>
      </w:r>
      <w:r w:rsidR="00A261F3">
        <w:t> per cent</w:t>
      </w:r>
      <w:r w:rsidRPr="00915B80">
        <w:t xml:space="preserve"> of the total revenue earned by </w:t>
      </w:r>
      <w:r>
        <w:t xml:space="preserve">residential </w:t>
      </w:r>
      <w:r w:rsidRPr="00915B80">
        <w:t>providers</w:t>
      </w:r>
      <w:r>
        <w:t xml:space="preserve"> ($11.7</w:t>
      </w:r>
      <w:r w:rsidR="00A261F3">
        <w:t> billion</w:t>
      </w:r>
      <w:r>
        <w:t>)</w:t>
      </w:r>
      <w:r w:rsidRPr="00915B80">
        <w:t xml:space="preserve"> compared with</w:t>
      </w:r>
      <w:r>
        <w:t xml:space="preserve"> 62.9</w:t>
      </w:r>
      <w:r w:rsidR="00A261F3">
        <w:t> per cent</w:t>
      </w:r>
      <w:r>
        <w:t xml:space="preserve"> in</w:t>
      </w:r>
      <w:r w:rsidR="00A261F3">
        <w:t> 201</w:t>
      </w:r>
      <w:r w:rsidRPr="00915B80">
        <w:t>5</w:t>
      </w:r>
      <w:r w:rsidR="00D8721E">
        <w:t>–1</w:t>
      </w:r>
      <w:r w:rsidRPr="00915B80">
        <w:t>6.</w:t>
      </w:r>
      <w:r>
        <w:t xml:space="preserve"> Living related revenue received from </w:t>
      </w:r>
      <w:r w:rsidRPr="003F2B93">
        <w:t>residents</w:t>
      </w:r>
      <w:r>
        <w:t xml:space="preserve">, which includes the basic daily fee and extra service fees, </w:t>
      </w:r>
      <w:r w:rsidRPr="003F2B93">
        <w:t>account</w:t>
      </w:r>
      <w:r>
        <w:t>ed</w:t>
      </w:r>
      <w:r w:rsidRPr="003F2B93">
        <w:t xml:space="preserve"> for </w:t>
      </w:r>
      <w:r>
        <w:t>18.8</w:t>
      </w:r>
      <w:r w:rsidR="00A261F3">
        <w:t> per cent</w:t>
      </w:r>
      <w:r w:rsidRPr="003F2B93">
        <w:t xml:space="preserve"> </w:t>
      </w:r>
      <w:r>
        <w:t>($3.</w:t>
      </w:r>
      <w:r w:rsidR="00FE6782">
        <w:t>3</w:t>
      </w:r>
      <w:r w:rsidR="00A261F3">
        <w:t> billion</w:t>
      </w:r>
      <w:r>
        <w:t xml:space="preserve">) </w:t>
      </w:r>
      <w:r w:rsidRPr="003F2B93">
        <w:t xml:space="preserve">of </w:t>
      </w:r>
      <w:r>
        <w:t xml:space="preserve">total </w:t>
      </w:r>
      <w:r w:rsidRPr="003F2B93">
        <w:t>revenue</w:t>
      </w:r>
      <w:r>
        <w:t>, the same proportion as</w:t>
      </w:r>
      <w:r w:rsidR="00A261F3">
        <w:t> 201</w:t>
      </w:r>
      <w:r>
        <w:t>5</w:t>
      </w:r>
      <w:r w:rsidR="00D8721E">
        <w:t>–1</w:t>
      </w:r>
      <w:r>
        <w:t>6.</w:t>
      </w:r>
    </w:p>
    <w:p w:rsidR="00D8721E" w:rsidRDefault="00752E94" w:rsidP="00A4014C">
      <w:r w:rsidRPr="003C4E5D">
        <w:t>Accommodation payments, consisting of accommodation supplements paid by the Government and accommodation payments paid by residents, account for 9.</w:t>
      </w:r>
      <w:r>
        <w:t>6</w:t>
      </w:r>
      <w:r w:rsidR="00A261F3">
        <w:t> per cent</w:t>
      </w:r>
      <w:r w:rsidRPr="003C4E5D">
        <w:t xml:space="preserve"> </w:t>
      </w:r>
      <w:r>
        <w:t>($1.8</w:t>
      </w:r>
      <w:r w:rsidR="00A261F3">
        <w:t> billion</w:t>
      </w:r>
      <w:r>
        <w:t xml:space="preserve">) </w:t>
      </w:r>
      <w:r w:rsidRPr="003C4E5D">
        <w:t>of total provider revenue in</w:t>
      </w:r>
      <w:r w:rsidR="00A261F3">
        <w:t> 201</w:t>
      </w:r>
      <w:r w:rsidRPr="003C4E5D">
        <w:t>6</w:t>
      </w:r>
      <w:r w:rsidR="00D8721E">
        <w:t>–1</w:t>
      </w:r>
      <w:r w:rsidRPr="003C4E5D">
        <w:t>7</w:t>
      </w:r>
      <w:r>
        <w:t>, compared with 10.4</w:t>
      </w:r>
      <w:r w:rsidR="00A261F3">
        <w:t> per cent</w:t>
      </w:r>
      <w:r>
        <w:t xml:space="preserve"> in</w:t>
      </w:r>
      <w:r w:rsidR="00A261F3">
        <w:t> 201</w:t>
      </w:r>
      <w:r>
        <w:t>5</w:t>
      </w:r>
      <w:r w:rsidR="00D8721E">
        <w:t>–1</w:t>
      </w:r>
      <w:r>
        <w:t>6</w:t>
      </w:r>
      <w:r w:rsidR="00D8721E">
        <w:t>.</w:t>
      </w:r>
    </w:p>
    <w:p w:rsidR="00752E94" w:rsidRDefault="00752E94" w:rsidP="00A4014C">
      <w:r w:rsidRPr="003C4E5D">
        <w:t xml:space="preserve">Accommodation payments made by residents </w:t>
      </w:r>
      <w:r>
        <w:t xml:space="preserve">totalled </w:t>
      </w:r>
      <w:r w:rsidRPr="003C4E5D">
        <w:t>$77</w:t>
      </w:r>
      <w:r w:rsidR="00B97D56">
        <w:t>8</w:t>
      </w:r>
      <w:r w:rsidR="00A261F3">
        <w:t> million</w:t>
      </w:r>
      <w:r w:rsidRPr="003C4E5D">
        <w:t xml:space="preserve"> in</w:t>
      </w:r>
      <w:r w:rsidR="00A261F3">
        <w:t> 201</w:t>
      </w:r>
      <w:r w:rsidRPr="003C4E5D">
        <w:t>6</w:t>
      </w:r>
      <w:r w:rsidR="00D8721E">
        <w:t>–1</w:t>
      </w:r>
      <w:r w:rsidRPr="003C4E5D">
        <w:t xml:space="preserve">7 compared with the </w:t>
      </w:r>
      <w:r>
        <w:t xml:space="preserve">reported </w:t>
      </w:r>
      <w:r w:rsidRPr="003C4E5D">
        <w:t>amount of $85</w:t>
      </w:r>
      <w:r w:rsidR="00AB6911">
        <w:t>1</w:t>
      </w:r>
      <w:r w:rsidR="00A261F3">
        <w:t> million</w:t>
      </w:r>
      <w:r w:rsidRPr="003C4E5D">
        <w:t xml:space="preserve"> in</w:t>
      </w:r>
      <w:r w:rsidR="00A261F3">
        <w:t> 201</w:t>
      </w:r>
      <w:r w:rsidRPr="003C4E5D">
        <w:t>5</w:t>
      </w:r>
      <w:r w:rsidR="00D8721E">
        <w:t>–1</w:t>
      </w:r>
      <w:r w:rsidRPr="003C4E5D">
        <w:t>6.</w:t>
      </w:r>
      <w:r>
        <w:t xml:space="preserve"> </w:t>
      </w:r>
      <w:r w:rsidRPr="003C4E5D">
        <w:t>In last year’s report</w:t>
      </w:r>
      <w:r>
        <w:t>,</w:t>
      </w:r>
      <w:r w:rsidRPr="003C4E5D">
        <w:t xml:space="preserve"> ACFA noted that some anomalies in the collection of data pertaining to accommodation payments received by providers in</w:t>
      </w:r>
      <w:r w:rsidR="00A261F3">
        <w:t> 201</w:t>
      </w:r>
      <w:r w:rsidRPr="003C4E5D">
        <w:t>4</w:t>
      </w:r>
      <w:r w:rsidR="00D8721E">
        <w:t>–1</w:t>
      </w:r>
      <w:r w:rsidRPr="003C4E5D">
        <w:t>5 and</w:t>
      </w:r>
      <w:r w:rsidR="00A261F3">
        <w:t> 201</w:t>
      </w:r>
      <w:r w:rsidRPr="003C4E5D">
        <w:t>5</w:t>
      </w:r>
      <w:r w:rsidR="00D8721E">
        <w:t>–1</w:t>
      </w:r>
      <w:r w:rsidRPr="003C4E5D">
        <w:t>6 had resulted in greater than expected increases in reported payments in</w:t>
      </w:r>
      <w:r w:rsidR="00A261F3">
        <w:t> 201</w:t>
      </w:r>
      <w:r w:rsidRPr="003C4E5D">
        <w:t>5</w:t>
      </w:r>
      <w:r w:rsidR="00D8721E">
        <w:t>–1</w:t>
      </w:r>
      <w:r w:rsidRPr="003C4E5D">
        <w:t xml:space="preserve">6. </w:t>
      </w:r>
      <w:r>
        <w:t>Addressing t</w:t>
      </w:r>
      <w:r w:rsidRPr="003C4E5D">
        <w:t>h</w:t>
      </w:r>
      <w:r>
        <w:t>ese anomalies in data collection is a large factor in the decline in reported accommodation payments made by residents in</w:t>
      </w:r>
      <w:r w:rsidR="00A261F3">
        <w:t> 201</w:t>
      </w:r>
      <w:r>
        <w:t>6</w:t>
      </w:r>
      <w:r w:rsidR="00D8721E">
        <w:t>–1</w:t>
      </w:r>
      <w:r>
        <w:t xml:space="preserve">7, </w:t>
      </w:r>
      <w:r w:rsidRPr="003C4E5D">
        <w:t>and ACFA expects that</w:t>
      </w:r>
      <w:r w:rsidR="00A261F3">
        <w:t> 201</w:t>
      </w:r>
      <w:r w:rsidRPr="003C4E5D">
        <w:t>7</w:t>
      </w:r>
      <w:r w:rsidR="00D8721E">
        <w:t>–1</w:t>
      </w:r>
      <w:r w:rsidRPr="003C4E5D">
        <w:t xml:space="preserve">8 will see a return to average annual growth </w:t>
      </w:r>
      <w:r>
        <w:t>rate</w:t>
      </w:r>
      <w:r w:rsidRPr="003C4E5D">
        <w:t>.</w:t>
      </w:r>
    </w:p>
    <w:p w:rsidR="00D8721E" w:rsidRDefault="00752E94" w:rsidP="00A4014C">
      <w:r>
        <w:t>I</w:t>
      </w:r>
      <w:r w:rsidRPr="0061515B">
        <w:t>nterest</w:t>
      </w:r>
      <w:r>
        <w:t xml:space="preserve"> revenue</w:t>
      </w:r>
      <w:r w:rsidRPr="0061515B">
        <w:t xml:space="preserve"> for providers may include interest earned on lump sum deposits less any interest payments made on borrowings (providers may show these separately in their balance sheets or may combine them as</w:t>
      </w:r>
      <w:r w:rsidR="00A4014C">
        <w:t> </w:t>
      </w:r>
      <w:r w:rsidRPr="0061515B">
        <w:t>‘net’)</w:t>
      </w:r>
      <w:r w:rsidR="00D8721E">
        <w:t>.</w:t>
      </w:r>
    </w:p>
    <w:p w:rsidR="00752E94" w:rsidRDefault="00752E94" w:rsidP="00A4014C">
      <w:r>
        <w:t>Additional insights were gained on the sources of ‘other income’ for providers through the introduction of the Aged Care Financial Report in</w:t>
      </w:r>
      <w:r w:rsidR="00A261F3">
        <w:t> 201</w:t>
      </w:r>
      <w:r>
        <w:t>6</w:t>
      </w:r>
      <w:r w:rsidR="00D8721E">
        <w:t>–1</w:t>
      </w:r>
      <w:r>
        <w:t xml:space="preserve">7. </w:t>
      </w:r>
      <w:r w:rsidR="006A61A9">
        <w:t>S</w:t>
      </w:r>
      <w:r w:rsidRPr="006A61A9">
        <w:t>ome items previous</w:t>
      </w:r>
      <w:r w:rsidR="006A61A9" w:rsidRPr="006A61A9">
        <w:t>ly</w:t>
      </w:r>
      <w:r w:rsidRPr="006A61A9">
        <w:t xml:space="preserve"> classified as ‘other revenue’ have now been apportioned to more appropriate revenue items. This means that reported ‘other’ income is 26</w:t>
      </w:r>
      <w:r w:rsidR="00A261F3">
        <w:t> per cent</w:t>
      </w:r>
      <w:r w:rsidRPr="006A61A9">
        <w:t xml:space="preserve"> </w:t>
      </w:r>
      <w:r w:rsidRPr="006A61A9">
        <w:lastRenderedPageBreak/>
        <w:t>less in</w:t>
      </w:r>
      <w:r w:rsidR="00A261F3">
        <w:t> 201</w:t>
      </w:r>
      <w:r w:rsidRPr="006A61A9">
        <w:t>6</w:t>
      </w:r>
      <w:r w:rsidR="00D8721E">
        <w:t>–1</w:t>
      </w:r>
      <w:r w:rsidRPr="006A61A9">
        <w:t>7 compared with</w:t>
      </w:r>
      <w:r w:rsidR="00A261F3">
        <w:t> 201</w:t>
      </w:r>
      <w:r w:rsidRPr="006A61A9">
        <w:t>5</w:t>
      </w:r>
      <w:r w:rsidR="00D8721E">
        <w:t>–1</w:t>
      </w:r>
      <w:r w:rsidRPr="006A61A9">
        <w:t>6. I</w:t>
      </w:r>
      <w:r>
        <w:t>nterest income comprises more than a third of the ‘other income’ providers received. Almost half of ‘other income’ reported by residential providers ($47</w:t>
      </w:r>
      <w:r w:rsidR="00AB6911">
        <w:t>4</w:t>
      </w:r>
      <w:r w:rsidR="00A261F3">
        <w:t> million</w:t>
      </w:r>
      <w:r>
        <w:t>) comes from unidentified other revenue sources. Total ‘other income’ of $98</w:t>
      </w:r>
      <w:r w:rsidR="00AB6911">
        <w:t>0</w:t>
      </w:r>
      <w:r w:rsidR="00A261F3">
        <w:t> million</w:t>
      </w:r>
      <w:r>
        <w:t xml:space="preserve"> forms just over 5</w:t>
      </w:r>
      <w:r w:rsidR="00A261F3">
        <w:t> per cent</w:t>
      </w:r>
      <w:r>
        <w:t xml:space="preserve"> of the total revenue earned by providers in</w:t>
      </w:r>
      <w:r w:rsidR="00A261F3">
        <w:t> 201</w:t>
      </w:r>
      <w:r>
        <w:t>6</w:t>
      </w:r>
      <w:r w:rsidR="00D8721E">
        <w:t>–1</w:t>
      </w:r>
      <w:r>
        <w:t xml:space="preserve">7, and forms a substantial proportion of the </w:t>
      </w:r>
      <w:r w:rsidRPr="008923BE">
        <w:t xml:space="preserve">reported NPBT </w:t>
      </w:r>
      <w:r>
        <w:t xml:space="preserve">for residential service providers </w:t>
      </w:r>
      <w:r w:rsidRPr="008923BE">
        <w:t>of $1,00</w:t>
      </w:r>
      <w:r w:rsidR="00B97D56">
        <w:t>6</w:t>
      </w:r>
      <w:r w:rsidR="00A261F3">
        <w:t> million</w:t>
      </w:r>
      <w:r>
        <w:t>.</w:t>
      </w:r>
    </w:p>
    <w:p w:rsidR="00D8721E" w:rsidRDefault="00492BF8" w:rsidP="00A4014C">
      <w:r>
        <w:fldChar w:fldCharType="begin"/>
      </w:r>
      <w:r>
        <w:instrText xml:space="preserve"> REF _Ref524428513 \r \h </w:instrText>
      </w:r>
      <w:r>
        <w:fldChar w:fldCharType="separate"/>
      </w:r>
      <w:r>
        <w:t>Chart 9.3</w:t>
      </w:r>
      <w:r>
        <w:fldChar w:fldCharType="end"/>
      </w:r>
      <w:r>
        <w:t xml:space="preserve"> </w:t>
      </w:r>
      <w:r w:rsidR="00752E94">
        <w:t>shows the proportions of all revenue sources for residential providers in</w:t>
      </w:r>
      <w:r w:rsidR="00A261F3">
        <w:t> 201</w:t>
      </w:r>
      <w:r w:rsidR="00752E94">
        <w:t>6</w:t>
      </w:r>
      <w:r w:rsidR="00D8721E">
        <w:t>–1</w:t>
      </w:r>
      <w:r w:rsidR="00752E94">
        <w:t>7.</w:t>
      </w:r>
    </w:p>
    <w:p w:rsidR="00B56296" w:rsidRPr="00596D01" w:rsidRDefault="00752E94" w:rsidP="00A4014C">
      <w:pPr>
        <w:pStyle w:val="ChartTitle"/>
      </w:pPr>
      <w:bookmarkStart w:id="738" w:name="_Ref524428513"/>
      <w:r w:rsidRPr="00596D01">
        <w:t>Proportions of total residential care provider revenue,</w:t>
      </w:r>
      <w:r w:rsidR="00A261F3" w:rsidRPr="00596D01">
        <w:t> 201</w:t>
      </w:r>
      <w:r w:rsidR="00B52601" w:rsidRPr="00596D01">
        <w:t>6</w:t>
      </w:r>
      <w:r w:rsidR="00D8721E" w:rsidRPr="00596D01">
        <w:t>–1</w:t>
      </w:r>
      <w:r w:rsidR="00B52601" w:rsidRPr="00596D01">
        <w:t>7</w:t>
      </w:r>
      <w:bookmarkEnd w:id="738"/>
    </w:p>
    <w:p w:rsidR="00D8721E" w:rsidRDefault="006D17B1" w:rsidP="00A4014C">
      <w:pPr>
        <w:jc w:val="center"/>
      </w:pPr>
      <w:r>
        <w:rPr>
          <w:noProof/>
        </w:rPr>
        <w:drawing>
          <wp:inline distT="0" distB="0" distL="0" distR="0" wp14:anchorId="5C23D8E7" wp14:editId="66450376">
            <wp:extent cx="4019550" cy="1838325"/>
            <wp:effectExtent l="0" t="0" r="0" b="9525"/>
            <wp:docPr id="694" name="Picture 694" descr="Chart 9.3 Proportions of total residential care provider revenue,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cb0036\AppData\Local\Microsoft\Windows\Temporary Internet Files\Content.Outlook\GKEAYA79\Chart_9.2_Renam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19550" cy="1838325"/>
                    </a:xfrm>
                    <a:prstGeom prst="rect">
                      <a:avLst/>
                    </a:prstGeom>
                    <a:noFill/>
                    <a:ln>
                      <a:noFill/>
                    </a:ln>
                  </pic:spPr>
                </pic:pic>
              </a:graphicData>
            </a:graphic>
          </wp:inline>
        </w:drawing>
      </w:r>
    </w:p>
    <w:p w:rsidR="00D8721E" w:rsidRDefault="00752E94" w:rsidP="00A4014C">
      <w:r>
        <w:t xml:space="preserve">ACFA also analyses revenue sources in terms of those sources provided by the Commonwealth compared with those provided by residents. </w:t>
      </w:r>
      <w:r w:rsidR="00492BF8">
        <w:fldChar w:fldCharType="begin"/>
      </w:r>
      <w:r w:rsidR="00492BF8">
        <w:instrText xml:space="preserve"> REF _Ref524429572 \r \h </w:instrText>
      </w:r>
      <w:r w:rsidR="00492BF8">
        <w:fldChar w:fldCharType="separate"/>
      </w:r>
      <w:r w:rsidR="00492BF8">
        <w:t>Table 9.5</w:t>
      </w:r>
      <w:r w:rsidR="00492BF8">
        <w:fldChar w:fldCharType="end"/>
      </w:r>
      <w:r w:rsidR="00492BF8">
        <w:t xml:space="preserve"> </w:t>
      </w:r>
      <w:r>
        <w:t>shows provider revenue sources for</w:t>
      </w:r>
      <w:r w:rsidR="00A261F3">
        <w:t> 201</w:t>
      </w:r>
      <w:r>
        <w:t>5</w:t>
      </w:r>
      <w:r w:rsidR="00D8721E">
        <w:t>–1</w:t>
      </w:r>
      <w:r>
        <w:t>6 and</w:t>
      </w:r>
      <w:r w:rsidR="00A261F3">
        <w:t> 201</w:t>
      </w:r>
      <w:r>
        <w:t>6</w:t>
      </w:r>
      <w:r w:rsidR="00D8721E">
        <w:t>–1</w:t>
      </w:r>
      <w:r>
        <w:t>7, split by Commonwealth, resident and other.</w:t>
      </w:r>
    </w:p>
    <w:p w:rsidR="00752E94" w:rsidRPr="00596D01" w:rsidRDefault="00752E94" w:rsidP="00A4014C">
      <w:pPr>
        <w:pStyle w:val="TableTitle"/>
      </w:pPr>
      <w:bookmarkStart w:id="739" w:name="_Ref524429572"/>
      <w:r w:rsidRPr="00596D01">
        <w:t>Revenue sources for residential care providers</w:t>
      </w:r>
      <w:r w:rsidR="00AC32A4" w:rsidRPr="00596D01">
        <w:t xml:space="preserve">, </w:t>
      </w:r>
      <w:r w:rsidRPr="00596D01">
        <w:t>Commonwealth, resident and ‘other’,</w:t>
      </w:r>
      <w:r w:rsidR="00A261F3" w:rsidRPr="00596D01">
        <w:t> 201</w:t>
      </w:r>
      <w:r w:rsidRPr="00596D01">
        <w:t>5</w:t>
      </w:r>
      <w:r w:rsidR="00D8721E" w:rsidRPr="00596D01">
        <w:t>–1</w:t>
      </w:r>
      <w:r w:rsidRPr="00596D01">
        <w:t>6 and</w:t>
      </w:r>
      <w:r w:rsidR="00A261F3" w:rsidRPr="00596D01">
        <w:t> 201</w:t>
      </w:r>
      <w:r w:rsidRPr="00596D01">
        <w:t>6</w:t>
      </w:r>
      <w:r w:rsidR="00D8721E" w:rsidRPr="00596D01">
        <w:t>–1</w:t>
      </w:r>
      <w:r w:rsidRPr="00596D01">
        <w:t>7</w:t>
      </w:r>
      <w:bookmarkEnd w:id="73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19"/>
        <w:gridCol w:w="1468"/>
        <w:gridCol w:w="1386"/>
        <w:gridCol w:w="1386"/>
        <w:gridCol w:w="1569"/>
      </w:tblGrid>
      <w:tr w:rsidR="00752E94" w:rsidRPr="00A4014C" w:rsidTr="00C67407">
        <w:trPr>
          <w:cnfStyle w:val="100000000000" w:firstRow="1" w:lastRow="0" w:firstColumn="0" w:lastColumn="0" w:oddVBand="0" w:evenVBand="0" w:oddHBand="0" w:evenHBand="0" w:firstRowFirstColumn="0" w:firstRowLastColumn="0" w:lastRowFirstColumn="0" w:lastRowLastColumn="0"/>
          <w:tblHeader/>
        </w:trPr>
        <w:tc>
          <w:tcPr>
            <w:tcW w:w="1983" w:type="pct"/>
            <w:hideMark/>
          </w:tcPr>
          <w:p w:rsidR="00752E94" w:rsidRPr="00A4014C" w:rsidRDefault="00752E94" w:rsidP="00A4014C">
            <w:r w:rsidRPr="00A4014C">
              <w:t>Revenue sources</w:t>
            </w:r>
          </w:p>
        </w:tc>
        <w:tc>
          <w:tcPr>
            <w:tcW w:w="762" w:type="pct"/>
            <w:hideMark/>
          </w:tcPr>
          <w:p w:rsidR="00752E94" w:rsidRPr="00A4014C" w:rsidRDefault="00752E94" w:rsidP="00DE51CA">
            <w:pPr>
              <w:jc w:val="right"/>
            </w:pPr>
            <w:r w:rsidRPr="00A4014C">
              <w:t>2015</w:t>
            </w:r>
            <w:r w:rsidR="00D8721E" w:rsidRPr="00A4014C">
              <w:t>–1</w:t>
            </w:r>
            <w:r w:rsidRPr="00A4014C">
              <w:t>6</w:t>
            </w:r>
            <w:r w:rsidR="00A4014C" w:rsidRPr="00A4014C">
              <w:br/>
            </w:r>
            <w:r w:rsidRPr="00A4014C">
              <w:t>($million)</w:t>
            </w:r>
          </w:p>
        </w:tc>
        <w:tc>
          <w:tcPr>
            <w:tcW w:w="720" w:type="pct"/>
            <w:hideMark/>
          </w:tcPr>
          <w:p w:rsidR="00752E94" w:rsidRPr="00A4014C" w:rsidRDefault="00752E94" w:rsidP="00DE51CA">
            <w:pPr>
              <w:jc w:val="right"/>
            </w:pPr>
            <w:r w:rsidRPr="00A4014C">
              <w:t>2016</w:t>
            </w:r>
            <w:r w:rsidR="00D8721E" w:rsidRPr="00A4014C">
              <w:t>–1</w:t>
            </w:r>
            <w:r w:rsidRPr="00A4014C">
              <w:t>7</w:t>
            </w:r>
            <w:r w:rsidR="00A4014C" w:rsidRPr="00A4014C">
              <w:br/>
            </w:r>
            <w:r w:rsidRPr="00A4014C">
              <w:t>($million)</w:t>
            </w:r>
          </w:p>
        </w:tc>
        <w:tc>
          <w:tcPr>
            <w:tcW w:w="720" w:type="pct"/>
            <w:hideMark/>
          </w:tcPr>
          <w:p w:rsidR="00752E94" w:rsidRPr="00A4014C" w:rsidRDefault="00752E94" w:rsidP="00DE51CA">
            <w:pPr>
              <w:jc w:val="right"/>
            </w:pPr>
            <w:r w:rsidRPr="00A4014C">
              <w:t xml:space="preserve">Change </w:t>
            </w:r>
            <w:r w:rsidRPr="00A4014C">
              <w:br/>
              <w:t>($million)</w:t>
            </w:r>
          </w:p>
        </w:tc>
        <w:tc>
          <w:tcPr>
            <w:tcW w:w="816" w:type="pct"/>
            <w:hideMark/>
          </w:tcPr>
          <w:p w:rsidR="00752E94" w:rsidRPr="00A4014C" w:rsidRDefault="00752E94" w:rsidP="00DE51CA">
            <w:pPr>
              <w:jc w:val="right"/>
            </w:pPr>
            <w:r w:rsidRPr="00A4014C">
              <w:t>Change (%)</w:t>
            </w:r>
          </w:p>
        </w:tc>
      </w:tr>
      <w:tr w:rsidR="00752E94" w:rsidTr="00C67407">
        <w:tc>
          <w:tcPr>
            <w:tcW w:w="1983" w:type="pct"/>
            <w:shd w:val="clear" w:color="auto" w:fill="E8E8E8" w:themeFill="background2"/>
            <w:hideMark/>
          </w:tcPr>
          <w:p w:rsidR="00752E94" w:rsidRPr="0019295B" w:rsidRDefault="00752E94" w:rsidP="00A4014C">
            <w:pPr>
              <w:rPr>
                <w:rFonts w:ascii="Segoe UI" w:hAnsi="Segoe UI" w:cs="Segoe UI"/>
              </w:rPr>
            </w:pPr>
            <w:r w:rsidRPr="00596D01">
              <w:rPr>
                <w:rStyle w:val="Strong"/>
              </w:rPr>
              <w:t>Commonwealth</w:t>
            </w:r>
          </w:p>
        </w:tc>
        <w:tc>
          <w:tcPr>
            <w:tcW w:w="762" w:type="pct"/>
            <w:shd w:val="clear" w:color="auto" w:fill="E8E8E8" w:themeFill="background2"/>
          </w:tcPr>
          <w:p w:rsidR="00752E94" w:rsidRPr="0019295B" w:rsidRDefault="00752E94" w:rsidP="00DE51CA">
            <w:pPr>
              <w:jc w:val="right"/>
              <w:rPr>
                <w:rFonts w:ascii="Segoe UI" w:hAnsi="Segoe UI" w:cs="Segoe UI"/>
                <w:color w:val="000000"/>
              </w:rPr>
            </w:pPr>
          </w:p>
        </w:tc>
        <w:tc>
          <w:tcPr>
            <w:tcW w:w="720" w:type="pct"/>
            <w:shd w:val="clear" w:color="auto" w:fill="E8E8E8" w:themeFill="background2"/>
          </w:tcPr>
          <w:p w:rsidR="00752E94" w:rsidRPr="0019295B" w:rsidRDefault="00752E94" w:rsidP="00DE51CA">
            <w:pPr>
              <w:jc w:val="right"/>
              <w:rPr>
                <w:rFonts w:ascii="Segoe UI" w:hAnsi="Segoe UI" w:cs="Segoe UI"/>
                <w:color w:val="000000"/>
              </w:rPr>
            </w:pPr>
          </w:p>
        </w:tc>
        <w:tc>
          <w:tcPr>
            <w:tcW w:w="720" w:type="pct"/>
            <w:shd w:val="clear" w:color="auto" w:fill="E8E8E8" w:themeFill="background2"/>
          </w:tcPr>
          <w:p w:rsidR="00752E94" w:rsidRPr="0019295B" w:rsidRDefault="00752E94" w:rsidP="00DE51CA">
            <w:pPr>
              <w:jc w:val="right"/>
              <w:rPr>
                <w:rFonts w:ascii="Segoe UI" w:hAnsi="Segoe UI" w:cs="Segoe UI"/>
                <w:color w:val="000000"/>
              </w:rPr>
            </w:pPr>
          </w:p>
        </w:tc>
        <w:tc>
          <w:tcPr>
            <w:tcW w:w="816" w:type="pct"/>
            <w:shd w:val="clear" w:color="auto" w:fill="E8E8E8" w:themeFill="background2"/>
          </w:tcPr>
          <w:p w:rsidR="00752E94" w:rsidRPr="0019295B" w:rsidRDefault="00752E94" w:rsidP="00DE51CA">
            <w:pPr>
              <w:jc w:val="right"/>
              <w:rPr>
                <w:rFonts w:ascii="Segoe UI" w:hAnsi="Segoe UI" w:cs="Segoe UI"/>
                <w:color w:val="000000"/>
              </w:rPr>
            </w:pPr>
          </w:p>
        </w:tc>
      </w:tr>
      <w:tr w:rsidR="00752E94" w:rsidRPr="003A4033" w:rsidTr="00C67407">
        <w:trPr>
          <w:trHeight w:val="450"/>
        </w:trPr>
        <w:tc>
          <w:tcPr>
            <w:tcW w:w="1983" w:type="pct"/>
            <w:hideMark/>
          </w:tcPr>
          <w:p w:rsidR="00752E94" w:rsidRPr="0019295B" w:rsidRDefault="00752E94" w:rsidP="00A4014C">
            <w:pPr>
              <w:rPr>
                <w:rFonts w:ascii="Segoe UI" w:hAnsi="Segoe UI" w:cs="Segoe UI"/>
              </w:rPr>
            </w:pPr>
            <w:r w:rsidRPr="0019295B">
              <w:rPr>
                <w:rFonts w:ascii="Segoe UI" w:hAnsi="Segoe UI" w:cs="Segoe UI"/>
                <w:lang w:eastAsia="en-AU"/>
              </w:rPr>
              <w:t>Basic care subsidy (ACFI)</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$9,991.3</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$10,741.7</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$750.4</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7.5%</w:t>
            </w:r>
          </w:p>
        </w:tc>
      </w:tr>
      <w:tr w:rsidR="00752E94" w:rsidRPr="003A4033" w:rsidTr="00C67407">
        <w:tc>
          <w:tcPr>
            <w:tcW w:w="1983"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Respite subsidy</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$287.7</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$301.4</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$13.7</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4.8%</w:t>
            </w:r>
          </w:p>
        </w:tc>
      </w:tr>
      <w:tr w:rsidR="00752E94" w:rsidRPr="003A4033" w:rsidTr="00C67407">
        <w:tc>
          <w:tcPr>
            <w:tcW w:w="1983"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Other supplements</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$72.8</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$89.3</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$16.5</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22.7%</w:t>
            </w:r>
          </w:p>
        </w:tc>
      </w:tr>
      <w:tr w:rsidR="00752E94" w:rsidRPr="003A4033" w:rsidTr="00C67407">
        <w:tc>
          <w:tcPr>
            <w:tcW w:w="1983" w:type="pct"/>
            <w:hideMark/>
          </w:tcPr>
          <w:p w:rsidR="00752E94" w:rsidRPr="0019295B" w:rsidRDefault="00752E94" w:rsidP="00A4014C">
            <w:pPr>
              <w:rPr>
                <w:rFonts w:ascii="Segoe UI" w:hAnsi="Segoe UI" w:cs="Segoe UI"/>
              </w:rPr>
            </w:pPr>
            <w:r w:rsidRPr="0019295B">
              <w:rPr>
                <w:rFonts w:ascii="Segoe UI" w:hAnsi="Segoe UI" w:cs="Segoe UI"/>
                <w:lang w:eastAsia="en-AU"/>
              </w:rPr>
              <w:t>Accommodation supplements</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$941.6</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$929.7</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-$11.9</w:t>
            </w:r>
          </w:p>
        </w:tc>
        <w:tc>
          <w:tcPr>
            <w:tcW w:w="816" w:type="pct"/>
          </w:tcPr>
          <w:p w:rsidR="00752E94" w:rsidRPr="0019295B" w:rsidRDefault="00D8721E" w:rsidP="00DE51CA">
            <w:pPr>
              <w:jc w:val="right"/>
              <w:rPr>
                <w:rFonts w:ascii="Segoe UI" w:hAnsi="Segoe UI" w:cs="Segoe UI"/>
                <w:color w:val="000000"/>
              </w:rPr>
            </w:pPr>
            <w:r>
              <w:rPr>
                <w:rFonts w:ascii="Segoe UI" w:hAnsi="Segoe UI" w:cs="Segoe UI"/>
                <w:color w:val="000000"/>
              </w:rPr>
              <w:t>–1</w:t>
            </w:r>
            <w:r w:rsidR="00752E94" w:rsidRPr="0019295B">
              <w:rPr>
                <w:rFonts w:ascii="Segoe UI" w:hAnsi="Segoe UI" w:cs="Segoe UI"/>
                <w:color w:val="000000"/>
              </w:rPr>
              <w:t>.3%</w:t>
            </w:r>
          </w:p>
        </w:tc>
      </w:tr>
      <w:tr w:rsidR="00752E94" w:rsidRPr="003A4033" w:rsidTr="00C67407">
        <w:tc>
          <w:tcPr>
            <w:tcW w:w="1983" w:type="pct"/>
          </w:tcPr>
          <w:p w:rsidR="00752E94" w:rsidRPr="0019295B" w:rsidRDefault="00752E94" w:rsidP="00A4014C">
            <w:pPr>
              <w:rPr>
                <w:rFonts w:ascii="Segoe UI" w:hAnsi="Segoe UI" w:cs="Segoe UI"/>
                <w:bCs/>
                <w:lang w:eastAsia="en-AU"/>
              </w:rPr>
            </w:pPr>
            <w:r w:rsidRPr="0019295B">
              <w:rPr>
                <w:rFonts w:ascii="Segoe UI" w:hAnsi="Segoe UI" w:cs="Segoe UI"/>
                <w:bCs/>
                <w:lang w:eastAsia="en-AU"/>
              </w:rPr>
              <w:t>Capital grants</w:t>
            </w:r>
          </w:p>
        </w:tc>
        <w:tc>
          <w:tcPr>
            <w:tcW w:w="762" w:type="pct"/>
          </w:tcPr>
          <w:p w:rsidR="00752E94" w:rsidRPr="0019295B" w:rsidRDefault="00752E94" w:rsidP="00DE51CA">
            <w:pPr>
              <w:jc w:val="right"/>
              <w:rPr>
                <w:rFonts w:ascii="Segoe UI" w:hAnsi="Segoe UI" w:cs="Segoe UI"/>
                <w:bCs/>
                <w:color w:val="000000"/>
              </w:rPr>
            </w:pPr>
            <w:r w:rsidRPr="0019295B">
              <w:rPr>
                <w:rFonts w:ascii="Segoe UI" w:hAnsi="Segoe UI" w:cs="Segoe UI"/>
                <w:bCs/>
                <w:color w:val="000000"/>
              </w:rPr>
              <w:t>$0</w:t>
            </w:r>
          </w:p>
        </w:tc>
        <w:tc>
          <w:tcPr>
            <w:tcW w:w="720" w:type="pct"/>
          </w:tcPr>
          <w:p w:rsidR="00752E94" w:rsidRPr="0019295B" w:rsidRDefault="00752E94" w:rsidP="00DE51CA">
            <w:pPr>
              <w:jc w:val="right"/>
              <w:rPr>
                <w:rFonts w:ascii="Segoe UI" w:hAnsi="Segoe UI" w:cs="Segoe UI"/>
                <w:bCs/>
                <w:color w:val="000000"/>
              </w:rPr>
            </w:pPr>
            <w:r w:rsidRPr="0019295B">
              <w:rPr>
                <w:rFonts w:ascii="Segoe UI" w:hAnsi="Segoe UI" w:cs="Segoe UI"/>
                <w:bCs/>
                <w:color w:val="000000"/>
              </w:rPr>
              <w:t>$61.7</w:t>
            </w:r>
          </w:p>
        </w:tc>
        <w:tc>
          <w:tcPr>
            <w:tcW w:w="720" w:type="pct"/>
          </w:tcPr>
          <w:p w:rsidR="00752E94" w:rsidRPr="0019295B" w:rsidRDefault="00752E94" w:rsidP="00DE51CA">
            <w:pPr>
              <w:jc w:val="right"/>
              <w:rPr>
                <w:rFonts w:ascii="Segoe UI" w:hAnsi="Segoe UI" w:cs="Segoe UI"/>
                <w:bCs/>
                <w:color w:val="000000"/>
              </w:rPr>
            </w:pPr>
            <w:r w:rsidRPr="0019295B">
              <w:rPr>
                <w:rFonts w:ascii="Segoe UI" w:hAnsi="Segoe UI" w:cs="Segoe UI"/>
                <w:bCs/>
                <w:color w:val="000000"/>
              </w:rPr>
              <w:t>$61.7</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N/A</w:t>
            </w:r>
          </w:p>
        </w:tc>
      </w:tr>
      <w:tr w:rsidR="00752E94" w:rsidRPr="003A4033" w:rsidTr="00C67407">
        <w:tc>
          <w:tcPr>
            <w:tcW w:w="1983" w:type="pct"/>
            <w:hideMark/>
          </w:tcPr>
          <w:p w:rsidR="00752E94" w:rsidRPr="0019295B" w:rsidRDefault="00752E94" w:rsidP="00A4014C">
            <w:pPr>
              <w:rPr>
                <w:rFonts w:ascii="Segoe UI" w:hAnsi="Segoe UI" w:cs="Segoe UI"/>
                <w:b/>
                <w:bCs/>
              </w:rPr>
            </w:pPr>
            <w:r w:rsidRPr="00596D01">
              <w:rPr>
                <w:rStyle w:val="Strong"/>
              </w:rPr>
              <w:t>Commonwealth funding sources</w:t>
            </w:r>
          </w:p>
        </w:tc>
        <w:tc>
          <w:tcPr>
            <w:tcW w:w="762" w:type="pct"/>
          </w:tcPr>
          <w:p w:rsidR="00752E94" w:rsidRPr="0019295B" w:rsidRDefault="00752E94" w:rsidP="00DE51CA">
            <w:pPr>
              <w:jc w:val="right"/>
              <w:rPr>
                <w:rFonts w:ascii="Segoe UI" w:hAnsi="Segoe UI" w:cs="Segoe UI"/>
                <w:b/>
                <w:bCs/>
                <w:color w:val="000000"/>
              </w:rPr>
            </w:pPr>
            <w:r w:rsidRPr="00596D01">
              <w:rPr>
                <w:rStyle w:val="Strong"/>
              </w:rPr>
              <w:t>$11,293.4</w:t>
            </w:r>
          </w:p>
        </w:tc>
        <w:tc>
          <w:tcPr>
            <w:tcW w:w="720" w:type="pct"/>
          </w:tcPr>
          <w:p w:rsidR="00752E94" w:rsidRPr="0019295B" w:rsidRDefault="00752E94" w:rsidP="00DE51CA">
            <w:pPr>
              <w:jc w:val="right"/>
              <w:rPr>
                <w:rFonts w:ascii="Segoe UI" w:hAnsi="Segoe UI" w:cs="Segoe UI"/>
                <w:b/>
                <w:bCs/>
                <w:color w:val="000000"/>
                <w:highlight w:val="yellow"/>
              </w:rPr>
            </w:pPr>
            <w:r w:rsidRPr="00596D01">
              <w:rPr>
                <w:rStyle w:val="Strong"/>
              </w:rPr>
              <w:t>$12,123.8</w:t>
            </w:r>
          </w:p>
        </w:tc>
        <w:tc>
          <w:tcPr>
            <w:tcW w:w="720" w:type="pct"/>
          </w:tcPr>
          <w:p w:rsidR="00752E94" w:rsidRPr="0019295B" w:rsidRDefault="00752E94" w:rsidP="00DE51CA">
            <w:pPr>
              <w:jc w:val="right"/>
              <w:rPr>
                <w:rFonts w:ascii="Segoe UI" w:hAnsi="Segoe UI" w:cs="Segoe UI"/>
                <w:b/>
                <w:bCs/>
                <w:color w:val="000000"/>
              </w:rPr>
            </w:pPr>
            <w:r w:rsidRPr="00596D01">
              <w:rPr>
                <w:rStyle w:val="Strong"/>
              </w:rPr>
              <w:t>$830.4</w:t>
            </w:r>
          </w:p>
        </w:tc>
        <w:tc>
          <w:tcPr>
            <w:tcW w:w="816" w:type="pct"/>
          </w:tcPr>
          <w:p w:rsidR="00752E94" w:rsidRPr="00596D01" w:rsidRDefault="00752E94" w:rsidP="00DE51CA">
            <w:pPr>
              <w:jc w:val="right"/>
              <w:rPr>
                <w:rStyle w:val="Strong"/>
              </w:rPr>
            </w:pPr>
            <w:r w:rsidRPr="00596D01">
              <w:rPr>
                <w:rStyle w:val="Strong"/>
              </w:rPr>
              <w:t>7.4%</w:t>
            </w:r>
          </w:p>
        </w:tc>
      </w:tr>
      <w:tr w:rsidR="00752E94" w:rsidRPr="003A4033" w:rsidTr="00C67407">
        <w:tc>
          <w:tcPr>
            <w:tcW w:w="1983" w:type="pct"/>
            <w:shd w:val="clear" w:color="auto" w:fill="E8E8E8" w:themeFill="background2"/>
            <w:hideMark/>
          </w:tcPr>
          <w:p w:rsidR="00752E94" w:rsidRPr="00596D01" w:rsidRDefault="00752E94" w:rsidP="00A4014C">
            <w:pPr>
              <w:rPr>
                <w:rStyle w:val="Strong"/>
              </w:rPr>
            </w:pPr>
            <w:r w:rsidRPr="00596D01">
              <w:rPr>
                <w:rStyle w:val="Strong"/>
              </w:rPr>
              <w:t>Resident</w:t>
            </w:r>
          </w:p>
        </w:tc>
        <w:tc>
          <w:tcPr>
            <w:tcW w:w="762" w:type="pct"/>
            <w:shd w:val="clear" w:color="auto" w:fill="E8E8E8" w:themeFill="background2"/>
          </w:tcPr>
          <w:p w:rsidR="00752E94" w:rsidRPr="0019295B" w:rsidRDefault="00752E94" w:rsidP="00DE51CA">
            <w:pPr>
              <w:jc w:val="right"/>
              <w:rPr>
                <w:rFonts w:ascii="Segoe UI" w:hAnsi="Segoe UI" w:cs="Segoe UI"/>
                <w:color w:val="000000"/>
              </w:rPr>
            </w:pPr>
          </w:p>
        </w:tc>
        <w:tc>
          <w:tcPr>
            <w:tcW w:w="720" w:type="pct"/>
            <w:shd w:val="clear" w:color="auto" w:fill="E8E8E8" w:themeFill="background2"/>
          </w:tcPr>
          <w:p w:rsidR="00752E94" w:rsidRPr="0019295B" w:rsidRDefault="00752E94" w:rsidP="00DE51CA">
            <w:pPr>
              <w:jc w:val="right"/>
              <w:rPr>
                <w:rFonts w:ascii="Segoe UI" w:hAnsi="Segoe UI" w:cs="Segoe UI"/>
                <w:color w:val="000000"/>
              </w:rPr>
            </w:pPr>
          </w:p>
        </w:tc>
        <w:tc>
          <w:tcPr>
            <w:tcW w:w="720" w:type="pct"/>
            <w:shd w:val="clear" w:color="auto" w:fill="E8E8E8" w:themeFill="background2"/>
            <w:hideMark/>
          </w:tcPr>
          <w:p w:rsidR="00752E94" w:rsidRPr="0019295B" w:rsidRDefault="00752E94" w:rsidP="00DE51CA">
            <w:pPr>
              <w:jc w:val="right"/>
              <w:rPr>
                <w:rFonts w:ascii="Segoe UI" w:hAnsi="Segoe UI" w:cs="Segoe UI"/>
                <w:color w:val="000000"/>
              </w:rPr>
            </w:pPr>
          </w:p>
        </w:tc>
        <w:tc>
          <w:tcPr>
            <w:tcW w:w="816" w:type="pct"/>
            <w:shd w:val="clear" w:color="auto" w:fill="E8E8E8" w:themeFill="background2"/>
            <w:hideMark/>
          </w:tcPr>
          <w:p w:rsidR="00752E94" w:rsidRPr="0019295B" w:rsidRDefault="00752E94" w:rsidP="00DE51CA">
            <w:pPr>
              <w:jc w:val="right"/>
              <w:rPr>
                <w:rFonts w:ascii="Segoe UI" w:hAnsi="Segoe UI" w:cs="Segoe UI"/>
                <w:lang w:eastAsia="en-AU"/>
              </w:rPr>
            </w:pP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Basic daily fee</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$3,088.9</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$3,186.7</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$97.8</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3.2%</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Means tested care fees</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$456.0</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$468.9</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$12.9</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2.8%</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 xml:space="preserve">Resident care fees – other </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$0</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$61.2</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$61.2</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N/A</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lastRenderedPageBreak/>
              <w:t>Accommodation payments</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$850.8</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$778.4</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-$72.4</w:t>
            </w:r>
          </w:p>
        </w:tc>
        <w:tc>
          <w:tcPr>
            <w:tcW w:w="816" w:type="pct"/>
          </w:tcPr>
          <w:p w:rsidR="00752E94" w:rsidRPr="0019295B" w:rsidRDefault="00D8721E" w:rsidP="00DE51CA">
            <w:pPr>
              <w:jc w:val="right"/>
              <w:rPr>
                <w:rFonts w:ascii="Segoe UI" w:hAnsi="Segoe UI" w:cs="Segoe UI"/>
                <w:color w:val="000000"/>
              </w:rPr>
            </w:pPr>
            <w:r>
              <w:rPr>
                <w:rFonts w:ascii="Segoe UI" w:hAnsi="Segoe UI" w:cs="Segoe UI"/>
                <w:color w:val="000000"/>
              </w:rPr>
              <w:t>–8</w:t>
            </w:r>
            <w:r w:rsidR="00752E94" w:rsidRPr="0019295B">
              <w:rPr>
                <w:rFonts w:ascii="Segoe UI" w:hAnsi="Segoe UI" w:cs="Segoe UI"/>
                <w:color w:val="000000"/>
              </w:rPr>
              <w:t>.5%</w:t>
            </w:r>
          </w:p>
        </w:tc>
      </w:tr>
      <w:tr w:rsidR="00752E94" w:rsidRPr="003A4033" w:rsidTr="00C67407">
        <w:tc>
          <w:tcPr>
            <w:tcW w:w="1983"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 xml:space="preserve">Extra services fee </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$146.9</w:t>
            </w:r>
          </w:p>
        </w:tc>
        <w:tc>
          <w:tcPr>
            <w:tcW w:w="720" w:type="pct"/>
          </w:tcPr>
          <w:p w:rsidR="00752E94" w:rsidRPr="0019295B" w:rsidRDefault="00752E94" w:rsidP="00DE51CA">
            <w:pPr>
              <w:jc w:val="right"/>
              <w:rPr>
                <w:rFonts w:ascii="Segoe UI" w:hAnsi="Segoe UI" w:cs="Segoe UI"/>
                <w:color w:val="000000"/>
                <w:highlight w:val="yellow"/>
              </w:rPr>
            </w:pPr>
            <w:r w:rsidRPr="0019295B">
              <w:rPr>
                <w:rFonts w:ascii="Segoe UI" w:hAnsi="Segoe UI" w:cs="Segoe UI"/>
                <w:color w:val="000000"/>
              </w:rPr>
              <w:t>$157.5</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$10.6</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7.2%</w:t>
            </w:r>
          </w:p>
        </w:tc>
      </w:tr>
      <w:tr w:rsidR="00752E94" w:rsidRPr="003A4033" w:rsidTr="00C67407">
        <w:tc>
          <w:tcPr>
            <w:tcW w:w="1983" w:type="pct"/>
            <w:hideMark/>
          </w:tcPr>
          <w:p w:rsidR="00752E94" w:rsidRPr="0019295B" w:rsidRDefault="00752E94" w:rsidP="00A4014C">
            <w:pPr>
              <w:rPr>
                <w:rFonts w:ascii="Segoe UI" w:hAnsi="Segoe UI" w:cs="Segoe UI"/>
                <w:b/>
                <w:bCs/>
                <w:lang w:eastAsia="en-AU"/>
              </w:rPr>
            </w:pPr>
            <w:r w:rsidRPr="00596D01">
              <w:rPr>
                <w:rStyle w:val="Strong"/>
              </w:rPr>
              <w:t>Resident funding sources</w:t>
            </w:r>
          </w:p>
        </w:tc>
        <w:tc>
          <w:tcPr>
            <w:tcW w:w="762" w:type="pct"/>
          </w:tcPr>
          <w:p w:rsidR="00752E94" w:rsidRPr="0019295B" w:rsidRDefault="00752E94" w:rsidP="00DE51CA">
            <w:pPr>
              <w:jc w:val="right"/>
              <w:rPr>
                <w:rFonts w:ascii="Segoe UI" w:hAnsi="Segoe UI" w:cs="Segoe UI"/>
                <w:b/>
                <w:bCs/>
                <w:color w:val="000000"/>
              </w:rPr>
            </w:pPr>
            <w:r w:rsidRPr="00596D01">
              <w:rPr>
                <w:rStyle w:val="Strong"/>
              </w:rPr>
              <w:t>$4,542.6</w:t>
            </w:r>
          </w:p>
        </w:tc>
        <w:tc>
          <w:tcPr>
            <w:tcW w:w="720" w:type="pct"/>
          </w:tcPr>
          <w:p w:rsidR="00752E94" w:rsidRPr="0019295B" w:rsidRDefault="00752E94" w:rsidP="00DE51CA">
            <w:pPr>
              <w:jc w:val="right"/>
              <w:rPr>
                <w:rFonts w:ascii="Segoe UI" w:hAnsi="Segoe UI" w:cs="Segoe UI"/>
                <w:b/>
                <w:bCs/>
                <w:color w:val="000000"/>
                <w:highlight w:val="yellow"/>
              </w:rPr>
            </w:pPr>
            <w:r w:rsidRPr="00596D01">
              <w:rPr>
                <w:rStyle w:val="Strong"/>
              </w:rPr>
              <w:t>$4,652.7</w:t>
            </w:r>
          </w:p>
        </w:tc>
        <w:tc>
          <w:tcPr>
            <w:tcW w:w="720" w:type="pct"/>
          </w:tcPr>
          <w:p w:rsidR="00752E94" w:rsidRPr="0019295B" w:rsidRDefault="00752E94" w:rsidP="00DE51CA">
            <w:pPr>
              <w:jc w:val="right"/>
              <w:rPr>
                <w:rFonts w:ascii="Segoe UI" w:hAnsi="Segoe UI" w:cs="Segoe UI"/>
                <w:b/>
                <w:bCs/>
                <w:color w:val="000000"/>
              </w:rPr>
            </w:pPr>
            <w:r w:rsidRPr="00596D01">
              <w:rPr>
                <w:rStyle w:val="Strong"/>
              </w:rPr>
              <w:t>$110.1</w:t>
            </w:r>
          </w:p>
        </w:tc>
        <w:tc>
          <w:tcPr>
            <w:tcW w:w="816" w:type="pct"/>
          </w:tcPr>
          <w:p w:rsidR="00752E94" w:rsidRPr="00596D01" w:rsidRDefault="00752E94" w:rsidP="00DE51CA">
            <w:pPr>
              <w:jc w:val="right"/>
              <w:rPr>
                <w:rStyle w:val="Strong"/>
              </w:rPr>
            </w:pPr>
            <w:r w:rsidRPr="00596D01">
              <w:rPr>
                <w:rStyle w:val="Strong"/>
              </w:rPr>
              <w:t>2.4%</w:t>
            </w:r>
          </w:p>
        </w:tc>
      </w:tr>
      <w:tr w:rsidR="00752E94" w:rsidRPr="003A4033" w:rsidTr="00C67407">
        <w:tc>
          <w:tcPr>
            <w:tcW w:w="1983" w:type="pct"/>
            <w:shd w:val="clear" w:color="auto" w:fill="E8E8E8" w:themeFill="background2"/>
            <w:hideMark/>
          </w:tcPr>
          <w:p w:rsidR="00752E94" w:rsidRPr="0019295B" w:rsidRDefault="00752E94" w:rsidP="00A4014C">
            <w:pPr>
              <w:rPr>
                <w:rFonts w:ascii="Segoe UI" w:hAnsi="Segoe UI" w:cs="Segoe UI"/>
                <w:b/>
                <w:lang w:eastAsia="en-AU"/>
              </w:rPr>
            </w:pPr>
            <w:r w:rsidRPr="0019295B">
              <w:rPr>
                <w:rFonts w:ascii="Segoe UI" w:hAnsi="Segoe UI" w:cs="Segoe UI"/>
              </w:rPr>
              <w:br w:type="page"/>
            </w:r>
            <w:r w:rsidRPr="00596D01">
              <w:rPr>
                <w:rStyle w:val="Strong"/>
              </w:rPr>
              <w:t>Other</w:t>
            </w:r>
          </w:p>
        </w:tc>
        <w:tc>
          <w:tcPr>
            <w:tcW w:w="762" w:type="pct"/>
            <w:shd w:val="clear" w:color="auto" w:fill="E8E8E8" w:themeFill="background2"/>
          </w:tcPr>
          <w:p w:rsidR="00752E94" w:rsidRPr="0019295B" w:rsidRDefault="00752E94" w:rsidP="00DE51CA">
            <w:pPr>
              <w:jc w:val="right"/>
              <w:rPr>
                <w:rFonts w:ascii="Segoe UI" w:hAnsi="Segoe UI" w:cs="Segoe UI"/>
                <w:b/>
                <w:bCs/>
                <w:color w:val="000000"/>
              </w:rPr>
            </w:pPr>
          </w:p>
        </w:tc>
        <w:tc>
          <w:tcPr>
            <w:tcW w:w="720" w:type="pct"/>
            <w:shd w:val="clear" w:color="auto" w:fill="E8E8E8" w:themeFill="background2"/>
          </w:tcPr>
          <w:p w:rsidR="00752E94" w:rsidRPr="0019295B" w:rsidRDefault="00752E94" w:rsidP="00DE51CA">
            <w:pPr>
              <w:jc w:val="right"/>
              <w:rPr>
                <w:rFonts w:ascii="Segoe UI" w:hAnsi="Segoe UI" w:cs="Segoe UI"/>
                <w:b/>
                <w:bCs/>
                <w:color w:val="000000"/>
                <w:highlight w:val="yellow"/>
              </w:rPr>
            </w:pPr>
          </w:p>
        </w:tc>
        <w:tc>
          <w:tcPr>
            <w:tcW w:w="720" w:type="pct"/>
            <w:shd w:val="clear" w:color="auto" w:fill="E8E8E8" w:themeFill="background2"/>
          </w:tcPr>
          <w:p w:rsidR="00752E94" w:rsidRPr="0019295B" w:rsidRDefault="00752E94" w:rsidP="00DE51CA">
            <w:pPr>
              <w:jc w:val="right"/>
              <w:rPr>
                <w:rFonts w:ascii="Segoe UI" w:hAnsi="Segoe UI" w:cs="Segoe UI"/>
                <w:b/>
                <w:bCs/>
                <w:color w:val="000000"/>
              </w:rPr>
            </w:pPr>
          </w:p>
        </w:tc>
        <w:tc>
          <w:tcPr>
            <w:tcW w:w="816" w:type="pct"/>
            <w:shd w:val="clear" w:color="auto" w:fill="E8E8E8" w:themeFill="background2"/>
          </w:tcPr>
          <w:p w:rsidR="00752E94" w:rsidRPr="00596D01" w:rsidRDefault="00752E94" w:rsidP="00DE51CA">
            <w:pPr>
              <w:jc w:val="right"/>
              <w:rPr>
                <w:rStyle w:val="Strong"/>
              </w:rPr>
            </w:pPr>
          </w:p>
        </w:tc>
      </w:tr>
      <w:tr w:rsidR="00752E94" w:rsidRPr="003A4033" w:rsidTr="00C67407">
        <w:tc>
          <w:tcPr>
            <w:tcW w:w="1983" w:type="pct"/>
            <w:hideMark/>
          </w:tcPr>
          <w:p w:rsidR="00752E94" w:rsidRPr="0019295B" w:rsidRDefault="00752E94" w:rsidP="00A4014C">
            <w:pPr>
              <w:rPr>
                <w:rFonts w:ascii="Segoe UI" w:hAnsi="Segoe UI" w:cs="Segoe UI"/>
                <w:lang w:eastAsia="en-AU"/>
              </w:rPr>
            </w:pPr>
            <w:r w:rsidRPr="0019295B">
              <w:rPr>
                <w:rFonts w:ascii="Segoe UI" w:hAnsi="Segoe UI" w:cs="Segoe UI"/>
                <w:lang w:eastAsia="en-AU"/>
              </w:rPr>
              <w:t>Interest</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$0</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$313.8</w:t>
            </w:r>
          </w:p>
        </w:tc>
        <w:tc>
          <w:tcPr>
            <w:tcW w:w="720" w:type="pct"/>
            <w:hideMark/>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$313.8</w:t>
            </w:r>
          </w:p>
        </w:tc>
        <w:tc>
          <w:tcPr>
            <w:tcW w:w="816"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N/A</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Donations and fundraising</w:t>
            </w:r>
          </w:p>
        </w:tc>
        <w:tc>
          <w:tcPr>
            <w:tcW w:w="762" w:type="pct"/>
          </w:tcPr>
          <w:p w:rsidR="00752E94" w:rsidRPr="0019295B" w:rsidRDefault="00752E94" w:rsidP="00DE51CA">
            <w:pPr>
              <w:jc w:val="right"/>
              <w:rPr>
                <w:rFonts w:ascii="Segoe UI" w:hAnsi="Segoe UI" w:cs="Segoe UI"/>
              </w:rPr>
            </w:pPr>
            <w:r w:rsidRPr="0019295B">
              <w:rPr>
                <w:rFonts w:ascii="Segoe UI" w:hAnsi="Segoe UI" w:cs="Segoe UI"/>
                <w:color w:val="000000"/>
              </w:rPr>
              <w:t>$0</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$32.3</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$32.3</w:t>
            </w:r>
          </w:p>
        </w:tc>
        <w:tc>
          <w:tcPr>
            <w:tcW w:w="816" w:type="pct"/>
          </w:tcPr>
          <w:p w:rsidR="00752E94" w:rsidRPr="0019295B" w:rsidRDefault="00752E94" w:rsidP="00DE51CA">
            <w:pPr>
              <w:jc w:val="right"/>
              <w:rPr>
                <w:rFonts w:ascii="Segoe UI" w:hAnsi="Segoe UI" w:cs="Segoe UI"/>
              </w:rPr>
            </w:pPr>
            <w:r w:rsidRPr="0019295B">
              <w:rPr>
                <w:rFonts w:ascii="Segoe UI" w:hAnsi="Segoe UI" w:cs="Segoe UI"/>
                <w:color w:val="000000"/>
              </w:rPr>
              <w:t>N/A</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Gain on sale of assets</w:t>
            </w:r>
          </w:p>
        </w:tc>
        <w:tc>
          <w:tcPr>
            <w:tcW w:w="762" w:type="pct"/>
          </w:tcPr>
          <w:p w:rsidR="00752E94" w:rsidRPr="0019295B" w:rsidRDefault="00752E94" w:rsidP="00DE51CA">
            <w:pPr>
              <w:jc w:val="right"/>
              <w:rPr>
                <w:rFonts w:ascii="Segoe UI" w:hAnsi="Segoe UI" w:cs="Segoe UI"/>
              </w:rPr>
            </w:pPr>
            <w:r w:rsidRPr="0019295B">
              <w:rPr>
                <w:rFonts w:ascii="Segoe UI" w:hAnsi="Segoe UI" w:cs="Segoe UI"/>
                <w:color w:val="000000"/>
              </w:rPr>
              <w:t>$0</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$29.2</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$29.2</w:t>
            </w:r>
          </w:p>
        </w:tc>
        <w:tc>
          <w:tcPr>
            <w:tcW w:w="816" w:type="pct"/>
          </w:tcPr>
          <w:p w:rsidR="00752E94" w:rsidRPr="0019295B" w:rsidRDefault="00752E94" w:rsidP="00DE51CA">
            <w:pPr>
              <w:jc w:val="right"/>
              <w:rPr>
                <w:rFonts w:ascii="Segoe UI" w:hAnsi="Segoe UI" w:cs="Segoe UI"/>
              </w:rPr>
            </w:pPr>
            <w:r w:rsidRPr="0019295B">
              <w:rPr>
                <w:rFonts w:ascii="Segoe UI" w:hAnsi="Segoe UI" w:cs="Segoe UI"/>
                <w:color w:val="000000"/>
              </w:rPr>
              <w:t>N/A</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Revaluation of assets</w:t>
            </w:r>
          </w:p>
        </w:tc>
        <w:tc>
          <w:tcPr>
            <w:tcW w:w="762" w:type="pct"/>
          </w:tcPr>
          <w:p w:rsidR="00752E94" w:rsidRPr="0019295B" w:rsidRDefault="00752E94" w:rsidP="00DE51CA">
            <w:pPr>
              <w:jc w:val="right"/>
              <w:rPr>
                <w:rFonts w:ascii="Segoe UI" w:hAnsi="Segoe UI" w:cs="Segoe UI"/>
              </w:rPr>
            </w:pPr>
            <w:r w:rsidRPr="0019295B">
              <w:rPr>
                <w:rFonts w:ascii="Segoe UI" w:hAnsi="Segoe UI" w:cs="Segoe UI"/>
                <w:color w:val="000000"/>
              </w:rPr>
              <w:t>$0</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$130.4</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$130.4</w:t>
            </w:r>
          </w:p>
        </w:tc>
        <w:tc>
          <w:tcPr>
            <w:tcW w:w="816" w:type="pct"/>
          </w:tcPr>
          <w:p w:rsidR="00752E94" w:rsidRPr="0019295B" w:rsidRDefault="00752E94" w:rsidP="00DE51CA">
            <w:pPr>
              <w:jc w:val="right"/>
              <w:rPr>
                <w:rFonts w:ascii="Segoe UI" w:hAnsi="Segoe UI" w:cs="Segoe UI"/>
              </w:rPr>
            </w:pPr>
            <w:r w:rsidRPr="0019295B">
              <w:rPr>
                <w:rFonts w:ascii="Segoe UI" w:hAnsi="Segoe UI" w:cs="Segoe UI"/>
                <w:color w:val="000000"/>
              </w:rPr>
              <w:t>N/A</w:t>
            </w:r>
          </w:p>
        </w:tc>
      </w:tr>
      <w:tr w:rsidR="00752E94" w:rsidRPr="003A4033" w:rsidTr="00C67407">
        <w:tc>
          <w:tcPr>
            <w:tcW w:w="1983" w:type="pct"/>
          </w:tcPr>
          <w:p w:rsidR="00752E94" w:rsidRPr="0019295B" w:rsidRDefault="00752E94" w:rsidP="00A4014C">
            <w:pPr>
              <w:rPr>
                <w:rFonts w:ascii="Segoe UI" w:hAnsi="Segoe UI" w:cs="Segoe UI"/>
                <w:lang w:eastAsia="en-AU"/>
              </w:rPr>
            </w:pPr>
            <w:r w:rsidRPr="0019295B">
              <w:rPr>
                <w:rFonts w:ascii="Segoe UI" w:hAnsi="Segoe UI" w:cs="Segoe UI"/>
                <w:lang w:eastAsia="en-AU"/>
              </w:rPr>
              <w:t xml:space="preserve">Other </w:t>
            </w:r>
          </w:p>
        </w:tc>
        <w:tc>
          <w:tcPr>
            <w:tcW w:w="762"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$1,335.8</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$474.4</w:t>
            </w:r>
          </w:p>
        </w:tc>
        <w:tc>
          <w:tcPr>
            <w:tcW w:w="720" w:type="pct"/>
          </w:tcPr>
          <w:p w:rsidR="00752E94" w:rsidRPr="0019295B" w:rsidRDefault="00752E94" w:rsidP="00DE51CA">
            <w:pPr>
              <w:jc w:val="right"/>
              <w:rPr>
                <w:rFonts w:ascii="Segoe UI" w:hAnsi="Segoe UI" w:cs="Segoe UI"/>
                <w:color w:val="000000"/>
              </w:rPr>
            </w:pPr>
            <w:r w:rsidRPr="0019295B">
              <w:rPr>
                <w:rFonts w:ascii="Segoe UI" w:hAnsi="Segoe UI" w:cs="Segoe UI"/>
                <w:color w:val="000000"/>
              </w:rPr>
              <w:t>-$861.4</w:t>
            </w:r>
          </w:p>
        </w:tc>
        <w:tc>
          <w:tcPr>
            <w:tcW w:w="816" w:type="pct"/>
          </w:tcPr>
          <w:p w:rsidR="00752E94" w:rsidRPr="0019295B" w:rsidRDefault="00D8721E" w:rsidP="00DE51CA">
            <w:pPr>
              <w:jc w:val="right"/>
              <w:rPr>
                <w:rFonts w:ascii="Segoe UI" w:hAnsi="Segoe UI" w:cs="Segoe UI"/>
                <w:color w:val="000000"/>
              </w:rPr>
            </w:pPr>
            <w:r>
              <w:rPr>
                <w:rFonts w:ascii="Segoe UI" w:hAnsi="Segoe UI" w:cs="Segoe UI"/>
                <w:color w:val="000000"/>
              </w:rPr>
              <w:t>–6</w:t>
            </w:r>
            <w:r w:rsidR="00752E94" w:rsidRPr="0019295B">
              <w:rPr>
                <w:rFonts w:ascii="Segoe UI" w:hAnsi="Segoe UI" w:cs="Segoe UI"/>
                <w:color w:val="000000"/>
              </w:rPr>
              <w:t>4.5%</w:t>
            </w:r>
          </w:p>
        </w:tc>
      </w:tr>
      <w:tr w:rsidR="00752E94" w:rsidRPr="003A4033" w:rsidTr="00C67407">
        <w:tc>
          <w:tcPr>
            <w:tcW w:w="1983" w:type="pct"/>
          </w:tcPr>
          <w:p w:rsidR="00752E94" w:rsidRPr="0019295B" w:rsidRDefault="00752E94" w:rsidP="00A4014C">
            <w:pPr>
              <w:rPr>
                <w:rFonts w:ascii="Segoe UI" w:hAnsi="Segoe UI" w:cs="Segoe UI"/>
                <w:b/>
                <w:lang w:eastAsia="en-AU"/>
              </w:rPr>
            </w:pPr>
            <w:r w:rsidRPr="00596D01">
              <w:rPr>
                <w:rStyle w:val="Strong"/>
              </w:rPr>
              <w:t>Other funding sources</w:t>
            </w:r>
            <w:r w:rsidR="00D8721E" w:rsidRPr="00596D01">
              <w:rPr>
                <w:rStyle w:val="Strong"/>
              </w:rPr>
              <w:t xml:space="preserve"> </w:t>
            </w:r>
          </w:p>
        </w:tc>
        <w:tc>
          <w:tcPr>
            <w:tcW w:w="762" w:type="pct"/>
          </w:tcPr>
          <w:p w:rsidR="00752E94" w:rsidRPr="0019295B" w:rsidRDefault="00752E94" w:rsidP="00DE51CA">
            <w:pPr>
              <w:jc w:val="right"/>
              <w:rPr>
                <w:rFonts w:ascii="Segoe UI" w:hAnsi="Segoe UI" w:cs="Segoe UI"/>
                <w:b/>
                <w:bCs/>
                <w:color w:val="000000"/>
              </w:rPr>
            </w:pPr>
            <w:r w:rsidRPr="00596D01">
              <w:rPr>
                <w:rStyle w:val="Strong"/>
              </w:rPr>
              <w:t>$1,335.8</w:t>
            </w:r>
          </w:p>
        </w:tc>
        <w:tc>
          <w:tcPr>
            <w:tcW w:w="720" w:type="pct"/>
          </w:tcPr>
          <w:p w:rsidR="00752E94" w:rsidRPr="0019295B" w:rsidRDefault="00752E94" w:rsidP="00DE51CA">
            <w:pPr>
              <w:jc w:val="right"/>
              <w:rPr>
                <w:rFonts w:ascii="Segoe UI" w:hAnsi="Segoe UI" w:cs="Segoe UI"/>
                <w:b/>
                <w:bCs/>
                <w:color w:val="000000"/>
              </w:rPr>
            </w:pPr>
            <w:r w:rsidRPr="00596D01">
              <w:rPr>
                <w:rStyle w:val="Strong"/>
              </w:rPr>
              <w:t>$980.1</w:t>
            </w:r>
          </w:p>
        </w:tc>
        <w:tc>
          <w:tcPr>
            <w:tcW w:w="720" w:type="pct"/>
          </w:tcPr>
          <w:p w:rsidR="00752E94" w:rsidRPr="0019295B" w:rsidRDefault="00752E94" w:rsidP="00DE51CA">
            <w:pPr>
              <w:jc w:val="right"/>
              <w:rPr>
                <w:rFonts w:ascii="Segoe UI" w:hAnsi="Segoe UI" w:cs="Segoe UI"/>
                <w:b/>
                <w:bCs/>
                <w:color w:val="000000"/>
              </w:rPr>
            </w:pPr>
            <w:r w:rsidRPr="00596D01">
              <w:rPr>
                <w:rStyle w:val="Strong"/>
              </w:rPr>
              <w:t>-$355.7</w:t>
            </w:r>
          </w:p>
        </w:tc>
        <w:tc>
          <w:tcPr>
            <w:tcW w:w="816" w:type="pct"/>
          </w:tcPr>
          <w:p w:rsidR="00752E94" w:rsidRPr="00596D01" w:rsidRDefault="00D8721E" w:rsidP="00DE51CA">
            <w:pPr>
              <w:jc w:val="right"/>
              <w:rPr>
                <w:rStyle w:val="Strong"/>
              </w:rPr>
            </w:pPr>
            <w:r w:rsidRPr="00596D01">
              <w:rPr>
                <w:rStyle w:val="Strong"/>
              </w:rPr>
              <w:t>–2</w:t>
            </w:r>
            <w:r w:rsidR="00752E94" w:rsidRPr="00596D01">
              <w:rPr>
                <w:rStyle w:val="Strong"/>
              </w:rPr>
              <w:t>6.6%</w:t>
            </w:r>
          </w:p>
        </w:tc>
      </w:tr>
      <w:tr w:rsidR="00752E94" w:rsidRPr="003A4033" w:rsidTr="00C67407">
        <w:tc>
          <w:tcPr>
            <w:tcW w:w="1983" w:type="pct"/>
            <w:shd w:val="clear" w:color="auto" w:fill="E8E8E8" w:themeFill="background2"/>
            <w:hideMark/>
          </w:tcPr>
          <w:p w:rsidR="00752E94" w:rsidRPr="0019295B" w:rsidRDefault="00752E94" w:rsidP="00A4014C">
            <w:pPr>
              <w:rPr>
                <w:rFonts w:ascii="Segoe UI" w:hAnsi="Segoe UI" w:cs="Segoe UI"/>
                <w:b/>
                <w:lang w:eastAsia="en-AU"/>
              </w:rPr>
            </w:pPr>
            <w:r w:rsidRPr="00596D01">
              <w:rPr>
                <w:rStyle w:val="Strong"/>
              </w:rPr>
              <w:t>Total revenue</w:t>
            </w:r>
          </w:p>
        </w:tc>
        <w:tc>
          <w:tcPr>
            <w:tcW w:w="762" w:type="pct"/>
            <w:shd w:val="clear" w:color="auto" w:fill="E8E8E8" w:themeFill="background2"/>
          </w:tcPr>
          <w:p w:rsidR="00752E94" w:rsidRPr="0019295B" w:rsidRDefault="00752E94" w:rsidP="00DE51CA">
            <w:pPr>
              <w:jc w:val="right"/>
              <w:rPr>
                <w:rFonts w:ascii="Segoe UI" w:hAnsi="Segoe UI" w:cs="Segoe UI"/>
                <w:b/>
                <w:bCs/>
                <w:color w:val="000000"/>
              </w:rPr>
            </w:pPr>
            <w:r w:rsidRPr="00596D01">
              <w:rPr>
                <w:rStyle w:val="Strong"/>
              </w:rPr>
              <w:t>$17,171.8</w:t>
            </w:r>
          </w:p>
        </w:tc>
        <w:tc>
          <w:tcPr>
            <w:tcW w:w="720" w:type="pct"/>
            <w:shd w:val="clear" w:color="auto" w:fill="E8E8E8" w:themeFill="background2"/>
          </w:tcPr>
          <w:p w:rsidR="00752E94" w:rsidRPr="0019295B" w:rsidRDefault="00752E94" w:rsidP="00DE51CA">
            <w:pPr>
              <w:jc w:val="right"/>
              <w:rPr>
                <w:rFonts w:ascii="Segoe UI" w:hAnsi="Segoe UI" w:cs="Segoe UI"/>
                <w:b/>
                <w:bCs/>
                <w:color w:val="000000"/>
              </w:rPr>
            </w:pPr>
            <w:r w:rsidRPr="00596D01">
              <w:rPr>
                <w:rStyle w:val="Strong"/>
              </w:rPr>
              <w:t>$17,756.5</w:t>
            </w:r>
          </w:p>
        </w:tc>
        <w:tc>
          <w:tcPr>
            <w:tcW w:w="720" w:type="pct"/>
            <w:shd w:val="clear" w:color="auto" w:fill="E8E8E8" w:themeFill="background2"/>
            <w:hideMark/>
          </w:tcPr>
          <w:p w:rsidR="00752E94" w:rsidRPr="0019295B" w:rsidRDefault="00752E94" w:rsidP="00DE51CA">
            <w:pPr>
              <w:jc w:val="right"/>
              <w:rPr>
                <w:rFonts w:ascii="Segoe UI" w:hAnsi="Segoe UI" w:cs="Segoe UI"/>
                <w:b/>
                <w:bCs/>
                <w:color w:val="000000"/>
              </w:rPr>
            </w:pPr>
            <w:r w:rsidRPr="00596D01">
              <w:rPr>
                <w:rStyle w:val="Strong"/>
              </w:rPr>
              <w:t>$584.7</w:t>
            </w:r>
          </w:p>
        </w:tc>
        <w:tc>
          <w:tcPr>
            <w:tcW w:w="816" w:type="pct"/>
            <w:shd w:val="clear" w:color="auto" w:fill="E8E8E8" w:themeFill="background2"/>
          </w:tcPr>
          <w:p w:rsidR="00752E94" w:rsidRPr="00596D01" w:rsidRDefault="00752E94" w:rsidP="00DE51CA">
            <w:pPr>
              <w:jc w:val="right"/>
              <w:rPr>
                <w:rStyle w:val="Strong"/>
              </w:rPr>
            </w:pPr>
            <w:r w:rsidRPr="00596D01">
              <w:rPr>
                <w:rStyle w:val="Strong"/>
              </w:rPr>
              <w:t>3.4%</w:t>
            </w:r>
          </w:p>
        </w:tc>
      </w:tr>
    </w:tbl>
    <w:p w:rsidR="00DE51CA" w:rsidRDefault="00DE51CA" w:rsidP="00DE51CA">
      <w:pPr>
        <w:pStyle w:val="SourceNotesHeading"/>
      </w:pPr>
      <w:r>
        <w:t>Notes</w:t>
      </w:r>
    </w:p>
    <w:p w:rsidR="00752E94" w:rsidRDefault="00752E94" w:rsidP="0016704B">
      <w:pPr>
        <w:pStyle w:val="SourceNotesNumbered"/>
        <w:numPr>
          <w:ilvl w:val="0"/>
          <w:numId w:val="27"/>
        </w:numPr>
      </w:pPr>
      <w:r w:rsidRPr="00DE04D4">
        <w:t>Extra service subsidy reduction does not apply to new residents entering care from 1 July</w:t>
      </w:r>
      <w:r w:rsidR="00A261F3">
        <w:t> 201</w:t>
      </w:r>
      <w:r w:rsidRPr="00DE04D4">
        <w:t>4</w:t>
      </w:r>
      <w:r w:rsidR="004D09DC">
        <w:t>,</w:t>
      </w:r>
      <w:r w:rsidRPr="00DE04D4">
        <w:t xml:space="preserve"> however it still applies to residents in ESS places who were in care prior to 1 July</w:t>
      </w:r>
      <w:r w:rsidR="00A261F3">
        <w:t> 201</w:t>
      </w:r>
      <w:r w:rsidRPr="00DE04D4">
        <w:t>4.</w:t>
      </w:r>
    </w:p>
    <w:p w:rsidR="00D8721E" w:rsidRDefault="00752E94" w:rsidP="00DE51CA">
      <w:pPr>
        <w:pStyle w:val="SourceNotesNumbered"/>
      </w:pPr>
      <w:r>
        <w:t>Some revenue items in this table are reported as $0 for</w:t>
      </w:r>
      <w:r w:rsidR="00A261F3">
        <w:t> 201</w:t>
      </w:r>
      <w:r>
        <w:t>5</w:t>
      </w:r>
      <w:r w:rsidR="00D8721E">
        <w:t>–1</w:t>
      </w:r>
      <w:r>
        <w:t xml:space="preserve">6. This is due to </w:t>
      </w:r>
      <w:r w:rsidR="00205862">
        <w:t xml:space="preserve">the </w:t>
      </w:r>
      <w:r>
        <w:t>lack of data avai</w:t>
      </w:r>
      <w:r w:rsidR="00AC32A4">
        <w:t>lable for these items prior to</w:t>
      </w:r>
      <w:r w:rsidR="00A261F3">
        <w:t> 201</w:t>
      </w:r>
      <w:r>
        <w:t>6</w:t>
      </w:r>
      <w:r w:rsidR="00D8721E">
        <w:t>–1</w:t>
      </w:r>
      <w:r>
        <w:t>7.</w:t>
      </w:r>
    </w:p>
    <w:p w:rsidR="00752E94" w:rsidRDefault="00752E94" w:rsidP="00DE51CA">
      <w:r w:rsidRPr="007D207E">
        <w:t>Overall in</w:t>
      </w:r>
      <w:r w:rsidR="00A261F3">
        <w:t> 201</w:t>
      </w:r>
      <w:r w:rsidRPr="007D207E">
        <w:t>6</w:t>
      </w:r>
      <w:r w:rsidR="00D8721E">
        <w:t>–1</w:t>
      </w:r>
      <w:r w:rsidRPr="007D207E">
        <w:t>7, the Commonwealth contributed 68.</w:t>
      </w:r>
      <w:r>
        <w:t>3</w:t>
      </w:r>
      <w:r w:rsidR="00A261F3">
        <w:t> per cent</w:t>
      </w:r>
      <w:r w:rsidRPr="007D207E">
        <w:t xml:space="preserve"> of total provider funding ($12.</w:t>
      </w:r>
      <w:r w:rsidR="0056555D">
        <w:t>1</w:t>
      </w:r>
      <w:r w:rsidR="00A261F3">
        <w:t> billion</w:t>
      </w:r>
      <w:r w:rsidRPr="007D207E">
        <w:t>). Residents contributed 26.</w:t>
      </w:r>
      <w:r>
        <w:t>2</w:t>
      </w:r>
      <w:r w:rsidR="00A261F3">
        <w:t> per cent</w:t>
      </w:r>
      <w:r w:rsidRPr="007D207E">
        <w:t xml:space="preserve"> ($4.6</w:t>
      </w:r>
      <w:r w:rsidR="00A261F3">
        <w:t> billion</w:t>
      </w:r>
      <w:r w:rsidRPr="007D207E">
        <w:t>) while income from other sources comprised the remaining 5.</w:t>
      </w:r>
      <w:r>
        <w:t>5</w:t>
      </w:r>
      <w:r w:rsidR="00A261F3">
        <w:t> per cent</w:t>
      </w:r>
      <w:r w:rsidRPr="007D207E">
        <w:t xml:space="preserve"> ($98</w:t>
      </w:r>
      <w:r w:rsidR="00AB6911">
        <w:t>0</w:t>
      </w:r>
      <w:r w:rsidR="00A261F3">
        <w:t> million</w:t>
      </w:r>
      <w:r w:rsidRPr="007D207E">
        <w:t>). This compares with</w:t>
      </w:r>
      <w:r w:rsidR="00A261F3">
        <w:t> 201</w:t>
      </w:r>
      <w:r w:rsidRPr="007D207E">
        <w:t>5</w:t>
      </w:r>
      <w:r w:rsidR="00D8721E">
        <w:t>–1</w:t>
      </w:r>
      <w:r w:rsidRPr="007D207E">
        <w:t>6 where the Commonwealth share was 65.</w:t>
      </w:r>
      <w:r>
        <w:t>8</w:t>
      </w:r>
      <w:r w:rsidR="00A261F3">
        <w:t> per cent</w:t>
      </w:r>
      <w:r w:rsidRPr="007D207E">
        <w:t>, residents contributed 26.</w:t>
      </w:r>
      <w:r>
        <w:t>5</w:t>
      </w:r>
      <w:r w:rsidR="00A261F3">
        <w:t> per cent</w:t>
      </w:r>
      <w:r w:rsidRPr="007D207E">
        <w:t xml:space="preserve"> and other income was 7.</w:t>
      </w:r>
      <w:r>
        <w:t>8</w:t>
      </w:r>
      <w:r w:rsidR="00A261F3">
        <w:t> per cent</w:t>
      </w:r>
      <w:r w:rsidRPr="007D207E">
        <w:t>.</w:t>
      </w:r>
    </w:p>
    <w:p w:rsidR="00D8721E" w:rsidRDefault="00492BF8" w:rsidP="00DE51CA">
      <w:pPr>
        <w:rPr>
          <w:lang w:val="en-GB"/>
        </w:rPr>
      </w:pPr>
      <w:r>
        <w:rPr>
          <w:lang w:val="en-GB"/>
        </w:rPr>
        <w:fldChar w:fldCharType="begin"/>
      </w:r>
      <w:r>
        <w:rPr>
          <w:lang w:val="en-GB"/>
        </w:rPr>
        <w:instrText xml:space="preserve"> REF _Ref524428521 \r \h </w:instrText>
      </w:r>
      <w:r>
        <w:rPr>
          <w:lang w:val="en-GB"/>
        </w:rPr>
      </w:r>
      <w:r>
        <w:rPr>
          <w:lang w:val="en-GB"/>
        </w:rPr>
        <w:fldChar w:fldCharType="separate"/>
      </w:r>
      <w:r>
        <w:rPr>
          <w:lang w:val="en-GB"/>
        </w:rPr>
        <w:t>Chart 9.4</w:t>
      </w:r>
      <w:r>
        <w:rPr>
          <w:lang w:val="en-GB"/>
        </w:rPr>
        <w:fldChar w:fldCharType="end"/>
      </w:r>
      <w:r>
        <w:rPr>
          <w:lang w:val="en-GB"/>
        </w:rPr>
        <w:t xml:space="preserve"> </w:t>
      </w:r>
      <w:r w:rsidR="00752E94" w:rsidRPr="003C4E5D">
        <w:rPr>
          <w:lang w:val="en-GB"/>
        </w:rPr>
        <w:t xml:space="preserve">shows the </w:t>
      </w:r>
      <w:r w:rsidR="00752E94">
        <w:rPr>
          <w:lang w:val="en-GB"/>
        </w:rPr>
        <w:t xml:space="preserve">proportion </w:t>
      </w:r>
      <w:r w:rsidR="00752E94" w:rsidRPr="003C4E5D">
        <w:rPr>
          <w:lang w:val="en-GB"/>
        </w:rPr>
        <w:t xml:space="preserve">of revenue that </w:t>
      </w:r>
      <w:r w:rsidR="00752E94">
        <w:rPr>
          <w:lang w:val="en-GB"/>
        </w:rPr>
        <w:t xml:space="preserve">residential </w:t>
      </w:r>
      <w:r w:rsidR="00752E94" w:rsidRPr="003C4E5D">
        <w:rPr>
          <w:lang w:val="en-GB"/>
        </w:rPr>
        <w:t>provid</w:t>
      </w:r>
      <w:r w:rsidR="00752E94">
        <w:rPr>
          <w:lang w:val="en-GB"/>
        </w:rPr>
        <w:t>ers receive</w:t>
      </w:r>
      <w:r w:rsidR="00205862">
        <w:rPr>
          <w:lang w:val="en-GB"/>
        </w:rPr>
        <w:t>d in</w:t>
      </w:r>
      <w:r w:rsidR="00A261F3">
        <w:rPr>
          <w:lang w:val="en-GB"/>
        </w:rPr>
        <w:t> 201</w:t>
      </w:r>
      <w:r w:rsidR="00205862">
        <w:rPr>
          <w:lang w:val="en-GB"/>
        </w:rPr>
        <w:t>6</w:t>
      </w:r>
      <w:r w:rsidR="00D8721E">
        <w:rPr>
          <w:lang w:val="en-GB"/>
        </w:rPr>
        <w:t>–1</w:t>
      </w:r>
      <w:r w:rsidR="00205862">
        <w:rPr>
          <w:lang w:val="en-GB"/>
        </w:rPr>
        <w:t>7</w:t>
      </w:r>
      <w:r w:rsidR="00752E94">
        <w:rPr>
          <w:lang w:val="en-GB"/>
        </w:rPr>
        <w:t xml:space="preserve"> from the C</w:t>
      </w:r>
      <w:r w:rsidR="00752E94" w:rsidRPr="003C4E5D">
        <w:rPr>
          <w:lang w:val="en-GB"/>
        </w:rPr>
        <w:t>ommonwealth (6</w:t>
      </w:r>
      <w:r w:rsidR="00752E94">
        <w:rPr>
          <w:lang w:val="en-GB"/>
        </w:rPr>
        <w:t>8.3</w:t>
      </w:r>
      <w:r w:rsidR="00A261F3">
        <w:rPr>
          <w:lang w:val="en-GB"/>
        </w:rPr>
        <w:t> per cent</w:t>
      </w:r>
      <w:r w:rsidR="00752E94">
        <w:rPr>
          <w:lang w:val="en-GB"/>
        </w:rPr>
        <w:t xml:space="preserve"> of total income</w:t>
      </w:r>
      <w:r w:rsidR="00752E94" w:rsidRPr="003C4E5D">
        <w:rPr>
          <w:lang w:val="en-GB"/>
        </w:rPr>
        <w:t>)</w:t>
      </w:r>
      <w:r w:rsidR="00752E94">
        <w:rPr>
          <w:lang w:val="en-GB"/>
        </w:rPr>
        <w:t xml:space="preserve"> with ACFI subsidies</w:t>
      </w:r>
      <w:r w:rsidR="00205862">
        <w:rPr>
          <w:lang w:val="en-GB"/>
        </w:rPr>
        <w:t xml:space="preserve"> comprising</w:t>
      </w:r>
      <w:r w:rsidR="00752E94">
        <w:rPr>
          <w:lang w:val="en-GB"/>
        </w:rPr>
        <w:t xml:space="preserve"> the vast majority of the total revenue</w:t>
      </w:r>
      <w:r w:rsidR="00FE6782">
        <w:rPr>
          <w:lang w:val="en-GB"/>
        </w:rPr>
        <w:t xml:space="preserve"> from the Commonwealth</w:t>
      </w:r>
      <w:r w:rsidR="00EE5AA9">
        <w:rPr>
          <w:lang w:val="en-GB"/>
        </w:rPr>
        <w:t xml:space="preserve"> (89</w:t>
      </w:r>
      <w:r w:rsidR="00A261F3">
        <w:rPr>
          <w:lang w:val="en-GB"/>
        </w:rPr>
        <w:t> per cent</w:t>
      </w:r>
      <w:r w:rsidR="00844BC5">
        <w:rPr>
          <w:lang w:val="en-GB"/>
        </w:rPr>
        <w:t>)</w:t>
      </w:r>
      <w:r w:rsidR="00D8721E">
        <w:rPr>
          <w:lang w:val="en-GB"/>
        </w:rPr>
        <w:t>.</w:t>
      </w:r>
    </w:p>
    <w:p w:rsidR="00752E94" w:rsidRPr="00596D01" w:rsidRDefault="00752E94" w:rsidP="00DE51CA">
      <w:pPr>
        <w:pStyle w:val="ChartTitle"/>
      </w:pPr>
      <w:bookmarkStart w:id="740" w:name="_Ref524428521"/>
      <w:r w:rsidRPr="00596D01">
        <w:t>Proportions of provider revenue from the Commonwealth,</w:t>
      </w:r>
      <w:r w:rsidR="00A261F3" w:rsidRPr="00596D01">
        <w:t> 201</w:t>
      </w:r>
      <w:r w:rsidRPr="00596D01">
        <w:t>6</w:t>
      </w:r>
      <w:r w:rsidR="00D8721E" w:rsidRPr="00596D01">
        <w:t>–1</w:t>
      </w:r>
      <w:r w:rsidRPr="00596D01">
        <w:t>7</w:t>
      </w:r>
      <w:bookmarkEnd w:id="740"/>
    </w:p>
    <w:p w:rsidR="00D8721E" w:rsidRPr="00596D01" w:rsidRDefault="00752E94" w:rsidP="00DE51CA">
      <w:pPr>
        <w:jc w:val="center"/>
      </w:pPr>
      <w:r w:rsidRPr="00596D01">
        <w:rPr>
          <w:noProof/>
        </w:rPr>
        <w:drawing>
          <wp:inline distT="0" distB="0" distL="0" distR="0" wp14:anchorId="00A2B524" wp14:editId="7D0BCF6F">
            <wp:extent cx="4002755" cy="1893195"/>
            <wp:effectExtent l="0" t="0" r="0" b="0"/>
            <wp:docPr id="305" name="Picture 305" descr="Chart 9.4 Proportions of provider revenue from the Commonwealth,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zc0004\AppData\Local\Microsoft\Windows\Temporary Internet Files\Content.Outlook\6DIYYC82\Chart_9.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0016" cy="1896629"/>
                    </a:xfrm>
                    <a:prstGeom prst="rect">
                      <a:avLst/>
                    </a:prstGeom>
                    <a:noFill/>
                    <a:ln>
                      <a:noFill/>
                    </a:ln>
                  </pic:spPr>
                </pic:pic>
              </a:graphicData>
            </a:graphic>
          </wp:inline>
        </w:drawing>
      </w:r>
    </w:p>
    <w:p w:rsidR="00D8721E" w:rsidRDefault="00492BF8" w:rsidP="00DE51CA">
      <w:pPr>
        <w:rPr>
          <w:lang w:val="en-GB"/>
        </w:rPr>
      </w:pPr>
      <w:r>
        <w:rPr>
          <w:lang w:val="en-GB"/>
        </w:rPr>
        <w:lastRenderedPageBreak/>
        <w:fldChar w:fldCharType="begin"/>
      </w:r>
      <w:r>
        <w:rPr>
          <w:lang w:val="en-GB"/>
        </w:rPr>
        <w:instrText xml:space="preserve"> REF _Ref524428528 \r \h </w:instrText>
      </w:r>
      <w:r>
        <w:rPr>
          <w:lang w:val="en-GB"/>
        </w:rPr>
      </w:r>
      <w:r>
        <w:rPr>
          <w:lang w:val="en-GB"/>
        </w:rPr>
        <w:fldChar w:fldCharType="separate"/>
      </w:r>
      <w:r>
        <w:rPr>
          <w:lang w:val="en-GB"/>
        </w:rPr>
        <w:t>Chart 9.5</w:t>
      </w:r>
      <w:r>
        <w:rPr>
          <w:lang w:val="en-GB"/>
        </w:rPr>
        <w:fldChar w:fldCharType="end"/>
      </w:r>
      <w:r>
        <w:rPr>
          <w:lang w:val="en-GB"/>
        </w:rPr>
        <w:t xml:space="preserve"> </w:t>
      </w:r>
      <w:r w:rsidR="00A130CA">
        <w:rPr>
          <w:lang w:val="en-GB"/>
        </w:rPr>
        <w:t xml:space="preserve">shows the </w:t>
      </w:r>
      <w:r w:rsidR="00752E94">
        <w:rPr>
          <w:lang w:val="en-GB"/>
        </w:rPr>
        <w:t xml:space="preserve">proportion </w:t>
      </w:r>
      <w:r w:rsidR="00752E94" w:rsidRPr="003C4E5D">
        <w:rPr>
          <w:lang w:val="en-GB"/>
        </w:rPr>
        <w:t xml:space="preserve">of </w:t>
      </w:r>
      <w:r w:rsidR="00752E94">
        <w:rPr>
          <w:lang w:val="en-GB"/>
        </w:rPr>
        <w:t xml:space="preserve">total </w:t>
      </w:r>
      <w:r w:rsidR="00752E94" w:rsidRPr="003C4E5D">
        <w:rPr>
          <w:lang w:val="en-GB"/>
        </w:rPr>
        <w:t xml:space="preserve">revenue that </w:t>
      </w:r>
      <w:r w:rsidR="00752E94">
        <w:rPr>
          <w:lang w:val="en-GB"/>
        </w:rPr>
        <w:t xml:space="preserve">residential </w:t>
      </w:r>
      <w:r w:rsidR="00752E94" w:rsidRPr="003C4E5D">
        <w:rPr>
          <w:lang w:val="en-GB"/>
        </w:rPr>
        <w:t>provid</w:t>
      </w:r>
      <w:r w:rsidR="00752E94">
        <w:rPr>
          <w:lang w:val="en-GB"/>
        </w:rPr>
        <w:t>ers receive from residents (26.2</w:t>
      </w:r>
      <w:r w:rsidR="00A261F3">
        <w:rPr>
          <w:lang w:val="en-GB"/>
        </w:rPr>
        <w:t> per cent</w:t>
      </w:r>
      <w:r w:rsidR="00752E94">
        <w:rPr>
          <w:lang w:val="en-GB"/>
        </w:rPr>
        <w:t xml:space="preserve"> of total revenue</w:t>
      </w:r>
      <w:r w:rsidR="00752E94" w:rsidRPr="003C4E5D">
        <w:rPr>
          <w:lang w:val="en-GB"/>
        </w:rPr>
        <w:t>)</w:t>
      </w:r>
      <w:r w:rsidR="00A130CA">
        <w:rPr>
          <w:lang w:val="en-GB"/>
        </w:rPr>
        <w:t>,</w:t>
      </w:r>
      <w:r w:rsidR="00752E94" w:rsidRPr="003C4E5D">
        <w:rPr>
          <w:lang w:val="en-GB"/>
        </w:rPr>
        <w:t xml:space="preserve"> </w:t>
      </w:r>
      <w:r w:rsidR="00752E94">
        <w:rPr>
          <w:lang w:val="en-GB"/>
        </w:rPr>
        <w:t>with the basic daily fee forming 69</w:t>
      </w:r>
      <w:r w:rsidR="00A261F3">
        <w:rPr>
          <w:lang w:val="en-GB"/>
        </w:rPr>
        <w:t> per cent</w:t>
      </w:r>
      <w:r w:rsidR="00752E94">
        <w:rPr>
          <w:lang w:val="en-GB"/>
        </w:rPr>
        <w:t xml:space="preserve"> of the total revenue received f</w:t>
      </w:r>
      <w:r w:rsidR="00AC32A4">
        <w:rPr>
          <w:lang w:val="en-GB"/>
        </w:rPr>
        <w:t>ro</w:t>
      </w:r>
      <w:r w:rsidR="00752E94">
        <w:rPr>
          <w:lang w:val="en-GB"/>
        </w:rPr>
        <w:t xml:space="preserve">m residents. </w:t>
      </w:r>
      <w:r w:rsidR="00A130CA">
        <w:rPr>
          <w:lang w:val="en-GB"/>
        </w:rPr>
        <w:t xml:space="preserve">Means tested care </w:t>
      </w:r>
      <w:r w:rsidR="00752E94">
        <w:rPr>
          <w:lang w:val="en-GB"/>
        </w:rPr>
        <w:t>fees formed a further 17</w:t>
      </w:r>
      <w:r w:rsidR="00A261F3">
        <w:rPr>
          <w:lang w:val="en-GB"/>
        </w:rPr>
        <w:t> per cent</w:t>
      </w:r>
      <w:r w:rsidR="00752E94">
        <w:rPr>
          <w:lang w:val="en-GB"/>
        </w:rPr>
        <w:t xml:space="preserve"> of the revenue received.</w:t>
      </w:r>
    </w:p>
    <w:p w:rsidR="00752E94" w:rsidRPr="00596D01" w:rsidRDefault="00752E94" w:rsidP="00DE51CA">
      <w:pPr>
        <w:pStyle w:val="ChartTitle"/>
      </w:pPr>
      <w:bookmarkStart w:id="741" w:name="_Ref524428528"/>
      <w:r w:rsidRPr="00596D01">
        <w:t>Proportions of provider revenue from residents ($m),</w:t>
      </w:r>
      <w:r w:rsidR="00A261F3" w:rsidRPr="00596D01">
        <w:t> 201</w:t>
      </w:r>
      <w:r w:rsidRPr="00596D01">
        <w:t>6</w:t>
      </w:r>
      <w:r w:rsidR="00D8721E" w:rsidRPr="00596D01">
        <w:t>–1</w:t>
      </w:r>
      <w:r w:rsidRPr="00596D01">
        <w:t>7</w:t>
      </w:r>
      <w:bookmarkEnd w:id="741"/>
    </w:p>
    <w:p w:rsidR="00D8721E" w:rsidRPr="00596D01" w:rsidRDefault="00752E94" w:rsidP="00DE51CA">
      <w:pPr>
        <w:jc w:val="center"/>
      </w:pPr>
      <w:r w:rsidRPr="00596D01">
        <w:rPr>
          <w:noProof/>
        </w:rPr>
        <w:drawing>
          <wp:inline distT="0" distB="0" distL="0" distR="0" wp14:anchorId="4921DFB8" wp14:editId="339067BE">
            <wp:extent cx="4002405" cy="1913718"/>
            <wp:effectExtent l="0" t="0" r="0" b="0"/>
            <wp:docPr id="24" name="Picture 24" descr="Chart 9.5 Proportions of provider revenue from residents ($m),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9.4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09181" cy="1916958"/>
                    </a:xfrm>
                    <a:prstGeom prst="rect">
                      <a:avLst/>
                    </a:prstGeom>
                    <a:noFill/>
                    <a:ln>
                      <a:noFill/>
                    </a:ln>
                  </pic:spPr>
                </pic:pic>
              </a:graphicData>
            </a:graphic>
          </wp:inline>
        </w:drawing>
      </w:r>
    </w:p>
    <w:p w:rsidR="00D8721E" w:rsidRDefault="00752E94" w:rsidP="00DE51CA">
      <w:pPr>
        <w:rPr>
          <w:lang w:val="en-GB"/>
        </w:rPr>
      </w:pPr>
      <w:r>
        <w:rPr>
          <w:lang w:val="en-GB"/>
        </w:rPr>
        <w:t>A</w:t>
      </w:r>
      <w:bookmarkEnd w:id="736"/>
      <w:r w:rsidRPr="007D207E">
        <w:rPr>
          <w:lang w:val="en-GB"/>
        </w:rPr>
        <w:t xml:space="preserve">s shown in </w:t>
      </w:r>
      <w:r w:rsidR="00492BF8">
        <w:rPr>
          <w:lang w:val="en-GB"/>
        </w:rPr>
        <w:fldChar w:fldCharType="begin"/>
      </w:r>
      <w:r w:rsidR="00492BF8">
        <w:rPr>
          <w:lang w:val="en-GB"/>
        </w:rPr>
        <w:instrText xml:space="preserve"> REF _Ref524429583 \r \h </w:instrText>
      </w:r>
      <w:r w:rsidR="00492BF8">
        <w:rPr>
          <w:lang w:val="en-GB"/>
        </w:rPr>
      </w:r>
      <w:r w:rsidR="00492BF8">
        <w:rPr>
          <w:lang w:val="en-GB"/>
        </w:rPr>
        <w:fldChar w:fldCharType="separate"/>
      </w:r>
      <w:r w:rsidR="00492BF8">
        <w:rPr>
          <w:lang w:val="en-GB"/>
        </w:rPr>
        <w:t>Table 9.6</w:t>
      </w:r>
      <w:r w:rsidR="00492BF8">
        <w:rPr>
          <w:lang w:val="en-GB"/>
        </w:rPr>
        <w:fldChar w:fldCharType="end"/>
      </w:r>
      <w:r w:rsidRPr="007D207E">
        <w:rPr>
          <w:lang w:val="en-GB"/>
        </w:rPr>
        <w:t>, total revenue per resident per day in</w:t>
      </w:r>
      <w:r w:rsidR="00A261F3">
        <w:rPr>
          <w:lang w:val="en-GB"/>
        </w:rPr>
        <w:t> 201</w:t>
      </w:r>
      <w:r w:rsidRPr="007D207E">
        <w:rPr>
          <w:lang w:val="en-GB"/>
        </w:rPr>
        <w:t>6</w:t>
      </w:r>
      <w:r w:rsidR="00D8721E">
        <w:rPr>
          <w:lang w:val="en-GB"/>
        </w:rPr>
        <w:t>–1</w:t>
      </w:r>
      <w:r w:rsidRPr="007D207E">
        <w:rPr>
          <w:lang w:val="en-GB"/>
        </w:rPr>
        <w:t xml:space="preserve">7 </w:t>
      </w:r>
      <w:r>
        <w:rPr>
          <w:lang w:val="en-GB"/>
        </w:rPr>
        <w:t xml:space="preserve">was </w:t>
      </w:r>
      <w:r w:rsidRPr="007D207E">
        <w:rPr>
          <w:lang w:val="en-GB"/>
        </w:rPr>
        <w:t>$269.5</w:t>
      </w:r>
      <w:r>
        <w:rPr>
          <w:lang w:val="en-GB"/>
        </w:rPr>
        <w:t>5</w:t>
      </w:r>
      <w:r w:rsidRPr="007D207E">
        <w:rPr>
          <w:lang w:val="en-GB"/>
        </w:rPr>
        <w:t>, an increase of 2.</w:t>
      </w:r>
      <w:r>
        <w:rPr>
          <w:lang w:val="en-GB"/>
        </w:rPr>
        <w:t>1</w:t>
      </w:r>
      <w:r w:rsidR="00A261F3">
        <w:rPr>
          <w:lang w:val="en-GB"/>
        </w:rPr>
        <w:t> per cent</w:t>
      </w:r>
      <w:r w:rsidRPr="007D207E">
        <w:rPr>
          <w:lang w:val="en-GB"/>
        </w:rPr>
        <w:t xml:space="preserve"> from</w:t>
      </w:r>
      <w:r w:rsidR="00A261F3">
        <w:rPr>
          <w:lang w:val="en-GB"/>
        </w:rPr>
        <w:t> 201</w:t>
      </w:r>
      <w:r w:rsidRPr="007D207E">
        <w:rPr>
          <w:lang w:val="en-GB"/>
        </w:rPr>
        <w:t>5</w:t>
      </w:r>
      <w:r w:rsidR="00D8721E">
        <w:rPr>
          <w:lang w:val="en-GB"/>
        </w:rPr>
        <w:t>–1</w:t>
      </w:r>
      <w:r w:rsidRPr="007D207E">
        <w:rPr>
          <w:lang w:val="en-GB"/>
        </w:rPr>
        <w:t>6 ($263.92)</w:t>
      </w:r>
      <w:r w:rsidR="00D8721E">
        <w:rPr>
          <w:lang w:val="en-GB"/>
        </w:rPr>
        <w:t>.</w:t>
      </w:r>
    </w:p>
    <w:p w:rsidR="00752E94" w:rsidRPr="00596D01" w:rsidRDefault="00752E94" w:rsidP="00DE51CA">
      <w:pPr>
        <w:pStyle w:val="TableTitle"/>
      </w:pPr>
      <w:bookmarkStart w:id="742" w:name="_Ref524429583"/>
      <w:r w:rsidRPr="00596D01">
        <w:t>Revenue sources per resident per day,</w:t>
      </w:r>
      <w:r w:rsidR="00A261F3" w:rsidRPr="00596D01">
        <w:t> 201</w:t>
      </w:r>
      <w:r w:rsidRPr="00596D01">
        <w:t>5</w:t>
      </w:r>
      <w:r w:rsidR="00D8721E" w:rsidRPr="00596D01">
        <w:t>–1</w:t>
      </w:r>
      <w:r w:rsidRPr="00596D01">
        <w:t>6 and</w:t>
      </w:r>
      <w:r w:rsidR="00A261F3" w:rsidRPr="00596D01">
        <w:t> 201</w:t>
      </w:r>
      <w:r w:rsidRPr="00596D01">
        <w:t>6</w:t>
      </w:r>
      <w:r w:rsidR="00D8721E" w:rsidRPr="00596D01">
        <w:t>–1</w:t>
      </w:r>
      <w:r w:rsidRPr="00596D01">
        <w:t>7</w:t>
      </w:r>
      <w:bookmarkEnd w:id="74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370"/>
        <w:gridCol w:w="1864"/>
        <w:gridCol w:w="1710"/>
        <w:gridCol w:w="1398"/>
        <w:gridCol w:w="1286"/>
      </w:tblGrid>
      <w:tr w:rsidR="00752E94" w:rsidTr="00DE51CA">
        <w:trPr>
          <w:cnfStyle w:val="100000000000" w:firstRow="1" w:lastRow="0" w:firstColumn="0" w:lastColumn="0" w:oddVBand="0" w:evenVBand="0" w:oddHBand="0" w:evenHBand="0" w:firstRowFirstColumn="0" w:firstRowLastColumn="0" w:lastRowFirstColumn="0" w:lastRowLastColumn="0"/>
          <w:trHeight w:val="113"/>
          <w:tblHeader/>
        </w:trPr>
        <w:tc>
          <w:tcPr>
            <w:tcW w:w="1750" w:type="pct"/>
          </w:tcPr>
          <w:p w:rsidR="00752E94" w:rsidRPr="0019295B" w:rsidRDefault="00752E94" w:rsidP="00DE51CA"/>
        </w:tc>
        <w:tc>
          <w:tcPr>
            <w:tcW w:w="968" w:type="pct"/>
          </w:tcPr>
          <w:p w:rsidR="00752E94" w:rsidRPr="0019295B" w:rsidRDefault="00752E94" w:rsidP="00DE51CA">
            <w:pPr>
              <w:jc w:val="right"/>
              <w:rPr>
                <w:color w:val="FFFFFF"/>
              </w:rPr>
            </w:pPr>
            <w:r w:rsidRPr="00596D01">
              <w:t>2015</w:t>
            </w:r>
            <w:r w:rsidR="00D8721E" w:rsidRPr="00596D01">
              <w:t>–1</w:t>
            </w:r>
            <w:r w:rsidRPr="00596D01">
              <w:t>6</w:t>
            </w:r>
          </w:p>
        </w:tc>
        <w:tc>
          <w:tcPr>
            <w:tcW w:w="888" w:type="pct"/>
          </w:tcPr>
          <w:p w:rsidR="00752E94" w:rsidRPr="0019295B" w:rsidRDefault="00752E94" w:rsidP="00DE51CA">
            <w:pPr>
              <w:jc w:val="right"/>
              <w:rPr>
                <w:color w:val="FFFFFF"/>
              </w:rPr>
            </w:pPr>
            <w:r w:rsidRPr="00596D01">
              <w:t>2016</w:t>
            </w:r>
            <w:r w:rsidR="00D8721E" w:rsidRPr="00596D01">
              <w:t>–1</w:t>
            </w:r>
            <w:r w:rsidRPr="00596D01">
              <w:t>7</w:t>
            </w:r>
          </w:p>
        </w:tc>
        <w:tc>
          <w:tcPr>
            <w:tcW w:w="1394" w:type="pct"/>
            <w:gridSpan w:val="2"/>
          </w:tcPr>
          <w:p w:rsidR="00752E94" w:rsidRPr="00596D01" w:rsidRDefault="00752E94" w:rsidP="00DE51CA">
            <w:pPr>
              <w:jc w:val="center"/>
            </w:pPr>
            <w:r w:rsidRPr="00596D01">
              <w:t>Change</w:t>
            </w:r>
          </w:p>
        </w:tc>
      </w:tr>
      <w:tr w:rsidR="00752E94" w:rsidTr="00DE51CA">
        <w:trPr>
          <w:cnfStyle w:val="100000000000" w:firstRow="1" w:lastRow="0" w:firstColumn="0" w:lastColumn="0" w:oddVBand="0" w:evenVBand="0" w:oddHBand="0" w:evenHBand="0" w:firstRowFirstColumn="0" w:firstRowLastColumn="0" w:lastRowFirstColumn="0" w:lastRowLastColumn="0"/>
          <w:trHeight w:val="113"/>
          <w:tblHeader/>
        </w:trPr>
        <w:tc>
          <w:tcPr>
            <w:tcW w:w="1750" w:type="pct"/>
          </w:tcPr>
          <w:p w:rsidR="00752E94" w:rsidRPr="0019295B" w:rsidRDefault="00752E94" w:rsidP="00DE51CA"/>
        </w:tc>
        <w:tc>
          <w:tcPr>
            <w:tcW w:w="968" w:type="pct"/>
          </w:tcPr>
          <w:p w:rsidR="00752E94" w:rsidRPr="0019295B" w:rsidRDefault="00752E94" w:rsidP="00DE51CA">
            <w:pPr>
              <w:jc w:val="right"/>
              <w:rPr>
                <w:color w:val="FFFFFF"/>
              </w:rPr>
            </w:pPr>
          </w:p>
        </w:tc>
        <w:tc>
          <w:tcPr>
            <w:tcW w:w="888" w:type="pct"/>
          </w:tcPr>
          <w:p w:rsidR="00752E94" w:rsidRPr="0019295B" w:rsidRDefault="00752E94" w:rsidP="00DE51CA">
            <w:pPr>
              <w:jc w:val="right"/>
              <w:rPr>
                <w:color w:val="FFFFFF"/>
              </w:rPr>
            </w:pPr>
          </w:p>
        </w:tc>
        <w:tc>
          <w:tcPr>
            <w:tcW w:w="726" w:type="pct"/>
          </w:tcPr>
          <w:p w:rsidR="00752E94" w:rsidRPr="0019295B" w:rsidRDefault="00752E94" w:rsidP="00DE51CA">
            <w:pPr>
              <w:jc w:val="right"/>
              <w:rPr>
                <w:color w:val="FFFFFF"/>
              </w:rPr>
            </w:pPr>
            <w:r w:rsidRPr="00596D01">
              <w:t xml:space="preserve">$ </w:t>
            </w:r>
            <w:proofErr w:type="spellStart"/>
            <w:r w:rsidRPr="00596D01">
              <w:t>p.r.p.d</w:t>
            </w:r>
            <w:proofErr w:type="spellEnd"/>
            <w:r w:rsidRPr="00596D01">
              <w:t>.</w:t>
            </w:r>
          </w:p>
        </w:tc>
        <w:tc>
          <w:tcPr>
            <w:tcW w:w="668" w:type="pct"/>
          </w:tcPr>
          <w:p w:rsidR="00752E94" w:rsidRPr="00596D01" w:rsidRDefault="00752E94" w:rsidP="00DE51CA">
            <w:pPr>
              <w:jc w:val="right"/>
            </w:pPr>
            <w:r w:rsidRPr="00596D01">
              <w:t>%</w:t>
            </w:r>
          </w:p>
        </w:tc>
      </w:tr>
      <w:tr w:rsidR="00752E94" w:rsidRPr="00E93DB9" w:rsidTr="00DE51CA">
        <w:trPr>
          <w:trHeight w:val="113"/>
        </w:trPr>
        <w:tc>
          <w:tcPr>
            <w:tcW w:w="1750" w:type="pct"/>
            <w:shd w:val="clear" w:color="auto" w:fill="E8E8E8" w:themeFill="background2"/>
          </w:tcPr>
          <w:p w:rsidR="00752E94" w:rsidRPr="0019295B" w:rsidRDefault="00752E94" w:rsidP="00DE51CA">
            <w:r w:rsidRPr="00596D01">
              <w:rPr>
                <w:rStyle w:val="Strong"/>
              </w:rPr>
              <w:t>Commonwealth revenue sources</w:t>
            </w:r>
          </w:p>
        </w:tc>
        <w:tc>
          <w:tcPr>
            <w:tcW w:w="968" w:type="pct"/>
            <w:shd w:val="clear" w:color="auto" w:fill="E8E8E8" w:themeFill="background2"/>
          </w:tcPr>
          <w:p w:rsidR="00752E94" w:rsidRPr="0019295B" w:rsidRDefault="00752E94" w:rsidP="00DE51CA">
            <w:pPr>
              <w:jc w:val="right"/>
              <w:rPr>
                <w:color w:val="000000"/>
              </w:rPr>
            </w:pPr>
          </w:p>
        </w:tc>
        <w:tc>
          <w:tcPr>
            <w:tcW w:w="888" w:type="pct"/>
            <w:shd w:val="clear" w:color="auto" w:fill="E8E8E8" w:themeFill="background2"/>
          </w:tcPr>
          <w:p w:rsidR="00752E94" w:rsidRPr="0019295B" w:rsidRDefault="00752E94" w:rsidP="00DE51CA">
            <w:pPr>
              <w:jc w:val="right"/>
              <w:rPr>
                <w:color w:val="000000"/>
              </w:rPr>
            </w:pPr>
          </w:p>
        </w:tc>
        <w:tc>
          <w:tcPr>
            <w:tcW w:w="726" w:type="pct"/>
            <w:shd w:val="clear" w:color="auto" w:fill="E8E8E8" w:themeFill="background2"/>
          </w:tcPr>
          <w:p w:rsidR="00752E94" w:rsidRPr="0019295B" w:rsidRDefault="00752E94" w:rsidP="00DE51CA">
            <w:pPr>
              <w:jc w:val="right"/>
              <w:rPr>
                <w:color w:val="000000"/>
              </w:rPr>
            </w:pPr>
          </w:p>
        </w:tc>
        <w:tc>
          <w:tcPr>
            <w:tcW w:w="668" w:type="pct"/>
            <w:shd w:val="clear" w:color="auto" w:fill="E8E8E8" w:themeFill="background2"/>
          </w:tcPr>
          <w:p w:rsidR="00752E94" w:rsidRPr="00596D01" w:rsidRDefault="00752E94" w:rsidP="00DE51CA">
            <w:pPr>
              <w:jc w:val="right"/>
              <w:rPr>
                <w:rStyle w:val="Strong"/>
              </w:rPr>
            </w:pPr>
          </w:p>
        </w:tc>
      </w:tr>
      <w:tr w:rsidR="00752E94" w:rsidRPr="00E93DB9" w:rsidTr="00DE51CA">
        <w:trPr>
          <w:trHeight w:val="113"/>
        </w:trPr>
        <w:tc>
          <w:tcPr>
            <w:tcW w:w="1750" w:type="pct"/>
          </w:tcPr>
          <w:p w:rsidR="00752E94" w:rsidRPr="0019295B" w:rsidRDefault="00752E94" w:rsidP="00DE51CA">
            <w:pPr>
              <w:rPr>
                <w:iCs/>
                <w:color w:val="000000"/>
              </w:rPr>
            </w:pPr>
            <w:r w:rsidRPr="0019295B">
              <w:rPr>
                <w:iCs/>
                <w:color w:val="000000"/>
              </w:rPr>
              <w:t>ACFI</w:t>
            </w:r>
          </w:p>
        </w:tc>
        <w:tc>
          <w:tcPr>
            <w:tcW w:w="968" w:type="pct"/>
          </w:tcPr>
          <w:p w:rsidR="00752E94" w:rsidRPr="0019295B" w:rsidRDefault="00752E94" w:rsidP="00DE51CA">
            <w:pPr>
              <w:jc w:val="right"/>
              <w:rPr>
                <w:color w:val="000000"/>
              </w:rPr>
            </w:pPr>
            <w:r w:rsidRPr="0019295B">
              <w:rPr>
                <w:color w:val="000000"/>
              </w:rPr>
              <w:t>$153.56</w:t>
            </w:r>
          </w:p>
        </w:tc>
        <w:tc>
          <w:tcPr>
            <w:tcW w:w="888" w:type="pct"/>
          </w:tcPr>
          <w:p w:rsidR="00752E94" w:rsidRPr="0019295B" w:rsidRDefault="00752E94" w:rsidP="00DE51CA">
            <w:pPr>
              <w:jc w:val="right"/>
              <w:rPr>
                <w:color w:val="000000"/>
              </w:rPr>
            </w:pPr>
            <w:r w:rsidRPr="0019295B">
              <w:rPr>
                <w:color w:val="000000"/>
              </w:rPr>
              <w:t>$163.07</w:t>
            </w:r>
          </w:p>
        </w:tc>
        <w:tc>
          <w:tcPr>
            <w:tcW w:w="726" w:type="pct"/>
          </w:tcPr>
          <w:p w:rsidR="00752E94" w:rsidRPr="0019295B" w:rsidRDefault="00752E94" w:rsidP="00DE51CA">
            <w:pPr>
              <w:jc w:val="right"/>
              <w:rPr>
                <w:color w:val="000000"/>
              </w:rPr>
            </w:pPr>
            <w:r w:rsidRPr="0019295B">
              <w:rPr>
                <w:color w:val="000000"/>
              </w:rPr>
              <w:t>$9.51</w:t>
            </w:r>
          </w:p>
        </w:tc>
        <w:tc>
          <w:tcPr>
            <w:tcW w:w="668" w:type="pct"/>
          </w:tcPr>
          <w:p w:rsidR="00752E94" w:rsidRPr="0019295B" w:rsidRDefault="00752E94" w:rsidP="00DE51CA">
            <w:pPr>
              <w:jc w:val="right"/>
              <w:rPr>
                <w:color w:val="000000"/>
              </w:rPr>
            </w:pPr>
            <w:r w:rsidRPr="0019295B">
              <w:rPr>
                <w:color w:val="000000"/>
              </w:rPr>
              <w:t>6.2%</w:t>
            </w:r>
          </w:p>
        </w:tc>
      </w:tr>
      <w:tr w:rsidR="00752E94" w:rsidRPr="00E93DB9" w:rsidTr="00DE51CA">
        <w:trPr>
          <w:trHeight w:val="113"/>
        </w:trPr>
        <w:tc>
          <w:tcPr>
            <w:tcW w:w="1750" w:type="pct"/>
          </w:tcPr>
          <w:p w:rsidR="00752E94" w:rsidRPr="0019295B" w:rsidRDefault="00752E94" w:rsidP="00DE51CA">
            <w:pPr>
              <w:rPr>
                <w:iCs/>
                <w:color w:val="000000"/>
              </w:rPr>
            </w:pPr>
            <w:r w:rsidRPr="0019295B">
              <w:rPr>
                <w:iCs/>
                <w:color w:val="000000"/>
              </w:rPr>
              <w:t>Respite care subsidies and supplements</w:t>
            </w:r>
          </w:p>
        </w:tc>
        <w:tc>
          <w:tcPr>
            <w:tcW w:w="968" w:type="pct"/>
          </w:tcPr>
          <w:p w:rsidR="00752E94" w:rsidRPr="0019295B" w:rsidRDefault="00752E94" w:rsidP="00DE51CA">
            <w:pPr>
              <w:jc w:val="right"/>
              <w:rPr>
                <w:color w:val="000000"/>
              </w:rPr>
            </w:pPr>
            <w:r w:rsidRPr="0019295B">
              <w:rPr>
                <w:color w:val="000000"/>
              </w:rPr>
              <w:t>$4.42</w:t>
            </w:r>
          </w:p>
        </w:tc>
        <w:tc>
          <w:tcPr>
            <w:tcW w:w="888" w:type="pct"/>
          </w:tcPr>
          <w:p w:rsidR="00752E94" w:rsidRPr="0019295B" w:rsidRDefault="00752E94" w:rsidP="00DE51CA">
            <w:pPr>
              <w:jc w:val="right"/>
              <w:rPr>
                <w:color w:val="000000"/>
              </w:rPr>
            </w:pPr>
            <w:r w:rsidRPr="0019295B">
              <w:rPr>
                <w:color w:val="000000"/>
              </w:rPr>
              <w:t>$4.58</w:t>
            </w:r>
          </w:p>
        </w:tc>
        <w:tc>
          <w:tcPr>
            <w:tcW w:w="726" w:type="pct"/>
          </w:tcPr>
          <w:p w:rsidR="00752E94" w:rsidRPr="0019295B" w:rsidRDefault="00752E94" w:rsidP="00DE51CA">
            <w:pPr>
              <w:jc w:val="right"/>
              <w:rPr>
                <w:color w:val="000000"/>
              </w:rPr>
            </w:pPr>
            <w:r w:rsidRPr="0019295B">
              <w:rPr>
                <w:color w:val="000000"/>
              </w:rPr>
              <w:t>$0.15</w:t>
            </w:r>
          </w:p>
        </w:tc>
        <w:tc>
          <w:tcPr>
            <w:tcW w:w="668" w:type="pct"/>
          </w:tcPr>
          <w:p w:rsidR="00752E94" w:rsidRPr="0019295B" w:rsidRDefault="00752E94" w:rsidP="00DE51CA">
            <w:pPr>
              <w:jc w:val="right"/>
              <w:rPr>
                <w:color w:val="000000"/>
              </w:rPr>
            </w:pPr>
            <w:r w:rsidRPr="0019295B">
              <w:rPr>
                <w:color w:val="000000"/>
              </w:rPr>
              <w:t>3.6%</w:t>
            </w:r>
          </w:p>
        </w:tc>
      </w:tr>
      <w:tr w:rsidR="00752E94" w:rsidRPr="00E93DB9" w:rsidTr="00DE51CA">
        <w:trPr>
          <w:trHeight w:val="113"/>
        </w:trPr>
        <w:tc>
          <w:tcPr>
            <w:tcW w:w="1750" w:type="pct"/>
          </w:tcPr>
          <w:p w:rsidR="00752E94" w:rsidRPr="0019295B" w:rsidRDefault="00752E94" w:rsidP="00DE51CA">
            <w:pPr>
              <w:rPr>
                <w:iCs/>
                <w:color w:val="000000"/>
              </w:rPr>
            </w:pPr>
            <w:r w:rsidRPr="0019295B">
              <w:rPr>
                <w:iCs/>
                <w:color w:val="000000"/>
              </w:rPr>
              <w:t>Other supplements</w:t>
            </w:r>
          </w:p>
        </w:tc>
        <w:tc>
          <w:tcPr>
            <w:tcW w:w="968" w:type="pct"/>
          </w:tcPr>
          <w:p w:rsidR="00752E94" w:rsidRPr="0019295B" w:rsidRDefault="00752E94" w:rsidP="00DE51CA">
            <w:pPr>
              <w:jc w:val="right"/>
              <w:rPr>
                <w:color w:val="000000"/>
              </w:rPr>
            </w:pPr>
            <w:r w:rsidRPr="0019295B">
              <w:rPr>
                <w:color w:val="000000"/>
              </w:rPr>
              <w:t>$1.12</w:t>
            </w:r>
          </w:p>
        </w:tc>
        <w:tc>
          <w:tcPr>
            <w:tcW w:w="888" w:type="pct"/>
          </w:tcPr>
          <w:p w:rsidR="00752E94" w:rsidRPr="0019295B" w:rsidRDefault="00752E94" w:rsidP="00DE51CA">
            <w:pPr>
              <w:jc w:val="right"/>
              <w:rPr>
                <w:color w:val="000000"/>
              </w:rPr>
            </w:pPr>
            <w:r w:rsidRPr="0019295B">
              <w:rPr>
                <w:color w:val="000000"/>
              </w:rPr>
              <w:t>$1.36</w:t>
            </w:r>
          </w:p>
        </w:tc>
        <w:tc>
          <w:tcPr>
            <w:tcW w:w="726" w:type="pct"/>
          </w:tcPr>
          <w:p w:rsidR="00752E94" w:rsidRPr="0019295B" w:rsidRDefault="00752E94" w:rsidP="00DE51CA">
            <w:pPr>
              <w:jc w:val="right"/>
              <w:rPr>
                <w:color w:val="000000"/>
              </w:rPr>
            </w:pPr>
            <w:r w:rsidRPr="0019295B">
              <w:rPr>
                <w:color w:val="000000"/>
              </w:rPr>
              <w:t>$0.24</w:t>
            </w:r>
          </w:p>
        </w:tc>
        <w:tc>
          <w:tcPr>
            <w:tcW w:w="668" w:type="pct"/>
          </w:tcPr>
          <w:p w:rsidR="00752E94" w:rsidRPr="0019295B" w:rsidRDefault="00752E94" w:rsidP="00DE51CA">
            <w:pPr>
              <w:jc w:val="right"/>
              <w:rPr>
                <w:color w:val="000000"/>
              </w:rPr>
            </w:pPr>
            <w:r w:rsidRPr="0019295B">
              <w:rPr>
                <w:color w:val="000000"/>
              </w:rPr>
              <w:t>21.4%</w:t>
            </w:r>
          </w:p>
        </w:tc>
      </w:tr>
      <w:tr w:rsidR="00752E94" w:rsidTr="00DE51CA">
        <w:trPr>
          <w:trHeight w:val="113"/>
        </w:trPr>
        <w:tc>
          <w:tcPr>
            <w:tcW w:w="1750" w:type="pct"/>
          </w:tcPr>
          <w:p w:rsidR="00752E94" w:rsidRPr="0019295B" w:rsidRDefault="00752E94" w:rsidP="00DE51CA">
            <w:pPr>
              <w:rPr>
                <w:color w:val="000000"/>
              </w:rPr>
            </w:pPr>
            <w:r w:rsidRPr="0019295B">
              <w:rPr>
                <w:iCs/>
                <w:color w:val="000000"/>
              </w:rPr>
              <w:t>Accommodation supplements</w:t>
            </w:r>
          </w:p>
        </w:tc>
        <w:tc>
          <w:tcPr>
            <w:tcW w:w="968" w:type="pct"/>
          </w:tcPr>
          <w:p w:rsidR="00752E94" w:rsidRPr="0019295B" w:rsidRDefault="00752E94" w:rsidP="00DE51CA">
            <w:pPr>
              <w:jc w:val="right"/>
              <w:rPr>
                <w:color w:val="000000"/>
              </w:rPr>
            </w:pPr>
            <w:r w:rsidRPr="0019295B">
              <w:rPr>
                <w:color w:val="000000"/>
              </w:rPr>
              <w:t>$14.47</w:t>
            </w:r>
          </w:p>
        </w:tc>
        <w:tc>
          <w:tcPr>
            <w:tcW w:w="888" w:type="pct"/>
          </w:tcPr>
          <w:p w:rsidR="00752E94" w:rsidRPr="0019295B" w:rsidRDefault="00752E94" w:rsidP="00DE51CA">
            <w:pPr>
              <w:jc w:val="right"/>
              <w:rPr>
                <w:color w:val="000000"/>
              </w:rPr>
            </w:pPr>
            <w:r w:rsidRPr="0019295B">
              <w:rPr>
                <w:color w:val="000000"/>
              </w:rPr>
              <w:t>$14.11</w:t>
            </w:r>
          </w:p>
        </w:tc>
        <w:tc>
          <w:tcPr>
            <w:tcW w:w="726" w:type="pct"/>
          </w:tcPr>
          <w:p w:rsidR="00752E94" w:rsidRPr="0019295B" w:rsidRDefault="00752E94" w:rsidP="00DE51CA">
            <w:pPr>
              <w:jc w:val="right"/>
              <w:rPr>
                <w:color w:val="FF0000"/>
              </w:rPr>
            </w:pPr>
            <w:r w:rsidRPr="0019295B">
              <w:rPr>
                <w:color w:val="FF0000"/>
              </w:rPr>
              <w:t>-$0.36</w:t>
            </w:r>
          </w:p>
        </w:tc>
        <w:tc>
          <w:tcPr>
            <w:tcW w:w="668" w:type="pct"/>
          </w:tcPr>
          <w:p w:rsidR="00752E94" w:rsidRPr="0019295B" w:rsidRDefault="00D8721E" w:rsidP="00DE51CA">
            <w:pPr>
              <w:jc w:val="right"/>
              <w:rPr>
                <w:color w:val="FF0000"/>
              </w:rPr>
            </w:pPr>
            <w:r>
              <w:rPr>
                <w:color w:val="FF0000"/>
              </w:rPr>
              <w:t>–2</w:t>
            </w:r>
            <w:r w:rsidR="00752E94" w:rsidRPr="0019295B">
              <w:rPr>
                <w:color w:val="FF0000"/>
              </w:rPr>
              <w:t>.5%</w:t>
            </w: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Commonwealth capital grants</w:t>
            </w:r>
          </w:p>
        </w:tc>
        <w:tc>
          <w:tcPr>
            <w:tcW w:w="968" w:type="pct"/>
          </w:tcPr>
          <w:p w:rsidR="00752E94" w:rsidRPr="0019295B" w:rsidRDefault="00752E94" w:rsidP="00DE51CA">
            <w:pPr>
              <w:jc w:val="right"/>
              <w:rPr>
                <w:color w:val="000000"/>
              </w:rPr>
            </w:pPr>
            <w:r w:rsidRPr="0019295B">
              <w:rPr>
                <w:color w:val="000000"/>
              </w:rPr>
              <w:t>N/A</w:t>
            </w:r>
          </w:p>
        </w:tc>
        <w:tc>
          <w:tcPr>
            <w:tcW w:w="888" w:type="pct"/>
          </w:tcPr>
          <w:p w:rsidR="00752E94" w:rsidRPr="0019295B" w:rsidRDefault="00752E94" w:rsidP="00DE51CA">
            <w:pPr>
              <w:jc w:val="right"/>
              <w:rPr>
                <w:color w:val="000000"/>
              </w:rPr>
            </w:pPr>
            <w:r w:rsidRPr="0019295B">
              <w:rPr>
                <w:color w:val="000000"/>
              </w:rPr>
              <w:t>$0.94</w:t>
            </w:r>
          </w:p>
        </w:tc>
        <w:tc>
          <w:tcPr>
            <w:tcW w:w="726" w:type="pct"/>
          </w:tcPr>
          <w:p w:rsidR="00752E94" w:rsidRPr="0019295B" w:rsidRDefault="00752E94" w:rsidP="00DE51CA">
            <w:pPr>
              <w:jc w:val="right"/>
            </w:pPr>
            <w:r w:rsidRPr="0019295B">
              <w:t>N/A</w:t>
            </w:r>
          </w:p>
        </w:tc>
        <w:tc>
          <w:tcPr>
            <w:tcW w:w="668" w:type="pct"/>
          </w:tcPr>
          <w:p w:rsidR="00752E94" w:rsidRPr="0019295B" w:rsidRDefault="00752E94" w:rsidP="00DE51CA">
            <w:pPr>
              <w:jc w:val="right"/>
            </w:pPr>
            <w:r w:rsidRPr="0019295B">
              <w:t>N/A</w:t>
            </w:r>
          </w:p>
        </w:tc>
      </w:tr>
      <w:tr w:rsidR="00752E94" w:rsidRPr="00E93DB9" w:rsidTr="00DE51CA">
        <w:trPr>
          <w:trHeight w:val="113"/>
        </w:trPr>
        <w:tc>
          <w:tcPr>
            <w:tcW w:w="1750" w:type="pct"/>
          </w:tcPr>
          <w:p w:rsidR="00752E94" w:rsidRPr="0019295B" w:rsidRDefault="00752E94" w:rsidP="00DE51CA">
            <w:pPr>
              <w:rPr>
                <w:iCs/>
                <w:color w:val="000000"/>
              </w:rPr>
            </w:pPr>
            <w:r w:rsidRPr="00596D01">
              <w:rPr>
                <w:rStyle w:val="Strong"/>
              </w:rPr>
              <w:t>Total Commonwealth revenue</w:t>
            </w:r>
          </w:p>
        </w:tc>
        <w:tc>
          <w:tcPr>
            <w:tcW w:w="968" w:type="pct"/>
          </w:tcPr>
          <w:p w:rsidR="00752E94" w:rsidRPr="0019295B" w:rsidRDefault="00752E94" w:rsidP="00DE51CA">
            <w:pPr>
              <w:jc w:val="right"/>
              <w:rPr>
                <w:color w:val="000000"/>
              </w:rPr>
            </w:pPr>
            <w:r w:rsidRPr="00596D01">
              <w:rPr>
                <w:rStyle w:val="Strong"/>
              </w:rPr>
              <w:t>$173.57</w:t>
            </w:r>
          </w:p>
        </w:tc>
        <w:tc>
          <w:tcPr>
            <w:tcW w:w="888" w:type="pct"/>
          </w:tcPr>
          <w:p w:rsidR="00752E94" w:rsidRPr="0019295B" w:rsidRDefault="00752E94" w:rsidP="00DE51CA">
            <w:pPr>
              <w:jc w:val="right"/>
              <w:rPr>
                <w:color w:val="000000"/>
              </w:rPr>
            </w:pPr>
            <w:r w:rsidRPr="00596D01">
              <w:rPr>
                <w:rStyle w:val="Strong"/>
              </w:rPr>
              <w:t>$184.06</w:t>
            </w:r>
          </w:p>
        </w:tc>
        <w:tc>
          <w:tcPr>
            <w:tcW w:w="726" w:type="pct"/>
          </w:tcPr>
          <w:p w:rsidR="00752E94" w:rsidRPr="0019295B" w:rsidRDefault="00752E94" w:rsidP="00DE51CA">
            <w:pPr>
              <w:jc w:val="right"/>
              <w:rPr>
                <w:color w:val="000000"/>
              </w:rPr>
            </w:pPr>
            <w:r w:rsidRPr="00596D01">
              <w:rPr>
                <w:rStyle w:val="Strong"/>
              </w:rPr>
              <w:t>$9.54</w:t>
            </w:r>
          </w:p>
        </w:tc>
        <w:tc>
          <w:tcPr>
            <w:tcW w:w="668" w:type="pct"/>
          </w:tcPr>
          <w:p w:rsidR="00752E94" w:rsidRPr="00596D01" w:rsidRDefault="00752E94" w:rsidP="00DE51CA">
            <w:pPr>
              <w:jc w:val="right"/>
              <w:rPr>
                <w:rStyle w:val="Strong"/>
              </w:rPr>
            </w:pPr>
            <w:r w:rsidRPr="00596D01">
              <w:rPr>
                <w:rStyle w:val="Strong"/>
              </w:rPr>
              <w:t>5.5%</w:t>
            </w:r>
          </w:p>
        </w:tc>
      </w:tr>
      <w:tr w:rsidR="00752E94" w:rsidRPr="00E93DB9" w:rsidTr="00DE51CA">
        <w:trPr>
          <w:trHeight w:val="113"/>
        </w:trPr>
        <w:tc>
          <w:tcPr>
            <w:tcW w:w="1750" w:type="pct"/>
            <w:shd w:val="clear" w:color="auto" w:fill="E8E8E8" w:themeFill="background2"/>
          </w:tcPr>
          <w:p w:rsidR="00752E94" w:rsidRPr="0019295B" w:rsidRDefault="00752E94" w:rsidP="00DE51CA">
            <w:pPr>
              <w:rPr>
                <w:color w:val="000000"/>
              </w:rPr>
            </w:pPr>
            <w:r w:rsidRPr="00596D01">
              <w:rPr>
                <w:rStyle w:val="Strong"/>
              </w:rPr>
              <w:t>Resident revenue sources</w:t>
            </w:r>
          </w:p>
        </w:tc>
        <w:tc>
          <w:tcPr>
            <w:tcW w:w="968" w:type="pct"/>
            <w:shd w:val="clear" w:color="auto" w:fill="E8E8E8" w:themeFill="background2"/>
          </w:tcPr>
          <w:p w:rsidR="00752E94" w:rsidRPr="0019295B" w:rsidRDefault="00752E94" w:rsidP="00DE51CA">
            <w:pPr>
              <w:jc w:val="right"/>
              <w:rPr>
                <w:color w:val="000000"/>
              </w:rPr>
            </w:pPr>
          </w:p>
        </w:tc>
        <w:tc>
          <w:tcPr>
            <w:tcW w:w="888" w:type="pct"/>
            <w:shd w:val="clear" w:color="auto" w:fill="E8E8E8" w:themeFill="background2"/>
          </w:tcPr>
          <w:p w:rsidR="00752E94" w:rsidRPr="0019295B" w:rsidRDefault="00752E94" w:rsidP="00DE51CA">
            <w:pPr>
              <w:jc w:val="right"/>
              <w:rPr>
                <w:color w:val="000000"/>
              </w:rPr>
            </w:pPr>
          </w:p>
        </w:tc>
        <w:tc>
          <w:tcPr>
            <w:tcW w:w="726" w:type="pct"/>
            <w:shd w:val="clear" w:color="auto" w:fill="E8E8E8" w:themeFill="background2"/>
          </w:tcPr>
          <w:p w:rsidR="00752E94" w:rsidRPr="0019295B" w:rsidRDefault="00752E94" w:rsidP="00DE51CA">
            <w:pPr>
              <w:jc w:val="right"/>
              <w:rPr>
                <w:color w:val="000000"/>
              </w:rPr>
            </w:pPr>
          </w:p>
        </w:tc>
        <w:tc>
          <w:tcPr>
            <w:tcW w:w="668" w:type="pct"/>
            <w:shd w:val="clear" w:color="auto" w:fill="E8E8E8" w:themeFill="background2"/>
          </w:tcPr>
          <w:p w:rsidR="00752E94" w:rsidRPr="00596D01" w:rsidRDefault="00752E94" w:rsidP="00DE51CA">
            <w:pPr>
              <w:jc w:val="right"/>
              <w:rPr>
                <w:rStyle w:val="Strong"/>
              </w:rPr>
            </w:pP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Means tested care fees</w:t>
            </w:r>
          </w:p>
        </w:tc>
        <w:tc>
          <w:tcPr>
            <w:tcW w:w="968" w:type="pct"/>
          </w:tcPr>
          <w:p w:rsidR="00752E94" w:rsidRPr="0019295B" w:rsidRDefault="00752E94" w:rsidP="00DE51CA">
            <w:pPr>
              <w:jc w:val="right"/>
              <w:rPr>
                <w:color w:val="000000"/>
              </w:rPr>
            </w:pPr>
            <w:r w:rsidRPr="0019295B">
              <w:rPr>
                <w:color w:val="000000"/>
              </w:rPr>
              <w:t>$7.01</w:t>
            </w:r>
          </w:p>
        </w:tc>
        <w:tc>
          <w:tcPr>
            <w:tcW w:w="888" w:type="pct"/>
          </w:tcPr>
          <w:p w:rsidR="00752E94" w:rsidRPr="0019295B" w:rsidRDefault="00752E94" w:rsidP="00DE51CA">
            <w:pPr>
              <w:jc w:val="right"/>
              <w:rPr>
                <w:color w:val="000000"/>
              </w:rPr>
            </w:pPr>
            <w:r w:rsidRPr="0019295B">
              <w:rPr>
                <w:color w:val="000000"/>
              </w:rPr>
              <w:t>$7.12</w:t>
            </w:r>
          </w:p>
        </w:tc>
        <w:tc>
          <w:tcPr>
            <w:tcW w:w="726" w:type="pct"/>
          </w:tcPr>
          <w:p w:rsidR="00752E94" w:rsidRPr="0019295B" w:rsidRDefault="00752E94" w:rsidP="00DE51CA">
            <w:pPr>
              <w:jc w:val="right"/>
              <w:rPr>
                <w:color w:val="000000"/>
              </w:rPr>
            </w:pPr>
            <w:r w:rsidRPr="0019295B">
              <w:rPr>
                <w:color w:val="000000"/>
              </w:rPr>
              <w:t>$0.11</w:t>
            </w:r>
          </w:p>
        </w:tc>
        <w:tc>
          <w:tcPr>
            <w:tcW w:w="668" w:type="pct"/>
          </w:tcPr>
          <w:p w:rsidR="00752E94" w:rsidRPr="0019295B" w:rsidRDefault="00752E94" w:rsidP="00DE51CA">
            <w:pPr>
              <w:jc w:val="right"/>
              <w:rPr>
                <w:color w:val="000000"/>
              </w:rPr>
            </w:pPr>
            <w:r w:rsidRPr="0019295B">
              <w:rPr>
                <w:color w:val="000000"/>
              </w:rPr>
              <w:t>1.6%</w:t>
            </w: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Accommodation payments</w:t>
            </w:r>
          </w:p>
        </w:tc>
        <w:tc>
          <w:tcPr>
            <w:tcW w:w="968" w:type="pct"/>
          </w:tcPr>
          <w:p w:rsidR="00752E94" w:rsidRPr="0019295B" w:rsidRDefault="00752E94" w:rsidP="00DE51CA">
            <w:pPr>
              <w:jc w:val="right"/>
              <w:rPr>
                <w:color w:val="000000"/>
              </w:rPr>
            </w:pPr>
            <w:r w:rsidRPr="0019295B">
              <w:rPr>
                <w:color w:val="000000"/>
              </w:rPr>
              <w:t>$13.08</w:t>
            </w:r>
          </w:p>
        </w:tc>
        <w:tc>
          <w:tcPr>
            <w:tcW w:w="888" w:type="pct"/>
          </w:tcPr>
          <w:p w:rsidR="00752E94" w:rsidRPr="0019295B" w:rsidRDefault="00752E94" w:rsidP="00DE51CA">
            <w:pPr>
              <w:jc w:val="right"/>
              <w:rPr>
                <w:color w:val="000000"/>
              </w:rPr>
            </w:pPr>
            <w:r w:rsidRPr="0019295B">
              <w:rPr>
                <w:color w:val="000000"/>
              </w:rPr>
              <w:t>$11.82</w:t>
            </w:r>
          </w:p>
        </w:tc>
        <w:tc>
          <w:tcPr>
            <w:tcW w:w="726" w:type="pct"/>
          </w:tcPr>
          <w:p w:rsidR="00752E94" w:rsidRPr="0019295B" w:rsidRDefault="00752E94" w:rsidP="00DE51CA">
            <w:pPr>
              <w:jc w:val="right"/>
              <w:rPr>
                <w:color w:val="FF0000"/>
              </w:rPr>
            </w:pPr>
            <w:r w:rsidRPr="0019295B">
              <w:rPr>
                <w:color w:val="FF0000"/>
              </w:rPr>
              <w:t>-$1.26</w:t>
            </w:r>
          </w:p>
        </w:tc>
        <w:tc>
          <w:tcPr>
            <w:tcW w:w="668" w:type="pct"/>
          </w:tcPr>
          <w:p w:rsidR="00752E94" w:rsidRPr="0019295B" w:rsidRDefault="00D8721E" w:rsidP="00DE51CA">
            <w:pPr>
              <w:jc w:val="right"/>
              <w:rPr>
                <w:color w:val="FF0000"/>
              </w:rPr>
            </w:pPr>
            <w:r>
              <w:rPr>
                <w:color w:val="FF0000"/>
              </w:rPr>
              <w:t>–9</w:t>
            </w:r>
            <w:r w:rsidR="00752E94" w:rsidRPr="0019295B">
              <w:rPr>
                <w:color w:val="FF0000"/>
              </w:rPr>
              <w:t>.6%</w:t>
            </w: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Basic daily fees</w:t>
            </w:r>
          </w:p>
        </w:tc>
        <w:tc>
          <w:tcPr>
            <w:tcW w:w="968" w:type="pct"/>
          </w:tcPr>
          <w:p w:rsidR="00752E94" w:rsidRPr="0019295B" w:rsidRDefault="00752E94" w:rsidP="00DE51CA">
            <w:pPr>
              <w:jc w:val="right"/>
              <w:rPr>
                <w:color w:val="000000"/>
              </w:rPr>
            </w:pPr>
            <w:r w:rsidRPr="0019295B">
              <w:rPr>
                <w:color w:val="000000"/>
              </w:rPr>
              <w:t>$47.47</w:t>
            </w:r>
          </w:p>
        </w:tc>
        <w:tc>
          <w:tcPr>
            <w:tcW w:w="888" w:type="pct"/>
          </w:tcPr>
          <w:p w:rsidR="00752E94" w:rsidRPr="0019295B" w:rsidRDefault="00752E94" w:rsidP="00DE51CA">
            <w:pPr>
              <w:jc w:val="right"/>
              <w:rPr>
                <w:color w:val="000000"/>
              </w:rPr>
            </w:pPr>
            <w:r w:rsidRPr="0019295B">
              <w:rPr>
                <w:color w:val="000000"/>
              </w:rPr>
              <w:t>$48.38</w:t>
            </w:r>
          </w:p>
        </w:tc>
        <w:tc>
          <w:tcPr>
            <w:tcW w:w="726" w:type="pct"/>
          </w:tcPr>
          <w:p w:rsidR="00752E94" w:rsidRPr="0019295B" w:rsidRDefault="00752E94" w:rsidP="00DE51CA">
            <w:pPr>
              <w:jc w:val="right"/>
              <w:rPr>
                <w:color w:val="000000"/>
              </w:rPr>
            </w:pPr>
            <w:r w:rsidRPr="0019295B">
              <w:rPr>
                <w:color w:val="000000"/>
              </w:rPr>
              <w:t>$0.90</w:t>
            </w:r>
          </w:p>
        </w:tc>
        <w:tc>
          <w:tcPr>
            <w:tcW w:w="668" w:type="pct"/>
          </w:tcPr>
          <w:p w:rsidR="00752E94" w:rsidRPr="0019295B" w:rsidRDefault="00752E94" w:rsidP="00DE51CA">
            <w:pPr>
              <w:jc w:val="right"/>
              <w:rPr>
                <w:color w:val="000000"/>
              </w:rPr>
            </w:pPr>
            <w:r w:rsidRPr="0019295B">
              <w:rPr>
                <w:color w:val="000000"/>
              </w:rPr>
              <w:t>1.9%</w:t>
            </w: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Extra services fees</w:t>
            </w:r>
          </w:p>
        </w:tc>
        <w:tc>
          <w:tcPr>
            <w:tcW w:w="968" w:type="pct"/>
          </w:tcPr>
          <w:p w:rsidR="00752E94" w:rsidRPr="0019295B" w:rsidRDefault="00752E94" w:rsidP="00DE51CA">
            <w:pPr>
              <w:jc w:val="right"/>
              <w:rPr>
                <w:color w:val="000000"/>
              </w:rPr>
            </w:pPr>
            <w:r w:rsidRPr="0019295B">
              <w:rPr>
                <w:color w:val="000000"/>
              </w:rPr>
              <w:t>$2.26</w:t>
            </w:r>
          </w:p>
        </w:tc>
        <w:tc>
          <w:tcPr>
            <w:tcW w:w="888" w:type="pct"/>
          </w:tcPr>
          <w:p w:rsidR="00752E94" w:rsidRPr="0019295B" w:rsidRDefault="00752E94" w:rsidP="00DE51CA">
            <w:pPr>
              <w:jc w:val="right"/>
              <w:rPr>
                <w:color w:val="000000"/>
              </w:rPr>
            </w:pPr>
            <w:r w:rsidRPr="0019295B">
              <w:rPr>
                <w:color w:val="000000"/>
              </w:rPr>
              <w:t>$2.39</w:t>
            </w:r>
          </w:p>
        </w:tc>
        <w:tc>
          <w:tcPr>
            <w:tcW w:w="726" w:type="pct"/>
          </w:tcPr>
          <w:p w:rsidR="00752E94" w:rsidRPr="0019295B" w:rsidRDefault="00752E94" w:rsidP="00DE51CA">
            <w:pPr>
              <w:jc w:val="right"/>
              <w:rPr>
                <w:color w:val="000000"/>
              </w:rPr>
            </w:pPr>
            <w:r w:rsidRPr="0019295B">
              <w:rPr>
                <w:color w:val="000000"/>
              </w:rPr>
              <w:t>$0.13</w:t>
            </w:r>
          </w:p>
        </w:tc>
        <w:tc>
          <w:tcPr>
            <w:tcW w:w="668" w:type="pct"/>
          </w:tcPr>
          <w:p w:rsidR="00752E94" w:rsidRPr="0019295B" w:rsidRDefault="00752E94" w:rsidP="00DE51CA">
            <w:pPr>
              <w:jc w:val="right"/>
              <w:rPr>
                <w:color w:val="000000"/>
              </w:rPr>
            </w:pPr>
            <w:r w:rsidRPr="0019295B">
              <w:rPr>
                <w:color w:val="000000"/>
              </w:rPr>
              <w:t>5.8%</w:t>
            </w:r>
          </w:p>
        </w:tc>
      </w:tr>
      <w:tr w:rsidR="00752E94" w:rsidTr="00DE51CA">
        <w:trPr>
          <w:trHeight w:val="113"/>
        </w:trPr>
        <w:tc>
          <w:tcPr>
            <w:tcW w:w="1750" w:type="pct"/>
          </w:tcPr>
          <w:p w:rsidR="00752E94" w:rsidRPr="0019295B" w:rsidRDefault="00752E94" w:rsidP="00DE51CA">
            <w:pPr>
              <w:rPr>
                <w:iCs/>
                <w:color w:val="000000"/>
              </w:rPr>
            </w:pPr>
            <w:r w:rsidRPr="0019295B">
              <w:rPr>
                <w:iCs/>
                <w:color w:val="000000"/>
              </w:rPr>
              <w:t>Resident care fees – other</w:t>
            </w:r>
          </w:p>
        </w:tc>
        <w:tc>
          <w:tcPr>
            <w:tcW w:w="968" w:type="pct"/>
          </w:tcPr>
          <w:p w:rsidR="00752E94" w:rsidRPr="0019295B" w:rsidRDefault="00752E94" w:rsidP="00DE51CA">
            <w:pPr>
              <w:jc w:val="right"/>
              <w:rPr>
                <w:color w:val="000000"/>
              </w:rPr>
            </w:pPr>
            <w:r w:rsidRPr="0019295B">
              <w:rPr>
                <w:color w:val="000000"/>
              </w:rPr>
              <w:t>N/A</w:t>
            </w:r>
          </w:p>
        </w:tc>
        <w:tc>
          <w:tcPr>
            <w:tcW w:w="888" w:type="pct"/>
          </w:tcPr>
          <w:p w:rsidR="00752E94" w:rsidRPr="0019295B" w:rsidRDefault="00752E94" w:rsidP="00DE51CA">
            <w:pPr>
              <w:jc w:val="right"/>
              <w:rPr>
                <w:color w:val="000000"/>
              </w:rPr>
            </w:pPr>
            <w:r w:rsidRPr="0019295B">
              <w:rPr>
                <w:color w:val="000000"/>
              </w:rPr>
              <w:t>$0.93</w:t>
            </w:r>
          </w:p>
        </w:tc>
        <w:tc>
          <w:tcPr>
            <w:tcW w:w="726" w:type="pct"/>
          </w:tcPr>
          <w:p w:rsidR="00752E94" w:rsidRPr="0019295B" w:rsidRDefault="00752E94" w:rsidP="00DE51CA">
            <w:pPr>
              <w:jc w:val="right"/>
              <w:rPr>
                <w:color w:val="000000"/>
              </w:rPr>
            </w:pPr>
            <w:r w:rsidRPr="0019295B">
              <w:rPr>
                <w:color w:val="000000"/>
              </w:rPr>
              <w:t>N/A</w:t>
            </w:r>
          </w:p>
        </w:tc>
        <w:tc>
          <w:tcPr>
            <w:tcW w:w="668" w:type="pct"/>
          </w:tcPr>
          <w:p w:rsidR="00752E94" w:rsidRPr="0019295B" w:rsidRDefault="00752E94" w:rsidP="00DE51CA">
            <w:pPr>
              <w:jc w:val="right"/>
              <w:rPr>
                <w:color w:val="000000"/>
              </w:rPr>
            </w:pPr>
            <w:r w:rsidRPr="0019295B">
              <w:rPr>
                <w:color w:val="000000"/>
              </w:rPr>
              <w:t>N/A</w:t>
            </w:r>
          </w:p>
        </w:tc>
      </w:tr>
      <w:tr w:rsidR="00752E94" w:rsidTr="00DE51CA">
        <w:trPr>
          <w:trHeight w:val="113"/>
        </w:trPr>
        <w:tc>
          <w:tcPr>
            <w:tcW w:w="1750" w:type="pct"/>
          </w:tcPr>
          <w:p w:rsidR="00752E94" w:rsidRPr="0019295B" w:rsidRDefault="00752E94" w:rsidP="00DE51CA">
            <w:pPr>
              <w:rPr>
                <w:iCs/>
                <w:color w:val="000000"/>
              </w:rPr>
            </w:pPr>
            <w:r w:rsidRPr="00596D01">
              <w:rPr>
                <w:rStyle w:val="Strong"/>
              </w:rPr>
              <w:lastRenderedPageBreak/>
              <w:t>Total resident revenue</w:t>
            </w:r>
          </w:p>
        </w:tc>
        <w:tc>
          <w:tcPr>
            <w:tcW w:w="968" w:type="pct"/>
          </w:tcPr>
          <w:p w:rsidR="00752E94" w:rsidRPr="0019295B" w:rsidRDefault="00752E94" w:rsidP="00DE51CA">
            <w:pPr>
              <w:jc w:val="right"/>
              <w:rPr>
                <w:color w:val="000000"/>
              </w:rPr>
            </w:pPr>
            <w:r w:rsidRPr="00596D01">
              <w:rPr>
                <w:rStyle w:val="Strong"/>
              </w:rPr>
              <w:t>$69.82</w:t>
            </w:r>
          </w:p>
        </w:tc>
        <w:tc>
          <w:tcPr>
            <w:tcW w:w="888" w:type="pct"/>
          </w:tcPr>
          <w:p w:rsidR="00752E94" w:rsidRPr="0019295B" w:rsidRDefault="00752E94" w:rsidP="00DE51CA">
            <w:pPr>
              <w:jc w:val="right"/>
              <w:rPr>
                <w:color w:val="000000"/>
              </w:rPr>
            </w:pPr>
            <w:r w:rsidRPr="00596D01">
              <w:rPr>
                <w:rStyle w:val="Strong"/>
              </w:rPr>
              <w:t>$70.64</w:t>
            </w:r>
          </w:p>
        </w:tc>
        <w:tc>
          <w:tcPr>
            <w:tcW w:w="726" w:type="pct"/>
          </w:tcPr>
          <w:p w:rsidR="00752E94" w:rsidRPr="0019295B" w:rsidRDefault="00752E94" w:rsidP="00DE51CA">
            <w:pPr>
              <w:jc w:val="right"/>
              <w:rPr>
                <w:color w:val="000000"/>
              </w:rPr>
            </w:pPr>
            <w:r w:rsidRPr="00596D01">
              <w:rPr>
                <w:rStyle w:val="Strong"/>
              </w:rPr>
              <w:t>$0.82</w:t>
            </w:r>
          </w:p>
        </w:tc>
        <w:tc>
          <w:tcPr>
            <w:tcW w:w="668" w:type="pct"/>
          </w:tcPr>
          <w:p w:rsidR="00752E94" w:rsidRPr="00596D01" w:rsidRDefault="00752E94" w:rsidP="00DE51CA">
            <w:pPr>
              <w:jc w:val="right"/>
              <w:rPr>
                <w:rStyle w:val="Strong"/>
              </w:rPr>
            </w:pPr>
            <w:r w:rsidRPr="00596D01">
              <w:rPr>
                <w:rStyle w:val="Strong"/>
              </w:rPr>
              <w:t>1.2%</w:t>
            </w:r>
          </w:p>
        </w:tc>
      </w:tr>
      <w:tr w:rsidR="00752E94" w:rsidRPr="00B157A3" w:rsidTr="00DE51CA">
        <w:trPr>
          <w:trHeight w:val="113"/>
        </w:trPr>
        <w:tc>
          <w:tcPr>
            <w:tcW w:w="1750" w:type="pct"/>
            <w:shd w:val="clear" w:color="auto" w:fill="E8E8E8" w:themeFill="background2"/>
          </w:tcPr>
          <w:p w:rsidR="00752E94" w:rsidRPr="0019295B" w:rsidRDefault="00752E94" w:rsidP="00DE51CA">
            <w:pPr>
              <w:rPr>
                <w:color w:val="000000"/>
              </w:rPr>
            </w:pPr>
            <w:r w:rsidRPr="00596D01">
              <w:rPr>
                <w:rStyle w:val="Strong"/>
              </w:rPr>
              <w:t>Total residential service income</w:t>
            </w:r>
          </w:p>
        </w:tc>
        <w:tc>
          <w:tcPr>
            <w:tcW w:w="968" w:type="pct"/>
            <w:shd w:val="clear" w:color="auto" w:fill="E8E8E8" w:themeFill="background2"/>
          </w:tcPr>
          <w:p w:rsidR="00752E94" w:rsidRPr="0019295B" w:rsidRDefault="00752E94" w:rsidP="00DE51CA">
            <w:pPr>
              <w:jc w:val="right"/>
              <w:rPr>
                <w:color w:val="000000"/>
              </w:rPr>
            </w:pPr>
            <w:r w:rsidRPr="00596D01">
              <w:rPr>
                <w:rStyle w:val="Strong"/>
              </w:rPr>
              <w:t>$243.39</w:t>
            </w:r>
          </w:p>
        </w:tc>
        <w:tc>
          <w:tcPr>
            <w:tcW w:w="888" w:type="pct"/>
            <w:shd w:val="clear" w:color="auto" w:fill="E8E8E8" w:themeFill="background2"/>
          </w:tcPr>
          <w:p w:rsidR="00752E94" w:rsidRPr="0019295B" w:rsidRDefault="00752E94" w:rsidP="00DE51CA">
            <w:pPr>
              <w:jc w:val="right"/>
              <w:rPr>
                <w:color w:val="000000"/>
              </w:rPr>
            </w:pPr>
            <w:r w:rsidRPr="00596D01">
              <w:rPr>
                <w:rStyle w:val="Strong"/>
              </w:rPr>
              <w:t>$254.70</w:t>
            </w:r>
          </w:p>
        </w:tc>
        <w:tc>
          <w:tcPr>
            <w:tcW w:w="726" w:type="pct"/>
            <w:shd w:val="clear" w:color="auto" w:fill="E8E8E8" w:themeFill="background2"/>
          </w:tcPr>
          <w:p w:rsidR="00752E94" w:rsidRPr="0019295B" w:rsidRDefault="00752E94" w:rsidP="00DE51CA">
            <w:pPr>
              <w:jc w:val="right"/>
              <w:rPr>
                <w:color w:val="000000"/>
              </w:rPr>
            </w:pPr>
            <w:r w:rsidRPr="00596D01">
              <w:rPr>
                <w:rStyle w:val="Strong"/>
              </w:rPr>
              <w:t>$11.31</w:t>
            </w:r>
          </w:p>
        </w:tc>
        <w:tc>
          <w:tcPr>
            <w:tcW w:w="668" w:type="pct"/>
            <w:shd w:val="clear" w:color="auto" w:fill="E8E8E8" w:themeFill="background2"/>
          </w:tcPr>
          <w:p w:rsidR="00752E94" w:rsidRPr="00596D01" w:rsidRDefault="00752E94" w:rsidP="00DE51CA">
            <w:pPr>
              <w:jc w:val="right"/>
              <w:rPr>
                <w:rStyle w:val="Strong"/>
              </w:rPr>
            </w:pPr>
            <w:r w:rsidRPr="00596D01">
              <w:rPr>
                <w:rStyle w:val="Strong"/>
              </w:rPr>
              <w:t>4.7%</w:t>
            </w:r>
          </w:p>
        </w:tc>
      </w:tr>
      <w:tr w:rsidR="00752E94" w:rsidTr="00DE51CA">
        <w:trPr>
          <w:trHeight w:val="113"/>
        </w:trPr>
        <w:tc>
          <w:tcPr>
            <w:tcW w:w="1750" w:type="pct"/>
          </w:tcPr>
          <w:p w:rsidR="00752E94" w:rsidRPr="0019295B" w:rsidRDefault="00752E94" w:rsidP="00DE51CA">
            <w:pPr>
              <w:rPr>
                <w:color w:val="000000"/>
              </w:rPr>
            </w:pPr>
            <w:r w:rsidRPr="0019295B">
              <w:rPr>
                <w:color w:val="000000"/>
              </w:rPr>
              <w:t>Other income</w:t>
            </w:r>
          </w:p>
        </w:tc>
        <w:tc>
          <w:tcPr>
            <w:tcW w:w="968" w:type="pct"/>
          </w:tcPr>
          <w:p w:rsidR="00752E94" w:rsidRPr="0019295B" w:rsidRDefault="00752E94" w:rsidP="00DE51CA">
            <w:pPr>
              <w:jc w:val="right"/>
              <w:rPr>
                <w:color w:val="000000"/>
              </w:rPr>
            </w:pPr>
            <w:r w:rsidRPr="0019295B">
              <w:rPr>
                <w:color w:val="000000"/>
              </w:rPr>
              <w:t>$20.53</w:t>
            </w:r>
          </w:p>
        </w:tc>
        <w:tc>
          <w:tcPr>
            <w:tcW w:w="888" w:type="pct"/>
          </w:tcPr>
          <w:p w:rsidR="00752E94" w:rsidRPr="0019295B" w:rsidRDefault="00752E94" w:rsidP="00DE51CA">
            <w:pPr>
              <w:jc w:val="right"/>
              <w:rPr>
                <w:color w:val="000000"/>
              </w:rPr>
            </w:pPr>
            <w:r w:rsidRPr="0019295B">
              <w:rPr>
                <w:color w:val="000000"/>
              </w:rPr>
              <w:t>$14.88</w:t>
            </w:r>
          </w:p>
        </w:tc>
        <w:tc>
          <w:tcPr>
            <w:tcW w:w="726" w:type="pct"/>
          </w:tcPr>
          <w:p w:rsidR="00752E94" w:rsidRPr="0019295B" w:rsidRDefault="00752E94" w:rsidP="00DE51CA">
            <w:pPr>
              <w:jc w:val="right"/>
              <w:rPr>
                <w:color w:val="FF0000"/>
              </w:rPr>
            </w:pPr>
            <w:r w:rsidRPr="0019295B">
              <w:rPr>
                <w:color w:val="FF0000"/>
              </w:rPr>
              <w:t>-$5.65</w:t>
            </w:r>
          </w:p>
        </w:tc>
        <w:tc>
          <w:tcPr>
            <w:tcW w:w="668" w:type="pct"/>
          </w:tcPr>
          <w:p w:rsidR="00752E94" w:rsidRPr="0019295B" w:rsidRDefault="00D8721E" w:rsidP="00DE51CA">
            <w:pPr>
              <w:jc w:val="right"/>
              <w:rPr>
                <w:color w:val="FF0000"/>
              </w:rPr>
            </w:pPr>
            <w:r>
              <w:rPr>
                <w:color w:val="FF0000"/>
              </w:rPr>
              <w:t>–2</w:t>
            </w:r>
            <w:r w:rsidR="00752E94" w:rsidRPr="0019295B">
              <w:rPr>
                <w:color w:val="FF0000"/>
              </w:rPr>
              <w:t>7.5%</w:t>
            </w:r>
          </w:p>
        </w:tc>
      </w:tr>
      <w:tr w:rsidR="00752E94" w:rsidTr="00DE51CA">
        <w:trPr>
          <w:trHeight w:val="113"/>
        </w:trPr>
        <w:tc>
          <w:tcPr>
            <w:tcW w:w="1750" w:type="pct"/>
            <w:shd w:val="clear" w:color="auto" w:fill="E8E8E8" w:themeFill="background2"/>
          </w:tcPr>
          <w:p w:rsidR="00752E94" w:rsidRPr="0019295B" w:rsidRDefault="00752E94" w:rsidP="00DE51CA">
            <w:pPr>
              <w:rPr>
                <w:color w:val="000000"/>
              </w:rPr>
            </w:pPr>
            <w:r w:rsidRPr="00596D01">
              <w:rPr>
                <w:rStyle w:val="Strong"/>
              </w:rPr>
              <w:t>Total</w:t>
            </w:r>
          </w:p>
        </w:tc>
        <w:tc>
          <w:tcPr>
            <w:tcW w:w="968" w:type="pct"/>
            <w:shd w:val="clear" w:color="auto" w:fill="E8E8E8" w:themeFill="background2"/>
          </w:tcPr>
          <w:p w:rsidR="00752E94" w:rsidRPr="0019295B" w:rsidRDefault="00752E94" w:rsidP="00DE51CA">
            <w:pPr>
              <w:jc w:val="right"/>
              <w:rPr>
                <w:color w:val="000000"/>
              </w:rPr>
            </w:pPr>
            <w:r w:rsidRPr="00596D01">
              <w:rPr>
                <w:rStyle w:val="Strong"/>
              </w:rPr>
              <w:t>$263.92</w:t>
            </w:r>
          </w:p>
        </w:tc>
        <w:tc>
          <w:tcPr>
            <w:tcW w:w="888" w:type="pct"/>
            <w:shd w:val="clear" w:color="auto" w:fill="E8E8E8" w:themeFill="background2"/>
          </w:tcPr>
          <w:p w:rsidR="00752E94" w:rsidRPr="0019295B" w:rsidRDefault="002973D3" w:rsidP="00DE51CA">
            <w:pPr>
              <w:jc w:val="right"/>
              <w:rPr>
                <w:color w:val="000000"/>
              </w:rPr>
            </w:pPr>
            <w:r w:rsidRPr="00596D01">
              <w:rPr>
                <w:rStyle w:val="Strong"/>
              </w:rPr>
              <w:t>$269.55</w:t>
            </w:r>
          </w:p>
        </w:tc>
        <w:tc>
          <w:tcPr>
            <w:tcW w:w="726" w:type="pct"/>
            <w:shd w:val="clear" w:color="auto" w:fill="E8E8E8" w:themeFill="background2"/>
          </w:tcPr>
          <w:p w:rsidR="00752E94" w:rsidRPr="0019295B" w:rsidRDefault="00752E94" w:rsidP="00DE51CA">
            <w:pPr>
              <w:jc w:val="right"/>
              <w:rPr>
                <w:color w:val="000000"/>
              </w:rPr>
            </w:pPr>
            <w:r w:rsidRPr="00596D01">
              <w:rPr>
                <w:rStyle w:val="Strong"/>
              </w:rPr>
              <w:t>$5.64</w:t>
            </w:r>
          </w:p>
        </w:tc>
        <w:tc>
          <w:tcPr>
            <w:tcW w:w="668" w:type="pct"/>
            <w:shd w:val="clear" w:color="auto" w:fill="E8E8E8" w:themeFill="background2"/>
          </w:tcPr>
          <w:p w:rsidR="00752E94" w:rsidRPr="00596D01" w:rsidRDefault="00752E94" w:rsidP="00DE51CA">
            <w:pPr>
              <w:jc w:val="right"/>
              <w:rPr>
                <w:rStyle w:val="Strong"/>
              </w:rPr>
            </w:pPr>
            <w:r w:rsidRPr="00596D01">
              <w:rPr>
                <w:rStyle w:val="Strong"/>
              </w:rPr>
              <w:t>2.1%</w:t>
            </w:r>
          </w:p>
        </w:tc>
      </w:tr>
    </w:tbl>
    <w:p w:rsidR="00752E94" w:rsidRDefault="00DE51CA" w:rsidP="00DE51CA">
      <w:pPr>
        <w:pStyle w:val="SourceNotesHeading"/>
      </w:pPr>
      <w:r>
        <w:t>Notes</w:t>
      </w:r>
    </w:p>
    <w:p w:rsidR="00DE51CA" w:rsidRPr="00DE51CA" w:rsidRDefault="00DE51CA" w:rsidP="0016704B">
      <w:pPr>
        <w:pStyle w:val="SourceNotesNumbered"/>
        <w:numPr>
          <w:ilvl w:val="0"/>
          <w:numId w:val="28"/>
        </w:numPr>
        <w:rPr>
          <w:lang w:val="en-GB"/>
        </w:rPr>
      </w:pPr>
      <w:r w:rsidRPr="00DE51CA">
        <w:rPr>
          <w:lang w:val="en-GB"/>
        </w:rPr>
        <w:t>With data collected through the ACFR in 2016–17, more accurate revenue items have been captured. This has lessened the reliance on multiple sources of data to ascertain numbers. As a consequence some new data items have been obtained such as capital grants. Some other items have been adjusted due to different collection through the ACFR, such as:</w:t>
      </w:r>
    </w:p>
    <w:p w:rsidR="00DE51CA" w:rsidRPr="00E626A6" w:rsidRDefault="00DE51CA" w:rsidP="0016704B">
      <w:pPr>
        <w:pStyle w:val="SourceNotesNumbered"/>
        <w:numPr>
          <w:ilvl w:val="1"/>
          <w:numId w:val="29"/>
        </w:numPr>
        <w:rPr>
          <w:lang w:val="en-GB"/>
        </w:rPr>
      </w:pPr>
      <w:r w:rsidRPr="00E626A6">
        <w:rPr>
          <w:lang w:val="en-GB"/>
        </w:rPr>
        <w:t>Subsidies and supplements were reported in accordance with Commonwealth records of payments made in previous years, as more reliable data was not available.</w:t>
      </w:r>
      <w:r>
        <w:rPr>
          <w:lang w:val="en-GB"/>
        </w:rPr>
        <w:t xml:space="preserve"> </w:t>
      </w:r>
      <w:r w:rsidRPr="00E626A6">
        <w:rPr>
          <w:lang w:val="en-GB"/>
        </w:rPr>
        <w:t>In</w:t>
      </w:r>
      <w:r>
        <w:rPr>
          <w:lang w:val="en-GB"/>
        </w:rPr>
        <w:t> 201</w:t>
      </w:r>
      <w:r w:rsidRPr="00E626A6">
        <w:rPr>
          <w:lang w:val="en-GB"/>
        </w:rPr>
        <w:t>6</w:t>
      </w:r>
      <w:r>
        <w:rPr>
          <w:lang w:val="en-GB"/>
        </w:rPr>
        <w:t>–1</w:t>
      </w:r>
      <w:r w:rsidRPr="00E626A6">
        <w:rPr>
          <w:lang w:val="en-GB"/>
        </w:rPr>
        <w:t>7</w:t>
      </w:r>
      <w:r>
        <w:rPr>
          <w:lang w:val="en-GB"/>
        </w:rPr>
        <w:t xml:space="preserve"> ACFA has been able to report </w:t>
      </w:r>
      <w:r w:rsidRPr="00E626A6">
        <w:rPr>
          <w:lang w:val="en-GB"/>
        </w:rPr>
        <w:t xml:space="preserve">the total subsidies received by providers captured through the ACFR. </w:t>
      </w:r>
    </w:p>
    <w:p w:rsidR="00DE51CA" w:rsidRPr="00E626A6" w:rsidRDefault="00DE51CA" w:rsidP="0016704B">
      <w:pPr>
        <w:pStyle w:val="SourceNotesNumbered"/>
        <w:numPr>
          <w:ilvl w:val="1"/>
          <w:numId w:val="29"/>
        </w:numPr>
        <w:rPr>
          <w:lang w:val="en-GB"/>
        </w:rPr>
      </w:pPr>
      <w:r w:rsidRPr="00E626A6">
        <w:rPr>
          <w:lang w:val="en-GB"/>
        </w:rPr>
        <w:t xml:space="preserve">Accommodation payments received (DAPs DACs etc) was collected from the Survey of Aged Care Homes (SACH) in prior years as no other source of data was available. This data appears to have been </w:t>
      </w:r>
      <w:r>
        <w:rPr>
          <w:lang w:val="en-GB"/>
        </w:rPr>
        <w:t xml:space="preserve">slightly </w:t>
      </w:r>
      <w:r w:rsidRPr="00E626A6">
        <w:rPr>
          <w:lang w:val="en-GB"/>
        </w:rPr>
        <w:t>overstated</w:t>
      </w:r>
      <w:r>
        <w:rPr>
          <w:lang w:val="en-GB"/>
        </w:rPr>
        <w:t xml:space="preserve"> through this method</w:t>
      </w:r>
      <w:r w:rsidRPr="00E626A6">
        <w:rPr>
          <w:lang w:val="en-GB"/>
        </w:rPr>
        <w:t>, and going forward will be obtained from the ACFR.</w:t>
      </w:r>
      <w:r>
        <w:rPr>
          <w:lang w:val="en-GB"/>
        </w:rPr>
        <w:t xml:space="preserve"> </w:t>
      </w:r>
    </w:p>
    <w:p w:rsidR="00DE51CA" w:rsidRPr="00E626A6" w:rsidRDefault="00DE51CA" w:rsidP="00DE51CA">
      <w:pPr>
        <w:pStyle w:val="SourceNotesNumbered"/>
        <w:rPr>
          <w:lang w:val="en-GB"/>
        </w:rPr>
      </w:pPr>
      <w:r w:rsidRPr="00E626A6">
        <w:rPr>
          <w:lang w:val="en-GB"/>
        </w:rPr>
        <w:t>Revenue from additional services fees, including capital refurbishment fees, asset replacement contributions and other similar fees related to accommodation charged by some providers are likely to have been included as part of extra services fees, or other income reported by providers</w:t>
      </w:r>
      <w:r>
        <w:rPr>
          <w:lang w:val="en-GB"/>
        </w:rPr>
        <w:t xml:space="preserve"> prior to 2016–17.</w:t>
      </w:r>
    </w:p>
    <w:p w:rsidR="00D8721E" w:rsidRDefault="00752E94" w:rsidP="00DE51CA">
      <w:pPr>
        <w:pStyle w:val="SourceNotesNumbered"/>
      </w:pPr>
      <w:r w:rsidRPr="00204C17">
        <w:t xml:space="preserve">Extra service subsidy reduction does not apply to new residents entering care from </w:t>
      </w:r>
      <w:r>
        <w:t>1 July</w:t>
      </w:r>
      <w:r w:rsidR="00A261F3">
        <w:t> 201</w:t>
      </w:r>
      <w:r>
        <w:t>4</w:t>
      </w:r>
      <w:r w:rsidR="00FB4FDF">
        <w:t>,</w:t>
      </w:r>
      <w:r w:rsidRPr="00204C17">
        <w:t xml:space="preserve"> however it still applies to residents in ES</w:t>
      </w:r>
      <w:r>
        <w:t>S</w:t>
      </w:r>
      <w:r w:rsidRPr="00204C17">
        <w:t xml:space="preserve"> places who were in care prior to </w:t>
      </w:r>
      <w:r>
        <w:t>1 July</w:t>
      </w:r>
      <w:r w:rsidR="00A261F3">
        <w:t> 201</w:t>
      </w:r>
      <w:r>
        <w:t>4</w:t>
      </w:r>
      <w:r w:rsidRPr="00204C17">
        <w:t>.</w:t>
      </w:r>
    </w:p>
    <w:p w:rsidR="00D8721E" w:rsidRDefault="00752E94" w:rsidP="00DE51CA">
      <w:pPr>
        <w:pStyle w:val="SourceNotesNumbered"/>
      </w:pPr>
      <w:r>
        <w:t xml:space="preserve">The amount shown for ACFI includes a small number of residents who are </w:t>
      </w:r>
      <w:proofErr w:type="spellStart"/>
      <w:r>
        <w:t>grandparented</w:t>
      </w:r>
      <w:proofErr w:type="spellEnd"/>
      <w:r>
        <w:t xml:space="preserve"> under the</w:t>
      </w:r>
      <w:r w:rsidR="00A130CA">
        <w:t xml:space="preserve"> former</w:t>
      </w:r>
      <w:r>
        <w:t xml:space="preserve"> ‘</w:t>
      </w:r>
      <w:r w:rsidR="00A130CA">
        <w:t>R</w:t>
      </w:r>
      <w:r>
        <w:t xml:space="preserve">esident </w:t>
      </w:r>
      <w:r w:rsidR="00A130CA">
        <w:t>C</w:t>
      </w:r>
      <w:r>
        <w:t xml:space="preserve">lassification </w:t>
      </w:r>
      <w:r w:rsidR="00A130CA">
        <w:t>S</w:t>
      </w:r>
      <w:r>
        <w:t>cale</w:t>
      </w:r>
      <w:r w:rsidR="00A130CA">
        <w:t>,</w:t>
      </w:r>
      <w:r>
        <w:t>’ which was the funding instrument in place prior to the ACFI being introduced in</w:t>
      </w:r>
      <w:r w:rsidR="00A261F3">
        <w:t> 200</w:t>
      </w:r>
      <w:r>
        <w:t>8.</w:t>
      </w:r>
    </w:p>
    <w:p w:rsidR="00493A21" w:rsidRPr="00596D01" w:rsidRDefault="00493A21" w:rsidP="00DE51CA">
      <w:pPr>
        <w:pStyle w:val="Heading3Numbered"/>
      </w:pPr>
      <w:bookmarkStart w:id="743" w:name="_Toc487702611"/>
      <w:bookmarkStart w:id="744" w:name="_Toc487702963"/>
      <w:bookmarkStart w:id="745" w:name="_Toc487703461"/>
      <w:bookmarkStart w:id="746" w:name="_Toc487703655"/>
      <w:bookmarkStart w:id="747" w:name="_Toc524424788"/>
      <w:r w:rsidRPr="00596D01">
        <w:t>Expenditure</w:t>
      </w:r>
      <w:bookmarkEnd w:id="743"/>
      <w:bookmarkEnd w:id="744"/>
      <w:bookmarkEnd w:id="745"/>
      <w:bookmarkEnd w:id="746"/>
      <w:bookmarkEnd w:id="747"/>
    </w:p>
    <w:p w:rsidR="00D8721E" w:rsidRDefault="002811C2" w:rsidP="00DE51CA">
      <w:r w:rsidRPr="003D03FB">
        <w:t>Total expenditure</w:t>
      </w:r>
      <w:r w:rsidR="004D1C02" w:rsidRPr="003D03FB">
        <w:t xml:space="preserve"> in</w:t>
      </w:r>
      <w:r w:rsidR="00A261F3">
        <w:t> 201</w:t>
      </w:r>
      <w:r w:rsidR="004D1C02" w:rsidRPr="003D03FB">
        <w:t>6</w:t>
      </w:r>
      <w:r w:rsidR="00D8721E">
        <w:t>–1</w:t>
      </w:r>
      <w:r w:rsidR="004D1C02" w:rsidRPr="003D03FB">
        <w:t>7</w:t>
      </w:r>
      <w:r w:rsidR="00FE6782">
        <w:t>,</w:t>
      </w:r>
      <w:r w:rsidRPr="003D03FB">
        <w:t xml:space="preserve"> for </w:t>
      </w:r>
      <w:r w:rsidR="004D1C02" w:rsidRPr="003D03FB">
        <w:t>those</w:t>
      </w:r>
      <w:r w:rsidRPr="003D03FB">
        <w:t xml:space="preserve"> providers</w:t>
      </w:r>
      <w:r w:rsidR="004D1C02" w:rsidRPr="003D03FB">
        <w:t xml:space="preserve"> who </w:t>
      </w:r>
      <w:r w:rsidRPr="003D03FB">
        <w:t xml:space="preserve">submitted their </w:t>
      </w:r>
      <w:r w:rsidR="00A130CA">
        <w:t>ACFR</w:t>
      </w:r>
      <w:r w:rsidRPr="003D03FB">
        <w:t>s</w:t>
      </w:r>
      <w:r w:rsidR="00FE6782">
        <w:t>,</w:t>
      </w:r>
      <w:r w:rsidRPr="003D03FB">
        <w:t xml:space="preserve"> was $16.</w:t>
      </w:r>
      <w:r w:rsidR="006F2DBC">
        <w:t>75</w:t>
      </w:r>
      <w:r w:rsidR="00A261F3">
        <w:t> billion</w:t>
      </w:r>
      <w:r w:rsidRPr="003D03FB">
        <w:t>, up from $16.</w:t>
      </w:r>
      <w:r w:rsidR="0056555D">
        <w:t>1</w:t>
      </w:r>
      <w:r w:rsidR="00A261F3">
        <w:t> billion</w:t>
      </w:r>
      <w:r w:rsidRPr="003D03FB">
        <w:t xml:space="preserve"> in</w:t>
      </w:r>
      <w:r w:rsidR="00A261F3">
        <w:t> 201</w:t>
      </w:r>
      <w:r w:rsidRPr="003D03FB">
        <w:t>5</w:t>
      </w:r>
      <w:r w:rsidR="00D8721E">
        <w:t>–1</w:t>
      </w:r>
      <w:r w:rsidRPr="003D03FB">
        <w:t xml:space="preserve">6. </w:t>
      </w:r>
      <w:r w:rsidR="00492BF8">
        <w:fldChar w:fldCharType="begin"/>
      </w:r>
      <w:r w:rsidR="00492BF8">
        <w:instrText xml:space="preserve"> REF _Ref524428538 \r \h </w:instrText>
      </w:r>
      <w:r w:rsidR="00492BF8">
        <w:fldChar w:fldCharType="separate"/>
      </w:r>
      <w:r w:rsidR="00492BF8">
        <w:t>Chart 9.6</w:t>
      </w:r>
      <w:r w:rsidR="00492BF8">
        <w:fldChar w:fldCharType="end"/>
      </w:r>
      <w:r w:rsidR="00492BF8">
        <w:t xml:space="preserve"> </w:t>
      </w:r>
      <w:r w:rsidR="00991DF0">
        <w:t>shows total expenses for the five years to</w:t>
      </w:r>
      <w:r w:rsidR="00A261F3">
        <w:t> 201</w:t>
      </w:r>
      <w:r w:rsidR="00991DF0">
        <w:t>6</w:t>
      </w:r>
      <w:r w:rsidR="00D8721E">
        <w:t>–1</w:t>
      </w:r>
      <w:r w:rsidR="00991DF0">
        <w:t>7.</w:t>
      </w:r>
    </w:p>
    <w:p w:rsidR="00991DF0" w:rsidRPr="00596D01" w:rsidRDefault="00991DF0" w:rsidP="00DE51CA">
      <w:pPr>
        <w:pStyle w:val="ChartTitle"/>
      </w:pPr>
      <w:bookmarkStart w:id="748" w:name="_Ref524428538"/>
      <w:r w:rsidRPr="00596D01">
        <w:t>Total expenses, residential care providers,</w:t>
      </w:r>
      <w:r w:rsidR="00A261F3" w:rsidRPr="00596D01">
        <w:t> 201</w:t>
      </w:r>
      <w:r w:rsidRPr="00596D01">
        <w:t>2</w:t>
      </w:r>
      <w:r w:rsidR="00D8721E" w:rsidRPr="00596D01">
        <w:t>–1</w:t>
      </w:r>
      <w:r w:rsidRPr="00596D01">
        <w:t>3 to</w:t>
      </w:r>
      <w:r w:rsidR="00A261F3" w:rsidRPr="00596D01">
        <w:t> 201</w:t>
      </w:r>
      <w:r w:rsidRPr="00596D01">
        <w:t>6</w:t>
      </w:r>
      <w:r w:rsidR="00D8721E" w:rsidRPr="00596D01">
        <w:t>–1</w:t>
      </w:r>
      <w:r w:rsidRPr="00596D01">
        <w:t>7</w:t>
      </w:r>
      <w:bookmarkEnd w:id="748"/>
    </w:p>
    <w:p w:rsidR="00D8721E" w:rsidRDefault="00A506CC" w:rsidP="00DE51CA">
      <w:pPr>
        <w:jc w:val="center"/>
      </w:pPr>
      <w:r>
        <w:rPr>
          <w:noProof/>
        </w:rPr>
        <w:drawing>
          <wp:inline distT="0" distB="0" distL="0" distR="0" wp14:anchorId="45E8ABF4" wp14:editId="0A1997DF">
            <wp:extent cx="4320000" cy="2285290"/>
            <wp:effectExtent l="0" t="0" r="4445" b="1270"/>
            <wp:docPr id="693" name="Picture 693" descr="Chart 9.6 Total expenses, residential care providers, 2012–13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cb0036\AppData\Local\Microsoft\Windows\Temporary Internet Files\Content.Outlook\X33EN5GL\Chart_9.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0000" cy="2285290"/>
                    </a:xfrm>
                    <a:prstGeom prst="rect">
                      <a:avLst/>
                    </a:prstGeom>
                    <a:noFill/>
                    <a:ln>
                      <a:noFill/>
                    </a:ln>
                  </pic:spPr>
                </pic:pic>
              </a:graphicData>
            </a:graphic>
          </wp:inline>
        </w:drawing>
      </w:r>
    </w:p>
    <w:p w:rsidR="00D8721E" w:rsidRDefault="00492BF8" w:rsidP="00DE51CA">
      <w:r>
        <w:fldChar w:fldCharType="begin"/>
      </w:r>
      <w:r>
        <w:instrText xml:space="preserve"> REF _Ref524429593 \r \h </w:instrText>
      </w:r>
      <w:r>
        <w:fldChar w:fldCharType="separate"/>
      </w:r>
      <w:r>
        <w:t>Table 9.7</w:t>
      </w:r>
      <w:r>
        <w:fldChar w:fldCharType="end"/>
      </w:r>
      <w:r>
        <w:t xml:space="preserve"> </w:t>
      </w:r>
      <w:r w:rsidR="00F2257C">
        <w:t>shows the expenses for residential care providers i</w:t>
      </w:r>
      <w:r w:rsidR="00B5758D">
        <w:t>n</w:t>
      </w:r>
      <w:r w:rsidR="00A261F3">
        <w:t> 201</w:t>
      </w:r>
      <w:r w:rsidR="00B5758D">
        <w:t>6</w:t>
      </w:r>
      <w:r w:rsidR="00D8721E">
        <w:t>–1</w:t>
      </w:r>
      <w:r w:rsidR="00B5758D">
        <w:t>7 compared with</w:t>
      </w:r>
      <w:r w:rsidR="00A261F3">
        <w:t> 201</w:t>
      </w:r>
      <w:r w:rsidR="00B5758D">
        <w:t>5</w:t>
      </w:r>
      <w:r w:rsidR="00D8721E">
        <w:t>–1</w:t>
      </w:r>
      <w:r w:rsidR="00B5758D">
        <w:t>6 and</w:t>
      </w:r>
      <w:r w:rsidR="00F2257C">
        <w:t xml:space="preserve"> </w:t>
      </w:r>
      <w:r>
        <w:fldChar w:fldCharType="begin"/>
      </w:r>
      <w:r>
        <w:instrText xml:space="preserve"> REF _Ref524428546 \r \h </w:instrText>
      </w:r>
      <w:r>
        <w:fldChar w:fldCharType="separate"/>
      </w:r>
      <w:r>
        <w:t>Chart 9.7</w:t>
      </w:r>
      <w:r>
        <w:fldChar w:fldCharType="end"/>
      </w:r>
      <w:r>
        <w:t xml:space="preserve"> </w:t>
      </w:r>
      <w:r w:rsidR="00B5758D">
        <w:t>presents the expenses for</w:t>
      </w:r>
      <w:r w:rsidR="00A261F3">
        <w:t> 201</w:t>
      </w:r>
      <w:r w:rsidR="00B5758D">
        <w:t>6</w:t>
      </w:r>
      <w:r w:rsidR="00D8721E">
        <w:t>–1</w:t>
      </w:r>
      <w:r w:rsidR="00B5758D">
        <w:t xml:space="preserve">7 as a proportion of total </w:t>
      </w:r>
      <w:r w:rsidR="008D238E">
        <w:t>expenses.</w:t>
      </w:r>
    </w:p>
    <w:p w:rsidR="006F2DBC" w:rsidRPr="00596D01" w:rsidRDefault="006F2DBC" w:rsidP="00DE51CA">
      <w:pPr>
        <w:pStyle w:val="TableTitle"/>
      </w:pPr>
      <w:bookmarkStart w:id="749" w:name="_Ref524429593"/>
      <w:r w:rsidRPr="00596D01">
        <w:lastRenderedPageBreak/>
        <w:t>Summary of expenses, residential care providers,</w:t>
      </w:r>
      <w:r w:rsidR="00A261F3" w:rsidRPr="00596D01">
        <w:t> 201</w:t>
      </w:r>
      <w:r w:rsidRPr="00596D01">
        <w:t>5</w:t>
      </w:r>
      <w:r w:rsidR="00D8721E" w:rsidRPr="00596D01">
        <w:t>–1</w:t>
      </w:r>
      <w:r w:rsidRPr="00596D01">
        <w:t>6 and</w:t>
      </w:r>
      <w:r w:rsidR="00A261F3" w:rsidRPr="00596D01">
        <w:t> 201</w:t>
      </w:r>
      <w:r w:rsidRPr="00596D01">
        <w:t>6</w:t>
      </w:r>
      <w:r w:rsidR="00D8721E" w:rsidRPr="00596D01">
        <w:t>–1</w:t>
      </w:r>
      <w:r w:rsidRPr="00596D01">
        <w:t>7</w:t>
      </w:r>
      <w:bookmarkEnd w:id="74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078"/>
        <w:gridCol w:w="1889"/>
        <w:gridCol w:w="1889"/>
        <w:gridCol w:w="1889"/>
        <w:gridCol w:w="1883"/>
      </w:tblGrid>
      <w:tr w:rsidR="006F2DBC" w:rsidRPr="000A0457"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79" w:type="pct"/>
            <w:hideMark/>
          </w:tcPr>
          <w:p w:rsidR="006F2DBC" w:rsidRPr="000A0457" w:rsidRDefault="006F2DBC" w:rsidP="00DE51CA">
            <w:pPr>
              <w:rPr>
                <w:rFonts w:ascii="Segoe UI" w:hAnsi="Segoe UI" w:cs="Segoe UI"/>
              </w:rPr>
            </w:pPr>
            <w:r w:rsidRPr="00596D01">
              <w:t xml:space="preserve">Expenses </w:t>
            </w:r>
          </w:p>
        </w:tc>
        <w:tc>
          <w:tcPr>
            <w:tcW w:w="981" w:type="pct"/>
          </w:tcPr>
          <w:p w:rsidR="006F2DBC" w:rsidRPr="000A0457" w:rsidRDefault="006F2DBC" w:rsidP="00DE51CA">
            <w:pPr>
              <w:jc w:val="right"/>
              <w:rPr>
                <w:rFonts w:ascii="Segoe UI" w:hAnsi="Segoe UI" w:cs="Segoe UI"/>
              </w:rPr>
            </w:pPr>
            <w:r w:rsidRPr="00596D01">
              <w:t>2015</w:t>
            </w:r>
            <w:r w:rsidR="00D8721E" w:rsidRPr="00596D01">
              <w:t>–1</w:t>
            </w:r>
            <w:r w:rsidRPr="00596D01">
              <w:t>6 ($m)</w:t>
            </w:r>
          </w:p>
        </w:tc>
        <w:tc>
          <w:tcPr>
            <w:tcW w:w="981" w:type="pct"/>
          </w:tcPr>
          <w:p w:rsidR="006F2DBC" w:rsidRPr="000A0457" w:rsidRDefault="006F2DBC" w:rsidP="00DE51CA">
            <w:pPr>
              <w:jc w:val="right"/>
              <w:rPr>
                <w:rFonts w:ascii="Segoe UI" w:hAnsi="Segoe UI" w:cs="Segoe UI"/>
              </w:rPr>
            </w:pPr>
            <w:r w:rsidRPr="00596D01">
              <w:t>2016</w:t>
            </w:r>
            <w:r w:rsidR="00D8721E" w:rsidRPr="00596D01">
              <w:t>–1</w:t>
            </w:r>
            <w:r w:rsidRPr="00596D01">
              <w:t>7 ($m)</w:t>
            </w:r>
          </w:p>
        </w:tc>
        <w:tc>
          <w:tcPr>
            <w:tcW w:w="981" w:type="pct"/>
          </w:tcPr>
          <w:p w:rsidR="006F2DBC" w:rsidRPr="000A0457" w:rsidRDefault="006F2DBC" w:rsidP="00DE51CA">
            <w:pPr>
              <w:jc w:val="right"/>
              <w:rPr>
                <w:rFonts w:ascii="Segoe UI" w:hAnsi="Segoe UI" w:cs="Segoe UI"/>
              </w:rPr>
            </w:pPr>
            <w:r w:rsidRPr="00596D01">
              <w:t>Change ($m)</w:t>
            </w:r>
          </w:p>
        </w:tc>
        <w:tc>
          <w:tcPr>
            <w:tcW w:w="978" w:type="pct"/>
          </w:tcPr>
          <w:p w:rsidR="006F2DBC" w:rsidRPr="00596D01" w:rsidRDefault="006F2DBC" w:rsidP="00DE51CA">
            <w:pPr>
              <w:jc w:val="right"/>
            </w:pPr>
            <w:r w:rsidRPr="00596D01">
              <w:t>Change (%)</w:t>
            </w:r>
          </w:p>
        </w:tc>
      </w:tr>
      <w:tr w:rsidR="006F2DBC" w:rsidRPr="00F3678E" w:rsidTr="00DE51CA">
        <w:trPr>
          <w:trHeight w:val="113"/>
        </w:trPr>
        <w:tc>
          <w:tcPr>
            <w:tcW w:w="1079" w:type="pct"/>
          </w:tcPr>
          <w:p w:rsidR="006F2DBC" w:rsidRPr="00513C69" w:rsidRDefault="006F2DBC" w:rsidP="00DE51CA">
            <w:pPr>
              <w:rPr>
                <w:rFonts w:ascii="Segoe UI" w:hAnsi="Segoe UI" w:cs="Segoe UI"/>
                <w:color w:val="000000"/>
              </w:rPr>
            </w:pPr>
            <w:r w:rsidRPr="00513C69">
              <w:rPr>
                <w:rFonts w:ascii="Segoe UI" w:hAnsi="Segoe UI" w:cs="Segoe UI"/>
                <w:color w:val="000000"/>
              </w:rPr>
              <w:t xml:space="preserve">Employee </w:t>
            </w:r>
          </w:p>
        </w:tc>
        <w:tc>
          <w:tcPr>
            <w:tcW w:w="981" w:type="pct"/>
          </w:tcPr>
          <w:p w:rsidR="006F2DBC" w:rsidRPr="00513C69" w:rsidRDefault="006F2DBC" w:rsidP="00DE51CA">
            <w:pPr>
              <w:jc w:val="right"/>
              <w:rPr>
                <w:rFonts w:ascii="Segoe UI" w:hAnsi="Segoe UI" w:cs="Segoe UI"/>
                <w:bCs/>
              </w:rPr>
            </w:pPr>
            <w:r w:rsidRPr="00513C69">
              <w:rPr>
                <w:rFonts w:ascii="Segoe UI" w:hAnsi="Segoe UI" w:cs="Segoe UI"/>
                <w:bCs/>
              </w:rPr>
              <w:t>$10,855.6</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$11,792.1</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$936.5</w:t>
            </w:r>
          </w:p>
        </w:tc>
        <w:tc>
          <w:tcPr>
            <w:tcW w:w="978"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8.6%</w:t>
            </w:r>
          </w:p>
        </w:tc>
      </w:tr>
      <w:tr w:rsidR="006F2DBC" w:rsidRPr="00F3678E" w:rsidTr="00DE51CA">
        <w:trPr>
          <w:trHeight w:val="113"/>
        </w:trPr>
        <w:tc>
          <w:tcPr>
            <w:tcW w:w="1079" w:type="pct"/>
          </w:tcPr>
          <w:p w:rsidR="006F2DBC" w:rsidRPr="00513C69" w:rsidRDefault="006F2DBC" w:rsidP="00DE51CA">
            <w:pPr>
              <w:rPr>
                <w:rFonts w:ascii="Segoe UI" w:hAnsi="Segoe UI" w:cs="Segoe UI"/>
                <w:color w:val="000000"/>
              </w:rPr>
            </w:pPr>
            <w:r w:rsidRPr="00513C69">
              <w:rPr>
                <w:rFonts w:ascii="Segoe UI" w:hAnsi="Segoe UI" w:cs="Segoe UI"/>
                <w:color w:val="000000"/>
              </w:rPr>
              <w:t>Depreciation</w:t>
            </w:r>
          </w:p>
        </w:tc>
        <w:tc>
          <w:tcPr>
            <w:tcW w:w="981" w:type="pct"/>
          </w:tcPr>
          <w:p w:rsidR="006F2DBC" w:rsidRPr="00513C69" w:rsidRDefault="006F2DBC" w:rsidP="00DE51CA">
            <w:pPr>
              <w:jc w:val="right"/>
              <w:rPr>
                <w:rFonts w:ascii="Segoe UI" w:hAnsi="Segoe UI" w:cs="Segoe UI"/>
                <w:bCs/>
              </w:rPr>
            </w:pPr>
            <w:r w:rsidRPr="00513C69">
              <w:rPr>
                <w:rFonts w:ascii="Segoe UI" w:hAnsi="Segoe UI" w:cs="Segoe UI"/>
                <w:bCs/>
              </w:rPr>
              <w:t>$772.2</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$895.3</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$123.1</w:t>
            </w:r>
          </w:p>
        </w:tc>
        <w:tc>
          <w:tcPr>
            <w:tcW w:w="978"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15.9%</w:t>
            </w:r>
          </w:p>
        </w:tc>
      </w:tr>
      <w:tr w:rsidR="006F2DBC" w:rsidRPr="00F3678E" w:rsidTr="00DE51CA">
        <w:trPr>
          <w:trHeight w:val="113"/>
        </w:trPr>
        <w:tc>
          <w:tcPr>
            <w:tcW w:w="1079" w:type="pct"/>
          </w:tcPr>
          <w:p w:rsidR="006F2DBC" w:rsidRPr="00513C69" w:rsidRDefault="006F2DBC" w:rsidP="00DE51CA">
            <w:pPr>
              <w:rPr>
                <w:rFonts w:ascii="Segoe UI" w:hAnsi="Segoe UI" w:cs="Segoe UI"/>
                <w:color w:val="000000"/>
              </w:rPr>
            </w:pPr>
            <w:r w:rsidRPr="00513C69">
              <w:rPr>
                <w:rFonts w:ascii="Segoe UI" w:hAnsi="Segoe UI" w:cs="Segoe UI"/>
                <w:color w:val="000000"/>
              </w:rPr>
              <w:t>Interest</w:t>
            </w:r>
          </w:p>
        </w:tc>
        <w:tc>
          <w:tcPr>
            <w:tcW w:w="981" w:type="pct"/>
          </w:tcPr>
          <w:p w:rsidR="006F2DBC" w:rsidRPr="00513C69" w:rsidRDefault="006F2DBC" w:rsidP="00DE51CA">
            <w:pPr>
              <w:jc w:val="right"/>
              <w:rPr>
                <w:rFonts w:ascii="Segoe UI" w:hAnsi="Segoe UI" w:cs="Segoe UI"/>
                <w:bCs/>
              </w:rPr>
            </w:pPr>
            <w:r w:rsidRPr="00513C69">
              <w:rPr>
                <w:rFonts w:ascii="Segoe UI" w:hAnsi="Segoe UI" w:cs="Segoe UI"/>
                <w:bCs/>
              </w:rPr>
              <w:t>$149.8</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$171.1</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$21.3</w:t>
            </w:r>
          </w:p>
        </w:tc>
        <w:tc>
          <w:tcPr>
            <w:tcW w:w="978"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14.2%</w:t>
            </w:r>
          </w:p>
        </w:tc>
      </w:tr>
      <w:tr w:rsidR="006F2DBC" w:rsidRPr="00F3678E" w:rsidTr="00DE51CA">
        <w:trPr>
          <w:trHeight w:val="113"/>
        </w:trPr>
        <w:tc>
          <w:tcPr>
            <w:tcW w:w="1079" w:type="pct"/>
          </w:tcPr>
          <w:p w:rsidR="006F2DBC" w:rsidRPr="00513C69" w:rsidRDefault="006F2DBC" w:rsidP="00DE51CA">
            <w:pPr>
              <w:rPr>
                <w:rFonts w:ascii="Segoe UI" w:hAnsi="Segoe UI" w:cs="Segoe UI"/>
                <w:color w:val="000000"/>
              </w:rPr>
            </w:pPr>
            <w:r w:rsidRPr="00513C69">
              <w:rPr>
                <w:rFonts w:ascii="Segoe UI" w:hAnsi="Segoe UI" w:cs="Segoe UI"/>
                <w:color w:val="000000"/>
              </w:rPr>
              <w:t>Other expenses</w:t>
            </w:r>
          </w:p>
        </w:tc>
        <w:tc>
          <w:tcPr>
            <w:tcW w:w="981" w:type="pct"/>
          </w:tcPr>
          <w:p w:rsidR="006F2DBC" w:rsidRPr="00513C69" w:rsidRDefault="006F2DBC" w:rsidP="00DE51CA">
            <w:pPr>
              <w:jc w:val="right"/>
              <w:rPr>
                <w:rFonts w:ascii="Segoe UI" w:hAnsi="Segoe UI" w:cs="Segoe UI"/>
                <w:bCs/>
              </w:rPr>
            </w:pPr>
            <w:r w:rsidRPr="00513C69">
              <w:rPr>
                <w:rFonts w:ascii="Segoe UI" w:hAnsi="Segoe UI" w:cs="Segoe UI"/>
                <w:bCs/>
              </w:rPr>
              <w:t>$4,331.5</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$3,892.3</w:t>
            </w:r>
          </w:p>
        </w:tc>
        <w:tc>
          <w:tcPr>
            <w:tcW w:w="981" w:type="pct"/>
          </w:tcPr>
          <w:p w:rsidR="006F2DBC" w:rsidRPr="00513C69" w:rsidRDefault="006F2DBC" w:rsidP="00DE51CA">
            <w:pPr>
              <w:jc w:val="right"/>
              <w:rPr>
                <w:rFonts w:ascii="Segoe UI" w:hAnsi="Segoe UI" w:cs="Segoe UI"/>
                <w:color w:val="000000"/>
              </w:rPr>
            </w:pPr>
            <w:r w:rsidRPr="00513C69">
              <w:rPr>
                <w:rFonts w:ascii="Segoe UI" w:hAnsi="Segoe UI" w:cs="Segoe UI"/>
                <w:color w:val="000000"/>
              </w:rPr>
              <w:t>-$439.20</w:t>
            </w:r>
          </w:p>
        </w:tc>
        <w:tc>
          <w:tcPr>
            <w:tcW w:w="978" w:type="pct"/>
          </w:tcPr>
          <w:p w:rsidR="006F2DBC" w:rsidRPr="00513C69" w:rsidRDefault="00D8721E" w:rsidP="00DE51CA">
            <w:pPr>
              <w:jc w:val="right"/>
              <w:rPr>
                <w:rFonts w:ascii="Segoe UI" w:hAnsi="Segoe UI" w:cs="Segoe UI"/>
                <w:color w:val="000000"/>
              </w:rPr>
            </w:pPr>
            <w:r>
              <w:rPr>
                <w:rFonts w:ascii="Segoe UI" w:hAnsi="Segoe UI" w:cs="Segoe UI"/>
                <w:color w:val="000000"/>
              </w:rPr>
              <w:t>–1</w:t>
            </w:r>
            <w:r w:rsidR="006F2DBC" w:rsidRPr="00513C69">
              <w:rPr>
                <w:rFonts w:ascii="Segoe UI" w:hAnsi="Segoe UI" w:cs="Segoe UI"/>
                <w:color w:val="000000"/>
              </w:rPr>
              <w:t>0.1%</w:t>
            </w:r>
          </w:p>
        </w:tc>
      </w:tr>
      <w:tr w:rsidR="006F2DBC" w:rsidRPr="00F3678E" w:rsidTr="00DE51CA">
        <w:trPr>
          <w:trHeight w:val="113"/>
        </w:trPr>
        <w:tc>
          <w:tcPr>
            <w:tcW w:w="1079" w:type="pct"/>
          </w:tcPr>
          <w:p w:rsidR="006F2DBC" w:rsidRPr="00513C69" w:rsidRDefault="006F2DBC" w:rsidP="00DE51CA">
            <w:pPr>
              <w:rPr>
                <w:rFonts w:ascii="Segoe UI" w:hAnsi="Segoe UI" w:cs="Segoe UI"/>
                <w:b/>
                <w:color w:val="000000"/>
              </w:rPr>
            </w:pPr>
            <w:r w:rsidRPr="00596D01">
              <w:rPr>
                <w:rStyle w:val="Strong"/>
              </w:rPr>
              <w:t>Total expenses</w:t>
            </w:r>
          </w:p>
        </w:tc>
        <w:tc>
          <w:tcPr>
            <w:tcW w:w="981" w:type="pct"/>
          </w:tcPr>
          <w:p w:rsidR="006F2DBC" w:rsidRPr="00513C69" w:rsidRDefault="006F2DBC" w:rsidP="00DE51CA">
            <w:pPr>
              <w:jc w:val="right"/>
              <w:rPr>
                <w:rFonts w:ascii="Segoe UI" w:hAnsi="Segoe UI" w:cs="Segoe UI"/>
                <w:b/>
                <w:color w:val="000000"/>
              </w:rPr>
            </w:pPr>
            <w:r w:rsidRPr="00596D01">
              <w:rPr>
                <w:rStyle w:val="Strong"/>
              </w:rPr>
              <w:t>$16,109.1</w:t>
            </w:r>
          </w:p>
        </w:tc>
        <w:tc>
          <w:tcPr>
            <w:tcW w:w="981" w:type="pct"/>
          </w:tcPr>
          <w:p w:rsidR="006F2DBC" w:rsidRPr="00513C69" w:rsidRDefault="00FE6782" w:rsidP="00DE51CA">
            <w:pPr>
              <w:jc w:val="right"/>
              <w:rPr>
                <w:rFonts w:ascii="Segoe UI" w:hAnsi="Segoe UI" w:cs="Segoe UI"/>
                <w:b/>
                <w:color w:val="000000"/>
              </w:rPr>
            </w:pPr>
            <w:r w:rsidRPr="00596D01">
              <w:rPr>
                <w:rStyle w:val="Strong"/>
              </w:rPr>
              <w:t>$16,750.9</w:t>
            </w:r>
          </w:p>
        </w:tc>
        <w:tc>
          <w:tcPr>
            <w:tcW w:w="981" w:type="pct"/>
          </w:tcPr>
          <w:p w:rsidR="006F2DBC" w:rsidRPr="00513C69" w:rsidRDefault="006F2DBC" w:rsidP="00DE51CA">
            <w:pPr>
              <w:jc w:val="right"/>
              <w:rPr>
                <w:rFonts w:ascii="Segoe UI" w:hAnsi="Segoe UI" w:cs="Segoe UI"/>
                <w:b/>
                <w:color w:val="000000"/>
              </w:rPr>
            </w:pPr>
            <w:r w:rsidRPr="00596D01">
              <w:rPr>
                <w:rStyle w:val="Strong"/>
              </w:rPr>
              <w:t>$641.7</w:t>
            </w:r>
          </w:p>
        </w:tc>
        <w:tc>
          <w:tcPr>
            <w:tcW w:w="978" w:type="pct"/>
          </w:tcPr>
          <w:p w:rsidR="006F2DBC" w:rsidRPr="00596D01" w:rsidRDefault="006F2DBC" w:rsidP="00DE51CA">
            <w:pPr>
              <w:jc w:val="right"/>
              <w:rPr>
                <w:rStyle w:val="Strong"/>
              </w:rPr>
            </w:pPr>
            <w:r w:rsidRPr="00596D01">
              <w:rPr>
                <w:rStyle w:val="Strong"/>
              </w:rPr>
              <w:t>4.0%</w:t>
            </w:r>
          </w:p>
        </w:tc>
      </w:tr>
    </w:tbl>
    <w:p w:rsidR="00D8721E" w:rsidRDefault="00F2257C" w:rsidP="00DE51CA">
      <w:r>
        <w:t xml:space="preserve">Total expenditure increased by </w:t>
      </w:r>
      <w:r w:rsidR="00853876">
        <w:t>4</w:t>
      </w:r>
      <w:r w:rsidR="00A261F3">
        <w:t> per cent</w:t>
      </w:r>
      <w:r>
        <w:t xml:space="preserve"> in</w:t>
      </w:r>
      <w:r w:rsidR="00A261F3">
        <w:t> 201</w:t>
      </w:r>
      <w:r>
        <w:t>6</w:t>
      </w:r>
      <w:r w:rsidR="00D8721E">
        <w:t>–1</w:t>
      </w:r>
      <w:r>
        <w:t>7 to $16.75</w:t>
      </w:r>
      <w:r w:rsidR="00A261F3">
        <w:t> billion</w:t>
      </w:r>
      <w:r>
        <w:t>. Employee</w:t>
      </w:r>
      <w:r w:rsidRPr="004A15C1">
        <w:t xml:space="preserve"> costs represent</w:t>
      </w:r>
      <w:r>
        <w:t xml:space="preserve"> </w:t>
      </w:r>
      <w:r w:rsidRPr="00E1630C">
        <w:t>70</w:t>
      </w:r>
      <w:r w:rsidR="00A261F3">
        <w:t> per cent</w:t>
      </w:r>
      <w:r w:rsidRPr="00E1630C">
        <w:t xml:space="preserve"> of </w:t>
      </w:r>
      <w:r>
        <w:t xml:space="preserve">the </w:t>
      </w:r>
      <w:r w:rsidRPr="00E1630C">
        <w:t>total expenses</w:t>
      </w:r>
      <w:r>
        <w:t xml:space="preserve"> incurred by providers</w:t>
      </w:r>
      <w:r w:rsidRPr="00E1630C">
        <w:t>, an increase from</w:t>
      </w:r>
      <w:r w:rsidR="00A261F3">
        <w:t> 201</w:t>
      </w:r>
      <w:r w:rsidRPr="00E1630C">
        <w:t>5</w:t>
      </w:r>
      <w:r w:rsidR="00D8721E">
        <w:t>–1</w:t>
      </w:r>
      <w:r w:rsidRPr="00E1630C">
        <w:t>6 where staff costs represented 6</w:t>
      </w:r>
      <w:r w:rsidR="00D00B54">
        <w:t>7</w:t>
      </w:r>
      <w:r w:rsidR="00A261F3">
        <w:t> per cent</w:t>
      </w:r>
      <w:r w:rsidRPr="00E1630C">
        <w:t xml:space="preserve"> of total expenses</w:t>
      </w:r>
      <w:r w:rsidR="00D8721E">
        <w:t>.</w:t>
      </w:r>
    </w:p>
    <w:p w:rsidR="00D8721E" w:rsidRDefault="00F2257C" w:rsidP="00DE51CA">
      <w:r w:rsidRPr="00E1630C">
        <w:t xml:space="preserve">‘Other’ </w:t>
      </w:r>
      <w:r>
        <w:t>expenses</w:t>
      </w:r>
      <w:r w:rsidRPr="00E1630C">
        <w:t xml:space="preserve"> represented </w:t>
      </w:r>
      <w:r>
        <w:t>2</w:t>
      </w:r>
      <w:r w:rsidR="00341DAB">
        <w:t>3</w:t>
      </w:r>
      <w:r w:rsidR="00A261F3">
        <w:t> per cent</w:t>
      </w:r>
      <w:r w:rsidRPr="00E1630C">
        <w:t xml:space="preserve"> of total costs, </w:t>
      </w:r>
      <w:r>
        <w:t xml:space="preserve">down from </w:t>
      </w:r>
      <w:r w:rsidRPr="00E1630C">
        <w:t>2</w:t>
      </w:r>
      <w:r w:rsidR="00D00B54">
        <w:t>7</w:t>
      </w:r>
      <w:r w:rsidR="00A261F3">
        <w:t> per cent</w:t>
      </w:r>
      <w:r>
        <w:t xml:space="preserve"> in</w:t>
      </w:r>
      <w:r w:rsidR="00A261F3">
        <w:t> 201</w:t>
      </w:r>
      <w:r>
        <w:t>5</w:t>
      </w:r>
      <w:r w:rsidR="00D8721E">
        <w:t>–1</w:t>
      </w:r>
      <w:r>
        <w:t>6</w:t>
      </w:r>
      <w:r w:rsidRPr="00E1630C">
        <w:t xml:space="preserve">. </w:t>
      </w:r>
      <w:r w:rsidR="00DE6757">
        <w:t>‘Other’ expenses include</w:t>
      </w:r>
      <w:r w:rsidR="00DE6757" w:rsidRPr="00E1630C">
        <w:t xml:space="preserve"> building repairs and maintenance expenses, rent, utilities and costs associated with employment support activities</w:t>
      </w:r>
      <w:r w:rsidR="00DE6757">
        <w:t>, cleaning and administration. D</w:t>
      </w:r>
      <w:r w:rsidRPr="00E1630C">
        <w:t xml:space="preserve">epreciation and interest costs account for the remaining </w:t>
      </w:r>
      <w:r w:rsidR="007361F4">
        <w:t>5</w:t>
      </w:r>
      <w:r w:rsidRPr="00E1630C">
        <w:t> and </w:t>
      </w:r>
      <w:r w:rsidR="00853876">
        <w:t>1</w:t>
      </w:r>
      <w:r w:rsidR="00A261F3">
        <w:t> per cent</w:t>
      </w:r>
      <w:r w:rsidRPr="00E1630C">
        <w:t xml:space="preserve"> respectively</w:t>
      </w:r>
      <w:r>
        <w:t>, the same as in</w:t>
      </w:r>
      <w:r w:rsidR="00A261F3">
        <w:t> 201</w:t>
      </w:r>
      <w:r>
        <w:t>5</w:t>
      </w:r>
      <w:r w:rsidR="00D8721E">
        <w:t>–1</w:t>
      </w:r>
      <w:r>
        <w:t>6</w:t>
      </w:r>
      <w:r w:rsidR="00D8721E">
        <w:t>.</w:t>
      </w:r>
    </w:p>
    <w:p w:rsidR="006738B3" w:rsidRDefault="006738B3" w:rsidP="00DE51CA">
      <w:r>
        <w:t>In</w:t>
      </w:r>
      <w:r w:rsidR="00A261F3">
        <w:t> 201</w:t>
      </w:r>
      <w:r>
        <w:t>6</w:t>
      </w:r>
      <w:r w:rsidR="00D8721E">
        <w:t>–1</w:t>
      </w:r>
      <w:r>
        <w:t>7, $11.8</w:t>
      </w:r>
      <w:r w:rsidR="00A261F3">
        <w:t> billion</w:t>
      </w:r>
      <w:r>
        <w:t xml:space="preserve"> was expended in wages and management fees (employee expenses), an increase of $93</w:t>
      </w:r>
      <w:r w:rsidR="006F2DBC">
        <w:t>6.5</w:t>
      </w:r>
      <w:r w:rsidR="00A261F3">
        <w:t> million</w:t>
      </w:r>
      <w:r>
        <w:t xml:space="preserve"> from</w:t>
      </w:r>
      <w:r w:rsidR="00A261F3">
        <w:t> 201</w:t>
      </w:r>
      <w:r>
        <w:t>5</w:t>
      </w:r>
      <w:r w:rsidR="00D8721E">
        <w:t>–1</w:t>
      </w:r>
      <w:r>
        <w:t>6. Of this increase:</w:t>
      </w:r>
    </w:p>
    <w:p w:rsidR="006738B3" w:rsidRPr="006738B3" w:rsidRDefault="006738B3" w:rsidP="00DE51CA">
      <w:pPr>
        <w:pStyle w:val="Bullet1"/>
        <w:rPr>
          <w:lang w:val="en-GB"/>
        </w:rPr>
      </w:pPr>
      <w:r w:rsidRPr="006738B3">
        <w:rPr>
          <w:lang w:val="en-GB"/>
        </w:rPr>
        <w:t>$13</w:t>
      </w:r>
      <w:r w:rsidR="00AB6911">
        <w:rPr>
          <w:lang w:val="en-GB"/>
        </w:rPr>
        <w:t>5</w:t>
      </w:r>
      <w:r w:rsidR="00A261F3">
        <w:rPr>
          <w:lang w:val="en-GB"/>
        </w:rPr>
        <w:t> million</w:t>
      </w:r>
      <w:r w:rsidRPr="006738B3">
        <w:rPr>
          <w:lang w:val="en-GB"/>
        </w:rPr>
        <w:t xml:space="preserve"> (1</w:t>
      </w:r>
      <w:r w:rsidR="008C2527">
        <w:rPr>
          <w:lang w:val="en-GB"/>
        </w:rPr>
        <w:t>4</w:t>
      </w:r>
      <w:r w:rsidR="00A261F3">
        <w:rPr>
          <w:lang w:val="en-GB"/>
        </w:rPr>
        <w:t> per cent</w:t>
      </w:r>
      <w:r w:rsidRPr="006738B3">
        <w:rPr>
          <w:lang w:val="en-GB"/>
        </w:rPr>
        <w:t>) is attributable to an increase in number of days of care provided (volume changes)</w:t>
      </w:r>
      <w:r w:rsidR="00C144E9">
        <w:rPr>
          <w:lang w:val="en-GB"/>
        </w:rPr>
        <w:t>;</w:t>
      </w:r>
    </w:p>
    <w:p w:rsidR="006738B3" w:rsidRPr="006738B3" w:rsidRDefault="006738B3" w:rsidP="00DE51CA">
      <w:pPr>
        <w:pStyle w:val="Bullet1"/>
        <w:rPr>
          <w:lang w:val="en-GB"/>
        </w:rPr>
      </w:pPr>
      <w:r w:rsidRPr="006738B3">
        <w:rPr>
          <w:lang w:val="en-GB"/>
        </w:rPr>
        <w:t>$79</w:t>
      </w:r>
      <w:r w:rsidR="00AB6911">
        <w:rPr>
          <w:lang w:val="en-GB"/>
        </w:rPr>
        <w:t>2</w:t>
      </w:r>
      <w:r w:rsidR="00A261F3">
        <w:rPr>
          <w:lang w:val="en-GB"/>
        </w:rPr>
        <w:t> million</w:t>
      </w:r>
      <w:r w:rsidRPr="006738B3">
        <w:rPr>
          <w:lang w:val="en-GB"/>
        </w:rPr>
        <w:t xml:space="preserve"> (8</w:t>
      </w:r>
      <w:r w:rsidR="009C307B">
        <w:rPr>
          <w:lang w:val="en-GB"/>
        </w:rPr>
        <w:t>5</w:t>
      </w:r>
      <w:r w:rsidR="00A261F3">
        <w:rPr>
          <w:lang w:val="en-GB"/>
        </w:rPr>
        <w:t> per cent</w:t>
      </w:r>
      <w:r w:rsidRPr="006738B3">
        <w:rPr>
          <w:lang w:val="en-GB"/>
        </w:rPr>
        <w:t>) is attributable to a 7.</w:t>
      </w:r>
      <w:r w:rsidR="00341DAB">
        <w:rPr>
          <w:lang w:val="en-GB"/>
        </w:rPr>
        <w:t>3</w:t>
      </w:r>
      <w:r w:rsidR="00A261F3">
        <w:rPr>
          <w:lang w:val="en-GB"/>
        </w:rPr>
        <w:t> per cent</w:t>
      </w:r>
      <w:r w:rsidRPr="006738B3">
        <w:rPr>
          <w:lang w:val="en-GB"/>
        </w:rPr>
        <w:t xml:space="preserve"> increase ($12.17 per claim day) in the average amount paid per claim day in wages and management fees. This would reflect a combination of factors including wage increases, increased hours worked per claim day, increased staffing levels, and changes in the mix of staff to cater for increased care needs; and</w:t>
      </w:r>
    </w:p>
    <w:p w:rsidR="00D8721E" w:rsidRDefault="006738B3" w:rsidP="00DE51CA">
      <w:pPr>
        <w:pStyle w:val="Bullet1"/>
        <w:rPr>
          <w:lang w:val="en-GB"/>
        </w:rPr>
      </w:pPr>
      <w:r w:rsidRPr="006738B3">
        <w:rPr>
          <w:lang w:val="en-GB"/>
        </w:rPr>
        <w:t>The remaining $1</w:t>
      </w:r>
      <w:r w:rsidR="00AB6911">
        <w:rPr>
          <w:lang w:val="en-GB"/>
        </w:rPr>
        <w:t>0</w:t>
      </w:r>
      <w:r w:rsidR="00A261F3">
        <w:rPr>
          <w:lang w:val="en-GB"/>
        </w:rPr>
        <w:t> million</w:t>
      </w:r>
      <w:r w:rsidRPr="006738B3">
        <w:rPr>
          <w:lang w:val="en-GB"/>
        </w:rPr>
        <w:t xml:space="preserve"> (</w:t>
      </w:r>
      <w:r w:rsidR="00853876">
        <w:rPr>
          <w:lang w:val="en-GB"/>
        </w:rPr>
        <w:t>1</w:t>
      </w:r>
      <w:r w:rsidR="00A261F3">
        <w:rPr>
          <w:lang w:val="en-GB"/>
        </w:rPr>
        <w:t> per cent</w:t>
      </w:r>
      <w:r w:rsidRPr="006738B3">
        <w:rPr>
          <w:lang w:val="en-GB"/>
        </w:rPr>
        <w:t>) is due to the interaction of price/volume changes.</w:t>
      </w:r>
    </w:p>
    <w:p w:rsidR="008D238E" w:rsidRPr="00596D01" w:rsidRDefault="008D238E" w:rsidP="00DE51CA">
      <w:pPr>
        <w:pStyle w:val="ChartTitle"/>
      </w:pPr>
      <w:bookmarkStart w:id="750" w:name="_Ref524428546"/>
      <w:r w:rsidRPr="00596D01">
        <w:t>Proportion of total expenses, residential care providers,</w:t>
      </w:r>
      <w:r w:rsidR="00A261F3" w:rsidRPr="00596D01">
        <w:t> 201</w:t>
      </w:r>
      <w:r w:rsidRPr="00596D01">
        <w:t>6</w:t>
      </w:r>
      <w:r w:rsidR="00D8721E" w:rsidRPr="00596D01">
        <w:t>–1</w:t>
      </w:r>
      <w:r w:rsidRPr="00596D01">
        <w:t>7</w:t>
      </w:r>
      <w:bookmarkEnd w:id="750"/>
    </w:p>
    <w:p w:rsidR="00D8721E" w:rsidRDefault="006F2DBC" w:rsidP="00DE51CA">
      <w:pPr>
        <w:jc w:val="center"/>
      </w:pPr>
      <w:r>
        <w:rPr>
          <w:noProof/>
        </w:rPr>
        <w:drawing>
          <wp:inline distT="0" distB="0" distL="0" distR="0" wp14:anchorId="12E3EC87" wp14:editId="4CF5B874">
            <wp:extent cx="3333750" cy="1485900"/>
            <wp:effectExtent l="0" t="0" r="0" b="0"/>
            <wp:docPr id="22" name="Picture 22" descr="Chart 9.7 Proportion of total expenses, residential care providers,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cb0036\AppData\Local\Microsoft\Windows\Temporary Internet Files\Content.Outlook\DXFUNO8X\Chart_9.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33750" cy="1485900"/>
                    </a:xfrm>
                    <a:prstGeom prst="rect">
                      <a:avLst/>
                    </a:prstGeom>
                    <a:noFill/>
                    <a:ln>
                      <a:noFill/>
                    </a:ln>
                  </pic:spPr>
                </pic:pic>
              </a:graphicData>
            </a:graphic>
          </wp:inline>
        </w:drawing>
      </w:r>
    </w:p>
    <w:p w:rsidR="00D8721E" w:rsidRDefault="00A130CA" w:rsidP="00DE51CA">
      <w:r w:rsidRPr="00AD3587">
        <w:t xml:space="preserve">As noted in the discussion on residential care provider revenue, </w:t>
      </w:r>
      <w:r w:rsidR="003D03FB" w:rsidRPr="00AD3587">
        <w:t>the Department collected additi</w:t>
      </w:r>
      <w:r w:rsidRPr="00AD3587">
        <w:t>onal financial information in</w:t>
      </w:r>
      <w:r w:rsidR="00A261F3">
        <w:t> 201</w:t>
      </w:r>
      <w:r w:rsidRPr="00AD3587">
        <w:t>6</w:t>
      </w:r>
      <w:r w:rsidR="00D8721E">
        <w:t>–1</w:t>
      </w:r>
      <w:r w:rsidRPr="00AD3587">
        <w:t>7 through the Aged Care Financial Reports (ACFR)</w:t>
      </w:r>
      <w:r w:rsidR="003D03FB" w:rsidRPr="00AD3587">
        <w:t xml:space="preserve"> not previously collected. This enables ACFA to present a more detailed analysis of expenditure for the sector. However, as this data was not collected for</w:t>
      </w:r>
      <w:r w:rsidR="00A261F3">
        <w:t> 201</w:t>
      </w:r>
      <w:r w:rsidR="003D03FB" w:rsidRPr="00AD3587">
        <w:t>5</w:t>
      </w:r>
      <w:r w:rsidR="00D8721E">
        <w:t>–1</w:t>
      </w:r>
      <w:r w:rsidR="003D03FB" w:rsidRPr="00AD3587">
        <w:t xml:space="preserve">6 and earlier, </w:t>
      </w:r>
      <w:r w:rsidR="006A61A9" w:rsidRPr="00AD3587">
        <w:t xml:space="preserve">it is not possible to provide </w:t>
      </w:r>
      <w:r w:rsidR="003D03FB" w:rsidRPr="00AD3587">
        <w:t>comparative analysis</w:t>
      </w:r>
      <w:r w:rsidR="006A61A9" w:rsidRPr="00AD3587">
        <w:t xml:space="preserve"> with past years</w:t>
      </w:r>
      <w:r w:rsidR="00D8721E">
        <w:t>.</w:t>
      </w:r>
    </w:p>
    <w:p w:rsidR="00D8721E" w:rsidRDefault="00492BF8" w:rsidP="00DE51CA">
      <w:r>
        <w:fldChar w:fldCharType="begin"/>
      </w:r>
      <w:r>
        <w:instrText xml:space="preserve"> REF _Ref524429604 \r \h </w:instrText>
      </w:r>
      <w:r>
        <w:fldChar w:fldCharType="separate"/>
      </w:r>
      <w:r>
        <w:t>Table 9.8</w:t>
      </w:r>
      <w:r>
        <w:fldChar w:fldCharType="end"/>
      </w:r>
      <w:r>
        <w:t xml:space="preserve"> </w:t>
      </w:r>
      <w:r w:rsidR="00011D72" w:rsidRPr="00E1630C">
        <w:t>shows the major expense types for providers</w:t>
      </w:r>
      <w:r w:rsidR="00011D72">
        <w:t>, per resident per day, for the five years to</w:t>
      </w:r>
      <w:r w:rsidR="00A261F3">
        <w:t> 201</w:t>
      </w:r>
      <w:r w:rsidR="00011D72" w:rsidRPr="00E1630C">
        <w:t>6</w:t>
      </w:r>
      <w:r w:rsidR="00D8721E">
        <w:t>–1</w:t>
      </w:r>
      <w:r w:rsidR="00011D72" w:rsidRPr="00E1630C">
        <w:t>7</w:t>
      </w:r>
      <w:r w:rsidR="00011D72">
        <w:t>. Total e</w:t>
      </w:r>
      <w:r w:rsidR="00011D72" w:rsidRPr="00A345C9">
        <w:t xml:space="preserve">xpenses </w:t>
      </w:r>
      <w:r w:rsidR="00011D72">
        <w:t>per resident per day were $254.29 in</w:t>
      </w:r>
      <w:r w:rsidR="00A261F3">
        <w:t> 201</w:t>
      </w:r>
      <w:r w:rsidR="00011D72">
        <w:t>6</w:t>
      </w:r>
      <w:r w:rsidR="00D8721E">
        <w:t>–1</w:t>
      </w:r>
      <w:r w:rsidR="00011D72">
        <w:t>7, up from $247.58</w:t>
      </w:r>
      <w:r w:rsidR="00011D72" w:rsidRPr="00A345C9">
        <w:t xml:space="preserve"> in</w:t>
      </w:r>
      <w:r w:rsidR="00A261F3">
        <w:t> 201</w:t>
      </w:r>
      <w:r w:rsidR="00011D72">
        <w:t>5</w:t>
      </w:r>
      <w:r w:rsidR="00D8721E">
        <w:t>–1</w:t>
      </w:r>
      <w:r w:rsidR="00011D72">
        <w:t>6</w:t>
      </w:r>
      <w:r w:rsidR="00D8721E">
        <w:t>.</w:t>
      </w:r>
    </w:p>
    <w:p w:rsidR="00011D72" w:rsidRPr="00596D01" w:rsidRDefault="00011D72" w:rsidP="00DE51CA">
      <w:pPr>
        <w:pStyle w:val="TableTitle"/>
      </w:pPr>
      <w:bookmarkStart w:id="751" w:name="_Ref524429604"/>
      <w:r w:rsidRPr="00596D01">
        <w:lastRenderedPageBreak/>
        <w:t>Summary of expenses, per resident per day,</w:t>
      </w:r>
      <w:r w:rsidR="00A261F3" w:rsidRPr="00596D01">
        <w:t> 201</w:t>
      </w:r>
      <w:r w:rsidRPr="00596D01">
        <w:t>2</w:t>
      </w:r>
      <w:r w:rsidR="00D8721E" w:rsidRPr="00596D01">
        <w:t>–1</w:t>
      </w:r>
      <w:r w:rsidRPr="00596D01">
        <w:t>3 to</w:t>
      </w:r>
      <w:r w:rsidR="00A261F3" w:rsidRPr="00596D01">
        <w:t> 201</w:t>
      </w:r>
      <w:r w:rsidRPr="00596D01">
        <w:t>6</w:t>
      </w:r>
      <w:r w:rsidR="00D8721E" w:rsidRPr="00596D01">
        <w:t>–1</w:t>
      </w:r>
      <w:r w:rsidRPr="00596D01">
        <w:t>7</w:t>
      </w:r>
      <w:bookmarkEnd w:id="751"/>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79"/>
        <w:gridCol w:w="1529"/>
        <w:gridCol w:w="1531"/>
        <w:gridCol w:w="1529"/>
        <w:gridCol w:w="1531"/>
        <w:gridCol w:w="1529"/>
      </w:tblGrid>
      <w:tr w:rsidR="00966BAF" w:rsidRPr="00513C69" w:rsidTr="00C67407">
        <w:trPr>
          <w:cnfStyle w:val="100000000000" w:firstRow="1" w:lastRow="0" w:firstColumn="0" w:lastColumn="0" w:oddVBand="0" w:evenVBand="0" w:oddHBand="0" w:evenHBand="0" w:firstRowFirstColumn="0" w:firstRowLastColumn="0" w:lastRowFirstColumn="0" w:lastRowLastColumn="0"/>
          <w:trHeight w:val="113"/>
          <w:tblHeader/>
        </w:trPr>
        <w:tc>
          <w:tcPr>
            <w:tcW w:w="1028" w:type="pct"/>
            <w:hideMark/>
          </w:tcPr>
          <w:p w:rsidR="00011D72" w:rsidRPr="00513C69" w:rsidRDefault="00011D72" w:rsidP="00DE51CA">
            <w:pPr>
              <w:rPr>
                <w:rFonts w:ascii="Segoe UI" w:hAnsi="Segoe UI" w:cs="Segoe UI"/>
                <w:b w:val="0"/>
                <w:bCs w:val="0"/>
              </w:rPr>
            </w:pPr>
            <w:r w:rsidRPr="00596D01">
              <w:t xml:space="preserve">Expenses </w:t>
            </w:r>
          </w:p>
        </w:tc>
        <w:tc>
          <w:tcPr>
            <w:tcW w:w="794" w:type="pct"/>
          </w:tcPr>
          <w:p w:rsidR="00011D72" w:rsidRPr="00513C69" w:rsidRDefault="00011D72" w:rsidP="00DE51CA">
            <w:pPr>
              <w:jc w:val="right"/>
              <w:rPr>
                <w:rFonts w:ascii="Segoe UI" w:hAnsi="Segoe UI" w:cs="Segoe UI"/>
                <w:b w:val="0"/>
                <w:bCs w:val="0"/>
              </w:rPr>
            </w:pPr>
            <w:r w:rsidRPr="00596D01">
              <w:t>2012</w:t>
            </w:r>
            <w:r w:rsidR="00D8721E" w:rsidRPr="00596D01">
              <w:t>–1</w:t>
            </w:r>
            <w:r w:rsidRPr="00596D01">
              <w:t>3</w:t>
            </w:r>
          </w:p>
        </w:tc>
        <w:tc>
          <w:tcPr>
            <w:tcW w:w="795" w:type="pct"/>
          </w:tcPr>
          <w:p w:rsidR="00011D72" w:rsidRPr="00513C69" w:rsidRDefault="00011D72" w:rsidP="00DE51CA">
            <w:pPr>
              <w:jc w:val="right"/>
              <w:rPr>
                <w:rFonts w:ascii="Segoe UI" w:hAnsi="Segoe UI" w:cs="Segoe UI"/>
                <w:b w:val="0"/>
                <w:bCs w:val="0"/>
              </w:rPr>
            </w:pPr>
            <w:r w:rsidRPr="00596D01">
              <w:t>2013</w:t>
            </w:r>
            <w:r w:rsidR="00D8721E" w:rsidRPr="00596D01">
              <w:t>–1</w:t>
            </w:r>
            <w:r w:rsidRPr="00596D01">
              <w:t>4</w:t>
            </w:r>
          </w:p>
        </w:tc>
        <w:tc>
          <w:tcPr>
            <w:tcW w:w="794" w:type="pct"/>
          </w:tcPr>
          <w:p w:rsidR="00011D72" w:rsidRPr="00513C69" w:rsidRDefault="00011D72" w:rsidP="00DE51CA">
            <w:pPr>
              <w:jc w:val="right"/>
              <w:rPr>
                <w:rFonts w:ascii="Segoe UI" w:hAnsi="Segoe UI" w:cs="Segoe UI"/>
                <w:b w:val="0"/>
                <w:bCs w:val="0"/>
              </w:rPr>
            </w:pPr>
            <w:r w:rsidRPr="00596D01">
              <w:t>2014</w:t>
            </w:r>
            <w:r w:rsidR="00D8721E" w:rsidRPr="00596D01">
              <w:t>–1</w:t>
            </w:r>
            <w:r w:rsidRPr="00596D01">
              <w:t>5</w:t>
            </w:r>
          </w:p>
        </w:tc>
        <w:tc>
          <w:tcPr>
            <w:tcW w:w="795" w:type="pct"/>
          </w:tcPr>
          <w:p w:rsidR="00011D72" w:rsidRPr="00513C69" w:rsidRDefault="00011D72" w:rsidP="00DE51CA">
            <w:pPr>
              <w:jc w:val="right"/>
              <w:rPr>
                <w:rFonts w:ascii="Segoe UI" w:hAnsi="Segoe UI" w:cs="Segoe UI"/>
                <w:b w:val="0"/>
                <w:bCs w:val="0"/>
              </w:rPr>
            </w:pPr>
            <w:r w:rsidRPr="00596D01">
              <w:t>2015</w:t>
            </w:r>
            <w:r w:rsidR="00D8721E" w:rsidRPr="00596D01">
              <w:t>–1</w:t>
            </w:r>
            <w:r w:rsidRPr="00596D01">
              <w:t>6</w:t>
            </w:r>
          </w:p>
        </w:tc>
        <w:tc>
          <w:tcPr>
            <w:tcW w:w="795" w:type="pct"/>
          </w:tcPr>
          <w:p w:rsidR="00011D72" w:rsidRPr="00596D01" w:rsidRDefault="00011D72" w:rsidP="00DE51CA">
            <w:pPr>
              <w:jc w:val="right"/>
            </w:pPr>
            <w:r w:rsidRPr="00596D01">
              <w:t>2016</w:t>
            </w:r>
            <w:r w:rsidR="00D8721E" w:rsidRPr="00596D01">
              <w:t>–1</w:t>
            </w:r>
            <w:r w:rsidRPr="00596D01">
              <w:t>7</w:t>
            </w:r>
          </w:p>
        </w:tc>
      </w:tr>
      <w:tr w:rsidR="00011D72" w:rsidRPr="00513C69" w:rsidTr="00DE51CA">
        <w:trPr>
          <w:trHeight w:val="113"/>
        </w:trPr>
        <w:tc>
          <w:tcPr>
            <w:tcW w:w="1028" w:type="pct"/>
          </w:tcPr>
          <w:p w:rsidR="00011D72" w:rsidRPr="00513C69" w:rsidRDefault="00011D72" w:rsidP="00DE51CA">
            <w:pPr>
              <w:rPr>
                <w:rFonts w:ascii="Segoe UI" w:hAnsi="Segoe UI" w:cs="Segoe UI"/>
                <w:color w:val="000000"/>
              </w:rPr>
            </w:pPr>
            <w:r w:rsidRPr="00513C69">
              <w:rPr>
                <w:rFonts w:ascii="Segoe UI" w:hAnsi="Segoe UI" w:cs="Segoe UI"/>
                <w:color w:val="000000"/>
              </w:rPr>
              <w:t xml:space="preserve">Employee </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$142.92</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$148.81</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$157.68</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$166.84</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$179.01</w:t>
            </w:r>
          </w:p>
        </w:tc>
      </w:tr>
      <w:tr w:rsidR="00011D72" w:rsidRPr="00513C69" w:rsidTr="00DE51CA">
        <w:trPr>
          <w:trHeight w:val="113"/>
        </w:trPr>
        <w:tc>
          <w:tcPr>
            <w:tcW w:w="1028" w:type="pct"/>
          </w:tcPr>
          <w:p w:rsidR="00011D72" w:rsidRPr="00513C69" w:rsidRDefault="00011D72" w:rsidP="00DE51CA">
            <w:pPr>
              <w:rPr>
                <w:rFonts w:ascii="Segoe UI" w:hAnsi="Segoe UI" w:cs="Segoe UI"/>
                <w:color w:val="000000"/>
              </w:rPr>
            </w:pPr>
            <w:r w:rsidRPr="00513C69">
              <w:rPr>
                <w:rFonts w:ascii="Segoe UI" w:hAnsi="Segoe UI" w:cs="Segoe UI"/>
                <w:color w:val="000000"/>
              </w:rPr>
              <w:t>Depreciation</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$11.59</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$11.56</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$11.49</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$11.87</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$13.59</w:t>
            </w:r>
          </w:p>
        </w:tc>
      </w:tr>
      <w:tr w:rsidR="00011D72" w:rsidRPr="00513C69" w:rsidTr="00DE51CA">
        <w:trPr>
          <w:trHeight w:val="113"/>
        </w:trPr>
        <w:tc>
          <w:tcPr>
            <w:tcW w:w="1028" w:type="pct"/>
          </w:tcPr>
          <w:p w:rsidR="00011D72" w:rsidRPr="00513C69" w:rsidRDefault="00011D72" w:rsidP="00DE51CA">
            <w:pPr>
              <w:rPr>
                <w:rFonts w:ascii="Segoe UI" w:hAnsi="Segoe UI" w:cs="Segoe UI"/>
                <w:color w:val="000000"/>
              </w:rPr>
            </w:pPr>
            <w:r w:rsidRPr="00513C69">
              <w:rPr>
                <w:rFonts w:ascii="Segoe UI" w:hAnsi="Segoe UI" w:cs="Segoe UI"/>
                <w:color w:val="000000"/>
              </w:rPr>
              <w:t>Interest</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$2.57</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$2.34</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$2.21</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$2.30</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$2.60</w:t>
            </w:r>
          </w:p>
        </w:tc>
      </w:tr>
      <w:tr w:rsidR="00011D72" w:rsidRPr="00513C69" w:rsidTr="00DE51CA">
        <w:trPr>
          <w:trHeight w:val="113"/>
        </w:trPr>
        <w:tc>
          <w:tcPr>
            <w:tcW w:w="1028" w:type="pct"/>
          </w:tcPr>
          <w:p w:rsidR="00011D72" w:rsidRPr="00513C69" w:rsidRDefault="00011D72" w:rsidP="00DE51CA">
            <w:pPr>
              <w:rPr>
                <w:rFonts w:ascii="Segoe UI" w:hAnsi="Segoe UI" w:cs="Segoe UI"/>
                <w:color w:val="000000"/>
              </w:rPr>
            </w:pPr>
            <w:r w:rsidRPr="00513C69">
              <w:rPr>
                <w:rFonts w:ascii="Segoe UI" w:hAnsi="Segoe UI" w:cs="Segoe UI"/>
                <w:color w:val="000000"/>
              </w:rPr>
              <w:t>Other</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$58.24</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$62.81</w:t>
            </w:r>
          </w:p>
        </w:tc>
        <w:tc>
          <w:tcPr>
            <w:tcW w:w="794"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$63.67</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$66.57</w:t>
            </w:r>
          </w:p>
        </w:tc>
        <w:tc>
          <w:tcPr>
            <w:tcW w:w="795" w:type="pct"/>
          </w:tcPr>
          <w:p w:rsidR="00011D72" w:rsidRPr="00513C69" w:rsidRDefault="00011D72" w:rsidP="00DE51CA">
            <w:pPr>
              <w:jc w:val="right"/>
              <w:rPr>
                <w:rFonts w:ascii="Segoe UI" w:hAnsi="Segoe UI" w:cs="Segoe UI"/>
                <w:color w:val="000000"/>
              </w:rPr>
            </w:pPr>
            <w:r w:rsidRPr="00513C69">
              <w:rPr>
                <w:rFonts w:ascii="Segoe UI" w:hAnsi="Segoe UI" w:cs="Segoe UI"/>
                <w:color w:val="000000"/>
              </w:rPr>
              <w:t>$59.09</w:t>
            </w:r>
          </w:p>
        </w:tc>
      </w:tr>
      <w:tr w:rsidR="00011D72" w:rsidRPr="00513C69" w:rsidTr="00DE51CA">
        <w:trPr>
          <w:trHeight w:val="113"/>
        </w:trPr>
        <w:tc>
          <w:tcPr>
            <w:tcW w:w="1028" w:type="pct"/>
          </w:tcPr>
          <w:p w:rsidR="00011D72" w:rsidRPr="00513C69" w:rsidRDefault="00C144E9" w:rsidP="00DE51CA">
            <w:pPr>
              <w:rPr>
                <w:rFonts w:ascii="Segoe UI" w:hAnsi="Segoe UI" w:cs="Segoe UI"/>
                <w:color w:val="000000"/>
              </w:rPr>
            </w:pPr>
            <w:r w:rsidRPr="00596D01">
              <w:rPr>
                <w:rStyle w:val="Strong"/>
              </w:rPr>
              <w:t>Total e</w:t>
            </w:r>
            <w:r w:rsidR="00011D72" w:rsidRPr="00596D01">
              <w:rPr>
                <w:rStyle w:val="Strong"/>
              </w:rPr>
              <w:t>xpenses</w:t>
            </w:r>
          </w:p>
        </w:tc>
        <w:tc>
          <w:tcPr>
            <w:tcW w:w="794" w:type="pct"/>
          </w:tcPr>
          <w:p w:rsidR="00011D72" w:rsidRPr="00513C69" w:rsidRDefault="00011D72" w:rsidP="00DE51CA">
            <w:pPr>
              <w:jc w:val="right"/>
              <w:rPr>
                <w:rFonts w:ascii="Segoe UI" w:hAnsi="Segoe UI" w:cs="Segoe UI"/>
                <w:color w:val="000000"/>
              </w:rPr>
            </w:pPr>
            <w:r w:rsidRPr="00596D01">
              <w:rPr>
                <w:rStyle w:val="Strong"/>
              </w:rPr>
              <w:t>$215.31</w:t>
            </w:r>
          </w:p>
        </w:tc>
        <w:tc>
          <w:tcPr>
            <w:tcW w:w="795" w:type="pct"/>
          </w:tcPr>
          <w:p w:rsidR="00011D72" w:rsidRPr="00513C69" w:rsidRDefault="00011D72" w:rsidP="00DE51CA">
            <w:pPr>
              <w:jc w:val="right"/>
              <w:rPr>
                <w:rFonts w:ascii="Segoe UI" w:hAnsi="Segoe UI" w:cs="Segoe UI"/>
                <w:color w:val="000000"/>
              </w:rPr>
            </w:pPr>
            <w:r w:rsidRPr="00596D01">
              <w:rPr>
                <w:rStyle w:val="Strong"/>
              </w:rPr>
              <w:t>$225.52</w:t>
            </w:r>
          </w:p>
        </w:tc>
        <w:tc>
          <w:tcPr>
            <w:tcW w:w="794" w:type="pct"/>
          </w:tcPr>
          <w:p w:rsidR="00011D72" w:rsidRPr="00513C69" w:rsidRDefault="00011D72" w:rsidP="00DE51CA">
            <w:pPr>
              <w:jc w:val="right"/>
              <w:rPr>
                <w:rFonts w:ascii="Segoe UI" w:hAnsi="Segoe UI" w:cs="Segoe UI"/>
                <w:color w:val="000000"/>
              </w:rPr>
            </w:pPr>
            <w:r w:rsidRPr="00596D01">
              <w:rPr>
                <w:rStyle w:val="Strong"/>
              </w:rPr>
              <w:t>$235.05</w:t>
            </w:r>
          </w:p>
        </w:tc>
        <w:tc>
          <w:tcPr>
            <w:tcW w:w="795" w:type="pct"/>
          </w:tcPr>
          <w:p w:rsidR="00011D72" w:rsidRPr="00513C69" w:rsidRDefault="00011D72" w:rsidP="00DE51CA">
            <w:pPr>
              <w:jc w:val="right"/>
              <w:rPr>
                <w:rFonts w:ascii="Segoe UI" w:hAnsi="Segoe UI" w:cs="Segoe UI"/>
                <w:color w:val="000000"/>
              </w:rPr>
            </w:pPr>
            <w:r w:rsidRPr="00596D01">
              <w:rPr>
                <w:rStyle w:val="Strong"/>
              </w:rPr>
              <w:t>$247.58</w:t>
            </w:r>
          </w:p>
        </w:tc>
        <w:tc>
          <w:tcPr>
            <w:tcW w:w="795" w:type="pct"/>
          </w:tcPr>
          <w:p w:rsidR="00011D72" w:rsidRPr="00596D01" w:rsidRDefault="00011D72" w:rsidP="00DE51CA">
            <w:pPr>
              <w:jc w:val="right"/>
              <w:rPr>
                <w:rStyle w:val="Strong"/>
              </w:rPr>
            </w:pPr>
            <w:r w:rsidRPr="00596D01">
              <w:rPr>
                <w:rStyle w:val="Strong"/>
              </w:rPr>
              <w:t>$254.29</w:t>
            </w:r>
          </w:p>
        </w:tc>
      </w:tr>
    </w:tbl>
    <w:p w:rsidR="00D8721E" w:rsidRDefault="00F15291" w:rsidP="00DE51CA">
      <w:r>
        <w:t>As noted earlier, i</w:t>
      </w:r>
      <w:r w:rsidR="001C21B2">
        <w:t>n</w:t>
      </w:r>
      <w:r w:rsidR="00A261F3">
        <w:t> 201</w:t>
      </w:r>
      <w:r w:rsidR="001C21B2">
        <w:t>6</w:t>
      </w:r>
      <w:r w:rsidR="00D8721E">
        <w:t>–1</w:t>
      </w:r>
      <w:r w:rsidR="001C21B2">
        <w:t>7, a</w:t>
      </w:r>
      <w:r w:rsidR="001C21B2" w:rsidRPr="008D21B0">
        <w:t xml:space="preserve"> different breakdown of expenditure data was collected through the introduction of the </w:t>
      </w:r>
      <w:r w:rsidR="001C21B2">
        <w:t>ACFR</w:t>
      </w:r>
      <w:r w:rsidR="001C21B2" w:rsidRPr="008D21B0">
        <w:t xml:space="preserve"> for residential </w:t>
      </w:r>
      <w:r w:rsidR="001C21B2">
        <w:t xml:space="preserve">care </w:t>
      </w:r>
      <w:r w:rsidR="001C21B2" w:rsidRPr="008D21B0">
        <w:t xml:space="preserve">providers. The new format for data collection has enabled the collection of </w:t>
      </w:r>
      <w:r w:rsidR="001C21B2">
        <w:t xml:space="preserve">more detailed </w:t>
      </w:r>
      <w:r w:rsidR="001C21B2" w:rsidRPr="008D21B0">
        <w:t xml:space="preserve">expenditure information </w:t>
      </w:r>
      <w:r w:rsidR="001C21B2">
        <w:t>from</w:t>
      </w:r>
      <w:r w:rsidR="00A261F3">
        <w:t> 201</w:t>
      </w:r>
      <w:r w:rsidR="001C21B2" w:rsidRPr="008D21B0">
        <w:t>6</w:t>
      </w:r>
      <w:r w:rsidR="00D8721E">
        <w:t>–1</w:t>
      </w:r>
      <w:r w:rsidR="001C21B2" w:rsidRPr="008D21B0">
        <w:t>7</w:t>
      </w:r>
      <w:r w:rsidR="001C21B2">
        <w:t xml:space="preserve"> onwards</w:t>
      </w:r>
      <w:r w:rsidR="001C21B2" w:rsidRPr="008D21B0">
        <w:t xml:space="preserve">. </w:t>
      </w:r>
      <w:r w:rsidR="00492BF8">
        <w:fldChar w:fldCharType="begin"/>
      </w:r>
      <w:r w:rsidR="00492BF8">
        <w:instrText xml:space="preserve"> REF _Ref524429613 \r \h </w:instrText>
      </w:r>
      <w:r w:rsidR="00492BF8">
        <w:fldChar w:fldCharType="separate"/>
      </w:r>
      <w:r w:rsidR="00492BF8">
        <w:t>Table 9.9</w:t>
      </w:r>
      <w:r w:rsidR="00492BF8">
        <w:fldChar w:fldCharType="end"/>
      </w:r>
      <w:r w:rsidR="00492BF8">
        <w:t xml:space="preserve"> </w:t>
      </w:r>
      <w:r w:rsidR="006A62E8">
        <w:t>shows provider expenditure in</w:t>
      </w:r>
      <w:r w:rsidR="00A261F3">
        <w:t> 201</w:t>
      </w:r>
      <w:r w:rsidR="006A62E8">
        <w:t>6</w:t>
      </w:r>
      <w:r w:rsidR="00D8721E">
        <w:t>–1</w:t>
      </w:r>
      <w:r w:rsidR="006A62E8">
        <w:t>7 using the new categories collected through the ACFR.</w:t>
      </w:r>
    </w:p>
    <w:p w:rsidR="001C21B2" w:rsidRPr="00596D01" w:rsidRDefault="001C21B2" w:rsidP="00DE51CA">
      <w:pPr>
        <w:pStyle w:val="TableTitle"/>
      </w:pPr>
      <w:bookmarkStart w:id="752" w:name="_Ref524429613"/>
      <w:r w:rsidRPr="00596D01">
        <w:t>Breakdown of residential care provider expenses,</w:t>
      </w:r>
      <w:r w:rsidR="00A261F3" w:rsidRPr="00596D01">
        <w:t> 201</w:t>
      </w:r>
      <w:r w:rsidRPr="00596D01">
        <w:t>6</w:t>
      </w:r>
      <w:r w:rsidR="00D8721E" w:rsidRPr="00596D01">
        <w:t>–1</w:t>
      </w:r>
      <w:r w:rsidRPr="00596D01">
        <w:t>7</w:t>
      </w:r>
      <w:bookmarkEnd w:id="75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674"/>
        <w:gridCol w:w="3139"/>
        <w:gridCol w:w="2815"/>
      </w:tblGrid>
      <w:tr w:rsidR="001C21B2" w:rsidRPr="0019295B"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908" w:type="pct"/>
            <w:noWrap/>
            <w:hideMark/>
          </w:tcPr>
          <w:p w:rsidR="001C21B2" w:rsidRPr="0019295B" w:rsidRDefault="001C21B2" w:rsidP="00DE51CA">
            <w:pPr>
              <w:rPr>
                <w:rFonts w:ascii="Segoe UI" w:hAnsi="Segoe UI" w:cs="Segoe UI"/>
                <w:color w:val="000000"/>
              </w:rPr>
            </w:pPr>
            <w:r w:rsidRPr="00596D01">
              <w:t> </w:t>
            </w:r>
          </w:p>
        </w:tc>
        <w:tc>
          <w:tcPr>
            <w:tcW w:w="1630" w:type="pct"/>
            <w:noWrap/>
            <w:hideMark/>
          </w:tcPr>
          <w:p w:rsidR="00656288" w:rsidRPr="0019295B" w:rsidRDefault="001C21B2" w:rsidP="00DE51CA">
            <w:pPr>
              <w:jc w:val="right"/>
              <w:rPr>
                <w:rFonts w:ascii="Segoe UI" w:hAnsi="Segoe UI" w:cs="Segoe UI"/>
              </w:rPr>
            </w:pPr>
            <w:r w:rsidRPr="00596D01">
              <w:t>2016</w:t>
            </w:r>
            <w:r w:rsidR="00D8721E" w:rsidRPr="00596D01">
              <w:t>–1</w:t>
            </w:r>
            <w:r w:rsidRPr="00596D01">
              <w:t>7</w:t>
            </w:r>
            <w:r w:rsidR="00DE51CA">
              <w:t xml:space="preserve"> </w:t>
            </w:r>
            <w:r w:rsidR="00656288" w:rsidRPr="00596D01">
              <w:t>($m)</w:t>
            </w:r>
          </w:p>
        </w:tc>
        <w:tc>
          <w:tcPr>
            <w:tcW w:w="1462" w:type="pct"/>
          </w:tcPr>
          <w:p w:rsidR="001C21B2" w:rsidRPr="00596D01" w:rsidRDefault="00656288" w:rsidP="00DE51CA">
            <w:pPr>
              <w:jc w:val="right"/>
            </w:pPr>
            <w:r w:rsidRPr="00596D01">
              <w:t>% of total expenses</w:t>
            </w:r>
          </w:p>
        </w:tc>
      </w:tr>
      <w:tr w:rsidR="001C21B2" w:rsidRPr="0019295B" w:rsidTr="00DE51CA">
        <w:trPr>
          <w:trHeight w:val="113"/>
        </w:trPr>
        <w:tc>
          <w:tcPr>
            <w:tcW w:w="1908" w:type="pct"/>
            <w:shd w:val="clear" w:color="auto" w:fill="E8E8E8" w:themeFill="background2"/>
            <w:noWrap/>
            <w:hideMark/>
          </w:tcPr>
          <w:p w:rsidR="001C21B2" w:rsidRPr="00DE51CA" w:rsidRDefault="001C21B2" w:rsidP="00DE51CA">
            <w:pPr>
              <w:rPr>
                <w:rStyle w:val="Strong"/>
              </w:rPr>
            </w:pPr>
            <w:r w:rsidRPr="00DE51CA">
              <w:rPr>
                <w:rStyle w:val="Strong"/>
              </w:rPr>
              <w:t>Care</w:t>
            </w:r>
          </w:p>
        </w:tc>
        <w:tc>
          <w:tcPr>
            <w:tcW w:w="1630" w:type="pct"/>
            <w:shd w:val="clear" w:color="auto" w:fill="E8E8E8" w:themeFill="background2"/>
            <w:noWrap/>
            <w:hideMark/>
          </w:tcPr>
          <w:p w:rsidR="001C21B2" w:rsidRPr="00DE51CA" w:rsidRDefault="001C21B2" w:rsidP="00DE51CA">
            <w:pPr>
              <w:jc w:val="right"/>
              <w:rPr>
                <w:rStyle w:val="Strong"/>
              </w:rPr>
            </w:pPr>
            <w:r w:rsidRPr="00DE51CA">
              <w:rPr>
                <w:rStyle w:val="Strong"/>
              </w:rPr>
              <w:t> </w:t>
            </w:r>
          </w:p>
        </w:tc>
        <w:tc>
          <w:tcPr>
            <w:tcW w:w="1462" w:type="pct"/>
            <w:shd w:val="clear" w:color="auto" w:fill="E8E8E8" w:themeFill="background2"/>
          </w:tcPr>
          <w:p w:rsidR="001C21B2" w:rsidRPr="00DE51CA" w:rsidRDefault="001C21B2" w:rsidP="00DE51CA">
            <w:pPr>
              <w:jc w:val="right"/>
              <w:rPr>
                <w:rStyle w:val="Strong"/>
              </w:rPr>
            </w:pPr>
          </w:p>
        </w:tc>
      </w:tr>
      <w:tr w:rsidR="001C21B2" w:rsidRPr="0019295B" w:rsidTr="00DE51CA">
        <w:trPr>
          <w:trHeight w:val="113"/>
        </w:trPr>
        <w:tc>
          <w:tcPr>
            <w:tcW w:w="1908" w:type="pct"/>
            <w:noWrap/>
            <w:hideMark/>
          </w:tcPr>
          <w:p w:rsidR="001C21B2" w:rsidRPr="0019295B" w:rsidRDefault="00656288" w:rsidP="00DE51CA">
            <w:pPr>
              <w:rPr>
                <w:rFonts w:ascii="Segoe UI" w:hAnsi="Segoe UI" w:cs="Segoe UI"/>
                <w:color w:val="000000"/>
              </w:rPr>
            </w:pPr>
            <w:r w:rsidRPr="0019295B">
              <w:rPr>
                <w:rFonts w:ascii="Segoe UI" w:hAnsi="Segoe UI" w:cs="Segoe UI"/>
                <w:color w:val="000000"/>
              </w:rPr>
              <w:t>Employee expenses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8,549.9</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51.0</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Other</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536.1</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3.2</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656288" w:rsidP="00DE51CA">
            <w:pPr>
              <w:rPr>
                <w:rFonts w:ascii="Segoe UI" w:hAnsi="Segoe UI" w:cs="Segoe UI"/>
                <w:color w:val="000000"/>
              </w:rPr>
            </w:pPr>
            <w:r w:rsidRPr="00596D01">
              <w:rPr>
                <w:rStyle w:val="Strong"/>
              </w:rPr>
              <w:t>Total care expenses</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$9,086.0</w:t>
            </w:r>
          </w:p>
        </w:tc>
        <w:tc>
          <w:tcPr>
            <w:tcW w:w="1462" w:type="pct"/>
          </w:tcPr>
          <w:p w:rsidR="001C21B2" w:rsidRPr="00596D01" w:rsidRDefault="001C21B2" w:rsidP="00DE51CA">
            <w:pPr>
              <w:jc w:val="right"/>
              <w:rPr>
                <w:rStyle w:val="Strong"/>
              </w:rPr>
            </w:pPr>
            <w:r w:rsidRPr="00596D01">
              <w:rPr>
                <w:rStyle w:val="Strong"/>
              </w:rPr>
              <w:t>54.2%</w:t>
            </w:r>
          </w:p>
        </w:tc>
      </w:tr>
      <w:tr w:rsidR="001C21B2" w:rsidRPr="0019295B" w:rsidTr="00DE51CA">
        <w:trPr>
          <w:trHeight w:val="113"/>
        </w:trPr>
        <w:tc>
          <w:tcPr>
            <w:tcW w:w="1908" w:type="pct"/>
            <w:shd w:val="clear" w:color="auto" w:fill="E8E8E8" w:themeFill="background2"/>
            <w:noWrap/>
            <w:hideMark/>
          </w:tcPr>
          <w:p w:rsidR="001C21B2" w:rsidRPr="00596D01" w:rsidRDefault="001C21B2" w:rsidP="00DE51CA">
            <w:pPr>
              <w:rPr>
                <w:rStyle w:val="Strong"/>
              </w:rPr>
            </w:pPr>
            <w:r w:rsidRPr="00596D01">
              <w:rPr>
                <w:rStyle w:val="Strong"/>
              </w:rPr>
              <w:t xml:space="preserve">Accommodation </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p>
        </w:tc>
        <w:tc>
          <w:tcPr>
            <w:tcW w:w="1462" w:type="pct"/>
            <w:shd w:val="clear" w:color="auto" w:fill="E8E8E8" w:themeFill="background2"/>
          </w:tcPr>
          <w:p w:rsidR="001C21B2" w:rsidRPr="0019295B" w:rsidRDefault="001C21B2" w:rsidP="00DE51CA">
            <w:pPr>
              <w:jc w:val="right"/>
              <w:rPr>
                <w:rFonts w:ascii="Segoe UI" w:hAnsi="Segoe UI" w:cs="Segoe UI"/>
                <w:color w:val="000000"/>
              </w:rPr>
            </w:pPr>
          </w:p>
        </w:tc>
      </w:tr>
      <w:tr w:rsidR="001C21B2" w:rsidRPr="0019295B" w:rsidTr="00DE51CA">
        <w:trPr>
          <w:trHeight w:val="113"/>
        </w:trPr>
        <w:tc>
          <w:tcPr>
            <w:tcW w:w="1908" w:type="pct"/>
            <w:noWrap/>
            <w:hideMark/>
          </w:tcPr>
          <w:p w:rsidR="001C21B2" w:rsidRPr="0019295B" w:rsidRDefault="003F5D32" w:rsidP="00DE51CA">
            <w:pPr>
              <w:rPr>
                <w:rFonts w:ascii="Segoe UI" w:hAnsi="Segoe UI" w:cs="Segoe UI"/>
                <w:color w:val="000000"/>
              </w:rPr>
            </w:pPr>
            <w:r w:rsidRPr="0019295B">
              <w:rPr>
                <w:rFonts w:ascii="Segoe UI" w:hAnsi="Segoe UI" w:cs="Segoe UI"/>
                <w:color w:val="000000"/>
              </w:rPr>
              <w:t>Employee expenses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364.1</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2.2</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Repair &amp; maintenance</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470.3</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2.8</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Rent</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342.1</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2.0</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Other</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455.4</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2.7</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596D01">
              <w:rPr>
                <w:rStyle w:val="Strong"/>
              </w:rPr>
              <w:t>Total accommodation</w:t>
            </w:r>
            <w:r w:rsidR="00656288" w:rsidRPr="00596D01">
              <w:rPr>
                <w:rStyle w:val="Strong"/>
              </w:rPr>
              <w:t xml:space="preserve"> expenses</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$1,631.9</w:t>
            </w:r>
          </w:p>
        </w:tc>
        <w:tc>
          <w:tcPr>
            <w:tcW w:w="1462" w:type="pct"/>
          </w:tcPr>
          <w:p w:rsidR="001C21B2" w:rsidRPr="00596D01" w:rsidRDefault="001C21B2" w:rsidP="00DE51CA">
            <w:pPr>
              <w:jc w:val="right"/>
              <w:rPr>
                <w:rStyle w:val="Strong"/>
              </w:rPr>
            </w:pPr>
            <w:r w:rsidRPr="00596D01">
              <w:rPr>
                <w:rStyle w:val="Strong"/>
              </w:rPr>
              <w:t>9.7%</w:t>
            </w:r>
          </w:p>
        </w:tc>
      </w:tr>
      <w:tr w:rsidR="001C21B2" w:rsidRPr="0019295B" w:rsidTr="00DE51CA">
        <w:trPr>
          <w:trHeight w:val="113"/>
        </w:trPr>
        <w:tc>
          <w:tcPr>
            <w:tcW w:w="1908" w:type="pct"/>
            <w:shd w:val="clear" w:color="auto" w:fill="E8E8E8" w:themeFill="background2"/>
            <w:noWrap/>
            <w:hideMark/>
          </w:tcPr>
          <w:p w:rsidR="001C21B2" w:rsidRPr="00596D01" w:rsidRDefault="001C21B2" w:rsidP="00DE51CA">
            <w:pPr>
              <w:rPr>
                <w:rStyle w:val="Strong"/>
              </w:rPr>
            </w:pPr>
            <w:r w:rsidRPr="00596D01">
              <w:rPr>
                <w:rStyle w:val="Strong"/>
              </w:rPr>
              <w:t>Hotel</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p>
        </w:tc>
        <w:tc>
          <w:tcPr>
            <w:tcW w:w="1462" w:type="pct"/>
            <w:shd w:val="clear" w:color="auto" w:fill="E8E8E8" w:themeFill="background2"/>
          </w:tcPr>
          <w:p w:rsidR="001C21B2" w:rsidRPr="0019295B" w:rsidRDefault="001C21B2" w:rsidP="00DE51CA">
            <w:pPr>
              <w:jc w:val="right"/>
              <w:rPr>
                <w:rFonts w:ascii="Segoe UI" w:hAnsi="Segoe UI" w:cs="Segoe UI"/>
                <w:color w:val="000000"/>
              </w:rPr>
            </w:pPr>
          </w:p>
        </w:tc>
      </w:tr>
      <w:tr w:rsidR="001C21B2" w:rsidRPr="0019295B" w:rsidTr="00DE51CA">
        <w:trPr>
          <w:trHeight w:val="113"/>
        </w:trPr>
        <w:tc>
          <w:tcPr>
            <w:tcW w:w="1908" w:type="pct"/>
            <w:noWrap/>
            <w:hideMark/>
          </w:tcPr>
          <w:p w:rsidR="001C21B2" w:rsidRPr="0019295B" w:rsidRDefault="003F5D32" w:rsidP="00DE51CA">
            <w:pPr>
              <w:rPr>
                <w:rFonts w:ascii="Segoe UI" w:hAnsi="Segoe UI" w:cs="Segoe UI"/>
                <w:color w:val="000000"/>
              </w:rPr>
            </w:pPr>
            <w:r w:rsidRPr="0019295B">
              <w:rPr>
                <w:rFonts w:ascii="Segoe UI" w:hAnsi="Segoe UI" w:cs="Segoe UI"/>
                <w:color w:val="000000"/>
              </w:rPr>
              <w:t>Employee expenses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1,463.0</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8.7</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3F5D32" w:rsidP="00DE51CA">
            <w:pPr>
              <w:rPr>
                <w:rFonts w:ascii="Segoe UI" w:hAnsi="Segoe UI" w:cs="Segoe UI"/>
                <w:color w:val="000000"/>
              </w:rPr>
            </w:pPr>
            <w:r w:rsidRPr="0019295B">
              <w:rPr>
                <w:rFonts w:ascii="Segoe UI" w:hAnsi="Segoe UI" w:cs="Segoe UI"/>
                <w:color w:val="000000"/>
              </w:rPr>
              <w:t>Contracted services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$445.9</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2.7</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Other</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712.1</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4.3</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1C21B2" w:rsidP="00DE51CA">
            <w:pPr>
              <w:rPr>
                <w:rFonts w:ascii="Segoe UI" w:hAnsi="Segoe UI" w:cs="Segoe UI"/>
                <w:color w:val="000000"/>
              </w:rPr>
            </w:pPr>
            <w:r w:rsidRPr="00596D01">
              <w:rPr>
                <w:rStyle w:val="Strong"/>
              </w:rPr>
              <w:lastRenderedPageBreak/>
              <w:t xml:space="preserve">Total hotel </w:t>
            </w:r>
            <w:r w:rsidR="00656288" w:rsidRPr="00596D01">
              <w:rPr>
                <w:rStyle w:val="Strong"/>
              </w:rPr>
              <w:t>expenses</w:t>
            </w:r>
            <w:r w:rsidRPr="00596D01">
              <w:rPr>
                <w:rStyle w:val="Strong"/>
              </w:rPr>
              <w:t xml:space="preserve"> </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$2,620.9</w:t>
            </w:r>
          </w:p>
        </w:tc>
        <w:tc>
          <w:tcPr>
            <w:tcW w:w="1462" w:type="pct"/>
          </w:tcPr>
          <w:p w:rsidR="001C21B2" w:rsidRPr="00596D01" w:rsidRDefault="001C21B2" w:rsidP="00DE51CA">
            <w:pPr>
              <w:jc w:val="right"/>
              <w:rPr>
                <w:rStyle w:val="Strong"/>
              </w:rPr>
            </w:pPr>
            <w:r w:rsidRPr="00596D01">
              <w:rPr>
                <w:rStyle w:val="Strong"/>
              </w:rPr>
              <w:t>15.</w:t>
            </w:r>
            <w:r w:rsidR="006A62E8" w:rsidRPr="00596D01">
              <w:rPr>
                <w:rStyle w:val="Strong"/>
              </w:rPr>
              <w:t>7</w:t>
            </w:r>
            <w:r w:rsidRPr="00596D01">
              <w:rPr>
                <w:rStyle w:val="Strong"/>
              </w:rPr>
              <w:t>%</w:t>
            </w:r>
          </w:p>
        </w:tc>
      </w:tr>
      <w:tr w:rsidR="001C21B2" w:rsidRPr="0019295B" w:rsidTr="00DE51CA">
        <w:trPr>
          <w:trHeight w:val="113"/>
        </w:trPr>
        <w:tc>
          <w:tcPr>
            <w:tcW w:w="1908" w:type="pct"/>
            <w:shd w:val="clear" w:color="auto" w:fill="E8E8E8" w:themeFill="background2"/>
            <w:noWrap/>
            <w:hideMark/>
          </w:tcPr>
          <w:p w:rsidR="001C21B2" w:rsidRPr="00596D01" w:rsidRDefault="001C21B2" w:rsidP="00DE51CA">
            <w:pPr>
              <w:rPr>
                <w:rStyle w:val="Strong"/>
              </w:rPr>
            </w:pPr>
            <w:r w:rsidRPr="00596D01">
              <w:rPr>
                <w:rStyle w:val="Strong"/>
              </w:rPr>
              <w:t xml:space="preserve">Administration </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p>
        </w:tc>
        <w:tc>
          <w:tcPr>
            <w:tcW w:w="1462" w:type="pct"/>
            <w:shd w:val="clear" w:color="auto" w:fill="E8E8E8" w:themeFill="background2"/>
          </w:tcPr>
          <w:p w:rsidR="001C21B2" w:rsidRPr="0019295B" w:rsidRDefault="001C21B2" w:rsidP="00DE51CA">
            <w:pPr>
              <w:jc w:val="right"/>
              <w:rPr>
                <w:rFonts w:ascii="Segoe UI" w:hAnsi="Segoe UI" w:cs="Segoe UI"/>
                <w:color w:val="000000"/>
              </w:rPr>
            </w:pPr>
          </w:p>
        </w:tc>
      </w:tr>
      <w:tr w:rsidR="001C21B2" w:rsidRPr="0019295B" w:rsidTr="00DE51CA">
        <w:trPr>
          <w:trHeight w:val="113"/>
        </w:trPr>
        <w:tc>
          <w:tcPr>
            <w:tcW w:w="1908" w:type="pct"/>
            <w:noWrap/>
            <w:hideMark/>
          </w:tcPr>
          <w:p w:rsidR="001C21B2" w:rsidRPr="0019295B" w:rsidRDefault="006A62E8" w:rsidP="00DE51CA">
            <w:pPr>
              <w:rPr>
                <w:rFonts w:ascii="Segoe UI" w:hAnsi="Segoe UI" w:cs="Segoe UI"/>
                <w:color w:val="000000"/>
              </w:rPr>
            </w:pPr>
            <w:r w:rsidRPr="0019295B">
              <w:rPr>
                <w:rFonts w:ascii="Segoe UI" w:hAnsi="Segoe UI" w:cs="Segoe UI"/>
                <w:color w:val="000000"/>
              </w:rPr>
              <w:t>Employee expenses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922.6</w:t>
            </w:r>
          </w:p>
        </w:tc>
        <w:tc>
          <w:tcPr>
            <w:tcW w:w="1462" w:type="pct"/>
          </w:tcPr>
          <w:p w:rsidR="001C21B2" w:rsidRPr="0019295B" w:rsidRDefault="00C557F3" w:rsidP="00DE51CA">
            <w:pPr>
              <w:jc w:val="right"/>
              <w:rPr>
                <w:rFonts w:ascii="Segoe UI" w:hAnsi="Segoe UI" w:cs="Segoe UI"/>
                <w:color w:val="000000"/>
              </w:rPr>
            </w:pPr>
            <w:r>
              <w:rPr>
                <w:rFonts w:ascii="Segoe UI" w:hAnsi="Segoe UI" w:cs="Segoe UI"/>
                <w:color w:val="000000"/>
              </w:rPr>
              <w:t>5.5</w:t>
            </w:r>
            <w:r w:rsidR="006A2A02">
              <w:rPr>
                <w:rFonts w:ascii="Segoe UI" w:hAnsi="Segoe UI" w:cs="Segoe UI"/>
                <w:color w:val="000000"/>
              </w:rPr>
              <w:t>%</w:t>
            </w:r>
          </w:p>
        </w:tc>
      </w:tr>
      <w:tr w:rsidR="001C21B2" w:rsidRPr="0019295B" w:rsidTr="00DE51CA">
        <w:trPr>
          <w:trHeight w:val="113"/>
        </w:trPr>
        <w:tc>
          <w:tcPr>
            <w:tcW w:w="1908" w:type="pct"/>
            <w:noWrap/>
            <w:hideMark/>
          </w:tcPr>
          <w:p w:rsidR="001C21B2" w:rsidRPr="0019295B" w:rsidRDefault="00C144E9" w:rsidP="00DE51CA">
            <w:pPr>
              <w:rPr>
                <w:rFonts w:ascii="Segoe UI" w:hAnsi="Segoe UI" w:cs="Segoe UI"/>
                <w:color w:val="000000"/>
              </w:rPr>
            </w:pPr>
            <w:r>
              <w:rPr>
                <w:rFonts w:ascii="Segoe UI" w:hAnsi="Segoe UI" w:cs="Segoe UI"/>
                <w:color w:val="000000"/>
              </w:rPr>
              <w:t>Management f</w:t>
            </w:r>
            <w:r w:rsidR="001C21B2" w:rsidRPr="0019295B">
              <w:rPr>
                <w:rFonts w:ascii="Segoe UI" w:hAnsi="Segoe UI" w:cs="Segoe UI"/>
                <w:color w:val="000000"/>
              </w:rPr>
              <w:t>ees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492.5</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2.9%</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Other</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594.0</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3.6%</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596D01">
              <w:rPr>
                <w:rStyle w:val="Strong"/>
              </w:rPr>
              <w:t xml:space="preserve">Total administration </w:t>
            </w:r>
            <w:r w:rsidR="00656288" w:rsidRPr="00596D01">
              <w:rPr>
                <w:rStyle w:val="Strong"/>
              </w:rPr>
              <w:t>expenses</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$2,009.1</w:t>
            </w:r>
          </w:p>
        </w:tc>
        <w:tc>
          <w:tcPr>
            <w:tcW w:w="1462" w:type="pct"/>
          </w:tcPr>
          <w:p w:rsidR="001C21B2" w:rsidRPr="00596D01" w:rsidRDefault="001C21B2" w:rsidP="00DE51CA">
            <w:pPr>
              <w:jc w:val="right"/>
              <w:rPr>
                <w:rStyle w:val="Strong"/>
              </w:rPr>
            </w:pPr>
            <w:r w:rsidRPr="00596D01">
              <w:rPr>
                <w:rStyle w:val="Strong"/>
              </w:rPr>
              <w:t>1</w:t>
            </w:r>
            <w:r w:rsidR="006A62E8" w:rsidRPr="00596D01">
              <w:rPr>
                <w:rStyle w:val="Strong"/>
              </w:rPr>
              <w:t>2.0</w:t>
            </w:r>
            <w:r w:rsidRPr="00596D01">
              <w:rPr>
                <w:rStyle w:val="Strong"/>
              </w:rPr>
              <w:t>%</w:t>
            </w:r>
          </w:p>
        </w:tc>
      </w:tr>
      <w:tr w:rsidR="001C21B2" w:rsidTr="00DE51CA">
        <w:trPr>
          <w:trHeight w:val="113"/>
        </w:trPr>
        <w:tc>
          <w:tcPr>
            <w:tcW w:w="1908" w:type="pct"/>
            <w:shd w:val="clear" w:color="auto" w:fill="E8E8E8" w:themeFill="background2"/>
            <w:noWrap/>
            <w:hideMark/>
          </w:tcPr>
          <w:p w:rsidR="001C21B2" w:rsidRPr="00596D01" w:rsidRDefault="001C21B2" w:rsidP="00DE51CA">
            <w:pPr>
              <w:rPr>
                <w:rStyle w:val="Strong"/>
              </w:rPr>
            </w:pPr>
            <w:r w:rsidRPr="00596D01">
              <w:rPr>
                <w:rStyle w:val="Strong"/>
              </w:rPr>
              <w:t>Financing</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p>
        </w:tc>
        <w:tc>
          <w:tcPr>
            <w:tcW w:w="1462" w:type="pct"/>
            <w:shd w:val="clear" w:color="auto" w:fill="E8E8E8" w:themeFill="background2"/>
          </w:tcPr>
          <w:p w:rsidR="001C21B2" w:rsidRPr="0019295B" w:rsidRDefault="001C21B2" w:rsidP="00DE51CA">
            <w:pPr>
              <w:jc w:val="right"/>
              <w:rPr>
                <w:rFonts w:ascii="Segoe UI" w:hAnsi="Segoe UI" w:cs="Segoe UI"/>
                <w:color w:val="000000"/>
              </w:rPr>
            </w:pP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Depreciation</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874.5</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5.2%</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Amortisation</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20.8</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0.1%</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Interest</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171.2</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1.0%</w:t>
            </w:r>
          </w:p>
        </w:tc>
      </w:tr>
      <w:tr w:rsidR="001C21B2" w:rsidTr="00DE51CA">
        <w:trPr>
          <w:trHeight w:val="113"/>
        </w:trPr>
        <w:tc>
          <w:tcPr>
            <w:tcW w:w="1908" w:type="pct"/>
            <w:noWrap/>
            <w:hideMark/>
          </w:tcPr>
          <w:p w:rsidR="001C21B2" w:rsidRPr="0019295B" w:rsidRDefault="00656288" w:rsidP="00DE51CA">
            <w:pPr>
              <w:rPr>
                <w:rFonts w:ascii="Segoe UI" w:hAnsi="Segoe UI" w:cs="Segoe UI"/>
                <w:color w:val="000000"/>
              </w:rPr>
            </w:pPr>
            <w:r w:rsidRPr="00596D01">
              <w:rPr>
                <w:rStyle w:val="Strong"/>
              </w:rPr>
              <w:t>Total financing expenses</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$1,066.4</w:t>
            </w:r>
          </w:p>
        </w:tc>
        <w:tc>
          <w:tcPr>
            <w:tcW w:w="1462" w:type="pct"/>
          </w:tcPr>
          <w:p w:rsidR="001C21B2" w:rsidRPr="00596D01" w:rsidRDefault="001C21B2" w:rsidP="00DE51CA">
            <w:pPr>
              <w:jc w:val="right"/>
              <w:rPr>
                <w:rStyle w:val="Strong"/>
              </w:rPr>
            </w:pPr>
            <w:r w:rsidRPr="00596D01">
              <w:rPr>
                <w:rStyle w:val="Strong"/>
              </w:rPr>
              <w:t>6.</w:t>
            </w:r>
            <w:r w:rsidR="006A62E8" w:rsidRPr="00596D01">
              <w:rPr>
                <w:rStyle w:val="Strong"/>
              </w:rPr>
              <w:t>4</w:t>
            </w:r>
            <w:r w:rsidRPr="00596D01">
              <w:rPr>
                <w:rStyle w:val="Strong"/>
              </w:rPr>
              <w:t>%</w:t>
            </w:r>
          </w:p>
        </w:tc>
      </w:tr>
      <w:tr w:rsidR="001C21B2" w:rsidTr="00DE51CA">
        <w:trPr>
          <w:trHeight w:val="113"/>
        </w:trPr>
        <w:tc>
          <w:tcPr>
            <w:tcW w:w="1908" w:type="pct"/>
            <w:shd w:val="clear" w:color="auto" w:fill="E8E8E8" w:themeFill="background2"/>
            <w:noWrap/>
            <w:hideMark/>
          </w:tcPr>
          <w:p w:rsidR="001C21B2" w:rsidRPr="00596D01" w:rsidRDefault="001C21B2" w:rsidP="00DE51CA">
            <w:pPr>
              <w:rPr>
                <w:rStyle w:val="Strong"/>
              </w:rPr>
            </w:pPr>
            <w:r w:rsidRPr="00596D01">
              <w:rPr>
                <w:rStyle w:val="Strong"/>
              </w:rPr>
              <w:t>Other</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p>
        </w:tc>
        <w:tc>
          <w:tcPr>
            <w:tcW w:w="1462" w:type="pct"/>
            <w:shd w:val="clear" w:color="auto" w:fill="E8E8E8" w:themeFill="background2"/>
          </w:tcPr>
          <w:p w:rsidR="001C21B2" w:rsidRPr="0019295B" w:rsidRDefault="001C21B2" w:rsidP="00DE51CA">
            <w:pPr>
              <w:jc w:val="right"/>
              <w:rPr>
                <w:rFonts w:ascii="Segoe UI" w:hAnsi="Segoe UI" w:cs="Segoe UI"/>
                <w:color w:val="000000"/>
              </w:rPr>
            </w:pP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 xml:space="preserve">Revaluation of </w:t>
            </w:r>
            <w:r w:rsidR="00C144E9">
              <w:rPr>
                <w:rFonts w:ascii="Segoe UI" w:hAnsi="Segoe UI" w:cs="Segoe UI"/>
                <w:color w:val="000000"/>
              </w:rPr>
              <w:t>a</w:t>
            </w:r>
            <w:r w:rsidRPr="0019295B">
              <w:rPr>
                <w:rFonts w:ascii="Segoe UI" w:hAnsi="Segoe UI" w:cs="Segoe UI"/>
                <w:color w:val="000000"/>
              </w:rPr>
              <w:t>ssets (</w:t>
            </w:r>
            <w:r w:rsidR="00C144E9">
              <w:rPr>
                <w:rFonts w:ascii="Segoe UI" w:hAnsi="Segoe UI" w:cs="Segoe UI"/>
                <w:color w:val="000000"/>
              </w:rPr>
              <w:t>d</w:t>
            </w:r>
            <w:r w:rsidRPr="0019295B">
              <w:rPr>
                <w:rFonts w:ascii="Segoe UI" w:hAnsi="Segoe UI" w:cs="Segoe UI"/>
                <w:color w:val="000000"/>
              </w:rPr>
              <w:t>ecrease)</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32.2</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0.2%</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Loss on sale of assets</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9.5</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0.1%</w:t>
            </w:r>
          </w:p>
        </w:tc>
      </w:tr>
      <w:tr w:rsidR="001C21B2" w:rsidTr="00DE51CA">
        <w:trPr>
          <w:trHeight w:val="113"/>
        </w:trPr>
        <w:tc>
          <w:tcPr>
            <w:tcW w:w="1908" w:type="pct"/>
            <w:noWrap/>
            <w:hideMark/>
          </w:tcPr>
          <w:p w:rsidR="001C21B2" w:rsidRPr="0019295B" w:rsidRDefault="001C21B2" w:rsidP="00DE51CA">
            <w:pPr>
              <w:rPr>
                <w:rFonts w:ascii="Segoe UI" w:hAnsi="Segoe UI" w:cs="Segoe UI"/>
                <w:color w:val="000000"/>
              </w:rPr>
            </w:pPr>
            <w:r w:rsidRPr="0019295B">
              <w:rPr>
                <w:rFonts w:ascii="Segoe UI" w:hAnsi="Segoe UI" w:cs="Segoe UI"/>
                <w:color w:val="000000"/>
              </w:rPr>
              <w:t>Other</w:t>
            </w:r>
          </w:p>
        </w:tc>
        <w:tc>
          <w:tcPr>
            <w:tcW w:w="1630" w:type="pct"/>
            <w:noWrap/>
            <w:hideMark/>
          </w:tcPr>
          <w:p w:rsidR="001C21B2" w:rsidRPr="0019295B" w:rsidRDefault="006A62E8" w:rsidP="00DE51CA">
            <w:pPr>
              <w:jc w:val="right"/>
              <w:rPr>
                <w:rFonts w:ascii="Segoe UI" w:hAnsi="Segoe UI" w:cs="Segoe UI"/>
                <w:color w:val="000000"/>
              </w:rPr>
            </w:pPr>
            <w:r w:rsidRPr="0019295B">
              <w:rPr>
                <w:rFonts w:ascii="Segoe UI" w:hAnsi="Segoe UI" w:cs="Segoe UI"/>
                <w:color w:val="000000"/>
              </w:rPr>
              <w:t>$</w:t>
            </w:r>
            <w:r w:rsidR="001C21B2" w:rsidRPr="0019295B">
              <w:rPr>
                <w:rFonts w:ascii="Segoe UI" w:hAnsi="Segoe UI" w:cs="Segoe UI"/>
                <w:color w:val="000000"/>
              </w:rPr>
              <w:t>294.9</w:t>
            </w:r>
          </w:p>
        </w:tc>
        <w:tc>
          <w:tcPr>
            <w:tcW w:w="1462" w:type="pct"/>
          </w:tcPr>
          <w:p w:rsidR="001C21B2" w:rsidRPr="0019295B" w:rsidRDefault="006A2A02" w:rsidP="00DE51CA">
            <w:pPr>
              <w:jc w:val="right"/>
              <w:rPr>
                <w:rFonts w:ascii="Segoe UI" w:hAnsi="Segoe UI" w:cs="Segoe UI"/>
                <w:color w:val="000000"/>
              </w:rPr>
            </w:pPr>
            <w:r>
              <w:rPr>
                <w:rFonts w:ascii="Segoe UI" w:hAnsi="Segoe UI" w:cs="Segoe UI"/>
                <w:color w:val="000000"/>
              </w:rPr>
              <w:t>1.8%</w:t>
            </w:r>
          </w:p>
        </w:tc>
      </w:tr>
      <w:tr w:rsidR="001C21B2" w:rsidTr="00DE51CA">
        <w:trPr>
          <w:trHeight w:val="113"/>
        </w:trPr>
        <w:tc>
          <w:tcPr>
            <w:tcW w:w="1908" w:type="pct"/>
            <w:noWrap/>
            <w:hideMark/>
          </w:tcPr>
          <w:p w:rsidR="001C21B2" w:rsidRPr="0019295B" w:rsidRDefault="00656288" w:rsidP="00DE51CA">
            <w:pPr>
              <w:rPr>
                <w:rFonts w:ascii="Segoe UI" w:hAnsi="Segoe UI" w:cs="Segoe UI"/>
                <w:color w:val="000000"/>
              </w:rPr>
            </w:pPr>
            <w:r w:rsidRPr="00596D01">
              <w:rPr>
                <w:rStyle w:val="Strong"/>
              </w:rPr>
              <w:t>Total other expenses</w:t>
            </w:r>
          </w:p>
        </w:tc>
        <w:tc>
          <w:tcPr>
            <w:tcW w:w="1630" w:type="pct"/>
            <w:noWrap/>
            <w:hideMark/>
          </w:tcPr>
          <w:p w:rsidR="001C21B2" w:rsidRPr="0019295B" w:rsidRDefault="001C21B2" w:rsidP="00DE51CA">
            <w:pPr>
              <w:jc w:val="right"/>
              <w:rPr>
                <w:rFonts w:ascii="Segoe UI" w:hAnsi="Segoe UI" w:cs="Segoe UI"/>
                <w:color w:val="000000"/>
              </w:rPr>
            </w:pPr>
            <w:r w:rsidRPr="00596D01">
              <w:rPr>
                <w:rStyle w:val="Strong"/>
              </w:rPr>
              <w:t>$336.5</w:t>
            </w:r>
          </w:p>
        </w:tc>
        <w:tc>
          <w:tcPr>
            <w:tcW w:w="1462" w:type="pct"/>
          </w:tcPr>
          <w:p w:rsidR="001C21B2" w:rsidRPr="00596D01" w:rsidRDefault="001C21B2" w:rsidP="00DE51CA">
            <w:pPr>
              <w:jc w:val="right"/>
              <w:rPr>
                <w:rStyle w:val="Strong"/>
              </w:rPr>
            </w:pPr>
            <w:r w:rsidRPr="00596D01">
              <w:rPr>
                <w:rStyle w:val="Strong"/>
              </w:rPr>
              <w:t>2.0%</w:t>
            </w:r>
          </w:p>
        </w:tc>
      </w:tr>
      <w:tr w:rsidR="001C21B2" w:rsidTr="00DE51CA">
        <w:trPr>
          <w:trHeight w:val="113"/>
        </w:trPr>
        <w:tc>
          <w:tcPr>
            <w:tcW w:w="1908" w:type="pct"/>
            <w:shd w:val="clear" w:color="auto" w:fill="E8E8E8" w:themeFill="background2"/>
            <w:noWrap/>
            <w:hideMark/>
          </w:tcPr>
          <w:p w:rsidR="001C21B2" w:rsidRPr="0019295B" w:rsidRDefault="001C21B2" w:rsidP="00DE51CA">
            <w:pPr>
              <w:rPr>
                <w:rFonts w:ascii="Segoe UI" w:hAnsi="Segoe UI" w:cs="Segoe UI"/>
                <w:color w:val="000000"/>
              </w:rPr>
            </w:pPr>
            <w:r w:rsidRPr="00596D01">
              <w:rPr>
                <w:rStyle w:val="Strong"/>
              </w:rPr>
              <w:t xml:space="preserve">Total expenses </w:t>
            </w:r>
          </w:p>
        </w:tc>
        <w:tc>
          <w:tcPr>
            <w:tcW w:w="1630" w:type="pct"/>
            <w:shd w:val="clear" w:color="auto" w:fill="E8E8E8" w:themeFill="background2"/>
            <w:noWrap/>
            <w:hideMark/>
          </w:tcPr>
          <w:p w:rsidR="001C21B2" w:rsidRPr="0019295B" w:rsidRDefault="001C21B2" w:rsidP="00DE51CA">
            <w:pPr>
              <w:jc w:val="right"/>
              <w:rPr>
                <w:rFonts w:ascii="Segoe UI" w:hAnsi="Segoe UI" w:cs="Segoe UI"/>
                <w:color w:val="000000"/>
              </w:rPr>
            </w:pPr>
            <w:r w:rsidRPr="00596D01">
              <w:rPr>
                <w:rStyle w:val="Strong"/>
              </w:rPr>
              <w:t>$16,750.9</w:t>
            </w:r>
          </w:p>
        </w:tc>
        <w:tc>
          <w:tcPr>
            <w:tcW w:w="1462" w:type="pct"/>
            <w:shd w:val="clear" w:color="auto" w:fill="E8E8E8" w:themeFill="background2"/>
          </w:tcPr>
          <w:p w:rsidR="001C21B2" w:rsidRPr="00596D01" w:rsidRDefault="001C21B2" w:rsidP="00DE51CA">
            <w:pPr>
              <w:jc w:val="right"/>
              <w:rPr>
                <w:rStyle w:val="Strong"/>
              </w:rPr>
            </w:pPr>
            <w:r w:rsidRPr="00596D01">
              <w:rPr>
                <w:rStyle w:val="Strong"/>
              </w:rPr>
              <w:t>100%</w:t>
            </w:r>
          </w:p>
        </w:tc>
      </w:tr>
    </w:tbl>
    <w:p w:rsidR="009F311D" w:rsidRPr="003540C0" w:rsidRDefault="009F311D" w:rsidP="00DE51CA">
      <w:r w:rsidRPr="003540C0">
        <w:t xml:space="preserve">Care expenditure relates to the direct costs incurred in providing care for residents within </w:t>
      </w:r>
      <w:r w:rsidR="003540C0" w:rsidRPr="003540C0">
        <w:t>residential care</w:t>
      </w:r>
      <w:r w:rsidRPr="003540C0">
        <w:t xml:space="preserve"> facilities. Care related employee expenses make up 94.</w:t>
      </w:r>
      <w:r w:rsidR="00341DAB">
        <w:t>1</w:t>
      </w:r>
      <w:r w:rsidR="00A261F3">
        <w:t> per cent</w:t>
      </w:r>
      <w:r w:rsidRPr="003540C0">
        <w:t xml:space="preserve"> of total care expenses, and 51</w:t>
      </w:r>
      <w:r w:rsidR="00A261F3">
        <w:t> per cent</w:t>
      </w:r>
      <w:r w:rsidRPr="003540C0">
        <w:t xml:space="preserve"> of total expenditure</w:t>
      </w:r>
      <w:r w:rsidR="00590316">
        <w:t>,</w:t>
      </w:r>
      <w:r w:rsidRPr="003540C0">
        <w:t xml:space="preserve"> making it the largest single expense </w:t>
      </w:r>
      <w:r w:rsidR="003540C0" w:rsidRPr="003540C0">
        <w:t>for</w:t>
      </w:r>
      <w:r w:rsidRPr="003540C0">
        <w:t xml:space="preserve"> </w:t>
      </w:r>
      <w:r w:rsidR="003540C0" w:rsidRPr="003540C0">
        <w:t>providers</w:t>
      </w:r>
      <w:r w:rsidRPr="003540C0">
        <w:t>. Employee expenses include payments made to doctors, nursing, therapists, nutritionists, c</w:t>
      </w:r>
      <w:r w:rsidR="003540C0" w:rsidRPr="003540C0">
        <w:t>ase managers, health assistants and</w:t>
      </w:r>
      <w:r w:rsidRPr="003540C0">
        <w:t xml:space="preserve"> support staff.</w:t>
      </w:r>
    </w:p>
    <w:p w:rsidR="009F311D" w:rsidRPr="003540C0" w:rsidRDefault="009F311D" w:rsidP="00DE51CA">
      <w:r w:rsidRPr="003540C0">
        <w:t>Other care expenses include items such as resident medication, oxygen and related equipment, treatments and procedures, incontinence aids, items that assist mobility, recreation and social activities, rehabilitation support, personal grooming and specific cultural and social events</w:t>
      </w:r>
      <w:r w:rsidR="003540C0" w:rsidRPr="003540C0">
        <w:t>.</w:t>
      </w:r>
    </w:p>
    <w:p w:rsidR="009F311D" w:rsidRPr="003540C0" w:rsidRDefault="009F311D" w:rsidP="00DE51CA">
      <w:r w:rsidRPr="003540C0">
        <w:t>Accommodation expenditure relates to the costs incurred in providing accommodation to residents. Within accommodation, expenses are evenly distributed between employee (22.</w:t>
      </w:r>
      <w:r w:rsidR="00341DAB">
        <w:t>3</w:t>
      </w:r>
      <w:r w:rsidR="00A261F3">
        <w:t> per cent</w:t>
      </w:r>
      <w:r w:rsidRPr="003540C0">
        <w:t>), repairs and maintenance (28.</w:t>
      </w:r>
      <w:r w:rsidR="00D00B54">
        <w:t>8</w:t>
      </w:r>
      <w:r w:rsidR="00A261F3">
        <w:t> per cent</w:t>
      </w:r>
      <w:r w:rsidRPr="003540C0">
        <w:t>), facility rental (20.</w:t>
      </w:r>
      <w:r w:rsidR="00341DAB">
        <w:t>1</w:t>
      </w:r>
      <w:r w:rsidR="00A261F3">
        <w:t> per cent</w:t>
      </w:r>
      <w:r w:rsidRPr="003540C0">
        <w:t>), and other (27.</w:t>
      </w:r>
      <w:r w:rsidR="00D00B54">
        <w:t>9</w:t>
      </w:r>
      <w:r w:rsidR="00A261F3">
        <w:t> per cent</w:t>
      </w:r>
      <w:r w:rsidRPr="003540C0">
        <w:t>).</w:t>
      </w:r>
    </w:p>
    <w:p w:rsidR="009F311D" w:rsidRPr="003540C0" w:rsidRDefault="009F311D" w:rsidP="00DE51CA">
      <w:r w:rsidRPr="003540C0">
        <w:t>Other accommodation expenses include property rates and taxes, bed licence fees/allocation certification fees, utilities and waste disposal</w:t>
      </w:r>
      <w:r w:rsidR="00C144E9">
        <w:t>.</w:t>
      </w:r>
    </w:p>
    <w:p w:rsidR="00D8721E" w:rsidRDefault="009F311D" w:rsidP="00DE51CA">
      <w:r w:rsidRPr="003540C0">
        <w:lastRenderedPageBreak/>
        <w:t>Hotel expenditure relates to the costs incurred in the provision of everyday living expenses to residents. Within hotel, expenses relate to employees (55.</w:t>
      </w:r>
      <w:r w:rsidR="00D00B54">
        <w:t>8</w:t>
      </w:r>
      <w:r w:rsidR="00A261F3">
        <w:t> per cent</w:t>
      </w:r>
      <w:r w:rsidR="00590316">
        <w:t>), contracted services (17</w:t>
      </w:r>
      <w:r w:rsidR="00A261F3">
        <w:t> per cent</w:t>
      </w:r>
      <w:r w:rsidRPr="003540C0">
        <w:t>) and other (27.</w:t>
      </w:r>
      <w:r w:rsidR="00341DAB">
        <w:t>2</w:t>
      </w:r>
      <w:r w:rsidR="00A261F3">
        <w:t> per cent</w:t>
      </w:r>
      <w:r w:rsidRPr="003540C0">
        <w:t>)</w:t>
      </w:r>
      <w:r w:rsidR="00D8721E">
        <w:t>.</w:t>
      </w:r>
    </w:p>
    <w:p w:rsidR="009F311D" w:rsidRPr="003540C0" w:rsidRDefault="009F311D" w:rsidP="00DE51CA">
      <w:r w:rsidRPr="003540C0">
        <w:t>Contracted services are payments made to external providers or internal divisions for the provision of catering, cleaning or laundry. Other expens</w:t>
      </w:r>
      <w:r w:rsidR="003540C0" w:rsidRPr="003540C0">
        <w:t>es consist of expenses such as</w:t>
      </w:r>
      <w:r w:rsidRPr="003540C0">
        <w:t xml:space="preserve"> meals, refreshment, other food consumables, bedding materials, toiletry and sanitary goods, cleaning items, laundry items.</w:t>
      </w:r>
    </w:p>
    <w:p w:rsidR="009F311D" w:rsidRPr="003540C0" w:rsidRDefault="009F311D" w:rsidP="00DE51CA">
      <w:r w:rsidRPr="003540C0">
        <w:t>Financing expenditure relate</w:t>
      </w:r>
      <w:r w:rsidR="00590316">
        <w:t>s</w:t>
      </w:r>
      <w:r w:rsidRPr="003540C0">
        <w:t xml:space="preserve"> to depreciation incurred on property, plant and equipment, amorti</w:t>
      </w:r>
      <w:r w:rsidR="006F2DBC">
        <w:t>s</w:t>
      </w:r>
      <w:r w:rsidRPr="003540C0">
        <w:t>ation of intangible assets, and interest paid on borrowing used to fund the capital requirements of facilities. Financing account</w:t>
      </w:r>
      <w:r w:rsidR="00C144E9">
        <w:t>ed</w:t>
      </w:r>
      <w:r w:rsidRPr="003540C0">
        <w:t xml:space="preserve"> for 6.</w:t>
      </w:r>
      <w:r w:rsidR="008C2527">
        <w:t>4</w:t>
      </w:r>
      <w:r w:rsidR="00A261F3">
        <w:t> per cent</w:t>
      </w:r>
      <w:r w:rsidRPr="003540C0">
        <w:t xml:space="preserve"> of total expenditure in</w:t>
      </w:r>
      <w:r w:rsidR="00A261F3">
        <w:t> 201</w:t>
      </w:r>
      <w:r w:rsidRPr="003540C0">
        <w:t>6</w:t>
      </w:r>
      <w:r w:rsidR="00D8721E">
        <w:t>–1</w:t>
      </w:r>
      <w:r w:rsidRPr="003540C0">
        <w:t>7</w:t>
      </w:r>
      <w:r w:rsidR="00C144E9">
        <w:t>.</w:t>
      </w:r>
    </w:p>
    <w:p w:rsidR="00D8721E" w:rsidRDefault="009F311D" w:rsidP="00DE51CA">
      <w:r w:rsidRPr="003540C0">
        <w:t>Other expenses relate to expenditure not covered in any of the above categories. It is of note that through the introduction of the ACFR, ACFA has been able to</w:t>
      </w:r>
      <w:r w:rsidR="003540C0" w:rsidRPr="003540C0">
        <w:t xml:space="preserve"> better identify expense items that previously were classified as ’other’. The proportion of </w:t>
      </w:r>
      <w:r w:rsidRPr="003540C0">
        <w:t>expenses</w:t>
      </w:r>
      <w:r w:rsidR="003540C0" w:rsidRPr="003540C0">
        <w:t xml:space="preserve"> classified as ‘other’ was almost 30</w:t>
      </w:r>
      <w:r w:rsidR="00A261F3">
        <w:t> per cent</w:t>
      </w:r>
      <w:r w:rsidRPr="003540C0">
        <w:t xml:space="preserve"> in</w:t>
      </w:r>
      <w:r w:rsidR="00A261F3">
        <w:t> 201</w:t>
      </w:r>
      <w:r w:rsidRPr="003540C0">
        <w:t>5</w:t>
      </w:r>
      <w:r w:rsidR="00D8721E">
        <w:t>–1</w:t>
      </w:r>
      <w:r w:rsidRPr="003540C0">
        <w:t xml:space="preserve">6 </w:t>
      </w:r>
      <w:r w:rsidR="003540C0" w:rsidRPr="003540C0">
        <w:t xml:space="preserve">but is only </w:t>
      </w:r>
      <w:r w:rsidR="00853876">
        <w:t>2</w:t>
      </w:r>
      <w:r w:rsidR="00A261F3">
        <w:t> per cent</w:t>
      </w:r>
      <w:r w:rsidRPr="003540C0">
        <w:t xml:space="preserve"> in</w:t>
      </w:r>
      <w:r w:rsidR="00A261F3">
        <w:t> 201</w:t>
      </w:r>
      <w:r w:rsidRPr="003540C0">
        <w:t>6</w:t>
      </w:r>
      <w:r w:rsidR="00D8721E">
        <w:t>–1</w:t>
      </w:r>
      <w:r w:rsidRPr="003540C0">
        <w:t>7.</w:t>
      </w:r>
    </w:p>
    <w:p w:rsidR="00022C34" w:rsidRPr="00596D01" w:rsidRDefault="00EB4D90" w:rsidP="00DE51CA">
      <w:pPr>
        <w:pStyle w:val="Heading3Numbered"/>
      </w:pPr>
      <w:bookmarkStart w:id="753" w:name="_Toc487702612"/>
      <w:bookmarkStart w:id="754" w:name="_Toc487702964"/>
      <w:bookmarkStart w:id="755" w:name="_Toc487703462"/>
      <w:bookmarkStart w:id="756" w:name="_Toc487703656"/>
      <w:bookmarkStart w:id="757" w:name="_Toc524424789"/>
      <w:bookmarkStart w:id="758" w:name="_Ref524427844"/>
      <w:r w:rsidRPr="00596D01">
        <w:t xml:space="preserve">Operating position </w:t>
      </w:r>
      <w:r w:rsidR="00F93130" w:rsidRPr="00596D01">
        <w:t>–</w:t>
      </w:r>
      <w:r w:rsidRPr="00596D01">
        <w:t xml:space="preserve"> p</w:t>
      </w:r>
      <w:r w:rsidR="00022C34" w:rsidRPr="00596D01">
        <w:t>rofit</w:t>
      </w:r>
      <w:bookmarkEnd w:id="753"/>
      <w:bookmarkEnd w:id="754"/>
      <w:bookmarkEnd w:id="755"/>
      <w:bookmarkEnd w:id="756"/>
      <w:bookmarkEnd w:id="757"/>
      <w:bookmarkEnd w:id="758"/>
    </w:p>
    <w:p w:rsidR="00E6476E" w:rsidRPr="00125644" w:rsidRDefault="00E6476E" w:rsidP="00DE51CA">
      <w:r w:rsidRPr="00125644">
        <w:t>The residential aged care sector reported an overall profit</w:t>
      </w:r>
      <w:r w:rsidR="002507B8">
        <w:t xml:space="preserve"> in</w:t>
      </w:r>
      <w:r w:rsidR="00A261F3">
        <w:t> 201</w:t>
      </w:r>
      <w:r w:rsidR="002507B8">
        <w:t>6</w:t>
      </w:r>
      <w:r w:rsidR="00D8721E">
        <w:t>–1</w:t>
      </w:r>
      <w:r w:rsidR="002507B8">
        <w:t>7</w:t>
      </w:r>
      <w:r w:rsidRPr="00125644">
        <w:t xml:space="preserve">. </w:t>
      </w:r>
      <w:r w:rsidR="00684219">
        <w:t>The 9</w:t>
      </w:r>
      <w:r w:rsidR="00D00B54">
        <w:t>9</w:t>
      </w:r>
      <w:r w:rsidR="00A261F3">
        <w:t> per cent</w:t>
      </w:r>
      <w:r w:rsidR="00684219">
        <w:t xml:space="preserve"> of providers who submitted their </w:t>
      </w:r>
      <w:r w:rsidR="00C144E9">
        <w:t>ACFRs</w:t>
      </w:r>
      <w:r w:rsidR="00684219">
        <w:t xml:space="preserve"> reported </w:t>
      </w:r>
      <w:r w:rsidR="00790D6C" w:rsidRPr="00125644">
        <w:t>total profit</w:t>
      </w:r>
      <w:r w:rsidR="0091289A">
        <w:t xml:space="preserve"> (NPBT)</w:t>
      </w:r>
      <w:r w:rsidR="00790D6C" w:rsidRPr="00125644">
        <w:t xml:space="preserve"> </w:t>
      </w:r>
      <w:r w:rsidR="00684219">
        <w:t>of $1,00</w:t>
      </w:r>
      <w:r w:rsidR="00B97D56">
        <w:t>6</w:t>
      </w:r>
      <w:r w:rsidR="00A261F3">
        <w:t> million</w:t>
      </w:r>
      <w:r w:rsidR="00684219">
        <w:t>, down slightly from $1</w:t>
      </w:r>
      <w:r w:rsidR="00790D6C" w:rsidRPr="00125644">
        <w:t>,0</w:t>
      </w:r>
      <w:r w:rsidR="00684219">
        <w:t>6</w:t>
      </w:r>
      <w:r w:rsidR="00790D6C" w:rsidRPr="00125644">
        <w:t>3</w:t>
      </w:r>
      <w:r w:rsidR="00A261F3">
        <w:t> million</w:t>
      </w:r>
      <w:r w:rsidR="00684219">
        <w:t xml:space="preserve"> in</w:t>
      </w:r>
      <w:r w:rsidR="00A261F3">
        <w:t> 201</w:t>
      </w:r>
      <w:r w:rsidR="00790D6C" w:rsidRPr="00125644">
        <w:t>5</w:t>
      </w:r>
      <w:r w:rsidR="00D8721E">
        <w:t>–1</w:t>
      </w:r>
      <w:r w:rsidR="00790D6C" w:rsidRPr="00125644">
        <w:t>6</w:t>
      </w:r>
      <w:r w:rsidR="00684219">
        <w:t>.</w:t>
      </w:r>
      <w:r w:rsidR="00790D6C" w:rsidRPr="00125644">
        <w:t xml:space="preserve"> Sixty-eight</w:t>
      </w:r>
      <w:r w:rsidR="00A261F3">
        <w:t> per cent</w:t>
      </w:r>
      <w:r w:rsidRPr="00125644">
        <w:t xml:space="preserve"> of providers reported a net profit compared with 6</w:t>
      </w:r>
      <w:r w:rsidR="00D00B54">
        <w:t>9</w:t>
      </w:r>
      <w:r w:rsidR="00A261F3">
        <w:t> per cent</w:t>
      </w:r>
      <w:r w:rsidRPr="00125644">
        <w:t xml:space="preserve"> in</w:t>
      </w:r>
      <w:r w:rsidR="00A261F3">
        <w:t> 201</w:t>
      </w:r>
      <w:r w:rsidR="00790D6C" w:rsidRPr="00125644">
        <w:t>5</w:t>
      </w:r>
      <w:r w:rsidR="00D8721E">
        <w:t>–1</w:t>
      </w:r>
      <w:r w:rsidR="00790D6C" w:rsidRPr="00125644">
        <w:t>6</w:t>
      </w:r>
      <w:r w:rsidRPr="00125644">
        <w:t>.</w:t>
      </w:r>
    </w:p>
    <w:p w:rsidR="00D8721E" w:rsidRDefault="00AA684F" w:rsidP="00DE51CA">
      <w:r>
        <w:t xml:space="preserve">As shown in </w:t>
      </w:r>
      <w:r w:rsidR="00492BF8">
        <w:fldChar w:fldCharType="begin"/>
      </w:r>
      <w:r w:rsidR="00492BF8">
        <w:instrText xml:space="preserve"> REF _Ref524429621 \r \h </w:instrText>
      </w:r>
      <w:r w:rsidR="00492BF8">
        <w:fldChar w:fldCharType="separate"/>
      </w:r>
      <w:r w:rsidR="00492BF8">
        <w:t>Table 9.10</w:t>
      </w:r>
      <w:r w:rsidR="00492BF8">
        <w:fldChar w:fldCharType="end"/>
      </w:r>
      <w:r w:rsidR="00E6476E">
        <w:t xml:space="preserve">, </w:t>
      </w:r>
      <w:r w:rsidR="00EF485C">
        <w:t>in</w:t>
      </w:r>
      <w:r w:rsidR="00A261F3">
        <w:t> 201</w:t>
      </w:r>
      <w:r w:rsidR="00EF485C">
        <w:t>6</w:t>
      </w:r>
      <w:r w:rsidR="00D8721E">
        <w:t>–1</w:t>
      </w:r>
      <w:r w:rsidR="00EF485C">
        <w:t xml:space="preserve">7 the </w:t>
      </w:r>
      <w:r w:rsidR="00684219">
        <w:t>total</w:t>
      </w:r>
      <w:r w:rsidR="00EF485C">
        <w:t xml:space="preserve"> EBITDA increased by 4</w:t>
      </w:r>
      <w:r w:rsidR="00684219">
        <w:t>.</w:t>
      </w:r>
      <w:r w:rsidR="008C2527">
        <w:t>4</w:t>
      </w:r>
      <w:r w:rsidR="00A261F3">
        <w:t> per cent</w:t>
      </w:r>
      <w:r w:rsidR="00EF485C">
        <w:t xml:space="preserve"> compared with</w:t>
      </w:r>
      <w:r w:rsidR="00A261F3">
        <w:t> 201</w:t>
      </w:r>
      <w:r w:rsidR="00EF485C">
        <w:t>5</w:t>
      </w:r>
      <w:r w:rsidR="00D8721E">
        <w:t>–1</w:t>
      </w:r>
      <w:r w:rsidR="00EF485C">
        <w:t>6. However the total NPBT decreased by 5.</w:t>
      </w:r>
      <w:r w:rsidR="008C2527">
        <w:t>4</w:t>
      </w:r>
      <w:r w:rsidR="00A261F3">
        <w:t> per cent</w:t>
      </w:r>
      <w:r w:rsidR="00EF485C">
        <w:t>.</w:t>
      </w:r>
      <w:r w:rsidR="00A96D05">
        <w:t xml:space="preserve"> Average EBITDA per resident per annum increased by 3.</w:t>
      </w:r>
      <w:r w:rsidR="00341DAB">
        <w:t>1</w:t>
      </w:r>
      <w:r w:rsidR="00A261F3">
        <w:t> per cent</w:t>
      </w:r>
      <w:r w:rsidR="00A96D05">
        <w:t xml:space="preserve"> to $11,481 in</w:t>
      </w:r>
      <w:r w:rsidR="00A261F3">
        <w:t> 201</w:t>
      </w:r>
      <w:r w:rsidR="00A96D05">
        <w:t>6</w:t>
      </w:r>
      <w:r w:rsidR="00D8721E">
        <w:t>–1</w:t>
      </w:r>
      <w:r w:rsidR="00A96D05">
        <w:t>7 whereas NPBT per resident per annum decreased by 6.</w:t>
      </w:r>
      <w:r w:rsidR="009C307B">
        <w:t>5</w:t>
      </w:r>
      <w:r w:rsidR="00A261F3">
        <w:t> per cent</w:t>
      </w:r>
      <w:r w:rsidR="00A96D05">
        <w:t xml:space="preserve"> to $5,</w:t>
      </w:r>
      <w:r w:rsidR="00A96D05" w:rsidRPr="003C4D6E">
        <w:t>572.</w:t>
      </w:r>
      <w:r w:rsidR="003C4D6E" w:rsidRPr="003C4D6E">
        <w:t xml:space="preserve"> The increase in EBITDA</w:t>
      </w:r>
      <w:r w:rsidR="00590316">
        <w:t>,</w:t>
      </w:r>
      <w:r w:rsidR="003C4D6E" w:rsidRPr="003C4D6E">
        <w:t xml:space="preserve"> but decrease in net profit, is due in part to a significant increase in reported depreciation by providers, which is</w:t>
      </w:r>
      <w:r w:rsidR="00590316">
        <w:t xml:space="preserve"> </w:t>
      </w:r>
      <w:r w:rsidR="003C4D6E" w:rsidRPr="003C4D6E">
        <w:t>n</w:t>
      </w:r>
      <w:r w:rsidR="00590316">
        <w:t>ot</w:t>
      </w:r>
      <w:r w:rsidR="003C4D6E" w:rsidRPr="003C4D6E">
        <w:t xml:space="preserve"> included in the calculation of EBITDA but is for NPB</w:t>
      </w:r>
      <w:r w:rsidR="00943156">
        <w:t>T</w:t>
      </w:r>
      <w:r w:rsidR="003C4D6E" w:rsidRPr="003C4D6E">
        <w:t>. Providers reported a 13.</w:t>
      </w:r>
      <w:r w:rsidR="00341DAB">
        <w:t>2</w:t>
      </w:r>
      <w:r w:rsidR="00A261F3">
        <w:t> per cent</w:t>
      </w:r>
      <w:r w:rsidR="003C4D6E" w:rsidRPr="003C4D6E">
        <w:t xml:space="preserve"> increase in depreciation from </w:t>
      </w:r>
      <w:r w:rsidR="00943156">
        <w:t>$</w:t>
      </w:r>
      <w:r w:rsidR="003C4D6E" w:rsidRPr="003C4D6E">
        <w:t>77</w:t>
      </w:r>
      <w:r w:rsidR="00AB6911">
        <w:t>2</w:t>
      </w:r>
      <w:r w:rsidR="00A261F3">
        <w:t> million</w:t>
      </w:r>
      <w:r w:rsidR="003C4D6E" w:rsidRPr="003C4D6E">
        <w:t xml:space="preserve"> in</w:t>
      </w:r>
      <w:r w:rsidR="00A261F3">
        <w:t> 201</w:t>
      </w:r>
      <w:r w:rsidR="003C4D6E" w:rsidRPr="003C4D6E">
        <w:t>5</w:t>
      </w:r>
      <w:r w:rsidR="00D8721E">
        <w:t>–1</w:t>
      </w:r>
      <w:r w:rsidR="003C4D6E" w:rsidRPr="003C4D6E">
        <w:t xml:space="preserve">6 to </w:t>
      </w:r>
      <w:r w:rsidR="00943156">
        <w:t>$</w:t>
      </w:r>
      <w:r w:rsidR="003C4D6E" w:rsidRPr="003C4D6E">
        <w:t>87</w:t>
      </w:r>
      <w:r w:rsidR="00AB6911">
        <w:t>4</w:t>
      </w:r>
      <w:r w:rsidR="00A261F3">
        <w:t> million</w:t>
      </w:r>
      <w:r w:rsidR="003C4D6E" w:rsidRPr="003C4D6E">
        <w:t xml:space="preserve"> in</w:t>
      </w:r>
      <w:r w:rsidR="00A261F3">
        <w:t> 201</w:t>
      </w:r>
      <w:r w:rsidR="003C4D6E" w:rsidRPr="003C4D6E">
        <w:t>6</w:t>
      </w:r>
      <w:r w:rsidR="00D8721E">
        <w:t>–1</w:t>
      </w:r>
      <w:r w:rsidR="003C4D6E" w:rsidRPr="003C4D6E">
        <w:t>7.</w:t>
      </w:r>
    </w:p>
    <w:p w:rsidR="00DE51CA" w:rsidRDefault="00DE51CA">
      <w:pPr>
        <w:suppressAutoHyphens w:val="0"/>
        <w:spacing w:before="60" w:after="0"/>
        <w:jc w:val="both"/>
        <w:rPr>
          <w:color w:val="FF0000"/>
        </w:rPr>
      </w:pPr>
      <w:r>
        <w:rPr>
          <w:color w:val="FF0000"/>
        </w:rPr>
        <w:br w:type="page"/>
      </w:r>
    </w:p>
    <w:p w:rsidR="00CA52C5" w:rsidRPr="00596D01" w:rsidRDefault="000C74AD" w:rsidP="00DE51CA">
      <w:pPr>
        <w:pStyle w:val="TableTitle"/>
      </w:pPr>
      <w:bookmarkStart w:id="759" w:name="_Ref524429621"/>
      <w:r w:rsidRPr="00596D01">
        <w:lastRenderedPageBreak/>
        <w:t>Overview of operating position</w:t>
      </w:r>
      <w:r w:rsidR="004D09DC" w:rsidRPr="00596D01">
        <w:t xml:space="preserve"> of residential care</w:t>
      </w:r>
      <w:r w:rsidR="000E1823" w:rsidRPr="00596D01">
        <w:t xml:space="preserve"> providers</w:t>
      </w:r>
      <w:r w:rsidR="004D09DC" w:rsidRPr="00596D01">
        <w:t>,</w:t>
      </w:r>
      <w:r w:rsidR="00A261F3" w:rsidRPr="00596D01">
        <w:t> 201</w:t>
      </w:r>
      <w:r w:rsidR="004D09DC" w:rsidRPr="00596D01">
        <w:t>5</w:t>
      </w:r>
      <w:r w:rsidR="00D8721E" w:rsidRPr="00596D01">
        <w:t>–1</w:t>
      </w:r>
      <w:r w:rsidR="004D09DC" w:rsidRPr="00596D01">
        <w:t>6 and</w:t>
      </w:r>
      <w:r w:rsidR="00A261F3" w:rsidRPr="00596D01">
        <w:t> 201</w:t>
      </w:r>
      <w:r w:rsidR="004D09DC" w:rsidRPr="00596D01">
        <w:t>6</w:t>
      </w:r>
      <w:r w:rsidR="00D8721E" w:rsidRPr="00596D01">
        <w:t>–1</w:t>
      </w:r>
      <w:r w:rsidR="004D09DC" w:rsidRPr="00596D01">
        <w:t>7</w:t>
      </w:r>
      <w:bookmarkEnd w:id="759"/>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36"/>
        <w:gridCol w:w="1926"/>
        <w:gridCol w:w="1926"/>
        <w:gridCol w:w="1926"/>
        <w:gridCol w:w="1914"/>
      </w:tblGrid>
      <w:tr w:rsidR="00720DA1" w:rsidRPr="000A0457"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006" w:type="pct"/>
            <w:hideMark/>
          </w:tcPr>
          <w:p w:rsidR="00720DA1" w:rsidRPr="0019295B" w:rsidRDefault="00720DA1" w:rsidP="00DE51CA">
            <w:pPr>
              <w:rPr>
                <w:rFonts w:ascii="Segoe UI" w:hAnsi="Segoe UI" w:cs="Segoe UI"/>
              </w:rPr>
            </w:pPr>
            <w:r w:rsidRPr="00596D01">
              <w:t xml:space="preserve"> </w:t>
            </w:r>
          </w:p>
        </w:tc>
        <w:tc>
          <w:tcPr>
            <w:tcW w:w="1000" w:type="pct"/>
          </w:tcPr>
          <w:p w:rsidR="00720DA1" w:rsidRPr="0019295B" w:rsidRDefault="00720DA1" w:rsidP="00DE51CA">
            <w:pPr>
              <w:jc w:val="right"/>
              <w:rPr>
                <w:rFonts w:ascii="Segoe UI" w:hAnsi="Segoe UI" w:cs="Segoe UI"/>
              </w:rPr>
            </w:pPr>
            <w:r w:rsidRPr="00596D01">
              <w:t>2015</w:t>
            </w:r>
            <w:r w:rsidR="00D8721E" w:rsidRPr="00596D01">
              <w:t>–1</w:t>
            </w:r>
            <w:r w:rsidRPr="00596D01">
              <w:t>6</w:t>
            </w:r>
          </w:p>
        </w:tc>
        <w:tc>
          <w:tcPr>
            <w:tcW w:w="1000" w:type="pct"/>
          </w:tcPr>
          <w:p w:rsidR="00720DA1" w:rsidRPr="0019295B" w:rsidRDefault="00720DA1" w:rsidP="00DE51CA">
            <w:pPr>
              <w:jc w:val="right"/>
              <w:rPr>
                <w:rFonts w:ascii="Segoe UI" w:hAnsi="Segoe UI" w:cs="Segoe UI"/>
              </w:rPr>
            </w:pPr>
            <w:r w:rsidRPr="00596D01">
              <w:t>2016</w:t>
            </w:r>
            <w:r w:rsidR="00D8721E" w:rsidRPr="00596D01">
              <w:t>–1</w:t>
            </w:r>
            <w:r w:rsidRPr="00596D01">
              <w:t>7</w:t>
            </w:r>
          </w:p>
        </w:tc>
        <w:tc>
          <w:tcPr>
            <w:tcW w:w="1000" w:type="pct"/>
          </w:tcPr>
          <w:p w:rsidR="00720DA1" w:rsidRPr="0019295B" w:rsidRDefault="00720DA1" w:rsidP="00DE51CA">
            <w:pPr>
              <w:jc w:val="right"/>
              <w:rPr>
                <w:rFonts w:ascii="Segoe UI" w:hAnsi="Segoe UI" w:cs="Segoe UI"/>
              </w:rPr>
            </w:pPr>
            <w:r w:rsidRPr="00596D01">
              <w:t xml:space="preserve">Change </w:t>
            </w:r>
            <w:r w:rsidR="00125644" w:rsidRPr="00596D01">
              <w:t>($m)</w:t>
            </w:r>
          </w:p>
        </w:tc>
        <w:tc>
          <w:tcPr>
            <w:tcW w:w="995" w:type="pct"/>
          </w:tcPr>
          <w:p w:rsidR="00720DA1" w:rsidRPr="00596D01" w:rsidRDefault="00720DA1" w:rsidP="00DE51CA">
            <w:pPr>
              <w:jc w:val="right"/>
            </w:pPr>
            <w:r w:rsidRPr="00596D01">
              <w:t>Change (%)</w:t>
            </w:r>
          </w:p>
        </w:tc>
      </w:tr>
      <w:tr w:rsidR="00720DA1" w:rsidRPr="00F3678E" w:rsidTr="00DE51CA">
        <w:trPr>
          <w:trHeight w:val="113"/>
        </w:trPr>
        <w:tc>
          <w:tcPr>
            <w:tcW w:w="1006" w:type="pct"/>
          </w:tcPr>
          <w:p w:rsidR="00720DA1" w:rsidRPr="0019295B" w:rsidRDefault="00720DA1" w:rsidP="00DE51CA">
            <w:pPr>
              <w:rPr>
                <w:rFonts w:ascii="Segoe UI" w:hAnsi="Segoe UI" w:cs="Segoe UI"/>
                <w:color w:val="000000"/>
              </w:rPr>
            </w:pPr>
            <w:r w:rsidRPr="0019295B">
              <w:rPr>
                <w:rFonts w:ascii="Segoe UI" w:hAnsi="Segoe UI" w:cs="Segoe UI"/>
                <w:color w:val="000000"/>
              </w:rPr>
              <w:t>Revenue</w:t>
            </w:r>
          </w:p>
        </w:tc>
        <w:tc>
          <w:tcPr>
            <w:tcW w:w="1000" w:type="pct"/>
          </w:tcPr>
          <w:p w:rsidR="00720DA1" w:rsidRPr="0019295B" w:rsidRDefault="00E75218" w:rsidP="00DE51CA">
            <w:pPr>
              <w:jc w:val="right"/>
              <w:rPr>
                <w:rFonts w:ascii="Segoe UI" w:hAnsi="Segoe UI" w:cs="Segoe UI"/>
                <w:color w:val="000000"/>
              </w:rPr>
            </w:pPr>
            <w:r w:rsidRPr="0019295B">
              <w:rPr>
                <w:rFonts w:ascii="Segoe UI" w:hAnsi="Segoe UI" w:cs="Segoe UI"/>
                <w:color w:val="000000"/>
              </w:rPr>
              <w:t>$17,172m</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$17,</w:t>
            </w:r>
            <w:r w:rsidR="00684219" w:rsidRPr="0019295B">
              <w:rPr>
                <w:rFonts w:ascii="Segoe UI" w:hAnsi="Segoe UI" w:cs="Segoe UI"/>
                <w:color w:val="000000"/>
              </w:rPr>
              <w:t>75</w:t>
            </w:r>
            <w:r w:rsidR="00FE6782">
              <w:rPr>
                <w:rFonts w:ascii="Segoe UI" w:hAnsi="Segoe UI" w:cs="Segoe UI"/>
                <w:color w:val="000000"/>
              </w:rPr>
              <w:t>7</w:t>
            </w:r>
            <w:r w:rsidRPr="0019295B">
              <w:rPr>
                <w:rFonts w:ascii="Segoe UI" w:hAnsi="Segoe UI" w:cs="Segoe UI"/>
                <w:color w:val="000000"/>
              </w:rPr>
              <w:t>m</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w:t>
            </w:r>
            <w:r w:rsidR="00684219" w:rsidRPr="0019295B">
              <w:rPr>
                <w:rFonts w:ascii="Segoe UI" w:hAnsi="Segoe UI" w:cs="Segoe UI"/>
                <w:color w:val="000000"/>
              </w:rPr>
              <w:t>58</w:t>
            </w:r>
            <w:r w:rsidR="003C0F09" w:rsidRPr="0019295B">
              <w:rPr>
                <w:rFonts w:ascii="Segoe UI" w:hAnsi="Segoe UI" w:cs="Segoe UI"/>
                <w:color w:val="000000"/>
              </w:rPr>
              <w:t>4</w:t>
            </w:r>
            <w:r w:rsidRPr="0019295B">
              <w:rPr>
                <w:rFonts w:ascii="Segoe UI" w:hAnsi="Segoe UI" w:cs="Segoe UI"/>
                <w:color w:val="000000"/>
              </w:rPr>
              <w:t>m</w:t>
            </w:r>
          </w:p>
        </w:tc>
        <w:tc>
          <w:tcPr>
            <w:tcW w:w="995" w:type="pct"/>
          </w:tcPr>
          <w:p w:rsidR="00720DA1" w:rsidRPr="0019295B" w:rsidRDefault="00684219" w:rsidP="00DE51CA">
            <w:pPr>
              <w:jc w:val="right"/>
              <w:rPr>
                <w:rFonts w:ascii="Segoe UI" w:hAnsi="Segoe UI" w:cs="Segoe UI"/>
                <w:color w:val="000000"/>
              </w:rPr>
            </w:pPr>
            <w:r w:rsidRPr="0019295B">
              <w:rPr>
                <w:rFonts w:ascii="Segoe UI" w:hAnsi="Segoe UI" w:cs="Segoe UI"/>
                <w:color w:val="000000"/>
              </w:rPr>
              <w:t>3.4</w:t>
            </w:r>
            <w:r w:rsidR="00A9528E" w:rsidRPr="0019295B">
              <w:rPr>
                <w:rFonts w:ascii="Segoe UI" w:hAnsi="Segoe UI" w:cs="Segoe UI"/>
                <w:color w:val="000000"/>
              </w:rPr>
              <w:t>%</w:t>
            </w:r>
          </w:p>
        </w:tc>
      </w:tr>
      <w:tr w:rsidR="00720DA1" w:rsidRPr="00F3678E" w:rsidTr="00DE51CA">
        <w:trPr>
          <w:trHeight w:val="113"/>
        </w:trPr>
        <w:tc>
          <w:tcPr>
            <w:tcW w:w="1006" w:type="pct"/>
          </w:tcPr>
          <w:p w:rsidR="00720DA1" w:rsidRPr="0019295B" w:rsidRDefault="00720DA1" w:rsidP="00DE51CA">
            <w:pPr>
              <w:rPr>
                <w:rFonts w:ascii="Segoe UI" w:hAnsi="Segoe UI" w:cs="Segoe UI"/>
                <w:color w:val="000000"/>
              </w:rPr>
            </w:pPr>
            <w:r w:rsidRPr="0019295B">
              <w:rPr>
                <w:rFonts w:ascii="Segoe UI" w:hAnsi="Segoe UI" w:cs="Segoe UI"/>
                <w:color w:val="000000"/>
              </w:rPr>
              <w:t>Expenditure</w:t>
            </w:r>
          </w:p>
        </w:tc>
        <w:tc>
          <w:tcPr>
            <w:tcW w:w="1000" w:type="pct"/>
          </w:tcPr>
          <w:p w:rsidR="00720DA1" w:rsidRPr="0019295B" w:rsidRDefault="00E75218" w:rsidP="00DE51CA">
            <w:pPr>
              <w:jc w:val="right"/>
              <w:rPr>
                <w:rFonts w:ascii="Segoe UI" w:hAnsi="Segoe UI" w:cs="Segoe UI"/>
                <w:color w:val="000000"/>
              </w:rPr>
            </w:pPr>
            <w:r w:rsidRPr="0019295B">
              <w:rPr>
                <w:rFonts w:ascii="Segoe UI" w:hAnsi="Segoe UI" w:cs="Segoe UI"/>
                <w:color w:val="000000"/>
              </w:rPr>
              <w:t>$16,109m</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$16,</w:t>
            </w:r>
            <w:r w:rsidR="00684219" w:rsidRPr="0019295B">
              <w:rPr>
                <w:rFonts w:ascii="Segoe UI" w:hAnsi="Segoe UI" w:cs="Segoe UI"/>
                <w:color w:val="000000"/>
              </w:rPr>
              <w:t>751</w:t>
            </w:r>
            <w:r w:rsidRPr="0019295B">
              <w:rPr>
                <w:rFonts w:ascii="Segoe UI" w:hAnsi="Segoe UI" w:cs="Segoe UI"/>
                <w:color w:val="000000"/>
              </w:rPr>
              <w:t>m</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w:t>
            </w:r>
            <w:r w:rsidR="00EF485C" w:rsidRPr="0019295B">
              <w:rPr>
                <w:rFonts w:ascii="Segoe UI" w:hAnsi="Segoe UI" w:cs="Segoe UI"/>
                <w:color w:val="000000"/>
              </w:rPr>
              <w:t>642</w:t>
            </w:r>
            <w:r w:rsidRPr="0019295B">
              <w:rPr>
                <w:rFonts w:ascii="Segoe UI" w:hAnsi="Segoe UI" w:cs="Segoe UI"/>
                <w:color w:val="000000"/>
              </w:rPr>
              <w:t>m</w:t>
            </w:r>
          </w:p>
        </w:tc>
        <w:tc>
          <w:tcPr>
            <w:tcW w:w="995" w:type="pct"/>
          </w:tcPr>
          <w:p w:rsidR="00720DA1" w:rsidRPr="0019295B" w:rsidRDefault="00684219" w:rsidP="00DE51CA">
            <w:pPr>
              <w:jc w:val="right"/>
              <w:rPr>
                <w:rFonts w:ascii="Segoe UI" w:hAnsi="Segoe UI" w:cs="Segoe UI"/>
                <w:color w:val="000000"/>
              </w:rPr>
            </w:pPr>
            <w:r w:rsidRPr="0019295B">
              <w:rPr>
                <w:rFonts w:ascii="Segoe UI" w:hAnsi="Segoe UI" w:cs="Segoe UI"/>
                <w:color w:val="000000"/>
              </w:rPr>
              <w:t>4.0</w:t>
            </w:r>
            <w:r w:rsidR="00A9528E" w:rsidRPr="0019295B">
              <w:rPr>
                <w:rFonts w:ascii="Segoe UI" w:hAnsi="Segoe UI" w:cs="Segoe UI"/>
                <w:color w:val="000000"/>
              </w:rPr>
              <w:t>%</w:t>
            </w:r>
          </w:p>
        </w:tc>
      </w:tr>
      <w:tr w:rsidR="00720DA1" w:rsidRPr="00C144E9" w:rsidTr="00DE51CA">
        <w:trPr>
          <w:trHeight w:val="113"/>
        </w:trPr>
        <w:tc>
          <w:tcPr>
            <w:tcW w:w="1006" w:type="pct"/>
          </w:tcPr>
          <w:p w:rsidR="00720DA1" w:rsidRPr="00C144E9" w:rsidRDefault="000214FB" w:rsidP="00DE51CA">
            <w:pPr>
              <w:rPr>
                <w:rFonts w:ascii="Segoe UI" w:hAnsi="Segoe UI" w:cs="Segoe UI"/>
                <w:color w:val="000000"/>
              </w:rPr>
            </w:pPr>
            <w:r w:rsidRPr="00C144E9">
              <w:rPr>
                <w:rFonts w:ascii="Segoe UI" w:hAnsi="Segoe UI" w:cs="Segoe UI"/>
                <w:color w:val="000000"/>
              </w:rPr>
              <w:t xml:space="preserve">Total </w:t>
            </w:r>
            <w:r w:rsidR="00720DA1" w:rsidRPr="00C144E9">
              <w:rPr>
                <w:rFonts w:ascii="Segoe UI" w:hAnsi="Segoe UI" w:cs="Segoe UI"/>
                <w:color w:val="000000"/>
              </w:rPr>
              <w:t>EBITDA</w:t>
            </w:r>
          </w:p>
        </w:tc>
        <w:tc>
          <w:tcPr>
            <w:tcW w:w="1000" w:type="pct"/>
          </w:tcPr>
          <w:p w:rsidR="00720DA1" w:rsidRPr="00C144E9" w:rsidRDefault="00E75218" w:rsidP="00DE51CA">
            <w:pPr>
              <w:jc w:val="right"/>
              <w:rPr>
                <w:rFonts w:ascii="Segoe UI" w:hAnsi="Segoe UI" w:cs="Segoe UI"/>
                <w:color w:val="000000"/>
              </w:rPr>
            </w:pPr>
            <w:r w:rsidRPr="00C144E9">
              <w:rPr>
                <w:rFonts w:ascii="Segoe UI" w:hAnsi="Segoe UI" w:cs="Segoe UI"/>
                <w:color w:val="000000"/>
              </w:rPr>
              <w:t>$1,985m</w:t>
            </w:r>
          </w:p>
        </w:tc>
        <w:tc>
          <w:tcPr>
            <w:tcW w:w="1000" w:type="pct"/>
          </w:tcPr>
          <w:p w:rsidR="00720DA1" w:rsidRPr="00C144E9" w:rsidRDefault="00A9528E" w:rsidP="00DE51CA">
            <w:pPr>
              <w:jc w:val="right"/>
              <w:rPr>
                <w:rFonts w:ascii="Segoe UI" w:hAnsi="Segoe UI" w:cs="Segoe UI"/>
                <w:color w:val="000000"/>
              </w:rPr>
            </w:pPr>
            <w:r w:rsidRPr="00C144E9">
              <w:rPr>
                <w:rFonts w:ascii="Segoe UI" w:hAnsi="Segoe UI" w:cs="Segoe UI"/>
                <w:color w:val="000000"/>
              </w:rPr>
              <w:t>$2,0</w:t>
            </w:r>
            <w:r w:rsidR="0091289A" w:rsidRPr="00C144E9">
              <w:rPr>
                <w:rFonts w:ascii="Segoe UI" w:hAnsi="Segoe UI" w:cs="Segoe UI"/>
                <w:color w:val="000000"/>
              </w:rPr>
              <w:t>72</w:t>
            </w:r>
            <w:r w:rsidRPr="00C144E9">
              <w:rPr>
                <w:rFonts w:ascii="Segoe UI" w:hAnsi="Segoe UI" w:cs="Segoe UI"/>
                <w:color w:val="000000"/>
              </w:rPr>
              <w:t>m</w:t>
            </w:r>
          </w:p>
        </w:tc>
        <w:tc>
          <w:tcPr>
            <w:tcW w:w="1000" w:type="pct"/>
          </w:tcPr>
          <w:p w:rsidR="00720DA1" w:rsidRPr="00C144E9" w:rsidRDefault="00A9528E" w:rsidP="00DE51CA">
            <w:pPr>
              <w:jc w:val="right"/>
              <w:rPr>
                <w:rFonts w:ascii="Segoe UI" w:hAnsi="Segoe UI" w:cs="Segoe UI"/>
                <w:color w:val="000000"/>
              </w:rPr>
            </w:pPr>
            <w:r w:rsidRPr="00C144E9">
              <w:rPr>
                <w:rFonts w:ascii="Segoe UI" w:hAnsi="Segoe UI" w:cs="Segoe UI"/>
                <w:color w:val="000000"/>
              </w:rPr>
              <w:t>$</w:t>
            </w:r>
            <w:r w:rsidR="0091289A" w:rsidRPr="00C144E9">
              <w:rPr>
                <w:rFonts w:ascii="Segoe UI" w:hAnsi="Segoe UI" w:cs="Segoe UI"/>
                <w:color w:val="000000"/>
              </w:rPr>
              <w:t>87</w:t>
            </w:r>
            <w:r w:rsidRPr="00C144E9">
              <w:rPr>
                <w:rFonts w:ascii="Segoe UI" w:hAnsi="Segoe UI" w:cs="Segoe UI"/>
                <w:color w:val="000000"/>
              </w:rPr>
              <w:t>m</w:t>
            </w:r>
          </w:p>
        </w:tc>
        <w:tc>
          <w:tcPr>
            <w:tcW w:w="995" w:type="pct"/>
          </w:tcPr>
          <w:p w:rsidR="00720DA1" w:rsidRPr="00C144E9" w:rsidRDefault="00EF485C" w:rsidP="00DE51CA">
            <w:pPr>
              <w:jc w:val="right"/>
              <w:rPr>
                <w:rFonts w:ascii="Segoe UI" w:hAnsi="Segoe UI" w:cs="Segoe UI"/>
                <w:color w:val="000000"/>
              </w:rPr>
            </w:pPr>
            <w:r w:rsidRPr="00C144E9">
              <w:rPr>
                <w:rFonts w:ascii="Segoe UI" w:hAnsi="Segoe UI" w:cs="Segoe UI"/>
                <w:color w:val="000000"/>
              </w:rPr>
              <w:t>4.4</w:t>
            </w:r>
            <w:r w:rsidR="00A9528E" w:rsidRPr="00C144E9">
              <w:rPr>
                <w:rFonts w:ascii="Segoe UI" w:hAnsi="Segoe UI" w:cs="Segoe UI"/>
                <w:color w:val="000000"/>
              </w:rPr>
              <w:t>%</w:t>
            </w:r>
          </w:p>
        </w:tc>
      </w:tr>
      <w:tr w:rsidR="0091289A" w:rsidRPr="00C144E9" w:rsidTr="00DE51CA">
        <w:trPr>
          <w:trHeight w:val="113"/>
        </w:trPr>
        <w:tc>
          <w:tcPr>
            <w:tcW w:w="1006" w:type="pct"/>
          </w:tcPr>
          <w:p w:rsidR="0091289A" w:rsidRPr="00C144E9" w:rsidRDefault="0091289A" w:rsidP="00DE51CA">
            <w:pPr>
              <w:rPr>
                <w:rFonts w:ascii="Segoe UI" w:hAnsi="Segoe UI" w:cs="Segoe UI"/>
                <w:color w:val="000000"/>
              </w:rPr>
            </w:pPr>
            <w:r w:rsidRPr="00C144E9">
              <w:rPr>
                <w:rFonts w:ascii="Segoe UI" w:hAnsi="Segoe UI" w:cs="Segoe UI"/>
                <w:color w:val="000000"/>
              </w:rPr>
              <w:t>Total NPBT</w:t>
            </w:r>
          </w:p>
        </w:tc>
        <w:tc>
          <w:tcPr>
            <w:tcW w:w="1000" w:type="pct"/>
          </w:tcPr>
          <w:p w:rsidR="0091289A" w:rsidRPr="00C144E9" w:rsidRDefault="0091289A" w:rsidP="00DE51CA">
            <w:pPr>
              <w:jc w:val="right"/>
              <w:rPr>
                <w:rFonts w:ascii="Segoe UI" w:hAnsi="Segoe UI" w:cs="Segoe UI"/>
                <w:color w:val="000000"/>
              </w:rPr>
            </w:pPr>
            <w:r w:rsidRPr="00C144E9">
              <w:rPr>
                <w:rFonts w:ascii="Segoe UI" w:hAnsi="Segoe UI" w:cs="Segoe UI"/>
                <w:color w:val="000000"/>
              </w:rPr>
              <w:t>$1,063m</w:t>
            </w:r>
          </w:p>
        </w:tc>
        <w:tc>
          <w:tcPr>
            <w:tcW w:w="1000" w:type="pct"/>
          </w:tcPr>
          <w:p w:rsidR="0091289A" w:rsidRPr="00C144E9" w:rsidRDefault="0091289A" w:rsidP="00DE51CA">
            <w:pPr>
              <w:jc w:val="right"/>
              <w:rPr>
                <w:rFonts w:ascii="Segoe UI" w:hAnsi="Segoe UI" w:cs="Segoe UI"/>
                <w:color w:val="000000"/>
              </w:rPr>
            </w:pPr>
            <w:r w:rsidRPr="00C144E9">
              <w:rPr>
                <w:rFonts w:ascii="Segoe UI" w:hAnsi="Segoe UI" w:cs="Segoe UI"/>
                <w:color w:val="000000"/>
              </w:rPr>
              <w:t>$</w:t>
            </w:r>
            <w:r w:rsidR="003C0F09" w:rsidRPr="00C144E9">
              <w:rPr>
                <w:rFonts w:ascii="Segoe UI" w:hAnsi="Segoe UI" w:cs="Segoe UI"/>
                <w:color w:val="000000"/>
              </w:rPr>
              <w:t>1,006</w:t>
            </w:r>
            <w:r w:rsidRPr="00C144E9">
              <w:rPr>
                <w:rFonts w:ascii="Segoe UI" w:hAnsi="Segoe UI" w:cs="Segoe UI"/>
                <w:color w:val="000000"/>
              </w:rPr>
              <w:t>m</w:t>
            </w:r>
          </w:p>
        </w:tc>
        <w:tc>
          <w:tcPr>
            <w:tcW w:w="1000" w:type="pct"/>
          </w:tcPr>
          <w:p w:rsidR="0091289A" w:rsidRPr="00C144E9" w:rsidRDefault="0091289A" w:rsidP="00DE51CA">
            <w:pPr>
              <w:jc w:val="right"/>
              <w:rPr>
                <w:rFonts w:ascii="Segoe UI" w:hAnsi="Segoe UI" w:cs="Segoe UI"/>
                <w:color w:val="000000"/>
              </w:rPr>
            </w:pPr>
            <w:r w:rsidRPr="00C144E9">
              <w:rPr>
                <w:rFonts w:ascii="Segoe UI" w:hAnsi="Segoe UI" w:cs="Segoe UI"/>
                <w:color w:val="000000"/>
              </w:rPr>
              <w:t>-$</w:t>
            </w:r>
            <w:r w:rsidR="003C0F09" w:rsidRPr="00C144E9">
              <w:rPr>
                <w:rFonts w:ascii="Segoe UI" w:hAnsi="Segoe UI" w:cs="Segoe UI"/>
                <w:color w:val="000000"/>
              </w:rPr>
              <w:t>57</w:t>
            </w:r>
            <w:r w:rsidRPr="00C144E9">
              <w:rPr>
                <w:rFonts w:ascii="Segoe UI" w:hAnsi="Segoe UI" w:cs="Segoe UI"/>
                <w:color w:val="000000"/>
              </w:rPr>
              <w:t>m</w:t>
            </w:r>
          </w:p>
        </w:tc>
        <w:tc>
          <w:tcPr>
            <w:tcW w:w="995" w:type="pct"/>
          </w:tcPr>
          <w:p w:rsidR="0091289A" w:rsidRPr="00C144E9" w:rsidRDefault="00D8721E" w:rsidP="00DE51CA">
            <w:pPr>
              <w:jc w:val="right"/>
              <w:rPr>
                <w:rFonts w:ascii="Segoe UI" w:hAnsi="Segoe UI" w:cs="Segoe UI"/>
                <w:color w:val="000000"/>
              </w:rPr>
            </w:pPr>
            <w:r>
              <w:rPr>
                <w:rFonts w:ascii="Segoe UI" w:hAnsi="Segoe UI" w:cs="Segoe UI"/>
                <w:color w:val="000000"/>
              </w:rPr>
              <w:t>–5</w:t>
            </w:r>
            <w:r w:rsidR="0091289A" w:rsidRPr="00C144E9">
              <w:rPr>
                <w:rFonts w:ascii="Segoe UI" w:hAnsi="Segoe UI" w:cs="Segoe UI"/>
                <w:color w:val="000000"/>
              </w:rPr>
              <w:t>.4%</w:t>
            </w:r>
          </w:p>
        </w:tc>
      </w:tr>
      <w:tr w:rsidR="00720DA1" w:rsidRPr="00F3678E" w:rsidTr="00DE51CA">
        <w:trPr>
          <w:trHeight w:val="113"/>
        </w:trPr>
        <w:tc>
          <w:tcPr>
            <w:tcW w:w="1006" w:type="pct"/>
          </w:tcPr>
          <w:p w:rsidR="00720DA1" w:rsidRPr="0019295B" w:rsidRDefault="00720DA1" w:rsidP="00DE51CA">
            <w:pPr>
              <w:rPr>
                <w:rFonts w:ascii="Segoe UI" w:hAnsi="Segoe UI" w:cs="Segoe UI"/>
                <w:color w:val="000000"/>
              </w:rPr>
            </w:pPr>
            <w:r w:rsidRPr="0019295B">
              <w:rPr>
                <w:rFonts w:ascii="Segoe UI" w:hAnsi="Segoe UI" w:cs="Segoe UI"/>
                <w:color w:val="000000"/>
              </w:rPr>
              <w:t>EBI</w:t>
            </w:r>
            <w:r w:rsidR="00DC2639">
              <w:rPr>
                <w:rFonts w:ascii="Segoe UI" w:hAnsi="Segoe UI" w:cs="Segoe UI"/>
                <w:color w:val="000000"/>
              </w:rPr>
              <w:t>TD</w:t>
            </w:r>
            <w:r w:rsidRPr="0019295B">
              <w:rPr>
                <w:rFonts w:ascii="Segoe UI" w:hAnsi="Segoe UI" w:cs="Segoe UI"/>
                <w:color w:val="000000"/>
              </w:rPr>
              <w:t xml:space="preserve">A </w:t>
            </w:r>
            <w:proofErr w:type="spellStart"/>
            <w:r w:rsidRPr="0019295B">
              <w:rPr>
                <w:rFonts w:ascii="Segoe UI" w:hAnsi="Segoe UI" w:cs="Segoe UI"/>
                <w:color w:val="000000"/>
              </w:rPr>
              <w:t>p.r.p.d</w:t>
            </w:r>
            <w:proofErr w:type="spellEnd"/>
          </w:p>
        </w:tc>
        <w:tc>
          <w:tcPr>
            <w:tcW w:w="1000" w:type="pct"/>
          </w:tcPr>
          <w:p w:rsidR="00720DA1" w:rsidRPr="0019295B" w:rsidRDefault="00E75218" w:rsidP="00DE51CA">
            <w:pPr>
              <w:jc w:val="right"/>
              <w:rPr>
                <w:rFonts w:ascii="Segoe UI" w:hAnsi="Segoe UI" w:cs="Segoe UI"/>
                <w:color w:val="000000"/>
              </w:rPr>
            </w:pPr>
            <w:r w:rsidRPr="0019295B">
              <w:rPr>
                <w:rFonts w:ascii="Segoe UI" w:hAnsi="Segoe UI" w:cs="Segoe UI"/>
                <w:color w:val="000000"/>
              </w:rPr>
              <w:t>$11,134</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$11,</w:t>
            </w:r>
            <w:r w:rsidR="0091289A" w:rsidRPr="0019295B">
              <w:rPr>
                <w:rFonts w:ascii="Segoe UI" w:hAnsi="Segoe UI" w:cs="Segoe UI"/>
                <w:color w:val="000000"/>
              </w:rPr>
              <w:t>481</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$3</w:t>
            </w:r>
            <w:r w:rsidR="0091289A" w:rsidRPr="0019295B">
              <w:rPr>
                <w:rFonts w:ascii="Segoe UI" w:hAnsi="Segoe UI" w:cs="Segoe UI"/>
                <w:color w:val="000000"/>
              </w:rPr>
              <w:t>47</w:t>
            </w:r>
            <w:r w:rsidRPr="0019295B">
              <w:rPr>
                <w:rFonts w:ascii="Segoe UI" w:hAnsi="Segoe UI" w:cs="Segoe UI"/>
                <w:color w:val="000000"/>
              </w:rPr>
              <w:t>m</w:t>
            </w:r>
          </w:p>
        </w:tc>
        <w:tc>
          <w:tcPr>
            <w:tcW w:w="995"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3.</w:t>
            </w:r>
            <w:r w:rsidR="0091289A" w:rsidRPr="0019295B">
              <w:rPr>
                <w:rFonts w:ascii="Segoe UI" w:hAnsi="Segoe UI" w:cs="Segoe UI"/>
                <w:color w:val="000000"/>
              </w:rPr>
              <w:t>1</w:t>
            </w:r>
            <w:r w:rsidRPr="0019295B">
              <w:rPr>
                <w:rFonts w:ascii="Segoe UI" w:hAnsi="Segoe UI" w:cs="Segoe UI"/>
                <w:color w:val="000000"/>
              </w:rPr>
              <w:t>%</w:t>
            </w:r>
          </w:p>
        </w:tc>
      </w:tr>
      <w:tr w:rsidR="00720DA1" w:rsidRPr="00F3678E" w:rsidTr="00DE51CA">
        <w:trPr>
          <w:trHeight w:val="113"/>
        </w:trPr>
        <w:tc>
          <w:tcPr>
            <w:tcW w:w="1006" w:type="pct"/>
          </w:tcPr>
          <w:p w:rsidR="00720DA1" w:rsidRPr="0019295B" w:rsidRDefault="00720DA1" w:rsidP="00DE51CA">
            <w:pPr>
              <w:rPr>
                <w:rFonts w:ascii="Segoe UI" w:hAnsi="Segoe UI" w:cs="Segoe UI"/>
                <w:color w:val="000000"/>
              </w:rPr>
            </w:pPr>
            <w:r w:rsidRPr="0019295B">
              <w:rPr>
                <w:rFonts w:ascii="Segoe UI" w:hAnsi="Segoe UI" w:cs="Segoe UI"/>
                <w:color w:val="000000"/>
              </w:rPr>
              <w:t xml:space="preserve">NPBT </w:t>
            </w:r>
            <w:proofErr w:type="spellStart"/>
            <w:r w:rsidRPr="0019295B">
              <w:rPr>
                <w:rFonts w:ascii="Segoe UI" w:hAnsi="Segoe UI" w:cs="Segoe UI"/>
                <w:color w:val="000000"/>
              </w:rPr>
              <w:t>p.r.p.d</w:t>
            </w:r>
            <w:proofErr w:type="spellEnd"/>
          </w:p>
        </w:tc>
        <w:tc>
          <w:tcPr>
            <w:tcW w:w="1000" w:type="pct"/>
          </w:tcPr>
          <w:p w:rsidR="00720DA1" w:rsidRPr="0019295B" w:rsidRDefault="00E75218" w:rsidP="00DE51CA">
            <w:pPr>
              <w:jc w:val="right"/>
              <w:rPr>
                <w:rFonts w:ascii="Segoe UI" w:hAnsi="Segoe UI" w:cs="Segoe UI"/>
                <w:color w:val="000000"/>
              </w:rPr>
            </w:pPr>
            <w:r w:rsidRPr="0019295B">
              <w:rPr>
                <w:rFonts w:ascii="Segoe UI" w:hAnsi="Segoe UI" w:cs="Segoe UI"/>
                <w:color w:val="000000"/>
              </w:rPr>
              <w:t>$5,962</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$5,5</w:t>
            </w:r>
            <w:r w:rsidR="00EF485C" w:rsidRPr="0019295B">
              <w:rPr>
                <w:rFonts w:ascii="Segoe UI" w:hAnsi="Segoe UI" w:cs="Segoe UI"/>
                <w:color w:val="000000"/>
              </w:rPr>
              <w:t>72</w:t>
            </w:r>
          </w:p>
        </w:tc>
        <w:tc>
          <w:tcPr>
            <w:tcW w:w="1000" w:type="pct"/>
          </w:tcPr>
          <w:p w:rsidR="00720DA1" w:rsidRPr="0019295B" w:rsidRDefault="00A9528E" w:rsidP="00DE51CA">
            <w:pPr>
              <w:jc w:val="right"/>
              <w:rPr>
                <w:rFonts w:ascii="Segoe UI" w:hAnsi="Segoe UI" w:cs="Segoe UI"/>
                <w:color w:val="000000"/>
              </w:rPr>
            </w:pPr>
            <w:r w:rsidRPr="0019295B">
              <w:rPr>
                <w:rFonts w:ascii="Segoe UI" w:hAnsi="Segoe UI" w:cs="Segoe UI"/>
                <w:color w:val="000000"/>
              </w:rPr>
              <w:t>-$</w:t>
            </w:r>
            <w:r w:rsidR="00EF485C" w:rsidRPr="0019295B">
              <w:rPr>
                <w:rFonts w:ascii="Segoe UI" w:hAnsi="Segoe UI" w:cs="Segoe UI"/>
                <w:color w:val="000000"/>
              </w:rPr>
              <w:t>390</w:t>
            </w:r>
          </w:p>
        </w:tc>
        <w:tc>
          <w:tcPr>
            <w:tcW w:w="995" w:type="pct"/>
          </w:tcPr>
          <w:p w:rsidR="00720DA1" w:rsidRPr="0019295B" w:rsidRDefault="00D8721E" w:rsidP="00DE51CA">
            <w:pPr>
              <w:jc w:val="right"/>
              <w:rPr>
                <w:rFonts w:ascii="Segoe UI" w:hAnsi="Segoe UI" w:cs="Segoe UI"/>
                <w:color w:val="000000"/>
              </w:rPr>
            </w:pPr>
            <w:r>
              <w:rPr>
                <w:rFonts w:ascii="Segoe UI" w:hAnsi="Segoe UI" w:cs="Segoe UI"/>
                <w:color w:val="000000"/>
              </w:rPr>
              <w:t>–6</w:t>
            </w:r>
            <w:r w:rsidR="00A9528E" w:rsidRPr="0019295B">
              <w:rPr>
                <w:rFonts w:ascii="Segoe UI" w:hAnsi="Segoe UI" w:cs="Segoe UI"/>
                <w:color w:val="000000"/>
              </w:rPr>
              <w:t>.</w:t>
            </w:r>
            <w:r w:rsidR="00EF485C" w:rsidRPr="0019295B">
              <w:rPr>
                <w:rFonts w:ascii="Segoe UI" w:hAnsi="Segoe UI" w:cs="Segoe UI"/>
                <w:color w:val="000000"/>
              </w:rPr>
              <w:t>5</w:t>
            </w:r>
            <w:r w:rsidR="00A9528E" w:rsidRPr="0019295B">
              <w:rPr>
                <w:rFonts w:ascii="Segoe UI" w:hAnsi="Segoe UI" w:cs="Segoe UI"/>
                <w:color w:val="000000"/>
              </w:rPr>
              <w:t>%</w:t>
            </w:r>
          </w:p>
        </w:tc>
      </w:tr>
    </w:tbl>
    <w:p w:rsidR="00D8721E" w:rsidRDefault="00492BF8" w:rsidP="00DE51CA">
      <w:pPr>
        <w:rPr>
          <w:lang w:val="en-GB"/>
        </w:rPr>
      </w:pPr>
      <w:r>
        <w:rPr>
          <w:lang w:val="en-GB"/>
        </w:rPr>
        <w:fldChar w:fldCharType="begin"/>
      </w:r>
      <w:r>
        <w:rPr>
          <w:lang w:val="en-GB"/>
        </w:rPr>
        <w:instrText xml:space="preserve"> REF _Ref524429628 \r \h </w:instrText>
      </w:r>
      <w:r>
        <w:rPr>
          <w:lang w:val="en-GB"/>
        </w:rPr>
      </w:r>
      <w:r>
        <w:rPr>
          <w:lang w:val="en-GB"/>
        </w:rPr>
        <w:fldChar w:fldCharType="separate"/>
      </w:r>
      <w:r>
        <w:rPr>
          <w:lang w:val="en-GB"/>
        </w:rPr>
        <w:t>Table 9.11</w:t>
      </w:r>
      <w:r>
        <w:rPr>
          <w:lang w:val="en-GB"/>
        </w:rPr>
        <w:fldChar w:fldCharType="end"/>
      </w:r>
      <w:r>
        <w:rPr>
          <w:lang w:val="en-GB"/>
        </w:rPr>
        <w:t xml:space="preserve"> </w:t>
      </w:r>
      <w:r w:rsidR="00E6476E">
        <w:rPr>
          <w:lang w:val="en-GB"/>
        </w:rPr>
        <w:t>shows an overview of the operating position of providers since</w:t>
      </w:r>
      <w:r w:rsidR="00A261F3">
        <w:rPr>
          <w:lang w:val="en-GB"/>
        </w:rPr>
        <w:t> 201</w:t>
      </w:r>
      <w:r w:rsidR="00125644">
        <w:rPr>
          <w:lang w:val="en-GB"/>
        </w:rPr>
        <w:t>2</w:t>
      </w:r>
      <w:r w:rsidR="00D8721E">
        <w:rPr>
          <w:lang w:val="en-GB"/>
        </w:rPr>
        <w:t>–1</w:t>
      </w:r>
      <w:r w:rsidR="00125644">
        <w:rPr>
          <w:lang w:val="en-GB"/>
        </w:rPr>
        <w:t>3</w:t>
      </w:r>
      <w:r w:rsidR="00E6476E">
        <w:rPr>
          <w:lang w:val="en-GB"/>
        </w:rPr>
        <w:t xml:space="preserve">. </w:t>
      </w:r>
      <w:r w:rsidR="000E1823">
        <w:rPr>
          <w:lang w:val="en-GB"/>
        </w:rPr>
        <w:t>The EBITDA has improve</w:t>
      </w:r>
      <w:r w:rsidR="00791A83">
        <w:rPr>
          <w:lang w:val="en-GB"/>
        </w:rPr>
        <w:t>d</w:t>
      </w:r>
      <w:r w:rsidR="000E1823">
        <w:rPr>
          <w:lang w:val="en-GB"/>
        </w:rPr>
        <w:t xml:space="preserve"> over the five years to</w:t>
      </w:r>
      <w:r w:rsidR="00A261F3">
        <w:rPr>
          <w:lang w:val="en-GB"/>
        </w:rPr>
        <w:t> 201</w:t>
      </w:r>
      <w:r w:rsidR="000E1823">
        <w:rPr>
          <w:lang w:val="en-GB"/>
        </w:rPr>
        <w:t>6</w:t>
      </w:r>
      <w:r w:rsidR="00D8721E">
        <w:rPr>
          <w:lang w:val="en-GB"/>
        </w:rPr>
        <w:t>–1</w:t>
      </w:r>
      <w:r w:rsidR="000E1823">
        <w:rPr>
          <w:lang w:val="en-GB"/>
        </w:rPr>
        <w:t xml:space="preserve">7. The NPBT </w:t>
      </w:r>
      <w:r w:rsidR="00791A83">
        <w:rPr>
          <w:lang w:val="en-GB"/>
        </w:rPr>
        <w:t>increased each year from</w:t>
      </w:r>
      <w:r w:rsidR="00A261F3">
        <w:rPr>
          <w:lang w:val="en-GB"/>
        </w:rPr>
        <w:t> 201</w:t>
      </w:r>
      <w:r w:rsidR="00791A83">
        <w:rPr>
          <w:lang w:val="en-GB"/>
        </w:rPr>
        <w:t>2</w:t>
      </w:r>
      <w:r w:rsidR="00D8721E">
        <w:rPr>
          <w:lang w:val="en-GB"/>
        </w:rPr>
        <w:t>–1</w:t>
      </w:r>
      <w:r w:rsidR="00791A83">
        <w:rPr>
          <w:lang w:val="en-GB"/>
        </w:rPr>
        <w:t>3 to</w:t>
      </w:r>
      <w:r w:rsidR="00A261F3">
        <w:rPr>
          <w:lang w:val="en-GB"/>
        </w:rPr>
        <w:t> 201</w:t>
      </w:r>
      <w:r w:rsidR="00791A83">
        <w:rPr>
          <w:lang w:val="en-GB"/>
        </w:rPr>
        <w:t>5</w:t>
      </w:r>
      <w:r w:rsidR="00D8721E">
        <w:rPr>
          <w:lang w:val="en-GB"/>
        </w:rPr>
        <w:t>–1</w:t>
      </w:r>
      <w:r w:rsidR="00791A83">
        <w:rPr>
          <w:lang w:val="en-GB"/>
        </w:rPr>
        <w:t>6 but fell in</w:t>
      </w:r>
      <w:r w:rsidR="00A261F3">
        <w:rPr>
          <w:lang w:val="en-GB"/>
        </w:rPr>
        <w:t> 201</w:t>
      </w:r>
      <w:r w:rsidR="000E1823">
        <w:rPr>
          <w:lang w:val="en-GB"/>
        </w:rPr>
        <w:t>6</w:t>
      </w:r>
      <w:r w:rsidR="00D8721E">
        <w:rPr>
          <w:lang w:val="en-GB"/>
        </w:rPr>
        <w:t>–1</w:t>
      </w:r>
      <w:r w:rsidR="000E1823">
        <w:rPr>
          <w:lang w:val="en-GB"/>
        </w:rPr>
        <w:t>7.</w:t>
      </w:r>
    </w:p>
    <w:p w:rsidR="00EF2802" w:rsidRPr="00596D01" w:rsidRDefault="00EF2802" w:rsidP="00DE51CA">
      <w:pPr>
        <w:pStyle w:val="TableTitle"/>
      </w:pPr>
      <w:bookmarkStart w:id="760" w:name="_Ref524429628"/>
      <w:r w:rsidRPr="00596D01">
        <w:t xml:space="preserve">EBITDA and NPBT </w:t>
      </w:r>
      <w:r w:rsidR="00125644" w:rsidRPr="00596D01">
        <w:t xml:space="preserve">of </w:t>
      </w:r>
      <w:r w:rsidR="004D09DC" w:rsidRPr="00596D01">
        <w:t xml:space="preserve">residential care </w:t>
      </w:r>
      <w:r w:rsidR="00125644" w:rsidRPr="00596D01">
        <w:t>providers</w:t>
      </w:r>
      <w:r w:rsidR="004D09DC" w:rsidRPr="00596D01">
        <w:t>,</w:t>
      </w:r>
      <w:r w:rsidR="00A261F3" w:rsidRPr="00596D01">
        <w:t> 201</w:t>
      </w:r>
      <w:r w:rsidR="00386378" w:rsidRPr="00596D01">
        <w:t>2</w:t>
      </w:r>
      <w:r w:rsidR="00D8721E" w:rsidRPr="00596D01">
        <w:t>–1</w:t>
      </w:r>
      <w:r w:rsidR="00386378" w:rsidRPr="00596D01">
        <w:t>3</w:t>
      </w:r>
      <w:r w:rsidR="004D09DC" w:rsidRPr="00596D01">
        <w:t> </w:t>
      </w:r>
      <w:r w:rsidR="00386378" w:rsidRPr="00596D01">
        <w:t>to</w:t>
      </w:r>
      <w:r w:rsidR="00A261F3" w:rsidRPr="00596D01">
        <w:t> 201</w:t>
      </w:r>
      <w:r w:rsidR="00386378" w:rsidRPr="00596D01">
        <w:t>6</w:t>
      </w:r>
      <w:r w:rsidR="00D8721E" w:rsidRPr="00596D01">
        <w:t>–1</w:t>
      </w:r>
      <w:r w:rsidR="00386378" w:rsidRPr="00596D01">
        <w:t>7</w:t>
      </w:r>
      <w:bookmarkEnd w:id="76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287"/>
        <w:gridCol w:w="1469"/>
        <w:gridCol w:w="1469"/>
        <w:gridCol w:w="1469"/>
        <w:gridCol w:w="1469"/>
        <w:gridCol w:w="1465"/>
      </w:tblGrid>
      <w:tr w:rsidR="0062261D"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187" w:type="pct"/>
            <w:noWrap/>
            <w:hideMark/>
          </w:tcPr>
          <w:p w:rsidR="0062261D" w:rsidRPr="00AD4035" w:rsidRDefault="0062261D" w:rsidP="00820F66">
            <w:pPr>
              <w:keepNext/>
              <w:jc w:val="center"/>
              <w:rPr>
                <w:rFonts w:ascii="Segoe UI" w:hAnsi="Segoe UI" w:cs="Segoe UI"/>
                <w:b w:val="0"/>
                <w:szCs w:val="22"/>
              </w:rPr>
            </w:pPr>
          </w:p>
        </w:tc>
        <w:tc>
          <w:tcPr>
            <w:tcW w:w="763" w:type="pct"/>
          </w:tcPr>
          <w:p w:rsidR="0062261D" w:rsidRPr="00AD4035" w:rsidRDefault="0062261D" w:rsidP="00DE51CA">
            <w:pPr>
              <w:keepNext/>
              <w:jc w:val="right"/>
              <w:rPr>
                <w:rFonts w:ascii="Segoe UI" w:hAnsi="Segoe UI" w:cs="Segoe UI"/>
                <w:b w:val="0"/>
                <w:szCs w:val="22"/>
              </w:rPr>
            </w:pPr>
            <w:r w:rsidRPr="00596D01">
              <w:t>2012</w:t>
            </w:r>
            <w:r w:rsidR="00D8721E" w:rsidRPr="00596D01">
              <w:t>–1</w:t>
            </w:r>
            <w:r w:rsidRPr="00596D01">
              <w:t>3</w:t>
            </w:r>
          </w:p>
        </w:tc>
        <w:tc>
          <w:tcPr>
            <w:tcW w:w="763" w:type="pct"/>
          </w:tcPr>
          <w:p w:rsidR="0062261D" w:rsidRPr="00AD4035" w:rsidRDefault="0062261D" w:rsidP="00DE51CA">
            <w:pPr>
              <w:keepNext/>
              <w:jc w:val="right"/>
              <w:rPr>
                <w:rFonts w:ascii="Segoe UI" w:hAnsi="Segoe UI" w:cs="Segoe UI"/>
                <w:b w:val="0"/>
                <w:szCs w:val="22"/>
              </w:rPr>
            </w:pPr>
            <w:r w:rsidRPr="00596D01">
              <w:t>2013</w:t>
            </w:r>
            <w:r w:rsidR="00D8721E" w:rsidRPr="00596D01">
              <w:t>–1</w:t>
            </w:r>
            <w:r w:rsidRPr="00596D01">
              <w:t>4</w:t>
            </w:r>
          </w:p>
        </w:tc>
        <w:tc>
          <w:tcPr>
            <w:tcW w:w="763" w:type="pct"/>
          </w:tcPr>
          <w:p w:rsidR="0062261D" w:rsidRPr="00AD4035" w:rsidRDefault="0062261D" w:rsidP="00DE51CA">
            <w:pPr>
              <w:keepNext/>
              <w:jc w:val="right"/>
              <w:rPr>
                <w:rFonts w:ascii="Segoe UI" w:hAnsi="Segoe UI" w:cs="Segoe UI"/>
                <w:b w:val="0"/>
                <w:szCs w:val="22"/>
              </w:rPr>
            </w:pPr>
            <w:r w:rsidRPr="00596D01">
              <w:t>2014</w:t>
            </w:r>
            <w:r w:rsidR="00D8721E" w:rsidRPr="00596D01">
              <w:t>–1</w:t>
            </w:r>
            <w:r w:rsidRPr="00596D01">
              <w:t>5</w:t>
            </w:r>
          </w:p>
        </w:tc>
        <w:tc>
          <w:tcPr>
            <w:tcW w:w="763" w:type="pct"/>
          </w:tcPr>
          <w:p w:rsidR="0062261D" w:rsidRPr="00AD4035" w:rsidRDefault="0062261D" w:rsidP="00DE51CA">
            <w:pPr>
              <w:keepNext/>
              <w:jc w:val="right"/>
              <w:rPr>
                <w:rFonts w:ascii="Segoe UI" w:hAnsi="Segoe UI" w:cs="Segoe UI"/>
                <w:b w:val="0"/>
                <w:szCs w:val="22"/>
              </w:rPr>
            </w:pPr>
            <w:r w:rsidRPr="00596D01">
              <w:t>2015</w:t>
            </w:r>
            <w:r w:rsidR="00D8721E" w:rsidRPr="00596D01">
              <w:t>–1</w:t>
            </w:r>
            <w:r w:rsidRPr="00596D01">
              <w:t>6</w:t>
            </w:r>
          </w:p>
        </w:tc>
        <w:tc>
          <w:tcPr>
            <w:tcW w:w="763" w:type="pct"/>
            <w:noWrap/>
          </w:tcPr>
          <w:p w:rsidR="0062261D" w:rsidRPr="00596D01" w:rsidRDefault="0062261D" w:rsidP="00DE51CA">
            <w:pPr>
              <w:keepNext/>
              <w:jc w:val="right"/>
            </w:pPr>
            <w:r w:rsidRPr="00596D01">
              <w:t>2016</w:t>
            </w:r>
            <w:r w:rsidR="00D8721E" w:rsidRPr="00596D01">
              <w:t>–1</w:t>
            </w:r>
            <w:r w:rsidRPr="00596D01">
              <w:t>7</w:t>
            </w:r>
          </w:p>
        </w:tc>
      </w:tr>
      <w:tr w:rsidR="0062261D" w:rsidTr="00DE51CA">
        <w:trPr>
          <w:trHeight w:val="113"/>
        </w:trPr>
        <w:tc>
          <w:tcPr>
            <w:tcW w:w="1187" w:type="pct"/>
            <w:noWrap/>
            <w:hideMark/>
          </w:tcPr>
          <w:p w:rsidR="0062261D" w:rsidRPr="00AD4035" w:rsidRDefault="00C47356" w:rsidP="00820F66">
            <w:pPr>
              <w:keepNext/>
              <w:rPr>
                <w:rFonts w:ascii="Segoe UI" w:hAnsi="Segoe UI" w:cs="Segoe UI"/>
              </w:rPr>
            </w:pPr>
            <w:r>
              <w:rPr>
                <w:rFonts w:ascii="Segoe UI" w:hAnsi="Segoe UI" w:cs="Segoe UI"/>
              </w:rPr>
              <w:t xml:space="preserve">Total EBITDA </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1,473</w:t>
            </w:r>
            <w:r>
              <w:rPr>
                <w:rFonts w:ascii="Segoe UI" w:hAnsi="Segoe UI" w:cs="Segoe UI"/>
              </w:rPr>
              <w:t>m</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1,581</w:t>
            </w:r>
            <w:r>
              <w:rPr>
                <w:rFonts w:ascii="Segoe UI" w:hAnsi="Segoe UI" w:cs="Segoe UI"/>
              </w:rPr>
              <w:t>m</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1,775</w:t>
            </w:r>
            <w:r>
              <w:rPr>
                <w:rFonts w:ascii="Segoe UI" w:hAnsi="Segoe UI" w:cs="Segoe UI"/>
              </w:rPr>
              <w:t>m</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$1,985m</w:t>
            </w:r>
          </w:p>
        </w:tc>
        <w:tc>
          <w:tcPr>
            <w:tcW w:w="763" w:type="pct"/>
            <w:noWrap/>
          </w:tcPr>
          <w:p w:rsidR="0062261D" w:rsidRPr="00AD4035" w:rsidRDefault="00125644" w:rsidP="00DE51CA">
            <w:pPr>
              <w:pStyle w:val="TabletextLeft"/>
              <w:keepNext/>
              <w:jc w:val="right"/>
              <w:rPr>
                <w:rFonts w:ascii="Segoe UI" w:hAnsi="Segoe UI" w:cs="Segoe UI"/>
              </w:rPr>
            </w:pPr>
            <w:r>
              <w:rPr>
                <w:rFonts w:ascii="Segoe UI" w:hAnsi="Segoe UI" w:cs="Segoe UI"/>
              </w:rPr>
              <w:t>$2,</w:t>
            </w:r>
            <w:r w:rsidR="00A9528E">
              <w:rPr>
                <w:rFonts w:ascii="Segoe UI" w:hAnsi="Segoe UI" w:cs="Segoe UI"/>
              </w:rPr>
              <w:t>0</w:t>
            </w:r>
            <w:r w:rsidR="000E1823">
              <w:rPr>
                <w:rFonts w:ascii="Segoe UI" w:hAnsi="Segoe UI" w:cs="Segoe UI"/>
              </w:rPr>
              <w:t>72</w:t>
            </w:r>
            <w:r w:rsidR="00A9528E">
              <w:rPr>
                <w:rFonts w:ascii="Segoe UI" w:hAnsi="Segoe UI" w:cs="Segoe UI"/>
              </w:rPr>
              <w:t>m</w:t>
            </w:r>
          </w:p>
        </w:tc>
      </w:tr>
      <w:tr w:rsidR="0062261D" w:rsidTr="00DE51CA">
        <w:trPr>
          <w:trHeight w:val="113"/>
        </w:trPr>
        <w:tc>
          <w:tcPr>
            <w:tcW w:w="1187" w:type="pct"/>
            <w:noWrap/>
            <w:hideMark/>
          </w:tcPr>
          <w:p w:rsidR="0062261D" w:rsidRPr="00AD4035" w:rsidRDefault="0062261D" w:rsidP="00C47356">
            <w:pPr>
              <w:keepNext/>
              <w:rPr>
                <w:rFonts w:ascii="Segoe UI" w:hAnsi="Segoe UI" w:cs="Segoe UI"/>
              </w:rPr>
            </w:pPr>
            <w:r w:rsidRPr="00AD4035">
              <w:rPr>
                <w:rFonts w:ascii="Segoe UI" w:hAnsi="Segoe UI" w:cs="Segoe UI"/>
              </w:rPr>
              <w:t xml:space="preserve">EBITDA </w:t>
            </w:r>
            <w:proofErr w:type="spellStart"/>
            <w:r w:rsidRPr="00AD4035">
              <w:rPr>
                <w:rFonts w:ascii="Segoe UI" w:hAnsi="Segoe UI" w:cs="Segoe UI"/>
              </w:rPr>
              <w:t>p.r.p.a</w:t>
            </w:r>
            <w:proofErr w:type="spellEnd"/>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8,660</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9,224</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10,222</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$11,134</w:t>
            </w:r>
          </w:p>
        </w:tc>
        <w:tc>
          <w:tcPr>
            <w:tcW w:w="763" w:type="pct"/>
            <w:noWrap/>
          </w:tcPr>
          <w:p w:rsidR="0062261D" w:rsidRPr="00AD4035" w:rsidRDefault="000E1823" w:rsidP="00DE51CA">
            <w:pPr>
              <w:pStyle w:val="TabletextLeft"/>
              <w:keepNext/>
              <w:jc w:val="right"/>
              <w:rPr>
                <w:rFonts w:ascii="Segoe UI" w:hAnsi="Segoe UI" w:cs="Segoe UI"/>
              </w:rPr>
            </w:pPr>
            <w:r>
              <w:rPr>
                <w:rFonts w:ascii="Segoe UI" w:hAnsi="Segoe UI" w:cs="Segoe UI"/>
              </w:rPr>
              <w:t>$11,481</w:t>
            </w:r>
          </w:p>
        </w:tc>
      </w:tr>
      <w:tr w:rsidR="0062261D" w:rsidTr="00DE51CA">
        <w:trPr>
          <w:trHeight w:val="113"/>
        </w:trPr>
        <w:tc>
          <w:tcPr>
            <w:tcW w:w="1187" w:type="pct"/>
            <w:noWrap/>
            <w:hideMark/>
          </w:tcPr>
          <w:p w:rsidR="0062261D" w:rsidRPr="00AD4035" w:rsidRDefault="0062261D" w:rsidP="00C47356">
            <w:pPr>
              <w:keepNext/>
              <w:rPr>
                <w:rFonts w:ascii="Segoe UI" w:hAnsi="Segoe UI" w:cs="Segoe UI"/>
              </w:rPr>
            </w:pPr>
            <w:r w:rsidRPr="00AD4035">
              <w:rPr>
                <w:rFonts w:ascii="Segoe UI" w:hAnsi="Segoe UI" w:cs="Segoe UI"/>
              </w:rPr>
              <w:t>EBITDA margin</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10.6</w:t>
            </w:r>
            <w:r w:rsidR="000E1823">
              <w:rPr>
                <w:rFonts w:ascii="Segoe UI" w:hAnsi="Segoe UI" w:cs="Segoe UI"/>
              </w:rPr>
              <w:t>%</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10.7</w:t>
            </w:r>
            <w:r w:rsidR="000E1823">
              <w:rPr>
                <w:rFonts w:ascii="Segoe UI" w:hAnsi="Segoe UI" w:cs="Segoe UI"/>
              </w:rPr>
              <w:t>%</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11.2</w:t>
            </w:r>
            <w:r w:rsidR="000E1823">
              <w:rPr>
                <w:rFonts w:ascii="Segoe UI" w:hAnsi="Segoe UI" w:cs="Segoe UI"/>
              </w:rPr>
              <w:t>%</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11.6</w:t>
            </w:r>
            <w:r w:rsidR="000E1823">
              <w:rPr>
                <w:rFonts w:ascii="Segoe UI" w:hAnsi="Segoe UI" w:cs="Segoe UI"/>
              </w:rPr>
              <w:t>%</w:t>
            </w:r>
          </w:p>
        </w:tc>
        <w:tc>
          <w:tcPr>
            <w:tcW w:w="763" w:type="pct"/>
            <w:noWrap/>
          </w:tcPr>
          <w:p w:rsidR="0062261D" w:rsidRPr="00AD4035" w:rsidRDefault="000E1823" w:rsidP="00DE51CA">
            <w:pPr>
              <w:pStyle w:val="TabletextLeft"/>
              <w:keepNext/>
              <w:jc w:val="right"/>
              <w:rPr>
                <w:rFonts w:ascii="Segoe UI" w:hAnsi="Segoe UI" w:cs="Segoe UI"/>
              </w:rPr>
            </w:pPr>
            <w:r>
              <w:rPr>
                <w:rFonts w:ascii="Segoe UI" w:hAnsi="Segoe UI" w:cs="Segoe UI"/>
              </w:rPr>
              <w:t>11.7%</w:t>
            </w:r>
          </w:p>
        </w:tc>
      </w:tr>
      <w:tr w:rsidR="0062261D" w:rsidTr="00DE51CA">
        <w:trPr>
          <w:trHeight w:val="113"/>
        </w:trPr>
        <w:tc>
          <w:tcPr>
            <w:tcW w:w="1187" w:type="pct"/>
            <w:noWrap/>
            <w:hideMark/>
          </w:tcPr>
          <w:p w:rsidR="0062261D" w:rsidRPr="00AD4035" w:rsidRDefault="00C47356" w:rsidP="00820F66">
            <w:pPr>
              <w:keepNext/>
              <w:rPr>
                <w:rFonts w:ascii="Segoe UI" w:hAnsi="Segoe UI" w:cs="Segoe UI"/>
              </w:rPr>
            </w:pPr>
            <w:r>
              <w:rPr>
                <w:rFonts w:ascii="Segoe UI" w:hAnsi="Segoe UI" w:cs="Segoe UI"/>
              </w:rPr>
              <w:t>Total NPBT</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594</w:t>
            </w:r>
            <w:r>
              <w:rPr>
                <w:rFonts w:ascii="Segoe UI" w:hAnsi="Segoe UI" w:cs="Segoe UI"/>
              </w:rPr>
              <w:t>m</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711</w:t>
            </w:r>
            <w:r>
              <w:rPr>
                <w:rFonts w:ascii="Segoe UI" w:hAnsi="Segoe UI" w:cs="Segoe UI"/>
              </w:rPr>
              <w:t>m</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907</w:t>
            </w:r>
            <w:r>
              <w:rPr>
                <w:rFonts w:ascii="Segoe UI" w:hAnsi="Segoe UI" w:cs="Segoe UI"/>
              </w:rPr>
              <w:t>m</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$1,063m</w:t>
            </w:r>
          </w:p>
        </w:tc>
        <w:tc>
          <w:tcPr>
            <w:tcW w:w="763" w:type="pct"/>
            <w:noWrap/>
          </w:tcPr>
          <w:p w:rsidR="0062261D" w:rsidRPr="00AD4035" w:rsidRDefault="000E1823" w:rsidP="00DE51CA">
            <w:pPr>
              <w:pStyle w:val="TabletextLeft"/>
              <w:keepNext/>
              <w:jc w:val="right"/>
              <w:rPr>
                <w:rFonts w:ascii="Segoe UI" w:hAnsi="Segoe UI" w:cs="Segoe UI"/>
              </w:rPr>
            </w:pPr>
            <w:r>
              <w:rPr>
                <w:rFonts w:ascii="Segoe UI" w:hAnsi="Segoe UI" w:cs="Segoe UI"/>
              </w:rPr>
              <w:t>$1,00</w:t>
            </w:r>
            <w:r w:rsidR="004A4054">
              <w:rPr>
                <w:rFonts w:ascii="Segoe UI" w:hAnsi="Segoe UI" w:cs="Segoe UI"/>
              </w:rPr>
              <w:t>6</w:t>
            </w:r>
            <w:r w:rsidR="00A9528E">
              <w:rPr>
                <w:rFonts w:ascii="Segoe UI" w:hAnsi="Segoe UI" w:cs="Segoe UI"/>
              </w:rPr>
              <w:t>m</w:t>
            </w:r>
          </w:p>
        </w:tc>
      </w:tr>
      <w:tr w:rsidR="0062261D" w:rsidTr="00DE51CA">
        <w:trPr>
          <w:trHeight w:val="113"/>
        </w:trPr>
        <w:tc>
          <w:tcPr>
            <w:tcW w:w="1187" w:type="pct"/>
            <w:noWrap/>
            <w:hideMark/>
          </w:tcPr>
          <w:p w:rsidR="0062261D" w:rsidRPr="00AD4035" w:rsidRDefault="0062261D" w:rsidP="00C47356">
            <w:pPr>
              <w:keepNext/>
              <w:rPr>
                <w:rFonts w:ascii="Segoe UI" w:hAnsi="Segoe UI" w:cs="Segoe UI"/>
              </w:rPr>
            </w:pPr>
            <w:r w:rsidRPr="00AD4035">
              <w:rPr>
                <w:rFonts w:ascii="Segoe UI" w:hAnsi="Segoe UI" w:cs="Segoe UI"/>
              </w:rPr>
              <w:t xml:space="preserve">NPBT </w:t>
            </w:r>
            <w:proofErr w:type="spellStart"/>
            <w:r w:rsidRPr="00AD4035">
              <w:rPr>
                <w:rFonts w:ascii="Segoe UI" w:hAnsi="Segoe UI" w:cs="Segoe UI"/>
              </w:rPr>
              <w:t>p.r.p.a</w:t>
            </w:r>
            <w:proofErr w:type="spellEnd"/>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3,492</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4,150</w:t>
            </w:r>
          </w:p>
        </w:tc>
        <w:tc>
          <w:tcPr>
            <w:tcW w:w="763" w:type="pct"/>
          </w:tcPr>
          <w:p w:rsidR="0062261D" w:rsidRPr="00AD4035" w:rsidRDefault="0062261D" w:rsidP="00DE51CA">
            <w:pPr>
              <w:pStyle w:val="TabletextLeft"/>
              <w:keepNext/>
              <w:jc w:val="right"/>
              <w:rPr>
                <w:rFonts w:ascii="Segoe UI" w:hAnsi="Segoe UI" w:cs="Segoe UI"/>
              </w:rPr>
            </w:pPr>
            <w:r>
              <w:rPr>
                <w:rFonts w:ascii="Segoe UI" w:hAnsi="Segoe UI" w:cs="Segoe UI"/>
              </w:rPr>
              <w:t>$</w:t>
            </w:r>
            <w:r w:rsidRPr="00AD4035">
              <w:rPr>
                <w:rFonts w:ascii="Segoe UI" w:hAnsi="Segoe UI" w:cs="Segoe UI"/>
              </w:rPr>
              <w:t>5,221</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$5,962</w:t>
            </w:r>
          </w:p>
        </w:tc>
        <w:tc>
          <w:tcPr>
            <w:tcW w:w="763" w:type="pct"/>
            <w:noWrap/>
          </w:tcPr>
          <w:p w:rsidR="0062261D" w:rsidRPr="00AD4035" w:rsidRDefault="000E1823" w:rsidP="00DE51CA">
            <w:pPr>
              <w:pStyle w:val="TabletextLeft"/>
              <w:keepNext/>
              <w:jc w:val="right"/>
              <w:rPr>
                <w:rFonts w:ascii="Segoe UI" w:hAnsi="Segoe UI" w:cs="Segoe UI"/>
              </w:rPr>
            </w:pPr>
            <w:r>
              <w:rPr>
                <w:rFonts w:ascii="Segoe UI" w:hAnsi="Segoe UI" w:cs="Segoe UI"/>
              </w:rPr>
              <w:t>$5,572</w:t>
            </w:r>
          </w:p>
        </w:tc>
      </w:tr>
      <w:tr w:rsidR="0062261D" w:rsidTr="00DE51CA">
        <w:trPr>
          <w:trHeight w:val="113"/>
        </w:trPr>
        <w:tc>
          <w:tcPr>
            <w:tcW w:w="1187" w:type="pct"/>
            <w:noWrap/>
            <w:hideMark/>
          </w:tcPr>
          <w:p w:rsidR="0062261D" w:rsidRPr="00AD4035" w:rsidRDefault="0062261D" w:rsidP="00C47356">
            <w:pPr>
              <w:keepNext/>
              <w:rPr>
                <w:rFonts w:ascii="Segoe UI" w:hAnsi="Segoe UI" w:cs="Segoe UI"/>
              </w:rPr>
            </w:pPr>
            <w:r w:rsidRPr="00AD4035">
              <w:rPr>
                <w:rFonts w:ascii="Segoe UI" w:hAnsi="Segoe UI" w:cs="Segoe UI"/>
              </w:rPr>
              <w:t>NPBT margin</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4.3</w:t>
            </w:r>
            <w:r w:rsidR="000E1823">
              <w:rPr>
                <w:rFonts w:ascii="Segoe UI" w:hAnsi="Segoe UI" w:cs="Segoe UI"/>
              </w:rPr>
              <w:t>%</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4.9</w:t>
            </w:r>
            <w:r w:rsidR="000E1823">
              <w:rPr>
                <w:rFonts w:ascii="Segoe UI" w:hAnsi="Segoe UI" w:cs="Segoe UI"/>
              </w:rPr>
              <w:t>%</w:t>
            </w:r>
          </w:p>
        </w:tc>
        <w:tc>
          <w:tcPr>
            <w:tcW w:w="763" w:type="pct"/>
          </w:tcPr>
          <w:p w:rsidR="0062261D" w:rsidRPr="00AD4035" w:rsidRDefault="0062261D" w:rsidP="00DE51CA">
            <w:pPr>
              <w:pStyle w:val="TabletextLeft"/>
              <w:keepNext/>
              <w:jc w:val="right"/>
              <w:rPr>
                <w:rFonts w:ascii="Segoe UI" w:hAnsi="Segoe UI" w:cs="Segoe UI"/>
              </w:rPr>
            </w:pPr>
            <w:r w:rsidRPr="00AD4035">
              <w:rPr>
                <w:rFonts w:ascii="Segoe UI" w:hAnsi="Segoe UI" w:cs="Segoe UI"/>
              </w:rPr>
              <w:t>5.8</w:t>
            </w:r>
            <w:r w:rsidR="000E1823">
              <w:rPr>
                <w:rFonts w:ascii="Segoe UI" w:hAnsi="Segoe UI" w:cs="Segoe UI"/>
              </w:rPr>
              <w:t>%</w:t>
            </w:r>
          </w:p>
        </w:tc>
        <w:tc>
          <w:tcPr>
            <w:tcW w:w="763" w:type="pct"/>
          </w:tcPr>
          <w:p w:rsidR="0062261D" w:rsidRPr="00805F7E" w:rsidRDefault="0062261D" w:rsidP="00DE51CA">
            <w:pPr>
              <w:pStyle w:val="TabletextLeft"/>
              <w:keepNext/>
              <w:jc w:val="right"/>
              <w:rPr>
                <w:rFonts w:ascii="Segoe UI" w:hAnsi="Segoe UI" w:cs="Segoe UI"/>
              </w:rPr>
            </w:pPr>
            <w:r>
              <w:rPr>
                <w:rFonts w:ascii="Segoe UI" w:hAnsi="Segoe UI" w:cs="Segoe UI"/>
              </w:rPr>
              <w:t>6.2</w:t>
            </w:r>
            <w:r w:rsidR="000E1823">
              <w:rPr>
                <w:rFonts w:ascii="Segoe UI" w:hAnsi="Segoe UI" w:cs="Segoe UI"/>
              </w:rPr>
              <w:t>%</w:t>
            </w:r>
          </w:p>
        </w:tc>
        <w:tc>
          <w:tcPr>
            <w:tcW w:w="763" w:type="pct"/>
            <w:noWrap/>
          </w:tcPr>
          <w:p w:rsidR="0062261D" w:rsidRPr="00AD4035" w:rsidRDefault="00A9528E" w:rsidP="00DE51CA">
            <w:pPr>
              <w:pStyle w:val="TabletextLeft"/>
              <w:keepNext/>
              <w:jc w:val="right"/>
              <w:rPr>
                <w:rFonts w:ascii="Segoe UI" w:hAnsi="Segoe UI" w:cs="Segoe UI"/>
              </w:rPr>
            </w:pPr>
            <w:r>
              <w:rPr>
                <w:rFonts w:ascii="Segoe UI" w:hAnsi="Segoe UI" w:cs="Segoe UI"/>
              </w:rPr>
              <w:t>5.7</w:t>
            </w:r>
            <w:r w:rsidR="000E1823">
              <w:rPr>
                <w:rFonts w:ascii="Segoe UI" w:hAnsi="Segoe UI" w:cs="Segoe UI"/>
              </w:rPr>
              <w:t>%</w:t>
            </w:r>
          </w:p>
        </w:tc>
      </w:tr>
    </w:tbl>
    <w:p w:rsidR="00F665B5" w:rsidRDefault="00492BF8" w:rsidP="00DE51CA">
      <w:r>
        <w:fldChar w:fldCharType="begin"/>
      </w:r>
      <w:r>
        <w:instrText xml:space="preserve"> REF _Ref524428558 \r \h </w:instrText>
      </w:r>
      <w:r>
        <w:fldChar w:fldCharType="separate"/>
      </w:r>
      <w:r>
        <w:t>Chart 9.8</w:t>
      </w:r>
      <w:r>
        <w:fldChar w:fldCharType="end"/>
      </w:r>
      <w:r>
        <w:t xml:space="preserve"> </w:t>
      </w:r>
      <w:r w:rsidR="00105E75">
        <w:t>presents the EBITDA per resident per annum in</w:t>
      </w:r>
      <w:r w:rsidR="00A261F3">
        <w:t> 201</w:t>
      </w:r>
      <w:r w:rsidR="00105E75">
        <w:t>5</w:t>
      </w:r>
      <w:r w:rsidR="00D8721E">
        <w:t>–1</w:t>
      </w:r>
      <w:r w:rsidR="00105E75">
        <w:t>6 and</w:t>
      </w:r>
      <w:r w:rsidR="00A261F3">
        <w:t> 201</w:t>
      </w:r>
      <w:r w:rsidR="00105E75">
        <w:t>6</w:t>
      </w:r>
      <w:r w:rsidR="00D8721E">
        <w:t>–1</w:t>
      </w:r>
      <w:r w:rsidR="00105E75">
        <w:t xml:space="preserve">7 by </w:t>
      </w:r>
      <w:r w:rsidR="006F2DBC">
        <w:t xml:space="preserve">provider </w:t>
      </w:r>
      <w:r w:rsidR="00105E75">
        <w:t xml:space="preserve">performance quartiles. </w:t>
      </w:r>
      <w:r w:rsidR="00F665B5" w:rsidRPr="00F665B5">
        <w:t xml:space="preserve">Although all but the ‘next bottom’ quartile </w:t>
      </w:r>
      <w:r w:rsidR="000C1A51">
        <w:t>had</w:t>
      </w:r>
      <w:r w:rsidR="00F665B5" w:rsidRPr="00F665B5">
        <w:t xml:space="preserve"> a decrease in average EBITDA</w:t>
      </w:r>
      <w:r w:rsidR="00F665B5">
        <w:t xml:space="preserve"> in</w:t>
      </w:r>
      <w:r w:rsidR="00A261F3">
        <w:t> 201</w:t>
      </w:r>
      <w:r w:rsidR="00F665B5">
        <w:t>6</w:t>
      </w:r>
      <w:r w:rsidR="00D8721E">
        <w:t>–1</w:t>
      </w:r>
      <w:r w:rsidR="00F665B5">
        <w:t>7</w:t>
      </w:r>
      <w:r w:rsidR="00F665B5" w:rsidRPr="00F665B5">
        <w:t xml:space="preserve">, the average EBITDA </w:t>
      </w:r>
      <w:r w:rsidR="00F665B5">
        <w:t xml:space="preserve">across </w:t>
      </w:r>
      <w:r w:rsidR="000C1A51">
        <w:t xml:space="preserve">the </w:t>
      </w:r>
      <w:r w:rsidR="00F665B5">
        <w:t xml:space="preserve">sector increased </w:t>
      </w:r>
      <w:r w:rsidR="00C47356">
        <w:t xml:space="preserve">by </w:t>
      </w:r>
      <w:r w:rsidR="00F665B5">
        <w:t>3.</w:t>
      </w:r>
      <w:r w:rsidR="00341DAB">
        <w:t>1</w:t>
      </w:r>
      <w:r w:rsidR="00A261F3">
        <w:t> per cent</w:t>
      </w:r>
      <w:r w:rsidR="00F665B5" w:rsidRPr="00F665B5">
        <w:t xml:space="preserve"> to $11,481.</w:t>
      </w:r>
      <w:r w:rsidR="00F665B5">
        <w:t xml:space="preserve"> The biggest change was in the bottom quartile where there was negative EBITDA of $5,344</w:t>
      </w:r>
      <w:r w:rsidR="000C1A51">
        <w:t>,</w:t>
      </w:r>
      <w:r w:rsidR="00F665B5">
        <w:t xml:space="preserve"> which represents a $1,731 further decline in financial performance compared with</w:t>
      </w:r>
      <w:r w:rsidR="00A261F3">
        <w:t> 201</w:t>
      </w:r>
      <w:r w:rsidR="00F665B5">
        <w:t>5</w:t>
      </w:r>
      <w:r w:rsidR="00D8721E">
        <w:t>–1</w:t>
      </w:r>
      <w:r w:rsidR="00F665B5">
        <w:t>6. This change in performance follows a substantial ($2,201) improvement in</w:t>
      </w:r>
      <w:r w:rsidR="00A261F3">
        <w:t> 201</w:t>
      </w:r>
      <w:r w:rsidR="00F665B5">
        <w:t>5</w:t>
      </w:r>
      <w:r w:rsidR="00D8721E">
        <w:t>–1</w:t>
      </w:r>
      <w:r w:rsidR="00F665B5">
        <w:t>6. The decrease in performance in the other quartiles of providers was less</w:t>
      </w:r>
      <w:r w:rsidR="000C1A51">
        <w:t xml:space="preserve">, </w:t>
      </w:r>
      <w:r w:rsidR="00F665B5">
        <w:t xml:space="preserve">with the top quartile recording average EBITDA of $24,751 </w:t>
      </w:r>
      <w:r w:rsidR="000C1A51">
        <w:t>(</w:t>
      </w:r>
      <w:r w:rsidR="00F665B5">
        <w:t>down from $25,254</w:t>
      </w:r>
      <w:r w:rsidR="000C1A51">
        <w:t xml:space="preserve"> or a</w:t>
      </w:r>
      <w:r w:rsidR="00F665B5">
        <w:t xml:space="preserve"> </w:t>
      </w:r>
      <w:r w:rsidR="00853876">
        <w:t>2</w:t>
      </w:r>
      <w:r w:rsidR="00A261F3">
        <w:t> per cent</w:t>
      </w:r>
      <w:r w:rsidR="00F665B5">
        <w:t xml:space="preserve"> reduction) and the ‘next top’ quartile recording a drop of 0.</w:t>
      </w:r>
      <w:r w:rsidR="00341DAB">
        <w:t>2</w:t>
      </w:r>
      <w:r w:rsidR="00A261F3">
        <w:t> per cent</w:t>
      </w:r>
      <w:r w:rsidR="00F665B5">
        <w:t>. The ‘next bottom’ quartile reported average EBITDA of $6,077 per resident per annum, up 3.</w:t>
      </w:r>
      <w:r w:rsidR="00D00B54">
        <w:t>9</w:t>
      </w:r>
      <w:r w:rsidR="00A261F3">
        <w:t> per cent</w:t>
      </w:r>
      <w:r w:rsidR="00F665B5">
        <w:t xml:space="preserve"> from</w:t>
      </w:r>
      <w:r w:rsidR="00A261F3">
        <w:t> 201</w:t>
      </w:r>
      <w:r w:rsidR="00F665B5">
        <w:t>5</w:t>
      </w:r>
      <w:r w:rsidR="00D8721E">
        <w:t>–1</w:t>
      </w:r>
      <w:r w:rsidR="00F665B5">
        <w:t>6.</w:t>
      </w:r>
    </w:p>
    <w:p w:rsidR="00D8721E" w:rsidRDefault="009D4267" w:rsidP="00DE51CA">
      <w:pPr>
        <w:rPr>
          <w:lang w:val="en-GB"/>
        </w:rPr>
      </w:pPr>
      <w:r w:rsidRPr="00AD3587">
        <w:rPr>
          <w:lang w:val="en-GB"/>
        </w:rPr>
        <w:t xml:space="preserve">ACFA notes that whilst </w:t>
      </w:r>
      <w:r w:rsidR="00492BF8">
        <w:rPr>
          <w:lang w:val="en-GB"/>
        </w:rPr>
        <w:fldChar w:fldCharType="begin"/>
      </w:r>
      <w:r w:rsidR="00492BF8">
        <w:rPr>
          <w:lang w:val="en-GB"/>
        </w:rPr>
        <w:instrText xml:space="preserve"> REF _Ref524428558 \r \h </w:instrText>
      </w:r>
      <w:r w:rsidR="00492BF8">
        <w:rPr>
          <w:lang w:val="en-GB"/>
        </w:rPr>
      </w:r>
      <w:r w:rsidR="00492BF8">
        <w:rPr>
          <w:lang w:val="en-GB"/>
        </w:rPr>
        <w:fldChar w:fldCharType="separate"/>
      </w:r>
      <w:r w:rsidR="00492BF8">
        <w:rPr>
          <w:lang w:val="en-GB"/>
        </w:rPr>
        <w:t>Chart 9.8</w:t>
      </w:r>
      <w:r w:rsidR="00492BF8">
        <w:rPr>
          <w:lang w:val="en-GB"/>
        </w:rPr>
        <w:fldChar w:fldCharType="end"/>
      </w:r>
      <w:r w:rsidR="00492BF8">
        <w:rPr>
          <w:lang w:val="en-GB"/>
        </w:rPr>
        <w:t xml:space="preserve"> </w:t>
      </w:r>
      <w:r w:rsidRPr="00AD3587">
        <w:rPr>
          <w:lang w:val="en-GB"/>
        </w:rPr>
        <w:t>shows decreases in</w:t>
      </w:r>
      <w:r w:rsidR="00A261F3">
        <w:rPr>
          <w:lang w:val="en-GB"/>
        </w:rPr>
        <w:t> 201</w:t>
      </w:r>
      <w:r w:rsidRPr="00AD3587">
        <w:rPr>
          <w:lang w:val="en-GB"/>
        </w:rPr>
        <w:t>6</w:t>
      </w:r>
      <w:r w:rsidR="00D8721E">
        <w:rPr>
          <w:lang w:val="en-GB"/>
        </w:rPr>
        <w:t>–1</w:t>
      </w:r>
      <w:r w:rsidRPr="00AD3587">
        <w:rPr>
          <w:lang w:val="en-GB"/>
        </w:rPr>
        <w:t xml:space="preserve">7 in EBITDA per resident in some quartiles, particularly in the top, and next top quartiles, it also shows that the overall EBITDA per resident has increased. This outcome has been influenced by a significant shift of residents between </w:t>
      </w:r>
      <w:r w:rsidR="00AD3587" w:rsidRPr="00AD3587">
        <w:rPr>
          <w:lang w:val="en-GB"/>
        </w:rPr>
        <w:t>providers</w:t>
      </w:r>
      <w:r w:rsidRPr="00AD3587">
        <w:rPr>
          <w:lang w:val="en-GB"/>
        </w:rPr>
        <w:t xml:space="preserve"> as a result of the consolidation of providers within the sector (down from 945 to 902). The providers in the top and next top quartiles have increased their proportion of residents from 57</w:t>
      </w:r>
      <w:r w:rsidR="00A261F3">
        <w:rPr>
          <w:lang w:val="en-GB"/>
        </w:rPr>
        <w:t> per cent</w:t>
      </w:r>
      <w:r w:rsidRPr="00AD3587">
        <w:rPr>
          <w:lang w:val="en-GB"/>
        </w:rPr>
        <w:t xml:space="preserve"> to 63</w:t>
      </w:r>
      <w:r w:rsidR="00A261F3">
        <w:rPr>
          <w:lang w:val="en-GB"/>
        </w:rPr>
        <w:t> per cent</w:t>
      </w:r>
      <w:r w:rsidRPr="00AD3587">
        <w:rPr>
          <w:lang w:val="en-GB"/>
        </w:rPr>
        <w:t>, while the next bottom and bottom quartiles have decreased their proportion of residents from 43</w:t>
      </w:r>
      <w:r w:rsidR="00A261F3">
        <w:rPr>
          <w:lang w:val="en-GB"/>
        </w:rPr>
        <w:t> per cent</w:t>
      </w:r>
      <w:r w:rsidRPr="00AD3587">
        <w:rPr>
          <w:lang w:val="en-GB"/>
        </w:rPr>
        <w:t xml:space="preserve"> to 37</w:t>
      </w:r>
      <w:r w:rsidR="00A261F3">
        <w:rPr>
          <w:lang w:val="en-GB"/>
        </w:rPr>
        <w:t> per cent</w:t>
      </w:r>
      <w:r w:rsidRPr="00AD3587">
        <w:rPr>
          <w:lang w:val="en-GB"/>
        </w:rPr>
        <w:t xml:space="preserve">. With </w:t>
      </w:r>
      <w:r w:rsidRPr="00AD3587">
        <w:rPr>
          <w:lang w:val="en-GB"/>
        </w:rPr>
        <w:lastRenderedPageBreak/>
        <w:t>proportionally more residents in the higher performing quartiles, a slight increase in the overall EBITDA per resident has resulted, even though the EBITDA per resident in three of the quartiles have declined.</w:t>
      </w:r>
    </w:p>
    <w:p w:rsidR="0060262A" w:rsidRPr="00596D01" w:rsidRDefault="00EB4D90" w:rsidP="00DE51CA">
      <w:pPr>
        <w:pStyle w:val="ChartTitle"/>
      </w:pPr>
      <w:bookmarkStart w:id="761" w:name="_Ref453182034"/>
      <w:bookmarkStart w:id="762" w:name="_Ref524428558"/>
      <w:r w:rsidRPr="00596D01">
        <w:t>Comparative EBITDA per r</w:t>
      </w:r>
      <w:r w:rsidR="002B3506" w:rsidRPr="00596D01">
        <w:t>esident per annum,</w:t>
      </w:r>
      <w:r w:rsidR="00A261F3" w:rsidRPr="00596D01">
        <w:t> 201</w:t>
      </w:r>
      <w:r w:rsidR="006352A6" w:rsidRPr="00596D01">
        <w:t>5</w:t>
      </w:r>
      <w:r w:rsidR="00D8721E" w:rsidRPr="00596D01">
        <w:t>–1</w:t>
      </w:r>
      <w:r w:rsidR="006352A6" w:rsidRPr="00596D01">
        <w:t>6</w:t>
      </w:r>
      <w:r w:rsidR="00710087" w:rsidRPr="00596D01">
        <w:t xml:space="preserve"> and</w:t>
      </w:r>
      <w:r w:rsidR="00A261F3" w:rsidRPr="00596D01">
        <w:t> 201</w:t>
      </w:r>
      <w:bookmarkEnd w:id="761"/>
      <w:r w:rsidR="006352A6" w:rsidRPr="00596D01">
        <w:t>6</w:t>
      </w:r>
      <w:r w:rsidR="00D8721E" w:rsidRPr="00596D01">
        <w:t>–1</w:t>
      </w:r>
      <w:r w:rsidR="006352A6" w:rsidRPr="00596D01">
        <w:t>7</w:t>
      </w:r>
      <w:bookmarkEnd w:id="762"/>
      <w:r w:rsidR="001C0581" w:rsidRPr="00596D01">
        <w:t xml:space="preserve"> </w:t>
      </w:r>
    </w:p>
    <w:p w:rsidR="00D8721E" w:rsidRDefault="009C7951" w:rsidP="00DE51CA">
      <w:r>
        <w:rPr>
          <w:noProof/>
        </w:rPr>
        <w:drawing>
          <wp:inline distT="0" distB="0" distL="0" distR="0" wp14:anchorId="09B229F0" wp14:editId="12FF8FF7">
            <wp:extent cx="6120000" cy="2259692"/>
            <wp:effectExtent l="0" t="0" r="0" b="7620"/>
            <wp:docPr id="36" name="Picture 36" descr="Chart 9.8 Comparative EBITDA per resident per annum, 2015–16 and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Chart_9.7 (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000" cy="2259692"/>
                    </a:xfrm>
                    <a:prstGeom prst="rect">
                      <a:avLst/>
                    </a:prstGeom>
                    <a:noFill/>
                    <a:ln>
                      <a:noFill/>
                    </a:ln>
                  </pic:spPr>
                </pic:pic>
              </a:graphicData>
            </a:graphic>
          </wp:inline>
        </w:drawing>
      </w:r>
    </w:p>
    <w:p w:rsidR="00D8721E" w:rsidRDefault="00E6476E" w:rsidP="00DE51CA">
      <w:r w:rsidRPr="006A2238">
        <w:t xml:space="preserve">Operating performance </w:t>
      </w:r>
      <w:r>
        <w:t>continues to vary</w:t>
      </w:r>
      <w:r w:rsidRPr="006A2238">
        <w:t xml:space="preserve"> </w:t>
      </w:r>
      <w:r>
        <w:t xml:space="preserve">across provider ownership type, </w:t>
      </w:r>
      <w:r w:rsidRPr="006A2238">
        <w:t>locati</w:t>
      </w:r>
      <w:r>
        <w:t>on and scale</w:t>
      </w:r>
      <w:r w:rsidRPr="006A2238">
        <w:t xml:space="preserve">. </w:t>
      </w:r>
      <w:r w:rsidR="007C001B">
        <w:t>The following commentary</w:t>
      </w:r>
      <w:r>
        <w:t xml:space="preserve"> </w:t>
      </w:r>
      <w:r w:rsidRPr="00820F66">
        <w:t>provides analysis across the segments of providers.</w:t>
      </w:r>
    </w:p>
    <w:p w:rsidR="00B02BC0" w:rsidRPr="00596D01" w:rsidRDefault="00B02BC0" w:rsidP="00944018">
      <w:pPr>
        <w:pStyle w:val="Heading5"/>
      </w:pPr>
      <w:r w:rsidRPr="00596D01">
        <w:t xml:space="preserve">By </w:t>
      </w:r>
      <w:r w:rsidR="00B85EBC" w:rsidRPr="00596D01">
        <w:t xml:space="preserve">provider </w:t>
      </w:r>
      <w:r w:rsidRPr="00596D01">
        <w:t>ownership type</w:t>
      </w:r>
    </w:p>
    <w:p w:rsidR="00D8721E" w:rsidRDefault="00454B59" w:rsidP="00DE51CA">
      <w:r>
        <w:t>Overall</w:t>
      </w:r>
      <w:r w:rsidR="00E6476E" w:rsidRPr="004A15C1">
        <w:t xml:space="preserve">, for-profit providers </w:t>
      </w:r>
      <w:r w:rsidR="00B54926">
        <w:t>have continued</w:t>
      </w:r>
      <w:r w:rsidR="00E6476E">
        <w:t xml:space="preserve"> to </w:t>
      </w:r>
      <w:r w:rsidR="00E6476E" w:rsidRPr="004A15C1">
        <w:t>out</w:t>
      </w:r>
      <w:r w:rsidR="00E6476E">
        <w:t>perform the not-for-profit and g</w:t>
      </w:r>
      <w:r w:rsidR="00E6476E" w:rsidRPr="004A15C1">
        <w:t>overnment providers in terms of EBITDA margin and Net Profit</w:t>
      </w:r>
      <w:r w:rsidR="00E6476E">
        <w:t xml:space="preserve"> margin</w:t>
      </w:r>
      <w:r w:rsidR="00E6476E" w:rsidRPr="004A15C1">
        <w:t xml:space="preserve"> (</w:t>
      </w:r>
      <w:r w:rsidR="00492BF8">
        <w:fldChar w:fldCharType="begin"/>
      </w:r>
      <w:r w:rsidR="00492BF8">
        <w:instrText xml:space="preserve"> REF _Ref524428575 \r \h </w:instrText>
      </w:r>
      <w:r w:rsidR="00492BF8">
        <w:fldChar w:fldCharType="separate"/>
      </w:r>
      <w:r w:rsidR="00492BF8">
        <w:t>Chart 9.9</w:t>
      </w:r>
      <w:r w:rsidR="00492BF8">
        <w:fldChar w:fldCharType="end"/>
      </w:r>
      <w:r w:rsidR="00E6476E" w:rsidRPr="004A15C1">
        <w:t>)</w:t>
      </w:r>
      <w:r w:rsidR="00E6476E">
        <w:t xml:space="preserve">. </w:t>
      </w:r>
      <w:r w:rsidR="00E6476E" w:rsidRPr="004A15C1">
        <w:t xml:space="preserve">However, this variable needs to be considered carefully because providers in the not-for-profit and </w:t>
      </w:r>
      <w:r w:rsidR="00E6476E">
        <w:t>g</w:t>
      </w:r>
      <w:r w:rsidR="00E6476E" w:rsidRPr="004A15C1">
        <w:t xml:space="preserve">overnment sectors often </w:t>
      </w:r>
      <w:r w:rsidR="00E6476E">
        <w:t xml:space="preserve">have different business motives, business models </w:t>
      </w:r>
      <w:r w:rsidR="00E6476E" w:rsidRPr="004A15C1">
        <w:t>and funding sources and</w:t>
      </w:r>
      <w:r w:rsidR="00B54926">
        <w:t xml:space="preserve"> often</w:t>
      </w:r>
      <w:r w:rsidR="00E6476E" w:rsidRPr="004A15C1">
        <w:t xml:space="preserve"> operate in areas affected by the impacts of </w:t>
      </w:r>
      <w:r w:rsidR="00244BCE">
        <w:t xml:space="preserve">remoteness and </w:t>
      </w:r>
      <w:r w:rsidR="00E6476E" w:rsidRPr="004A15C1">
        <w:t xml:space="preserve">facility </w:t>
      </w:r>
      <w:r w:rsidR="00E6476E">
        <w:t>size</w:t>
      </w:r>
      <w:r w:rsidR="00D8721E">
        <w:t>.</w:t>
      </w:r>
    </w:p>
    <w:p w:rsidR="00D8721E" w:rsidRDefault="008C3B6D" w:rsidP="00DE51CA">
      <w:r w:rsidRPr="008C3B6D">
        <w:t>ACF</w:t>
      </w:r>
      <w:r w:rsidR="007C001B">
        <w:t>A notes commentary from the not-for-profit</w:t>
      </w:r>
      <w:r w:rsidRPr="008C3B6D">
        <w:t xml:space="preserve"> sector that the generally lower operating financial results may be consistent with their community or religious missions. They may fulfil their charters in a range of ways that might be difficult or inappropriate in a more commercial environment where investors are seeking retu</w:t>
      </w:r>
      <w:r w:rsidR="00820F66">
        <w:t>rns</w:t>
      </w:r>
      <w:r w:rsidR="00D8721E">
        <w:t>.</w:t>
      </w:r>
    </w:p>
    <w:p w:rsidR="00D8721E" w:rsidRDefault="007C001B" w:rsidP="00DE51CA">
      <w:r>
        <w:t>Specifically, not-for-profit providers</w:t>
      </w:r>
      <w:r w:rsidR="008C3B6D" w:rsidRPr="008C3B6D">
        <w:t xml:space="preserve"> may choose to invest in or expend funds on amenities and services for which they are not funded</w:t>
      </w:r>
      <w:r>
        <w:t xml:space="preserve"> through regulated sources. Not</w:t>
      </w:r>
      <w:r w:rsidR="00365904">
        <w:noBreakHyphen/>
      </w:r>
      <w:r>
        <w:t>for</w:t>
      </w:r>
      <w:r w:rsidR="00365904">
        <w:noBreakHyphen/>
      </w:r>
      <w:r>
        <w:t>profit providers</w:t>
      </w:r>
      <w:r w:rsidR="008C3B6D" w:rsidRPr="008C3B6D">
        <w:t xml:space="preserve"> may be enabled to do this through a range of funding pathways and tax benefits, including payroll tax relief, income tax exemptions and tax </w:t>
      </w:r>
      <w:r w:rsidRPr="008C3B6D">
        <w:t>deductible</w:t>
      </w:r>
      <w:r w:rsidR="008C3B6D" w:rsidRPr="008C3B6D">
        <w:t xml:space="preserve"> donations. However, where these costs are not covered by such incremental revenue, the comparatively lower EBITDA for m</w:t>
      </w:r>
      <w:r>
        <w:t>any not</w:t>
      </w:r>
      <w:r w:rsidR="00244BCE">
        <w:noBreakHyphen/>
      </w:r>
      <w:r>
        <w:t>for</w:t>
      </w:r>
      <w:r w:rsidR="00244BCE">
        <w:noBreakHyphen/>
      </w:r>
      <w:r>
        <w:t>profit providers</w:t>
      </w:r>
      <w:r w:rsidR="008C3B6D" w:rsidRPr="008C3B6D">
        <w:t xml:space="preserve"> may be the product of the delivery of additional “community benefits” or “social impacts” or returns which are not recognised in the annual financial accounts</w:t>
      </w:r>
      <w:r w:rsidR="00D8721E">
        <w:t>.</w:t>
      </w:r>
    </w:p>
    <w:p w:rsidR="0033565F" w:rsidRPr="00596D01" w:rsidRDefault="00B54926" w:rsidP="00DE51CA">
      <w:pPr>
        <w:pStyle w:val="ChartTitle"/>
      </w:pPr>
      <w:bookmarkStart w:id="763" w:name="_Ref452499621"/>
      <w:bookmarkStart w:id="764" w:name="_Ref524428575"/>
      <w:r w:rsidRPr="00596D01">
        <w:t>Operating performance ratios,</w:t>
      </w:r>
      <w:r w:rsidR="007C001B" w:rsidRPr="00596D01">
        <w:t xml:space="preserve"> by ownership type,</w:t>
      </w:r>
      <w:r w:rsidR="00A261F3" w:rsidRPr="00596D01">
        <w:t> 201</w:t>
      </w:r>
      <w:r w:rsidR="006352A6" w:rsidRPr="00596D01">
        <w:t>5</w:t>
      </w:r>
      <w:r w:rsidR="00D8721E" w:rsidRPr="00596D01">
        <w:t>–1</w:t>
      </w:r>
      <w:r w:rsidR="006352A6" w:rsidRPr="00596D01">
        <w:t>6</w:t>
      </w:r>
      <w:r w:rsidRPr="00596D01">
        <w:t xml:space="preserve"> and</w:t>
      </w:r>
      <w:bookmarkEnd w:id="763"/>
      <w:r w:rsidR="00A261F3" w:rsidRPr="00596D01">
        <w:t> 201</w:t>
      </w:r>
      <w:r w:rsidR="006352A6" w:rsidRPr="00596D01">
        <w:t>6</w:t>
      </w:r>
      <w:r w:rsidR="00D8721E" w:rsidRPr="00596D01">
        <w:t>–1</w:t>
      </w:r>
      <w:r w:rsidR="006352A6" w:rsidRPr="00596D01">
        <w:t>7</w:t>
      </w:r>
      <w:bookmarkEnd w:id="764"/>
    </w:p>
    <w:p w:rsidR="00D8721E" w:rsidRDefault="009C7951" w:rsidP="00DE51CA">
      <w:r>
        <w:rPr>
          <w:noProof/>
        </w:rPr>
        <w:drawing>
          <wp:inline distT="0" distB="0" distL="0" distR="0" wp14:anchorId="7142BDE9" wp14:editId="287C82EA">
            <wp:extent cx="6120000" cy="2086629"/>
            <wp:effectExtent l="0" t="0" r="0" b="8890"/>
            <wp:docPr id="37" name="Picture 37" descr="Chart 9.9 Operating performance ratios, by ownership type, 2015–16 and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zc0004\AppData\Local\Microsoft\Windows\Temporary Internet Files\Content.Outlook\6DIYYC82\Chart_9.8 (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000" cy="2086629"/>
                    </a:xfrm>
                    <a:prstGeom prst="rect">
                      <a:avLst/>
                    </a:prstGeom>
                    <a:noFill/>
                    <a:ln>
                      <a:noFill/>
                    </a:ln>
                  </pic:spPr>
                </pic:pic>
              </a:graphicData>
            </a:graphic>
          </wp:inline>
        </w:drawing>
      </w:r>
    </w:p>
    <w:p w:rsidR="00D8721E" w:rsidRDefault="00E02282" w:rsidP="00DE51CA">
      <w:r>
        <w:lastRenderedPageBreak/>
        <w:t xml:space="preserve">As shown in </w:t>
      </w:r>
      <w:r w:rsidR="00492BF8">
        <w:fldChar w:fldCharType="begin"/>
      </w:r>
      <w:r w:rsidR="00492BF8">
        <w:instrText xml:space="preserve"> REF _Ref524428586 \r \h </w:instrText>
      </w:r>
      <w:r w:rsidR="00492BF8">
        <w:fldChar w:fldCharType="separate"/>
      </w:r>
      <w:r w:rsidR="00492BF8">
        <w:t>Chart 9.10</w:t>
      </w:r>
      <w:r w:rsidR="00492BF8">
        <w:fldChar w:fldCharType="end"/>
      </w:r>
      <w:r>
        <w:t>, g</w:t>
      </w:r>
      <w:r w:rsidRPr="004A15C1">
        <w:t xml:space="preserve">overnment and not-for-profit providers </w:t>
      </w:r>
      <w:r>
        <w:t>reported higher interest coverage ratios than for</w:t>
      </w:r>
      <w:r>
        <w:noBreakHyphen/>
      </w:r>
      <w:r w:rsidRPr="004A15C1">
        <w:t>profit providers, likely due to</w:t>
      </w:r>
      <w:r>
        <w:t xml:space="preserve"> their lower use of debt to fund operations and finance assets</w:t>
      </w:r>
      <w:r w:rsidR="00D8721E">
        <w:t>.</w:t>
      </w:r>
    </w:p>
    <w:p w:rsidR="00755F00" w:rsidRPr="00596D01" w:rsidRDefault="00133FE0" w:rsidP="00DE51CA">
      <w:pPr>
        <w:pStyle w:val="ChartTitle"/>
      </w:pPr>
      <w:bookmarkStart w:id="765" w:name="_Ref524428586"/>
      <w:r w:rsidRPr="00596D01">
        <w:t>Operating performance ratios, by ownership type,</w:t>
      </w:r>
      <w:r w:rsidR="00A261F3" w:rsidRPr="00596D01">
        <w:t> 201</w:t>
      </w:r>
      <w:r w:rsidRPr="00596D01">
        <w:t>6</w:t>
      </w:r>
      <w:r w:rsidR="00D8721E" w:rsidRPr="00596D01">
        <w:t>–1</w:t>
      </w:r>
      <w:r w:rsidRPr="00596D01">
        <w:t>7</w:t>
      </w:r>
      <w:bookmarkEnd w:id="765"/>
    </w:p>
    <w:p w:rsidR="00D8721E" w:rsidRPr="00596D01" w:rsidRDefault="009C7951" w:rsidP="00DE51CA">
      <w:r w:rsidRPr="00596D01">
        <w:rPr>
          <w:noProof/>
        </w:rPr>
        <w:drawing>
          <wp:inline distT="0" distB="0" distL="0" distR="0" wp14:anchorId="4BB71ACE" wp14:editId="4A8C3BD5">
            <wp:extent cx="6120000" cy="2290595"/>
            <wp:effectExtent l="0" t="0" r="0" b="0"/>
            <wp:docPr id="38" name="Picture 38" descr="Chart 9.10 Operating performance ratios, by ownership type,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zc0004\AppData\Local\Microsoft\Windows\Temporary Internet Files\Content.Outlook\6DIYYC82\Chart_9.9 (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000" cy="2290595"/>
                    </a:xfrm>
                    <a:prstGeom prst="rect">
                      <a:avLst/>
                    </a:prstGeom>
                    <a:noFill/>
                    <a:ln>
                      <a:noFill/>
                    </a:ln>
                  </pic:spPr>
                </pic:pic>
              </a:graphicData>
            </a:graphic>
          </wp:inline>
        </w:drawing>
      </w:r>
    </w:p>
    <w:p w:rsidR="003A2885" w:rsidRPr="00B12FFC" w:rsidRDefault="00E6476E" w:rsidP="00DE51CA">
      <w:r w:rsidRPr="00B12FFC">
        <w:t>As was the case in</w:t>
      </w:r>
      <w:r w:rsidR="00A261F3">
        <w:t> 201</w:t>
      </w:r>
      <w:r w:rsidR="00E16104">
        <w:t>5</w:t>
      </w:r>
      <w:r w:rsidR="00D8721E">
        <w:t>–1</w:t>
      </w:r>
      <w:r w:rsidR="00E16104">
        <w:t>6</w:t>
      </w:r>
      <w:r w:rsidRPr="00B12FFC">
        <w:t>, a higher proportion</w:t>
      </w:r>
      <w:r w:rsidR="00E16104">
        <w:t xml:space="preserve"> (3</w:t>
      </w:r>
      <w:r w:rsidR="008C2527">
        <w:t>4</w:t>
      </w:r>
      <w:r w:rsidR="00A261F3">
        <w:t> per cent</w:t>
      </w:r>
      <w:r w:rsidR="00E16104">
        <w:t>)</w:t>
      </w:r>
      <w:r w:rsidRPr="00B12FFC">
        <w:t xml:space="preserve"> of for-</w:t>
      </w:r>
      <w:r w:rsidR="00454B59" w:rsidRPr="00B12FFC">
        <w:t>profit providers w</w:t>
      </w:r>
      <w:r w:rsidR="002B6DF8">
        <w:t>ere</w:t>
      </w:r>
      <w:r w:rsidRPr="00B12FFC">
        <w:t xml:space="preserve"> present in the top quartile of </w:t>
      </w:r>
      <w:r w:rsidR="00E16104">
        <w:t>performance</w:t>
      </w:r>
      <w:r w:rsidRPr="00B12FFC">
        <w:t xml:space="preserve"> per resident (</w:t>
      </w:r>
      <w:r w:rsidR="00492BF8">
        <w:fldChar w:fldCharType="begin"/>
      </w:r>
      <w:r w:rsidR="00492BF8">
        <w:instrText xml:space="preserve"> REF _Ref452499639 \r \h </w:instrText>
      </w:r>
      <w:r w:rsidR="00492BF8">
        <w:fldChar w:fldCharType="separate"/>
      </w:r>
      <w:r w:rsidR="00492BF8">
        <w:t>Charts 9.11</w:t>
      </w:r>
      <w:r w:rsidR="00492BF8">
        <w:fldChar w:fldCharType="end"/>
      </w:r>
      <w:r w:rsidR="00492BF8">
        <w:t xml:space="preserve"> </w:t>
      </w:r>
      <w:r w:rsidR="003A2885" w:rsidRPr="00B12FFC">
        <w:t>and</w:t>
      </w:r>
      <w:r w:rsidR="00492BF8">
        <w:t xml:space="preserve"> </w:t>
      </w:r>
      <w:r w:rsidR="00492BF8">
        <w:fldChar w:fldCharType="begin"/>
      </w:r>
      <w:r w:rsidR="00492BF8">
        <w:instrText xml:space="preserve"> REF _Ref524428600 \r \h </w:instrText>
      </w:r>
      <w:r w:rsidR="00492BF8">
        <w:fldChar w:fldCharType="separate"/>
      </w:r>
      <w:r w:rsidR="00492BF8">
        <w:t>9.12</w:t>
      </w:r>
      <w:r w:rsidR="00492BF8">
        <w:fldChar w:fldCharType="end"/>
      </w:r>
      <w:r w:rsidR="005D6922" w:rsidRPr="00B12FFC">
        <w:t>)</w:t>
      </w:r>
      <w:r w:rsidR="00E16104">
        <w:t>, compared with not</w:t>
      </w:r>
      <w:r w:rsidR="00E16104">
        <w:noBreakHyphen/>
        <w:t>for</w:t>
      </w:r>
      <w:r w:rsidR="00E16104">
        <w:noBreakHyphen/>
        <w:t>profit (2</w:t>
      </w:r>
      <w:r w:rsidR="00341DAB">
        <w:t>3</w:t>
      </w:r>
      <w:r w:rsidR="00A261F3">
        <w:t> per cent</w:t>
      </w:r>
      <w:r w:rsidR="00E16104">
        <w:t xml:space="preserve">) and government </w:t>
      </w:r>
      <w:r w:rsidR="00133FE0">
        <w:t>(</w:t>
      </w:r>
      <w:r w:rsidR="00853876">
        <w:t>8</w:t>
      </w:r>
      <w:r w:rsidR="00A261F3">
        <w:t> per cent</w:t>
      </w:r>
      <w:r w:rsidR="00E16104">
        <w:t>) providers. Interestingly however the not</w:t>
      </w:r>
      <w:r w:rsidR="00E16104">
        <w:noBreakHyphen/>
        <w:t>for</w:t>
      </w:r>
      <w:r w:rsidR="00E16104">
        <w:noBreakHyphen/>
        <w:t>profit providers in the top quartile recorded average EBITDA per resident of $29,</w:t>
      </w:r>
      <w:r w:rsidR="00133FE0">
        <w:t>206</w:t>
      </w:r>
      <w:r w:rsidR="00E16104">
        <w:t xml:space="preserve"> compared with for</w:t>
      </w:r>
      <w:r w:rsidR="00E16104">
        <w:noBreakHyphen/>
        <w:t>profit providers in the top quartile with $21,</w:t>
      </w:r>
      <w:r w:rsidR="00133FE0">
        <w:t>929</w:t>
      </w:r>
      <w:r w:rsidR="00E16104">
        <w:t>.</w:t>
      </w:r>
    </w:p>
    <w:p w:rsidR="00D8721E" w:rsidRDefault="00E6476E" w:rsidP="00DE51CA">
      <w:r w:rsidRPr="00B12FFC">
        <w:t xml:space="preserve">As </w:t>
      </w:r>
      <w:r w:rsidR="00E16104">
        <w:t xml:space="preserve">has been the case with previous years, </w:t>
      </w:r>
      <w:r w:rsidR="007C001B" w:rsidRPr="00B12FFC">
        <w:t xml:space="preserve">there is </w:t>
      </w:r>
      <w:r w:rsidRPr="00B12FFC">
        <w:t>some representation of all ownership type</w:t>
      </w:r>
      <w:r w:rsidR="007C001B" w:rsidRPr="00B12FFC">
        <w:t xml:space="preserve">s </w:t>
      </w:r>
      <w:r w:rsidR="001C5074" w:rsidRPr="00B12FFC">
        <w:t>in each quartile.</w:t>
      </w:r>
    </w:p>
    <w:p w:rsidR="00022C34" w:rsidRPr="00596D01" w:rsidRDefault="004E4AC4" w:rsidP="00DE51CA">
      <w:pPr>
        <w:pStyle w:val="ChartTitle"/>
      </w:pPr>
      <w:bookmarkStart w:id="766" w:name="_Ref452499639"/>
      <w:r w:rsidRPr="00596D01">
        <w:t>Residential</w:t>
      </w:r>
      <w:r w:rsidR="00710087" w:rsidRPr="00596D01">
        <w:t xml:space="preserve"> care provider average EBITD</w:t>
      </w:r>
      <w:r w:rsidR="00021EC9" w:rsidRPr="00596D01">
        <w:t>A per resident per annum</w:t>
      </w:r>
      <w:r w:rsidR="00A261F3" w:rsidRPr="00596D01">
        <w:t> 201</w:t>
      </w:r>
      <w:r w:rsidR="00021EC9" w:rsidRPr="00596D01">
        <w:t>6</w:t>
      </w:r>
      <w:r w:rsidR="00D8721E" w:rsidRPr="00596D01">
        <w:t>–1</w:t>
      </w:r>
      <w:r w:rsidR="00021EC9" w:rsidRPr="00596D01">
        <w:t>7</w:t>
      </w:r>
      <w:r w:rsidR="00710087" w:rsidRPr="00596D01">
        <w:t>, by quartile (number or providers in parentheses) – by ownership type</w:t>
      </w:r>
      <w:bookmarkEnd w:id="766"/>
    </w:p>
    <w:p w:rsidR="00D8721E" w:rsidRDefault="00A506CC" w:rsidP="00DE51CA">
      <w:r>
        <w:rPr>
          <w:noProof/>
        </w:rPr>
        <w:drawing>
          <wp:inline distT="0" distB="0" distL="0" distR="0" wp14:anchorId="00E042E8" wp14:editId="367380AB">
            <wp:extent cx="6120000" cy="2552982"/>
            <wp:effectExtent l="0" t="0" r="0" b="0"/>
            <wp:docPr id="695" name="Picture 695" descr="Chart 9.11 Residential care provider average EBITDA per resident per annum 2016–17, by quartile (number or providers in parentheses) – by ownership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cb0036\AppData\Local\Microsoft\Windows\Temporary Internet Files\Content.Outlook\X33EN5GL\Chart_9.1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000" cy="2552982"/>
                    </a:xfrm>
                    <a:prstGeom prst="rect">
                      <a:avLst/>
                    </a:prstGeom>
                    <a:noFill/>
                    <a:ln>
                      <a:noFill/>
                    </a:ln>
                  </pic:spPr>
                </pic:pic>
              </a:graphicData>
            </a:graphic>
          </wp:inline>
        </w:drawing>
      </w:r>
    </w:p>
    <w:p w:rsidR="00D8721E" w:rsidRPr="00596D01" w:rsidRDefault="004E4AC4" w:rsidP="00DE51CA">
      <w:pPr>
        <w:pStyle w:val="ChartTitle"/>
      </w:pPr>
      <w:bookmarkStart w:id="767" w:name="_Ref524428600"/>
      <w:r w:rsidRPr="00596D01">
        <w:lastRenderedPageBreak/>
        <w:t>Residential</w:t>
      </w:r>
      <w:r w:rsidR="00710087" w:rsidRPr="00596D01">
        <w:t xml:space="preserve"> care provider distribution between quartile of average EBITD</w:t>
      </w:r>
      <w:r w:rsidR="004A1DD4" w:rsidRPr="00596D01">
        <w:t>A per resident per annum</w:t>
      </w:r>
      <w:r w:rsidR="00A261F3" w:rsidRPr="00596D01">
        <w:t> 201</w:t>
      </w:r>
      <w:r w:rsidR="00021EC9" w:rsidRPr="00596D01">
        <w:t>6</w:t>
      </w:r>
      <w:r w:rsidR="00D8721E" w:rsidRPr="00596D01">
        <w:t>–1</w:t>
      </w:r>
      <w:r w:rsidR="00021EC9" w:rsidRPr="00596D01">
        <w:t>7</w:t>
      </w:r>
      <w:r w:rsidR="00710087" w:rsidRPr="00596D01">
        <w:t xml:space="preserve"> – by provider ownership type</w:t>
      </w:r>
      <w:bookmarkEnd w:id="767"/>
      <w:r w:rsidR="00F931B3" w:rsidRPr="00596D01">
        <w:t xml:space="preserve"> </w:t>
      </w:r>
    </w:p>
    <w:p w:rsidR="00D8721E" w:rsidRDefault="00CA2800" w:rsidP="00DE51CA">
      <w:r>
        <w:rPr>
          <w:noProof/>
        </w:rPr>
        <w:drawing>
          <wp:inline distT="0" distB="0" distL="0" distR="0" wp14:anchorId="081BF76B" wp14:editId="33EF73E7">
            <wp:extent cx="6120000" cy="2218947"/>
            <wp:effectExtent l="0" t="0" r="0" b="0"/>
            <wp:docPr id="49" name="Picture 49" descr="Chart 9.12 Residential care provider distribution between quartile of average EBITDA per resident per annum 2016–17 – by provider ownership 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9.5 (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000" cy="2218947"/>
                    </a:xfrm>
                    <a:prstGeom prst="rect">
                      <a:avLst/>
                    </a:prstGeom>
                    <a:noFill/>
                    <a:ln>
                      <a:noFill/>
                    </a:ln>
                  </pic:spPr>
                </pic:pic>
              </a:graphicData>
            </a:graphic>
          </wp:inline>
        </w:drawing>
      </w:r>
    </w:p>
    <w:p w:rsidR="00036E66" w:rsidRPr="00B12FFC" w:rsidRDefault="00036E66" w:rsidP="00DE51CA">
      <w:r w:rsidRPr="00B12FFC">
        <w:t>ACFA note</w:t>
      </w:r>
      <w:r>
        <w:t>d last year</w:t>
      </w:r>
      <w:r w:rsidRPr="00B12FFC">
        <w:t xml:space="preserve"> that the organisational and operating structure of Government owned residential care providers, owned by state and local governments, is often quite different to that of the not</w:t>
      </w:r>
      <w:r>
        <w:noBreakHyphen/>
      </w:r>
      <w:r w:rsidRPr="00B12FFC">
        <w:t>for</w:t>
      </w:r>
      <w:r>
        <w:noBreakHyphen/>
      </w:r>
      <w:r w:rsidRPr="00B12FFC">
        <w:t>profit and for</w:t>
      </w:r>
      <w:r>
        <w:noBreakHyphen/>
      </w:r>
      <w:r w:rsidRPr="00B12FFC">
        <w:t>profit providers. Government providers are often co-located with other health services such as hospitals and disability services and government providers often receive funding from state or local governments that affects revenue and thus profits. In addition, there are often differences in accounting practices that can distort GPFR’s reporting of profitability depended on by ACFA for aggregate results of the residential care sector.</w:t>
      </w:r>
    </w:p>
    <w:p w:rsidR="00036E66" w:rsidRDefault="00036E66" w:rsidP="00DE51CA">
      <w:r w:rsidRPr="00E36EA1">
        <w:t>ACFA notes that without the government providers</w:t>
      </w:r>
      <w:r>
        <w:t xml:space="preserve"> included, which represent almost 1</w:t>
      </w:r>
      <w:r w:rsidR="00341DAB">
        <w:t>1</w:t>
      </w:r>
      <w:r w:rsidR="00A261F3">
        <w:t> per cent</w:t>
      </w:r>
      <w:r>
        <w:t xml:space="preserve"> </w:t>
      </w:r>
      <w:r w:rsidRPr="00E36EA1">
        <w:t>of residential care providers, the reported EBITDA of the remaining sector would be $</w:t>
      </w:r>
      <w:r>
        <w:t xml:space="preserve">660 or </w:t>
      </w:r>
      <w:r w:rsidR="00853876">
        <w:t>6</w:t>
      </w:r>
      <w:r w:rsidR="00A261F3">
        <w:t> per cent</w:t>
      </w:r>
      <w:r>
        <w:t xml:space="preserve"> higher </w:t>
      </w:r>
      <w:r w:rsidRPr="00E36EA1">
        <w:t>than the $11,</w:t>
      </w:r>
      <w:r w:rsidR="00DB1952">
        <w:t>481</w:t>
      </w:r>
      <w:r w:rsidR="00AC32A4">
        <w:t xml:space="preserve"> </w:t>
      </w:r>
      <w:r w:rsidRPr="00E36EA1">
        <w:t xml:space="preserve">reported. </w:t>
      </w:r>
      <w:r w:rsidR="00E736A5">
        <w:t>In</w:t>
      </w:r>
      <w:r w:rsidR="00A261F3">
        <w:t> 201</w:t>
      </w:r>
      <w:r w:rsidR="00E736A5">
        <w:t>5</w:t>
      </w:r>
      <w:r w:rsidR="00D8721E">
        <w:t>–1</w:t>
      </w:r>
      <w:r w:rsidR="00E736A5">
        <w:t>6</w:t>
      </w:r>
      <w:r>
        <w:t xml:space="preserve"> the difference was </w:t>
      </w:r>
      <w:r w:rsidR="00853876">
        <w:t>5</w:t>
      </w:r>
      <w:r w:rsidR="00A261F3">
        <w:t> per cent</w:t>
      </w:r>
      <w:r>
        <w:t>. ACFA does note however that while the majority (6</w:t>
      </w:r>
      <w:r w:rsidR="00D00B54">
        <w:t>8</w:t>
      </w:r>
      <w:r w:rsidR="00A261F3">
        <w:t> per cent</w:t>
      </w:r>
      <w:r>
        <w:t xml:space="preserve">) of government providers are in the bottom quartile, </w:t>
      </w:r>
      <w:r w:rsidR="006C3BC7">
        <w:t>eight</w:t>
      </w:r>
      <w:r w:rsidR="00DB1952">
        <w:t xml:space="preserve"> </w:t>
      </w:r>
      <w:r w:rsidR="00C144E9">
        <w:t>(8</w:t>
      </w:r>
      <w:r w:rsidR="00A261F3">
        <w:t> per cent</w:t>
      </w:r>
      <w:r w:rsidR="00C144E9">
        <w:t xml:space="preserve">) </w:t>
      </w:r>
      <w:r>
        <w:t>are in the top quartile.</w:t>
      </w:r>
    </w:p>
    <w:p w:rsidR="00D8721E" w:rsidRDefault="00036E66" w:rsidP="00DE51CA">
      <w:r w:rsidRPr="001C5074">
        <w:t>The diverse range of results for the government owned sector was</w:t>
      </w:r>
      <w:r>
        <w:t xml:space="preserve"> also</w:t>
      </w:r>
      <w:r w:rsidRPr="001C5074">
        <w:t xml:space="preserve"> identified in ACFA’s </w:t>
      </w:r>
      <w:r>
        <w:t xml:space="preserve">report </w:t>
      </w:r>
      <w:r w:rsidRPr="00596D01">
        <w:rPr>
          <w:rStyle w:val="Emphasis"/>
        </w:rPr>
        <w:t>on Issues Affecting Rural and Remote Aged Care Providers</w:t>
      </w:r>
      <w:r w:rsidRPr="001C5074">
        <w:t xml:space="preserve"> which was publi</w:t>
      </w:r>
      <w:r>
        <w:t>shed in February</w:t>
      </w:r>
      <w:r w:rsidR="00A261F3">
        <w:t> 201</w:t>
      </w:r>
      <w:r w:rsidRPr="001C5074">
        <w:t>6</w:t>
      </w:r>
      <w:r>
        <w:rPr>
          <w:rStyle w:val="FootnoteReference"/>
          <w:rFonts w:cs="Segoe UI"/>
        </w:rPr>
        <w:footnoteReference w:id="43"/>
      </w:r>
      <w:r w:rsidR="00D8721E">
        <w:t>.</w:t>
      </w:r>
    </w:p>
    <w:p w:rsidR="002F630F" w:rsidRDefault="00036E66" w:rsidP="00DE51CA">
      <w:r w:rsidRPr="00B12FFC">
        <w:t>The report highlighted not only the difference in business models and accounting, but also the scale and location of these facilities.</w:t>
      </w:r>
      <w:r w:rsidR="002F3CDE">
        <w:t xml:space="preserve"> </w:t>
      </w:r>
      <w:r w:rsidR="002F630F" w:rsidRPr="00E36EA1">
        <w:t>Further analysis of the financial performance of the sector with and without government providers</w:t>
      </w:r>
      <w:r w:rsidR="002F630F">
        <w:t xml:space="preserve"> is included at </w:t>
      </w:r>
      <w:r w:rsidR="0069205E">
        <w:fldChar w:fldCharType="begin"/>
      </w:r>
      <w:r w:rsidR="0069205E">
        <w:instrText xml:space="preserve"> REF _Ref524429989 \r \h </w:instrText>
      </w:r>
      <w:r w:rsidR="0069205E">
        <w:fldChar w:fldCharType="separate"/>
      </w:r>
      <w:r w:rsidR="0069205E">
        <w:t>Appendix F</w:t>
      </w:r>
      <w:r w:rsidR="0069205E">
        <w:fldChar w:fldCharType="end"/>
      </w:r>
      <w:r w:rsidR="002F630F" w:rsidRPr="00E36EA1">
        <w:t>.</w:t>
      </w:r>
    </w:p>
    <w:p w:rsidR="00D8721E" w:rsidRDefault="00492BF8" w:rsidP="00DE51CA">
      <w:r>
        <w:fldChar w:fldCharType="begin"/>
      </w:r>
      <w:r>
        <w:instrText xml:space="preserve"> REF _Ref524428621 \r \h </w:instrText>
      </w:r>
      <w:r>
        <w:fldChar w:fldCharType="separate"/>
      </w:r>
      <w:r>
        <w:t>Chart 9.13</w:t>
      </w:r>
      <w:r>
        <w:fldChar w:fldCharType="end"/>
      </w:r>
      <w:r>
        <w:t xml:space="preserve"> </w:t>
      </w:r>
      <w:r w:rsidR="00DB1952">
        <w:t>shows the average EBITDA for the three years to</w:t>
      </w:r>
      <w:r w:rsidR="00A261F3">
        <w:t> 201</w:t>
      </w:r>
      <w:r w:rsidR="00DB1952">
        <w:t>6</w:t>
      </w:r>
      <w:r w:rsidR="00D8721E">
        <w:t>–1</w:t>
      </w:r>
      <w:r w:rsidR="00DB1952">
        <w:t>7 by ownership type. While the not</w:t>
      </w:r>
      <w:r w:rsidR="00DB1952">
        <w:noBreakHyphen/>
        <w:t>for</w:t>
      </w:r>
      <w:r w:rsidR="00DB1952">
        <w:noBreakHyphen/>
        <w:t>profits have improved each year</w:t>
      </w:r>
      <w:r w:rsidR="000C1A51">
        <w:t>,</w:t>
      </w:r>
      <w:r w:rsidR="00DB1952">
        <w:t xml:space="preserve"> the for</w:t>
      </w:r>
      <w:r w:rsidR="00DB1952">
        <w:noBreakHyphen/>
        <w:t>profits and government providers reported a decline in</w:t>
      </w:r>
      <w:r w:rsidR="00A261F3">
        <w:t> 201</w:t>
      </w:r>
      <w:r w:rsidR="00DB1952">
        <w:t>6</w:t>
      </w:r>
      <w:r w:rsidR="00D8721E">
        <w:t>–1</w:t>
      </w:r>
      <w:r w:rsidR="00DB1952">
        <w:t>7 compared with</w:t>
      </w:r>
      <w:r w:rsidR="00A261F3">
        <w:t> 201</w:t>
      </w:r>
      <w:r w:rsidR="00DB1952">
        <w:t>5</w:t>
      </w:r>
      <w:r w:rsidR="00D8721E">
        <w:t>–1</w:t>
      </w:r>
      <w:r w:rsidR="00DB1952">
        <w:t>6.</w:t>
      </w:r>
    </w:p>
    <w:p w:rsidR="00DE51CA" w:rsidRDefault="00DB1952" w:rsidP="00DE51CA">
      <w:pPr>
        <w:pStyle w:val="ChartTitle"/>
      </w:pPr>
      <w:bookmarkStart w:id="768" w:name="_Ref524428621"/>
      <w:r w:rsidRPr="00596D01">
        <w:lastRenderedPageBreak/>
        <w:t>EBITDA per resident, by ownership type,</w:t>
      </w:r>
      <w:r w:rsidR="00A261F3" w:rsidRPr="00596D01">
        <w:t> 201</w:t>
      </w:r>
      <w:r w:rsidRPr="00596D01">
        <w:t>5</w:t>
      </w:r>
      <w:r w:rsidR="00D8721E" w:rsidRPr="00596D01">
        <w:t>–1</w:t>
      </w:r>
      <w:r w:rsidRPr="00596D01">
        <w:t>6 to</w:t>
      </w:r>
      <w:r w:rsidR="00A261F3" w:rsidRPr="00596D01">
        <w:t> 201</w:t>
      </w:r>
      <w:r w:rsidRPr="00596D01">
        <w:t>6</w:t>
      </w:r>
      <w:r w:rsidR="00D8721E" w:rsidRPr="00596D01">
        <w:t>–1</w:t>
      </w:r>
      <w:r w:rsidRPr="00596D01">
        <w:t>7</w:t>
      </w:r>
      <w:bookmarkEnd w:id="768"/>
    </w:p>
    <w:p w:rsidR="00D8721E" w:rsidRPr="00596D01" w:rsidRDefault="00751182" w:rsidP="00DE51CA">
      <w:r w:rsidRPr="00596D01">
        <w:rPr>
          <w:noProof/>
        </w:rPr>
        <w:drawing>
          <wp:inline distT="0" distB="0" distL="0" distR="0" wp14:anchorId="043E28F5" wp14:editId="5FB5EFC8">
            <wp:extent cx="6120000" cy="3584426"/>
            <wp:effectExtent l="0" t="0" r="0" b="0"/>
            <wp:docPr id="40" name="Picture 40" descr="Chart 9.13 EBITDA per resident, by ownership type, 2015–16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zc0004\AppData\Local\Microsoft\Windows\Temporary Internet Files\Content.Outlook\6DIYYC82\Chart_9.13 (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000" cy="3584426"/>
                    </a:xfrm>
                    <a:prstGeom prst="rect">
                      <a:avLst/>
                    </a:prstGeom>
                    <a:noFill/>
                    <a:ln>
                      <a:noFill/>
                    </a:ln>
                  </pic:spPr>
                </pic:pic>
              </a:graphicData>
            </a:graphic>
          </wp:inline>
        </w:drawing>
      </w:r>
    </w:p>
    <w:p w:rsidR="00B02BC0" w:rsidRPr="00596D01" w:rsidRDefault="00B02BC0" w:rsidP="00944018">
      <w:pPr>
        <w:pStyle w:val="Heading5"/>
      </w:pPr>
      <w:r w:rsidRPr="00596D01">
        <w:t xml:space="preserve">By </w:t>
      </w:r>
      <w:r w:rsidR="00B85EBC" w:rsidRPr="00596D01">
        <w:t>provider location</w:t>
      </w:r>
    </w:p>
    <w:p w:rsidR="002F630F" w:rsidRDefault="00B54926" w:rsidP="00DE51CA">
      <w:r w:rsidRPr="005E545D">
        <w:t>A</w:t>
      </w:r>
      <w:r>
        <w:t xml:space="preserve"> higher proportion</w:t>
      </w:r>
      <w:r w:rsidR="002F630F">
        <w:t xml:space="preserve"> (3</w:t>
      </w:r>
      <w:r w:rsidR="00341DAB">
        <w:t>1</w:t>
      </w:r>
      <w:r w:rsidR="00A261F3">
        <w:t> per cent</w:t>
      </w:r>
      <w:r w:rsidR="002F630F">
        <w:t>)</w:t>
      </w:r>
      <w:r>
        <w:t xml:space="preserve"> of metropolitan</w:t>
      </w:r>
      <w:r w:rsidRPr="005E545D">
        <w:t xml:space="preserve"> providers are present in th</w:t>
      </w:r>
      <w:r w:rsidR="004E4AC4">
        <w:t>e top quartile of ranking by EBITDA</w:t>
      </w:r>
      <w:r>
        <w:t xml:space="preserve"> per resident compared with </w:t>
      </w:r>
      <w:r w:rsidRPr="005E545D">
        <w:t>regional providers</w:t>
      </w:r>
      <w:r w:rsidR="002F630F">
        <w:t xml:space="preserve"> (1</w:t>
      </w:r>
      <w:r w:rsidR="00D00B54">
        <w:t>7</w:t>
      </w:r>
      <w:r w:rsidR="00A261F3">
        <w:t> per cent</w:t>
      </w:r>
      <w:r w:rsidR="002F630F">
        <w:t>), as shown in</w:t>
      </w:r>
      <w:r w:rsidR="00492BF8">
        <w:t xml:space="preserve"> </w:t>
      </w:r>
      <w:r w:rsidR="00492BF8">
        <w:fldChar w:fldCharType="begin"/>
      </w:r>
      <w:r w:rsidR="00492BF8">
        <w:instrText xml:space="preserve"> REF _Ref452499665 \r \h </w:instrText>
      </w:r>
      <w:r w:rsidR="00492BF8">
        <w:fldChar w:fldCharType="separate"/>
      </w:r>
      <w:r w:rsidR="00492BF8">
        <w:t>Charts 9.14</w:t>
      </w:r>
      <w:r w:rsidR="00492BF8">
        <w:fldChar w:fldCharType="end"/>
      </w:r>
      <w:r w:rsidR="00B12FFC">
        <w:t> </w:t>
      </w:r>
      <w:r w:rsidR="007F0D88">
        <w:t>and</w:t>
      </w:r>
      <w:r w:rsidR="00B12FFC">
        <w:t> </w:t>
      </w:r>
      <w:r w:rsidR="00492BF8">
        <w:fldChar w:fldCharType="begin"/>
      </w:r>
      <w:r w:rsidR="00492BF8">
        <w:instrText xml:space="preserve"> REF _Ref524428643 \r \h </w:instrText>
      </w:r>
      <w:r w:rsidR="00492BF8">
        <w:fldChar w:fldCharType="separate"/>
      </w:r>
      <w:r w:rsidR="00492BF8">
        <w:t>9.15</w:t>
      </w:r>
      <w:r w:rsidR="00492BF8">
        <w:fldChar w:fldCharType="end"/>
      </w:r>
      <w:r w:rsidRPr="006A2238">
        <w:t xml:space="preserve">. </w:t>
      </w:r>
      <w:r w:rsidRPr="005E545D">
        <w:t>Conversely, a higher propo</w:t>
      </w:r>
      <w:r w:rsidR="00454B59">
        <w:t>rtion of regional providers w</w:t>
      </w:r>
      <w:r w:rsidR="002F630F">
        <w:t>ere</w:t>
      </w:r>
      <w:r w:rsidRPr="005E545D">
        <w:t xml:space="preserve"> represented in the bot</w:t>
      </w:r>
      <w:r w:rsidR="00BB759F">
        <w:t xml:space="preserve">tom </w:t>
      </w:r>
      <w:r w:rsidR="002F630F">
        <w:t>quartile. Quite interestingly, those regional providers represented in the top quartile recorded average EBITDA per resident almost double that of the metropolitan providers in the top quartile.</w:t>
      </w:r>
    </w:p>
    <w:p w:rsidR="00D8721E" w:rsidRDefault="002F630F" w:rsidP="00DE51CA">
      <w:r>
        <w:t>A</w:t>
      </w:r>
      <w:r w:rsidR="00B54926">
        <w:t>s</w:t>
      </w:r>
      <w:r w:rsidR="00B54926" w:rsidRPr="005E545D">
        <w:t xml:space="preserve"> was the case with analysis based on owners</w:t>
      </w:r>
      <w:r w:rsidR="00B54926">
        <w:t xml:space="preserve">hip type, providers from all </w:t>
      </w:r>
      <w:r w:rsidR="00B54926" w:rsidRPr="005E545D">
        <w:t>locations are present in each quartile.</w:t>
      </w:r>
    </w:p>
    <w:p w:rsidR="0060262A" w:rsidRPr="00596D01" w:rsidRDefault="004E4AC4" w:rsidP="00DE51CA">
      <w:pPr>
        <w:pStyle w:val="ChartTitle"/>
      </w:pPr>
      <w:bookmarkStart w:id="769" w:name="_Ref452499665"/>
      <w:r w:rsidRPr="00596D01">
        <w:t>Residential</w:t>
      </w:r>
      <w:r w:rsidR="00710087" w:rsidRPr="00596D01">
        <w:t xml:space="preserve"> care provider average EBITDA </w:t>
      </w:r>
      <w:r w:rsidR="00021EC9" w:rsidRPr="00596D01">
        <w:t>per resident per annum</w:t>
      </w:r>
      <w:r w:rsidR="00A261F3" w:rsidRPr="00596D01">
        <w:t> 201</w:t>
      </w:r>
      <w:r w:rsidR="00021EC9" w:rsidRPr="00596D01">
        <w:t>6</w:t>
      </w:r>
      <w:r w:rsidR="00D8721E" w:rsidRPr="00596D01">
        <w:t>–1</w:t>
      </w:r>
      <w:r w:rsidR="00021EC9" w:rsidRPr="00596D01">
        <w:t>7</w:t>
      </w:r>
      <w:r w:rsidR="00710087" w:rsidRPr="00596D01">
        <w:t>, by quartile (number of providers in parentheses) – by location</w:t>
      </w:r>
      <w:bookmarkEnd w:id="769"/>
      <w:r w:rsidR="00B935A7" w:rsidRPr="00596D01">
        <w:t xml:space="preserve"> </w:t>
      </w:r>
    </w:p>
    <w:p w:rsidR="00D8721E" w:rsidRDefault="00751182" w:rsidP="00DE51CA">
      <w:r>
        <w:rPr>
          <w:noProof/>
        </w:rPr>
        <w:drawing>
          <wp:inline distT="0" distB="0" distL="0" distR="0" wp14:anchorId="61BCAF02" wp14:editId="1E92DA63">
            <wp:extent cx="6120000" cy="2962034"/>
            <wp:effectExtent l="0" t="0" r="0" b="0"/>
            <wp:docPr id="41" name="Picture 41" descr="Chart 9.14 Residential care provider average EBITDA per resident per annum 2016–17, by quartile (number of providers in parentheses) – by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zc0004\AppData\Local\Microsoft\Windows\Temporary Internet Files\Content.Outlook\6DIYYC82\Chart_9.14 (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000" cy="2962034"/>
                    </a:xfrm>
                    <a:prstGeom prst="rect">
                      <a:avLst/>
                    </a:prstGeom>
                    <a:noFill/>
                    <a:ln>
                      <a:noFill/>
                    </a:ln>
                  </pic:spPr>
                </pic:pic>
              </a:graphicData>
            </a:graphic>
          </wp:inline>
        </w:drawing>
      </w:r>
    </w:p>
    <w:p w:rsidR="009F33F7" w:rsidRPr="00596D01" w:rsidRDefault="004E4AC4" w:rsidP="00DE51CA">
      <w:pPr>
        <w:pStyle w:val="ChartTitle"/>
      </w:pPr>
      <w:bookmarkStart w:id="770" w:name="_Ref524428643"/>
      <w:r w:rsidRPr="00596D01">
        <w:lastRenderedPageBreak/>
        <w:t>Residential</w:t>
      </w:r>
      <w:r w:rsidR="00710087" w:rsidRPr="00596D01">
        <w:t xml:space="preserve"> care provider distribution between quartile of average EBITD</w:t>
      </w:r>
      <w:r w:rsidR="004A1DD4" w:rsidRPr="00596D01">
        <w:t>A per resident per annum</w:t>
      </w:r>
      <w:r w:rsidR="00A261F3" w:rsidRPr="00596D01">
        <w:t> 201</w:t>
      </w:r>
      <w:r w:rsidR="00021EC9" w:rsidRPr="00596D01">
        <w:t>6</w:t>
      </w:r>
      <w:r w:rsidR="00D8721E" w:rsidRPr="00596D01">
        <w:t>–1</w:t>
      </w:r>
      <w:r w:rsidR="00021EC9" w:rsidRPr="00596D01">
        <w:t>7</w:t>
      </w:r>
      <w:r w:rsidR="00710087" w:rsidRPr="00596D01">
        <w:t xml:space="preserve"> – by location</w:t>
      </w:r>
      <w:bookmarkEnd w:id="770"/>
      <w:r w:rsidR="00F931B3" w:rsidRPr="00596D01">
        <w:t xml:space="preserve"> </w:t>
      </w:r>
    </w:p>
    <w:p w:rsidR="00D8721E" w:rsidRDefault="00CA2800" w:rsidP="00DE51CA">
      <w:r>
        <w:rPr>
          <w:noProof/>
        </w:rPr>
        <w:drawing>
          <wp:inline distT="0" distB="0" distL="0" distR="0" wp14:anchorId="02D0C8B5" wp14:editId="1EB078D6">
            <wp:extent cx="6120000" cy="2185714"/>
            <wp:effectExtent l="0" t="0" r="0" b="5080"/>
            <wp:docPr id="46" name="Picture 46" descr="Chart 9.15 Residential care provider distribution between quartile of average EBITDA per resident per annum 2016–17 – by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9.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000" cy="2185714"/>
                    </a:xfrm>
                    <a:prstGeom prst="rect">
                      <a:avLst/>
                    </a:prstGeom>
                    <a:noFill/>
                    <a:ln>
                      <a:noFill/>
                    </a:ln>
                  </pic:spPr>
                </pic:pic>
              </a:graphicData>
            </a:graphic>
          </wp:inline>
        </w:drawing>
      </w:r>
    </w:p>
    <w:p w:rsidR="00D8721E" w:rsidRDefault="00D027BE" w:rsidP="00DE51CA">
      <w:r>
        <w:t xml:space="preserve">As shown in </w:t>
      </w:r>
      <w:r w:rsidR="00492BF8">
        <w:fldChar w:fldCharType="begin"/>
      </w:r>
      <w:r w:rsidR="00492BF8">
        <w:instrText xml:space="preserve"> REF _Ref524428659 \r \h </w:instrText>
      </w:r>
      <w:r w:rsidR="00492BF8">
        <w:fldChar w:fldCharType="separate"/>
      </w:r>
      <w:r w:rsidR="00492BF8">
        <w:t>Chart 9.16</w:t>
      </w:r>
      <w:r w:rsidR="00492BF8">
        <w:fldChar w:fldCharType="end"/>
      </w:r>
      <w:r>
        <w:t>, t</w:t>
      </w:r>
      <w:r w:rsidRPr="00741BE4">
        <w:t xml:space="preserve">he EBITDA per resident per annum </w:t>
      </w:r>
      <w:r>
        <w:t>for metropolitan providers improved over the three years, increasing $1,488 to $12,422 in</w:t>
      </w:r>
      <w:r w:rsidR="00A261F3">
        <w:t> 201</w:t>
      </w:r>
      <w:r>
        <w:t>6</w:t>
      </w:r>
      <w:r w:rsidR="00D8721E">
        <w:t>–1</w:t>
      </w:r>
      <w:r>
        <w:t>7. The EBITDA per resident per annum for regional providers improved $2,604 between</w:t>
      </w:r>
      <w:r w:rsidR="00A261F3">
        <w:t> 201</w:t>
      </w:r>
      <w:r>
        <w:t>4</w:t>
      </w:r>
      <w:r w:rsidR="00D8721E">
        <w:t>–1</w:t>
      </w:r>
      <w:r>
        <w:t>5 and</w:t>
      </w:r>
      <w:r w:rsidR="00A261F3">
        <w:t> 201</w:t>
      </w:r>
      <w:r>
        <w:t>5</w:t>
      </w:r>
      <w:r w:rsidR="00D8721E">
        <w:t>–1</w:t>
      </w:r>
      <w:r>
        <w:t>6, before dropping $789 to $8,257 in</w:t>
      </w:r>
      <w:r w:rsidR="00A261F3">
        <w:t> 201</w:t>
      </w:r>
      <w:r>
        <w:t>6</w:t>
      </w:r>
      <w:r w:rsidR="00D8721E">
        <w:t>–1</w:t>
      </w:r>
      <w:r>
        <w:t>7. The EBITDA per resident per annum for providers operating in both metropolitan and regional locations has remained stable in comparison, dropping $85 to $11,081 in</w:t>
      </w:r>
      <w:r w:rsidR="00A261F3">
        <w:t> 201</w:t>
      </w:r>
      <w:r>
        <w:t>5</w:t>
      </w:r>
      <w:r w:rsidR="00D8721E">
        <w:t>–1</w:t>
      </w:r>
      <w:r>
        <w:t>6 before increasing $12 to $11,093 in</w:t>
      </w:r>
      <w:r w:rsidR="00A261F3">
        <w:t> 201</w:t>
      </w:r>
      <w:r>
        <w:t>6</w:t>
      </w:r>
      <w:r w:rsidR="00D8721E">
        <w:t>–1</w:t>
      </w:r>
      <w:r>
        <w:t>7.</w:t>
      </w:r>
    </w:p>
    <w:p w:rsidR="00D027BE" w:rsidRPr="00596D01" w:rsidRDefault="00D027BE" w:rsidP="00DE51CA">
      <w:pPr>
        <w:pStyle w:val="ChartTitle"/>
      </w:pPr>
      <w:bookmarkStart w:id="771" w:name="_Ref524428659"/>
      <w:r w:rsidRPr="00596D01">
        <w:t>EBITDA per resident, by provider location,</w:t>
      </w:r>
      <w:r w:rsidR="00A261F3" w:rsidRPr="00596D01">
        <w:t> 201</w:t>
      </w:r>
      <w:r w:rsidRPr="00596D01">
        <w:t>4</w:t>
      </w:r>
      <w:r w:rsidR="00D8721E" w:rsidRPr="00596D01">
        <w:t>–1</w:t>
      </w:r>
      <w:r w:rsidRPr="00596D01">
        <w:t>5 to</w:t>
      </w:r>
      <w:r w:rsidR="00A261F3" w:rsidRPr="00596D01">
        <w:t> 201</w:t>
      </w:r>
      <w:r w:rsidRPr="00596D01">
        <w:t>6</w:t>
      </w:r>
      <w:r w:rsidR="00D8721E" w:rsidRPr="00596D01">
        <w:t>–1</w:t>
      </w:r>
      <w:r w:rsidRPr="00596D01">
        <w:t>7</w:t>
      </w:r>
      <w:bookmarkEnd w:id="771"/>
      <w:r w:rsidR="00751182" w:rsidRPr="00596D01">
        <w:t xml:space="preserve"> </w:t>
      </w:r>
    </w:p>
    <w:p w:rsidR="00D8721E" w:rsidRPr="00596D01" w:rsidRDefault="005C6085" w:rsidP="00DE51CA">
      <w:r w:rsidRPr="00596D01">
        <w:rPr>
          <w:noProof/>
        </w:rPr>
        <w:drawing>
          <wp:inline distT="0" distB="0" distL="0" distR="0" wp14:anchorId="73185C3E" wp14:editId="0897B7B4">
            <wp:extent cx="6120000" cy="2545757"/>
            <wp:effectExtent l="0" t="0" r="0" b="6985"/>
            <wp:docPr id="683" name="Picture 683" descr="Chart 9.16 EBITDA per resident, by provider location, 2014–15 to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zc0004\AppData\Local\Microsoft\Windows\Temporary Internet Files\Content.Outlook\6DIYYC82\Chart_9.15 (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000" cy="2545757"/>
                    </a:xfrm>
                    <a:prstGeom prst="rect">
                      <a:avLst/>
                    </a:prstGeom>
                    <a:noFill/>
                    <a:ln>
                      <a:noFill/>
                    </a:ln>
                  </pic:spPr>
                </pic:pic>
              </a:graphicData>
            </a:graphic>
          </wp:inline>
        </w:drawing>
      </w:r>
    </w:p>
    <w:p w:rsidR="00B85EBC" w:rsidRPr="00596D01" w:rsidRDefault="00B85EBC" w:rsidP="00944018">
      <w:pPr>
        <w:pStyle w:val="Heading5"/>
      </w:pPr>
      <w:bookmarkStart w:id="772" w:name="_Ref452499700"/>
      <w:r w:rsidRPr="00596D01">
        <w:t>By provider scale</w:t>
      </w:r>
    </w:p>
    <w:p w:rsidR="003B4084" w:rsidRDefault="008A2D3C" w:rsidP="00DE51CA">
      <w:r w:rsidRPr="008A2D3C">
        <w:t xml:space="preserve">While there are only </w:t>
      </w:r>
      <w:r w:rsidR="003B4084">
        <w:t>21</w:t>
      </w:r>
      <w:r w:rsidRPr="008A2D3C">
        <w:t xml:space="preserve"> providers who own more than 20 facilities, 1</w:t>
      </w:r>
      <w:r w:rsidR="003B4084">
        <w:t>6</w:t>
      </w:r>
      <w:r w:rsidRPr="008A2D3C">
        <w:t xml:space="preserve"> of these are in the top two quartiles of r</w:t>
      </w:r>
      <w:r w:rsidR="004E4AC4">
        <w:t>anking by EBITDA</w:t>
      </w:r>
      <w:r w:rsidR="00253FB3">
        <w:t xml:space="preserve"> per resident</w:t>
      </w:r>
      <w:r w:rsidR="004F39AE">
        <w:t xml:space="preserve"> per annum </w:t>
      </w:r>
      <w:r w:rsidR="00253FB3">
        <w:t>(</w:t>
      </w:r>
      <w:r w:rsidR="00492BF8">
        <w:fldChar w:fldCharType="begin"/>
      </w:r>
      <w:r w:rsidR="00492BF8">
        <w:instrText xml:space="preserve"> REF _Ref524428667 \r \h </w:instrText>
      </w:r>
      <w:r w:rsidR="00492BF8">
        <w:fldChar w:fldCharType="separate"/>
      </w:r>
      <w:r w:rsidR="00492BF8">
        <w:t>Charts 9.17</w:t>
      </w:r>
      <w:r w:rsidR="00492BF8">
        <w:fldChar w:fldCharType="end"/>
      </w:r>
      <w:r w:rsidR="00492BF8">
        <w:t xml:space="preserve"> </w:t>
      </w:r>
      <w:r w:rsidR="00AA684F">
        <w:t xml:space="preserve">and </w:t>
      </w:r>
      <w:r w:rsidR="00492BF8">
        <w:fldChar w:fldCharType="begin"/>
      </w:r>
      <w:r w:rsidR="00492BF8">
        <w:instrText xml:space="preserve"> REF _Ref524428673 \r \h </w:instrText>
      </w:r>
      <w:r w:rsidR="00492BF8">
        <w:fldChar w:fldCharType="separate"/>
      </w:r>
      <w:r w:rsidR="00492BF8">
        <w:t>9.18</w:t>
      </w:r>
      <w:r w:rsidR="00492BF8">
        <w:fldChar w:fldCharType="end"/>
      </w:r>
      <w:r w:rsidRPr="008A2D3C">
        <w:t xml:space="preserve">). This </w:t>
      </w:r>
      <w:r w:rsidR="003B4084">
        <w:t>high proportion of the larger scale providers being in the top quartiles was also the case in previous years.</w:t>
      </w:r>
    </w:p>
    <w:p w:rsidR="00D8721E" w:rsidRDefault="00AB27B8" w:rsidP="00DE51CA">
      <w:r>
        <w:t>Around 6</w:t>
      </w:r>
      <w:r w:rsidR="00341DAB">
        <w:t>3</w:t>
      </w:r>
      <w:r w:rsidR="00A261F3">
        <w:t> per cent</w:t>
      </w:r>
      <w:r w:rsidR="008A2D3C" w:rsidRPr="008A2D3C">
        <w:t xml:space="preserve"> of all providers operate only one facility. In terms of financi</w:t>
      </w:r>
      <w:r w:rsidR="003B4084">
        <w:t>al performance, they are spread</w:t>
      </w:r>
      <w:r w:rsidR="008A2D3C" w:rsidRPr="008A2D3C">
        <w:t xml:space="preserve"> evenly across all four quartiles. This was also the case with providers who operate two to six facilities. Of the 5</w:t>
      </w:r>
      <w:r w:rsidR="003B4084">
        <w:t>5</w:t>
      </w:r>
      <w:r w:rsidR="008A2D3C" w:rsidRPr="008A2D3C">
        <w:t xml:space="preserve"> providers who operate betw</w:t>
      </w:r>
      <w:r w:rsidR="003B4084">
        <w:t>een seven and 19 facilities, 5</w:t>
      </w:r>
      <w:r w:rsidR="009C307B">
        <w:t>5</w:t>
      </w:r>
      <w:r w:rsidR="00A261F3">
        <w:t> per cent</w:t>
      </w:r>
      <w:r w:rsidR="008A2D3C" w:rsidRPr="008A2D3C">
        <w:t xml:space="preserve"> are represented in the middle two quartiles.</w:t>
      </w:r>
    </w:p>
    <w:p w:rsidR="00710087" w:rsidRPr="00596D01" w:rsidRDefault="00D85563" w:rsidP="00DE51CA">
      <w:pPr>
        <w:pStyle w:val="ChartTitle"/>
      </w:pPr>
      <w:bookmarkStart w:id="773" w:name="_Ref524428667"/>
      <w:r w:rsidRPr="00596D01">
        <w:lastRenderedPageBreak/>
        <w:t>Residential</w:t>
      </w:r>
      <w:r w:rsidR="00710087" w:rsidRPr="00596D01">
        <w:t xml:space="preserve"> care provider average EBITD</w:t>
      </w:r>
      <w:r w:rsidR="004A1DD4" w:rsidRPr="00596D01">
        <w:t>A per resident per annum</w:t>
      </w:r>
      <w:r w:rsidR="00A261F3" w:rsidRPr="00596D01">
        <w:t> 201</w:t>
      </w:r>
      <w:r w:rsidR="00021EC9" w:rsidRPr="00596D01">
        <w:t>6</w:t>
      </w:r>
      <w:r w:rsidR="00D8721E" w:rsidRPr="00596D01">
        <w:t>–1</w:t>
      </w:r>
      <w:r w:rsidR="00021EC9" w:rsidRPr="00596D01">
        <w:t>7</w:t>
      </w:r>
      <w:r w:rsidR="00710087" w:rsidRPr="00596D01">
        <w:t xml:space="preserve">, by quartile (number </w:t>
      </w:r>
      <w:r w:rsidR="0069150A" w:rsidRPr="00596D01">
        <w:t>of providers in parentheses)-</w:t>
      </w:r>
      <w:r w:rsidR="00710087" w:rsidRPr="00596D01">
        <w:t xml:space="preserve"> by provider s</w:t>
      </w:r>
      <w:bookmarkEnd w:id="772"/>
      <w:r w:rsidR="000F1E7F" w:rsidRPr="00596D01">
        <w:t>cale</w:t>
      </w:r>
      <w:bookmarkEnd w:id="773"/>
      <w:r w:rsidR="00F931B3" w:rsidRPr="00596D01">
        <w:t xml:space="preserve"> </w:t>
      </w:r>
    </w:p>
    <w:p w:rsidR="00D8721E" w:rsidRDefault="00F5562D" w:rsidP="00DE51CA">
      <w:r>
        <w:rPr>
          <w:noProof/>
        </w:rPr>
        <w:drawing>
          <wp:inline distT="0" distB="0" distL="0" distR="0" wp14:anchorId="3F6F2D90" wp14:editId="2733B77E">
            <wp:extent cx="6120000" cy="2851364"/>
            <wp:effectExtent l="0" t="0" r="0" b="6350"/>
            <wp:docPr id="257" name="Picture 257" descr="Chart 9.17 Residential care provider average EBITDA per resident per annum 2016–17, by quartile (number of providers in parentheses)- by provider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9.17 (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000" cy="2851364"/>
                    </a:xfrm>
                    <a:prstGeom prst="rect">
                      <a:avLst/>
                    </a:prstGeom>
                    <a:noFill/>
                    <a:ln>
                      <a:noFill/>
                    </a:ln>
                  </pic:spPr>
                </pic:pic>
              </a:graphicData>
            </a:graphic>
          </wp:inline>
        </w:drawing>
      </w:r>
    </w:p>
    <w:p w:rsidR="002C0AC2" w:rsidRPr="00596D01" w:rsidRDefault="00D85563" w:rsidP="00DE51CA">
      <w:pPr>
        <w:pStyle w:val="ChartTitle"/>
      </w:pPr>
      <w:bookmarkStart w:id="774" w:name="_Ref524428673"/>
      <w:r w:rsidRPr="00596D01">
        <w:t>Residential</w:t>
      </w:r>
      <w:r w:rsidR="00710087" w:rsidRPr="00596D01">
        <w:t xml:space="preserve"> care provider distribution between quartile of average EBITDA per resident per </w:t>
      </w:r>
      <w:r w:rsidR="004A1DD4" w:rsidRPr="00596D01">
        <w:t>annum</w:t>
      </w:r>
      <w:r w:rsidR="00A261F3" w:rsidRPr="00596D01">
        <w:t> 201</w:t>
      </w:r>
      <w:r w:rsidR="00021EC9" w:rsidRPr="00596D01">
        <w:t>6</w:t>
      </w:r>
      <w:r w:rsidR="00D8721E" w:rsidRPr="00596D01">
        <w:t>–1</w:t>
      </w:r>
      <w:r w:rsidR="00021EC9" w:rsidRPr="00596D01">
        <w:t>7</w:t>
      </w:r>
      <w:r w:rsidR="000F1E7F" w:rsidRPr="00596D01">
        <w:t xml:space="preserve"> – by provider scale</w:t>
      </w:r>
      <w:bookmarkEnd w:id="774"/>
    </w:p>
    <w:p w:rsidR="00D8721E" w:rsidRDefault="00184AF9" w:rsidP="00DE51CA">
      <w:r>
        <w:rPr>
          <w:noProof/>
        </w:rPr>
        <w:drawing>
          <wp:inline distT="0" distB="0" distL="0" distR="0" wp14:anchorId="06132FDF" wp14:editId="29204259">
            <wp:extent cx="6120000" cy="1700000"/>
            <wp:effectExtent l="0" t="0" r="0" b="0"/>
            <wp:docPr id="271" name="Picture 271" descr="Chart 9.18 Residential care provider distribution between quartile of average EBITDA per resident per annum 2016–17 – by provide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9.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000" cy="1700000"/>
                    </a:xfrm>
                    <a:prstGeom prst="rect">
                      <a:avLst/>
                    </a:prstGeom>
                    <a:noFill/>
                    <a:ln>
                      <a:noFill/>
                    </a:ln>
                  </pic:spPr>
                </pic:pic>
              </a:graphicData>
            </a:graphic>
          </wp:inline>
        </w:drawing>
      </w:r>
    </w:p>
    <w:p w:rsidR="00D8721E" w:rsidRDefault="004F39AE" w:rsidP="009A5114">
      <w:r w:rsidRPr="00365904">
        <w:t>Analysis over the last three years shows that in all three years single home provider</w:t>
      </w:r>
      <w:r w:rsidR="00957F95" w:rsidRPr="00365904">
        <w:t>s</w:t>
      </w:r>
      <w:r w:rsidRPr="00365904">
        <w:t xml:space="preserve"> and those operating 20 or more homes outperformed providers with between </w:t>
      </w:r>
      <w:r w:rsidR="00FA167B">
        <w:t>two</w:t>
      </w:r>
      <w:r w:rsidRPr="00365904">
        <w:t xml:space="preserve"> and 19 homes (</w:t>
      </w:r>
      <w:r w:rsidR="00492BF8">
        <w:fldChar w:fldCharType="begin"/>
      </w:r>
      <w:r w:rsidR="00492BF8">
        <w:instrText xml:space="preserve"> REF _Ref524428690 \r \h </w:instrText>
      </w:r>
      <w:r w:rsidR="00492BF8">
        <w:fldChar w:fldCharType="separate"/>
      </w:r>
      <w:r w:rsidR="00492BF8">
        <w:t>Chart 9.19</w:t>
      </w:r>
      <w:r w:rsidR="00492BF8">
        <w:fldChar w:fldCharType="end"/>
      </w:r>
      <w:r w:rsidRPr="00365904">
        <w:t>).</w:t>
      </w:r>
      <w:r w:rsidR="00957F95" w:rsidRPr="00365904">
        <w:t xml:space="preserve"> Single home providers and those operating 20 or more homes have </w:t>
      </w:r>
      <w:r w:rsidR="0010745D" w:rsidRPr="00365904">
        <w:t>shown an improvement over the last two years compared with</w:t>
      </w:r>
      <w:r w:rsidR="00A261F3">
        <w:t> 201</w:t>
      </w:r>
      <w:r w:rsidR="0010745D" w:rsidRPr="00365904">
        <w:t>4</w:t>
      </w:r>
      <w:r w:rsidR="00D8721E">
        <w:t>–1</w:t>
      </w:r>
      <w:r w:rsidR="0010745D" w:rsidRPr="00365904">
        <w:t>5.</w:t>
      </w:r>
    </w:p>
    <w:p w:rsidR="004F39AE" w:rsidRPr="00596D01" w:rsidRDefault="004F39AE" w:rsidP="009A5114">
      <w:pPr>
        <w:pStyle w:val="ChartTitle"/>
      </w:pPr>
      <w:bookmarkStart w:id="775" w:name="_Ref524428690"/>
      <w:r w:rsidRPr="00596D01">
        <w:lastRenderedPageBreak/>
        <w:t>EBITDA per resident per day, by provider scale,</w:t>
      </w:r>
      <w:r w:rsidR="00A261F3" w:rsidRPr="00596D01">
        <w:t> 201</w:t>
      </w:r>
      <w:r w:rsidRPr="00596D01">
        <w:t>4</w:t>
      </w:r>
      <w:r w:rsidR="00D8721E" w:rsidRPr="00596D01">
        <w:t>–1</w:t>
      </w:r>
      <w:r w:rsidRPr="00596D01">
        <w:t>5 to</w:t>
      </w:r>
      <w:r w:rsidR="00A261F3" w:rsidRPr="00596D01">
        <w:t> 201</w:t>
      </w:r>
      <w:r w:rsidRPr="00596D01">
        <w:t>6</w:t>
      </w:r>
      <w:r w:rsidR="00D8721E" w:rsidRPr="00596D01">
        <w:t>–1</w:t>
      </w:r>
      <w:r w:rsidRPr="00596D01">
        <w:t>7</w:t>
      </w:r>
      <w:bookmarkEnd w:id="775"/>
    </w:p>
    <w:p w:rsidR="00D8721E" w:rsidRPr="00596D01" w:rsidRDefault="00251564" w:rsidP="009A5114">
      <w:bookmarkStart w:id="776" w:name="_Toc520897566"/>
      <w:bookmarkStart w:id="777" w:name="_Toc487702613"/>
      <w:bookmarkStart w:id="778" w:name="_Toc487702965"/>
      <w:bookmarkStart w:id="779" w:name="_Toc487703463"/>
      <w:bookmarkStart w:id="780" w:name="_Toc487703657"/>
      <w:bookmarkStart w:id="781" w:name="_Toc426120788"/>
      <w:bookmarkStart w:id="782" w:name="_Toc457549922"/>
      <w:r w:rsidRPr="00596D01">
        <w:rPr>
          <w:noProof/>
        </w:rPr>
        <w:drawing>
          <wp:inline distT="0" distB="0" distL="0" distR="0" wp14:anchorId="559E1CFC" wp14:editId="2DCAC26B">
            <wp:extent cx="6120000" cy="2785515"/>
            <wp:effectExtent l="0" t="0" r="0" b="0"/>
            <wp:docPr id="689" name="Picture 689" descr="Chart 9.19 EBITDA per resident per day, by provider scale, 2014–15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cb0036\AppData\Local\Microsoft\Windows\Temporary Internet Files\Content.Outlook\X33EN5GL\Chart_X.Xc.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000" cy="2785515"/>
                    </a:xfrm>
                    <a:prstGeom prst="rect">
                      <a:avLst/>
                    </a:prstGeom>
                    <a:noFill/>
                    <a:ln>
                      <a:noFill/>
                    </a:ln>
                  </pic:spPr>
                </pic:pic>
              </a:graphicData>
            </a:graphic>
          </wp:inline>
        </w:drawing>
      </w:r>
      <w:bookmarkEnd w:id="776"/>
    </w:p>
    <w:p w:rsidR="00F031BE" w:rsidRPr="00596D01" w:rsidRDefault="00F031BE" w:rsidP="00B7720C">
      <w:pPr>
        <w:pStyle w:val="Heading3Numbered"/>
      </w:pPr>
      <w:bookmarkStart w:id="783" w:name="_Toc524424790"/>
      <w:r w:rsidRPr="00596D01">
        <w:t>Financial performance analysis</w:t>
      </w:r>
      <w:bookmarkEnd w:id="777"/>
      <w:bookmarkEnd w:id="778"/>
      <w:bookmarkEnd w:id="779"/>
      <w:bookmarkEnd w:id="780"/>
      <w:r w:rsidR="00A261F3" w:rsidRPr="00596D01">
        <w:t> 201</w:t>
      </w:r>
      <w:r w:rsidR="003B4084" w:rsidRPr="00596D01">
        <w:t>7</w:t>
      </w:r>
      <w:r w:rsidR="00D8721E" w:rsidRPr="00596D01">
        <w:t>–1</w:t>
      </w:r>
      <w:r w:rsidR="003B4084" w:rsidRPr="00596D01">
        <w:t>8</w:t>
      </w:r>
      <w:bookmarkEnd w:id="783"/>
    </w:p>
    <w:p w:rsidR="00D8721E" w:rsidRDefault="00473B47" w:rsidP="00B7720C">
      <w:pPr>
        <w:rPr>
          <w:lang w:val="en-GB"/>
        </w:rPr>
      </w:pPr>
      <w:r w:rsidRPr="00E4162E">
        <w:rPr>
          <w:lang w:val="en-GB"/>
        </w:rPr>
        <w:t>The majority of financial analysis presented within this report is based on the</w:t>
      </w:r>
      <w:r w:rsidR="00A261F3">
        <w:rPr>
          <w:lang w:val="en-GB"/>
        </w:rPr>
        <w:t> 201</w:t>
      </w:r>
      <w:r>
        <w:rPr>
          <w:lang w:val="en-GB"/>
        </w:rPr>
        <w:t>6</w:t>
      </w:r>
      <w:r w:rsidR="00D8721E">
        <w:rPr>
          <w:lang w:val="en-GB"/>
        </w:rPr>
        <w:t>–1</w:t>
      </w:r>
      <w:r>
        <w:rPr>
          <w:lang w:val="en-GB"/>
        </w:rPr>
        <w:t>7</w:t>
      </w:r>
      <w:r w:rsidRPr="00E4162E">
        <w:rPr>
          <w:lang w:val="en-GB"/>
        </w:rPr>
        <w:t xml:space="preserve"> financial results, using the </w:t>
      </w:r>
      <w:r>
        <w:rPr>
          <w:lang w:val="en-GB"/>
        </w:rPr>
        <w:t>latest available</w:t>
      </w:r>
      <w:r w:rsidRPr="00E4162E">
        <w:rPr>
          <w:lang w:val="en-GB"/>
        </w:rPr>
        <w:t xml:space="preserve"> </w:t>
      </w:r>
      <w:r>
        <w:rPr>
          <w:lang w:val="en-GB"/>
        </w:rPr>
        <w:t>Aged Care Financial Reports prepared by residential</w:t>
      </w:r>
      <w:r w:rsidRPr="00E4162E">
        <w:rPr>
          <w:lang w:val="en-GB"/>
        </w:rPr>
        <w:t xml:space="preserve"> care providers</w:t>
      </w:r>
      <w:r w:rsidR="00D8721E">
        <w:rPr>
          <w:lang w:val="en-GB"/>
        </w:rPr>
        <w:t>.</w:t>
      </w:r>
    </w:p>
    <w:p w:rsidR="0049019F" w:rsidRDefault="0049019F" w:rsidP="00B7720C">
      <w:pPr>
        <w:rPr>
          <w:lang w:val="en-GB"/>
        </w:rPr>
      </w:pPr>
      <w:r>
        <w:rPr>
          <w:lang w:val="en-GB"/>
        </w:rPr>
        <w:t xml:space="preserve">ACFA has </w:t>
      </w:r>
      <w:r w:rsidR="00473B47">
        <w:rPr>
          <w:lang w:val="en-GB"/>
        </w:rPr>
        <w:t xml:space="preserve">however </w:t>
      </w:r>
      <w:r>
        <w:rPr>
          <w:lang w:val="en-GB"/>
        </w:rPr>
        <w:t xml:space="preserve">received representations from members of the residential aged care sector with growing concerns </w:t>
      </w:r>
      <w:r w:rsidR="00FA167B">
        <w:rPr>
          <w:lang w:val="en-GB"/>
        </w:rPr>
        <w:t>about</w:t>
      </w:r>
      <w:r>
        <w:rPr>
          <w:lang w:val="en-GB"/>
        </w:rPr>
        <w:t xml:space="preserve"> the financial pressures that may impact the sustainability of the sector. Their concern</w:t>
      </w:r>
      <w:r w:rsidR="008A5866">
        <w:rPr>
          <w:lang w:val="en-GB"/>
        </w:rPr>
        <w:t xml:space="preserve"> is </w:t>
      </w:r>
      <w:r>
        <w:rPr>
          <w:lang w:val="en-GB"/>
        </w:rPr>
        <w:t xml:space="preserve">that </w:t>
      </w:r>
      <w:r w:rsidR="00FA167B">
        <w:rPr>
          <w:lang w:val="en-GB"/>
        </w:rPr>
        <w:t>revenue is</w:t>
      </w:r>
      <w:r>
        <w:rPr>
          <w:lang w:val="en-GB"/>
        </w:rPr>
        <w:t xml:space="preserve"> not keeping pace with the growth in expenditure.</w:t>
      </w:r>
    </w:p>
    <w:p w:rsidR="0049019F" w:rsidRPr="00FA167B" w:rsidRDefault="008A5866" w:rsidP="00B7720C">
      <w:pPr>
        <w:rPr>
          <w:color w:val="FF0000"/>
          <w:lang w:val="en-GB"/>
        </w:rPr>
      </w:pPr>
      <w:r>
        <w:rPr>
          <w:lang w:val="en-GB"/>
        </w:rPr>
        <w:t xml:space="preserve">With </w:t>
      </w:r>
      <w:r w:rsidR="0049019F">
        <w:rPr>
          <w:lang w:val="en-GB"/>
        </w:rPr>
        <w:t>the majority of the analysis in this report based on</w:t>
      </w:r>
      <w:r w:rsidR="00A261F3">
        <w:rPr>
          <w:lang w:val="en-GB"/>
        </w:rPr>
        <w:t> 201</w:t>
      </w:r>
      <w:r w:rsidR="0049019F">
        <w:rPr>
          <w:lang w:val="en-GB"/>
        </w:rPr>
        <w:t>6</w:t>
      </w:r>
      <w:r w:rsidR="00D8721E">
        <w:rPr>
          <w:lang w:val="en-GB"/>
        </w:rPr>
        <w:t>–1</w:t>
      </w:r>
      <w:r w:rsidR="0049019F">
        <w:rPr>
          <w:lang w:val="en-GB"/>
        </w:rPr>
        <w:t xml:space="preserve">7 data, ACFA has reviewed </w:t>
      </w:r>
      <w:proofErr w:type="spellStart"/>
      <w:r w:rsidR="0049019F">
        <w:rPr>
          <w:lang w:val="en-GB"/>
        </w:rPr>
        <w:t>StewartBrown’s</w:t>
      </w:r>
      <w:proofErr w:type="spellEnd"/>
      <w:r w:rsidR="0049019F">
        <w:rPr>
          <w:lang w:val="en-GB"/>
        </w:rPr>
        <w:t xml:space="preserve"> more recent Aged Care Financial Surveys</w:t>
      </w:r>
      <w:r w:rsidR="0049019F">
        <w:rPr>
          <w:rStyle w:val="FootnoteReference"/>
          <w:rFonts w:cs="Segoe UI"/>
          <w:color w:val="313131"/>
          <w:lang w:val="en-GB"/>
        </w:rPr>
        <w:footnoteReference w:id="44"/>
      </w:r>
      <w:r w:rsidR="0049019F">
        <w:rPr>
          <w:lang w:val="en-GB"/>
        </w:rPr>
        <w:t xml:space="preserve"> to gain an insight as to </w:t>
      </w:r>
      <w:r>
        <w:rPr>
          <w:lang w:val="en-GB"/>
        </w:rPr>
        <w:t xml:space="preserve">recent </w:t>
      </w:r>
      <w:r w:rsidR="0049019F">
        <w:rPr>
          <w:lang w:val="en-GB"/>
        </w:rPr>
        <w:t>developments in the residential aged care sector</w:t>
      </w:r>
      <w:r w:rsidR="008D327B">
        <w:rPr>
          <w:lang w:val="en-GB"/>
        </w:rPr>
        <w:t xml:space="preserve">. Importantly, the </w:t>
      </w:r>
      <w:r w:rsidR="00FA167B" w:rsidRPr="008D327B">
        <w:rPr>
          <w:lang w:val="en-GB"/>
        </w:rPr>
        <w:t>data</w:t>
      </w:r>
      <w:r w:rsidR="008D327B" w:rsidRPr="008D327B">
        <w:rPr>
          <w:lang w:val="en-GB"/>
        </w:rPr>
        <w:t xml:space="preserve"> presented in this report is at the provider level </w:t>
      </w:r>
      <w:r w:rsidR="00FA167B" w:rsidRPr="008D327B">
        <w:rPr>
          <w:lang w:val="en-GB"/>
        </w:rPr>
        <w:t xml:space="preserve">whereas analysis and discussion in the </w:t>
      </w:r>
      <w:proofErr w:type="spellStart"/>
      <w:r w:rsidR="00FA167B" w:rsidRPr="008D327B">
        <w:rPr>
          <w:lang w:val="en-GB"/>
        </w:rPr>
        <w:t>StewartBrown</w:t>
      </w:r>
      <w:proofErr w:type="spellEnd"/>
      <w:r w:rsidR="00FA167B" w:rsidRPr="008D327B">
        <w:rPr>
          <w:lang w:val="en-GB"/>
        </w:rPr>
        <w:t xml:space="preserve"> </w:t>
      </w:r>
      <w:r w:rsidR="008D327B" w:rsidRPr="008D327B">
        <w:rPr>
          <w:lang w:val="en-GB"/>
        </w:rPr>
        <w:t xml:space="preserve">survey </w:t>
      </w:r>
      <w:r w:rsidR="00FA167B" w:rsidRPr="008D327B">
        <w:rPr>
          <w:lang w:val="en-GB"/>
        </w:rPr>
        <w:t>is at the facility level.</w:t>
      </w:r>
    </w:p>
    <w:p w:rsidR="00D8721E" w:rsidRDefault="0049019F" w:rsidP="00B7720C">
      <w:pPr>
        <w:rPr>
          <w:lang w:val="en-GB"/>
        </w:rPr>
      </w:pPr>
      <w:r>
        <w:rPr>
          <w:lang w:val="en-GB"/>
        </w:rPr>
        <w:t xml:space="preserve">It is </w:t>
      </w:r>
      <w:r w:rsidR="008D327B">
        <w:rPr>
          <w:lang w:val="en-GB"/>
        </w:rPr>
        <w:t>also</w:t>
      </w:r>
      <w:r>
        <w:rPr>
          <w:lang w:val="en-GB"/>
        </w:rPr>
        <w:t xml:space="preserve"> </w:t>
      </w:r>
      <w:r w:rsidR="00735EBE">
        <w:rPr>
          <w:lang w:val="en-GB"/>
        </w:rPr>
        <w:t xml:space="preserve">not </w:t>
      </w:r>
      <w:r>
        <w:rPr>
          <w:lang w:val="en-GB"/>
        </w:rPr>
        <w:t>possible to directly compare results presented for</w:t>
      </w:r>
      <w:r w:rsidR="00A261F3">
        <w:rPr>
          <w:lang w:val="en-GB"/>
        </w:rPr>
        <w:t> 201</w:t>
      </w:r>
      <w:r>
        <w:rPr>
          <w:lang w:val="en-GB"/>
        </w:rPr>
        <w:t>6</w:t>
      </w:r>
      <w:r w:rsidR="00D8721E">
        <w:rPr>
          <w:lang w:val="en-GB"/>
        </w:rPr>
        <w:t>–1</w:t>
      </w:r>
      <w:r>
        <w:rPr>
          <w:lang w:val="en-GB"/>
        </w:rPr>
        <w:t xml:space="preserve">7 in this report with the results from the </w:t>
      </w:r>
      <w:proofErr w:type="spellStart"/>
      <w:r>
        <w:rPr>
          <w:lang w:val="en-GB"/>
        </w:rPr>
        <w:t>StewartBrown</w:t>
      </w:r>
      <w:proofErr w:type="spellEnd"/>
      <w:r>
        <w:rPr>
          <w:lang w:val="en-GB"/>
        </w:rPr>
        <w:t xml:space="preserve"> survey for the </w:t>
      </w:r>
      <w:r w:rsidR="003C42FF">
        <w:rPr>
          <w:lang w:val="en-GB"/>
        </w:rPr>
        <w:t>nine</w:t>
      </w:r>
      <w:r>
        <w:rPr>
          <w:lang w:val="en-GB"/>
        </w:rPr>
        <w:t xml:space="preserve"> months to March</w:t>
      </w:r>
      <w:r w:rsidR="00A261F3">
        <w:rPr>
          <w:lang w:val="en-GB"/>
        </w:rPr>
        <w:t> 201</w:t>
      </w:r>
      <w:r>
        <w:rPr>
          <w:lang w:val="en-GB"/>
        </w:rPr>
        <w:t>8 given collection methods and coverage vary considerably</w:t>
      </w:r>
      <w:r>
        <w:rPr>
          <w:rStyle w:val="FootnoteReference"/>
          <w:rFonts w:cs="Segoe UI"/>
          <w:color w:val="313131"/>
          <w:lang w:val="en-GB"/>
        </w:rPr>
        <w:footnoteReference w:id="45"/>
      </w:r>
      <w:r>
        <w:rPr>
          <w:lang w:val="en-GB"/>
        </w:rPr>
        <w:t xml:space="preserve">. Nevertheless, the </w:t>
      </w:r>
      <w:proofErr w:type="spellStart"/>
      <w:r>
        <w:rPr>
          <w:lang w:val="en-GB"/>
        </w:rPr>
        <w:t>StewartBrown</w:t>
      </w:r>
      <w:proofErr w:type="spellEnd"/>
      <w:r>
        <w:rPr>
          <w:lang w:val="en-GB"/>
        </w:rPr>
        <w:t xml:space="preserve"> surveys are likely to broadly reflect the developments in the sector as a whole</w:t>
      </w:r>
      <w:r w:rsidR="00D8721E">
        <w:rPr>
          <w:lang w:val="en-GB"/>
        </w:rPr>
        <w:t>.</w:t>
      </w:r>
    </w:p>
    <w:p w:rsidR="00D8721E" w:rsidRDefault="0049019F" w:rsidP="00B7720C">
      <w:pPr>
        <w:rPr>
          <w:lang w:val="en-GB"/>
        </w:rPr>
      </w:pPr>
      <w:r>
        <w:rPr>
          <w:lang w:val="en-GB"/>
        </w:rPr>
        <w:t xml:space="preserve">The results of </w:t>
      </w:r>
      <w:proofErr w:type="spellStart"/>
      <w:r>
        <w:rPr>
          <w:lang w:val="en-GB"/>
        </w:rPr>
        <w:t>StewartBrown’s</w:t>
      </w:r>
      <w:proofErr w:type="spellEnd"/>
      <w:r>
        <w:rPr>
          <w:lang w:val="en-GB"/>
        </w:rPr>
        <w:t xml:space="preserve"> survey for the nine months to March</w:t>
      </w:r>
      <w:r w:rsidR="00A261F3">
        <w:rPr>
          <w:lang w:val="en-GB"/>
        </w:rPr>
        <w:t> 201</w:t>
      </w:r>
      <w:r>
        <w:rPr>
          <w:lang w:val="en-GB"/>
        </w:rPr>
        <w:t>8 suggest a decline in the financial performance of residential</w:t>
      </w:r>
      <w:r w:rsidRPr="00E4162E">
        <w:rPr>
          <w:lang w:val="en-GB"/>
        </w:rPr>
        <w:t xml:space="preserve"> care </w:t>
      </w:r>
      <w:r>
        <w:rPr>
          <w:lang w:val="en-GB"/>
        </w:rPr>
        <w:t>facilities in</w:t>
      </w:r>
      <w:r w:rsidR="00A261F3">
        <w:rPr>
          <w:lang w:val="en-GB"/>
        </w:rPr>
        <w:t> 201</w:t>
      </w:r>
      <w:r>
        <w:rPr>
          <w:lang w:val="en-GB"/>
        </w:rPr>
        <w:t>7</w:t>
      </w:r>
      <w:r w:rsidR="00D8721E">
        <w:rPr>
          <w:lang w:val="en-GB"/>
        </w:rPr>
        <w:t>–1</w:t>
      </w:r>
      <w:r>
        <w:rPr>
          <w:lang w:val="en-GB"/>
        </w:rPr>
        <w:t>8</w:t>
      </w:r>
      <w:r w:rsidR="00D8721E">
        <w:rPr>
          <w:lang w:val="en-GB"/>
        </w:rPr>
        <w:t>.</w:t>
      </w:r>
    </w:p>
    <w:p w:rsidR="0049019F" w:rsidRDefault="0049019F" w:rsidP="00B7720C">
      <w:pPr>
        <w:rPr>
          <w:lang w:val="en-GB"/>
        </w:rPr>
      </w:pPr>
      <w:proofErr w:type="spellStart"/>
      <w:r>
        <w:rPr>
          <w:lang w:val="en-GB"/>
        </w:rPr>
        <w:t>StewartBrown</w:t>
      </w:r>
      <w:proofErr w:type="spellEnd"/>
      <w:r>
        <w:rPr>
          <w:lang w:val="en-GB"/>
        </w:rPr>
        <w:t xml:space="preserve"> survey results indicate that as of 31 March</w:t>
      </w:r>
      <w:r w:rsidR="00A261F3">
        <w:rPr>
          <w:lang w:val="en-GB"/>
        </w:rPr>
        <w:t> 201</w:t>
      </w:r>
      <w:r>
        <w:rPr>
          <w:lang w:val="en-GB"/>
        </w:rPr>
        <w:t>8, 4</w:t>
      </w:r>
      <w:r w:rsidR="00341DAB">
        <w:rPr>
          <w:lang w:val="en-GB"/>
        </w:rPr>
        <w:t>3</w:t>
      </w:r>
      <w:r w:rsidR="00A261F3">
        <w:rPr>
          <w:lang w:val="en-GB"/>
        </w:rPr>
        <w:t> per cent</w:t>
      </w:r>
      <w:r>
        <w:rPr>
          <w:lang w:val="en-GB"/>
        </w:rPr>
        <w:t xml:space="preserve"> of facilities reported a negative EBT (Earning Before Tax), up from 3</w:t>
      </w:r>
      <w:r w:rsidR="008C2527">
        <w:rPr>
          <w:lang w:val="en-GB"/>
        </w:rPr>
        <w:t>4</w:t>
      </w:r>
      <w:r w:rsidR="00A261F3">
        <w:rPr>
          <w:lang w:val="en-GB"/>
        </w:rPr>
        <w:t> per cent</w:t>
      </w:r>
      <w:r>
        <w:rPr>
          <w:lang w:val="en-GB"/>
        </w:rPr>
        <w:t xml:space="preserve"> at </w:t>
      </w:r>
      <w:r w:rsidR="00A261F3">
        <w:rPr>
          <w:lang w:val="en-GB"/>
        </w:rPr>
        <w:t>30 J</w:t>
      </w:r>
      <w:r w:rsidR="00ED43AB">
        <w:rPr>
          <w:lang w:val="en-GB"/>
        </w:rPr>
        <w:t>une</w:t>
      </w:r>
      <w:r w:rsidR="00A261F3">
        <w:rPr>
          <w:lang w:val="en-GB"/>
        </w:rPr>
        <w:t> 201</w:t>
      </w:r>
      <w:r>
        <w:rPr>
          <w:lang w:val="en-GB"/>
        </w:rPr>
        <w:t>7, and facilities reporting negative EBITDA also increased to 2</w:t>
      </w:r>
      <w:r w:rsidR="00341DAB">
        <w:rPr>
          <w:lang w:val="en-GB"/>
        </w:rPr>
        <w:t>1</w:t>
      </w:r>
      <w:r w:rsidR="00A261F3">
        <w:rPr>
          <w:lang w:val="en-GB"/>
        </w:rPr>
        <w:t> per cent</w:t>
      </w:r>
      <w:r>
        <w:rPr>
          <w:lang w:val="en-GB"/>
        </w:rPr>
        <w:t xml:space="preserve"> from 1</w:t>
      </w:r>
      <w:r w:rsidR="00D00B54">
        <w:rPr>
          <w:lang w:val="en-GB"/>
        </w:rPr>
        <w:t>6</w:t>
      </w:r>
      <w:r w:rsidR="00A261F3">
        <w:rPr>
          <w:lang w:val="en-GB"/>
        </w:rPr>
        <w:t> per cent</w:t>
      </w:r>
      <w:r>
        <w:rPr>
          <w:lang w:val="en-GB"/>
        </w:rPr>
        <w:t xml:space="preserve"> at </w:t>
      </w:r>
      <w:r w:rsidR="00A261F3">
        <w:rPr>
          <w:lang w:val="en-GB"/>
        </w:rPr>
        <w:t>30 J</w:t>
      </w:r>
      <w:r w:rsidR="00ED43AB">
        <w:rPr>
          <w:lang w:val="en-GB"/>
        </w:rPr>
        <w:t>une</w:t>
      </w:r>
      <w:r w:rsidR="00A261F3">
        <w:rPr>
          <w:lang w:val="en-GB"/>
        </w:rPr>
        <w:t> 201</w:t>
      </w:r>
      <w:r>
        <w:rPr>
          <w:lang w:val="en-GB"/>
        </w:rPr>
        <w:t xml:space="preserve">7. Whilst the largest </w:t>
      </w:r>
      <w:r w:rsidR="003C42FF">
        <w:rPr>
          <w:lang w:val="en-GB"/>
        </w:rPr>
        <w:t>pro</w:t>
      </w:r>
      <w:r>
        <w:rPr>
          <w:lang w:val="en-GB"/>
        </w:rPr>
        <w:t>portion of facilities recording losses were in outer regional/remote and very remote areas, significant declines also occurred in inner regional and metropolitan</w:t>
      </w:r>
      <w:r w:rsidR="00FA167B">
        <w:rPr>
          <w:lang w:val="en-GB"/>
        </w:rPr>
        <w:t xml:space="preserve"> areas</w:t>
      </w:r>
      <w:r>
        <w:rPr>
          <w:lang w:val="en-GB"/>
        </w:rPr>
        <w:t>.</w:t>
      </w:r>
    </w:p>
    <w:p w:rsidR="00D8721E" w:rsidRDefault="00CB5619" w:rsidP="00B7720C">
      <w:pPr>
        <w:rPr>
          <w:lang w:val="en-GB"/>
        </w:rPr>
      </w:pPr>
      <w:r>
        <w:rPr>
          <w:lang w:val="en-GB"/>
        </w:rPr>
        <w:t>There were s</w:t>
      </w:r>
      <w:r w:rsidR="0049019F">
        <w:rPr>
          <w:lang w:val="en-GB"/>
        </w:rPr>
        <w:t>ignificant declines</w:t>
      </w:r>
      <w:r>
        <w:rPr>
          <w:lang w:val="en-GB"/>
        </w:rPr>
        <w:t xml:space="preserve"> in average facility EBT and EBITDA</w:t>
      </w:r>
      <w:r w:rsidR="00473B47">
        <w:rPr>
          <w:lang w:val="en-GB"/>
        </w:rPr>
        <w:t xml:space="preserve"> </w:t>
      </w:r>
      <w:r w:rsidR="003C42FF">
        <w:rPr>
          <w:lang w:val="en-GB"/>
        </w:rPr>
        <w:t>in the nine months to March</w:t>
      </w:r>
      <w:r w:rsidR="00A261F3">
        <w:rPr>
          <w:lang w:val="en-GB"/>
        </w:rPr>
        <w:t> 201</w:t>
      </w:r>
      <w:r w:rsidR="003C42FF">
        <w:rPr>
          <w:lang w:val="en-GB"/>
        </w:rPr>
        <w:t xml:space="preserve">8, </w:t>
      </w:r>
      <w:r w:rsidR="00473B47">
        <w:rPr>
          <w:lang w:val="en-GB"/>
        </w:rPr>
        <w:t>with</w:t>
      </w:r>
      <w:r w:rsidR="0049019F">
        <w:rPr>
          <w:lang w:val="en-GB"/>
        </w:rPr>
        <w:t xml:space="preserve"> EBT </w:t>
      </w:r>
      <w:r w:rsidR="00473B47">
        <w:rPr>
          <w:lang w:val="en-GB"/>
        </w:rPr>
        <w:t>d</w:t>
      </w:r>
      <w:r w:rsidR="003C42FF">
        <w:rPr>
          <w:lang w:val="en-GB"/>
        </w:rPr>
        <w:t>ecreasing</w:t>
      </w:r>
      <w:r w:rsidR="00473B47">
        <w:rPr>
          <w:lang w:val="en-GB"/>
        </w:rPr>
        <w:t xml:space="preserve"> </w:t>
      </w:r>
      <w:r w:rsidR="0049019F">
        <w:rPr>
          <w:lang w:val="en-GB"/>
        </w:rPr>
        <w:t>from $3,236 per bed per annum (</w:t>
      </w:r>
      <w:proofErr w:type="spellStart"/>
      <w:r w:rsidR="0049019F">
        <w:rPr>
          <w:lang w:val="en-GB"/>
        </w:rPr>
        <w:t>p</w:t>
      </w:r>
      <w:r w:rsidR="008E1D69">
        <w:rPr>
          <w:lang w:val="en-GB"/>
        </w:rPr>
        <w:t>b</w:t>
      </w:r>
      <w:r w:rsidR="0049019F">
        <w:rPr>
          <w:lang w:val="en-GB"/>
        </w:rPr>
        <w:t>pa</w:t>
      </w:r>
      <w:proofErr w:type="spellEnd"/>
      <w:r w:rsidR="0049019F">
        <w:rPr>
          <w:lang w:val="en-GB"/>
        </w:rPr>
        <w:t>) to $1,348, and EBITDA from $8,397</w:t>
      </w:r>
      <w:r w:rsidR="00473B47">
        <w:rPr>
          <w:lang w:val="en-GB"/>
        </w:rPr>
        <w:t> </w:t>
      </w:r>
      <w:proofErr w:type="spellStart"/>
      <w:r w:rsidR="0049019F">
        <w:rPr>
          <w:lang w:val="en-GB"/>
        </w:rPr>
        <w:t>pbpa</w:t>
      </w:r>
      <w:proofErr w:type="spellEnd"/>
      <w:r w:rsidR="0049019F">
        <w:rPr>
          <w:lang w:val="en-GB"/>
        </w:rPr>
        <w:t xml:space="preserve"> to $6,884. </w:t>
      </w:r>
      <w:r w:rsidR="0049019F">
        <w:rPr>
          <w:lang w:val="en-GB"/>
        </w:rPr>
        <w:lastRenderedPageBreak/>
        <w:t>The decrease was due in part to a significant decline in the care result from</w:t>
      </w:r>
      <w:r w:rsidR="00473B47">
        <w:rPr>
          <w:lang w:val="en-GB"/>
        </w:rPr>
        <w:t xml:space="preserve"> negative </w:t>
      </w:r>
      <w:r w:rsidR="0049019F">
        <w:rPr>
          <w:lang w:val="en-GB"/>
        </w:rPr>
        <w:t>$0.58</w:t>
      </w:r>
      <w:r w:rsidR="00473B47">
        <w:rPr>
          <w:lang w:val="en-GB"/>
        </w:rPr>
        <w:t xml:space="preserve"> </w:t>
      </w:r>
      <w:proofErr w:type="spellStart"/>
      <w:r w:rsidR="0049019F">
        <w:rPr>
          <w:lang w:val="en-GB"/>
        </w:rPr>
        <w:t>pbpa</w:t>
      </w:r>
      <w:proofErr w:type="spellEnd"/>
      <w:r w:rsidR="0049019F">
        <w:rPr>
          <w:lang w:val="en-GB"/>
        </w:rPr>
        <w:t xml:space="preserve"> to</w:t>
      </w:r>
      <w:r w:rsidR="00473B47">
        <w:rPr>
          <w:lang w:val="en-GB"/>
        </w:rPr>
        <w:t xml:space="preserve"> negative </w:t>
      </w:r>
      <w:r w:rsidR="0049019F">
        <w:rPr>
          <w:lang w:val="en-GB"/>
        </w:rPr>
        <w:t>$7.30</w:t>
      </w:r>
      <w:r w:rsidR="003C42FF">
        <w:rPr>
          <w:lang w:val="en-GB"/>
        </w:rPr>
        <w:t> </w:t>
      </w:r>
      <w:proofErr w:type="spellStart"/>
      <w:r w:rsidR="0049019F">
        <w:rPr>
          <w:lang w:val="en-GB"/>
        </w:rPr>
        <w:t>pbpa</w:t>
      </w:r>
      <w:proofErr w:type="spellEnd"/>
      <w:r w:rsidR="0049019F">
        <w:rPr>
          <w:rStyle w:val="FootnoteReference"/>
          <w:rFonts w:cs="Segoe UI"/>
          <w:color w:val="313131"/>
          <w:lang w:val="en-GB"/>
        </w:rPr>
        <w:footnoteReference w:id="46"/>
      </w:r>
      <w:r w:rsidR="00D8721E">
        <w:rPr>
          <w:lang w:val="en-GB"/>
        </w:rPr>
        <w:t>.</w:t>
      </w:r>
    </w:p>
    <w:p w:rsidR="003C42FF" w:rsidRDefault="0049019F" w:rsidP="00B7720C">
      <w:pPr>
        <w:rPr>
          <w:lang w:val="en-GB"/>
        </w:rPr>
      </w:pPr>
      <w:r>
        <w:rPr>
          <w:lang w:val="en-GB"/>
        </w:rPr>
        <w:t xml:space="preserve">The main drivers </w:t>
      </w:r>
      <w:r w:rsidR="003C42FF">
        <w:rPr>
          <w:lang w:val="en-GB"/>
        </w:rPr>
        <w:t>of</w:t>
      </w:r>
      <w:r w:rsidR="00473B47">
        <w:rPr>
          <w:lang w:val="en-GB"/>
        </w:rPr>
        <w:t xml:space="preserve"> the decrease</w:t>
      </w:r>
      <w:r w:rsidR="003C42FF">
        <w:rPr>
          <w:lang w:val="en-GB"/>
        </w:rPr>
        <w:t xml:space="preserve"> in care results compared with</w:t>
      </w:r>
      <w:r w:rsidR="005B1FA9">
        <w:rPr>
          <w:lang w:val="en-GB"/>
        </w:rPr>
        <w:t xml:space="preserve"> the 12 months to</w:t>
      </w:r>
      <w:r w:rsidR="003C42FF">
        <w:rPr>
          <w:lang w:val="en-GB"/>
        </w:rPr>
        <w:t xml:space="preserve"> June</w:t>
      </w:r>
      <w:r w:rsidR="00A261F3">
        <w:rPr>
          <w:lang w:val="en-GB"/>
        </w:rPr>
        <w:t> 201</w:t>
      </w:r>
      <w:r w:rsidR="003C42FF">
        <w:rPr>
          <w:lang w:val="en-GB"/>
        </w:rPr>
        <w:t>7</w:t>
      </w:r>
      <w:r w:rsidR="005B1FA9">
        <w:rPr>
          <w:lang w:val="en-GB"/>
        </w:rPr>
        <w:t xml:space="preserve">, as suggested </w:t>
      </w:r>
      <w:r w:rsidR="00473B47">
        <w:rPr>
          <w:lang w:val="en-GB"/>
        </w:rPr>
        <w:t xml:space="preserve">by </w:t>
      </w:r>
      <w:proofErr w:type="spellStart"/>
      <w:r w:rsidR="00473B47">
        <w:rPr>
          <w:lang w:val="en-GB"/>
        </w:rPr>
        <w:t>StewartBrown</w:t>
      </w:r>
      <w:proofErr w:type="spellEnd"/>
      <w:r w:rsidR="00473B47">
        <w:rPr>
          <w:lang w:val="en-GB"/>
        </w:rPr>
        <w:t xml:space="preserve">, </w:t>
      </w:r>
      <w:r>
        <w:rPr>
          <w:lang w:val="en-GB"/>
        </w:rPr>
        <w:t>centred around</w:t>
      </w:r>
      <w:r w:rsidR="003C42FF">
        <w:rPr>
          <w:lang w:val="en-GB"/>
        </w:rPr>
        <w:t>:</w:t>
      </w:r>
    </w:p>
    <w:p w:rsidR="0049019F" w:rsidRDefault="00C47356" w:rsidP="00B7720C">
      <w:pPr>
        <w:pStyle w:val="Bullet1"/>
        <w:rPr>
          <w:lang w:val="en-GB"/>
        </w:rPr>
      </w:pPr>
      <w:r>
        <w:rPr>
          <w:lang w:val="en-GB"/>
        </w:rPr>
        <w:t>O</w:t>
      </w:r>
      <w:r w:rsidR="0049019F" w:rsidRPr="003C42FF">
        <w:rPr>
          <w:lang w:val="en-GB"/>
        </w:rPr>
        <w:t>nly slight increases in ACFI</w:t>
      </w:r>
      <w:r w:rsidR="00473B47" w:rsidRPr="003C42FF">
        <w:rPr>
          <w:lang w:val="en-GB"/>
        </w:rPr>
        <w:t xml:space="preserve"> subsidies</w:t>
      </w:r>
      <w:r w:rsidR="003C42FF">
        <w:rPr>
          <w:lang w:val="en-GB"/>
        </w:rPr>
        <w:t>, to $172.00 from $171.85 </w:t>
      </w:r>
      <w:proofErr w:type="spellStart"/>
      <w:r w:rsidR="003C42FF">
        <w:rPr>
          <w:lang w:val="en-GB"/>
        </w:rPr>
        <w:t>pbpd</w:t>
      </w:r>
      <w:proofErr w:type="spellEnd"/>
      <w:r w:rsidR="003C42FF">
        <w:rPr>
          <w:lang w:val="en-GB"/>
        </w:rPr>
        <w:t xml:space="preserve">. While </w:t>
      </w:r>
      <w:r w:rsidR="0049019F" w:rsidRPr="003C42FF">
        <w:rPr>
          <w:lang w:val="en-GB"/>
        </w:rPr>
        <w:t>ACFI revenue was</w:t>
      </w:r>
      <w:r w:rsidR="005B1FA9">
        <w:rPr>
          <w:lang w:val="en-GB"/>
        </w:rPr>
        <w:t xml:space="preserve"> impacted</w:t>
      </w:r>
      <w:r w:rsidR="0049019F" w:rsidRPr="003C42FF">
        <w:rPr>
          <w:lang w:val="en-GB"/>
        </w:rPr>
        <w:t xml:space="preserve"> in part </w:t>
      </w:r>
      <w:r w:rsidR="005B1FA9">
        <w:rPr>
          <w:lang w:val="en-GB"/>
        </w:rPr>
        <w:t xml:space="preserve">by </w:t>
      </w:r>
      <w:r w:rsidR="0049019F" w:rsidRPr="003C42FF">
        <w:rPr>
          <w:lang w:val="en-GB"/>
        </w:rPr>
        <w:t>the current</w:t>
      </w:r>
      <w:r w:rsidR="00473B47" w:rsidRPr="003C42FF">
        <w:rPr>
          <w:lang w:val="en-GB"/>
        </w:rPr>
        <w:t xml:space="preserve"> indexation pause (discussed in section </w:t>
      </w:r>
      <w:r w:rsidR="00492BF8">
        <w:rPr>
          <w:lang w:val="en-GB"/>
        </w:rPr>
        <w:fldChar w:fldCharType="begin"/>
      </w:r>
      <w:r w:rsidR="00492BF8">
        <w:rPr>
          <w:lang w:val="en-GB"/>
        </w:rPr>
        <w:instrText xml:space="preserve"> REF _Ref524427758 \r \h </w:instrText>
      </w:r>
      <w:r w:rsidR="00492BF8">
        <w:rPr>
          <w:lang w:val="en-GB"/>
        </w:rPr>
      </w:r>
      <w:r w:rsidR="00492BF8">
        <w:rPr>
          <w:lang w:val="en-GB"/>
        </w:rPr>
        <w:fldChar w:fldCharType="separate"/>
      </w:r>
      <w:r w:rsidR="00492BF8">
        <w:rPr>
          <w:lang w:val="en-GB"/>
        </w:rPr>
        <w:t>9.4</w:t>
      </w:r>
      <w:r w:rsidR="00492BF8">
        <w:rPr>
          <w:lang w:val="en-GB"/>
        </w:rPr>
        <w:fldChar w:fldCharType="end"/>
      </w:r>
      <w:r w:rsidR="008D327B" w:rsidRPr="008D327B">
        <w:rPr>
          <w:lang w:val="en-GB"/>
        </w:rPr>
        <w:t>)</w:t>
      </w:r>
      <w:r w:rsidR="002F3CDE">
        <w:rPr>
          <w:lang w:val="en-GB"/>
        </w:rPr>
        <w:t>;</w:t>
      </w:r>
    </w:p>
    <w:p w:rsidR="00430D41" w:rsidRDefault="00430D41" w:rsidP="00B7720C">
      <w:pPr>
        <w:pStyle w:val="Bullet1"/>
        <w:rPr>
          <w:lang w:val="en-GB"/>
        </w:rPr>
      </w:pPr>
      <w:r>
        <w:rPr>
          <w:lang w:val="en-GB"/>
        </w:rPr>
        <w:t xml:space="preserve">Increases in care employee costs of </w:t>
      </w:r>
      <w:r w:rsidR="008C2527">
        <w:rPr>
          <w:lang w:val="en-GB"/>
        </w:rPr>
        <w:t>4</w:t>
      </w:r>
      <w:r w:rsidR="00A261F3">
        <w:rPr>
          <w:lang w:val="en-GB"/>
        </w:rPr>
        <w:t> per cent</w:t>
      </w:r>
      <w:r>
        <w:rPr>
          <w:lang w:val="en-GB"/>
        </w:rPr>
        <w:t xml:space="preserve"> or $4.92 </w:t>
      </w:r>
      <w:proofErr w:type="spellStart"/>
      <w:r>
        <w:rPr>
          <w:lang w:val="en-GB"/>
        </w:rPr>
        <w:t>pbpd</w:t>
      </w:r>
      <w:proofErr w:type="spellEnd"/>
      <w:r>
        <w:rPr>
          <w:lang w:val="en-GB"/>
        </w:rPr>
        <w:t xml:space="preserve">, largely attributable to the additional cost and hours worked in both care management and </w:t>
      </w:r>
      <w:r w:rsidR="008F69ED">
        <w:rPr>
          <w:lang w:val="en-GB"/>
        </w:rPr>
        <w:t>a</w:t>
      </w:r>
      <w:r>
        <w:rPr>
          <w:lang w:val="en-GB"/>
        </w:rPr>
        <w:t xml:space="preserve">llied </w:t>
      </w:r>
      <w:r w:rsidR="008F69ED">
        <w:rPr>
          <w:lang w:val="en-GB"/>
        </w:rPr>
        <w:t>h</w:t>
      </w:r>
      <w:r>
        <w:rPr>
          <w:lang w:val="en-GB"/>
        </w:rPr>
        <w:t>ealth staffing; and</w:t>
      </w:r>
    </w:p>
    <w:p w:rsidR="00430D41" w:rsidRDefault="00430D41" w:rsidP="00B7720C">
      <w:pPr>
        <w:pStyle w:val="Bullet1"/>
        <w:rPr>
          <w:lang w:val="en-GB"/>
        </w:rPr>
      </w:pPr>
      <w:r>
        <w:rPr>
          <w:lang w:val="en-GB"/>
        </w:rPr>
        <w:t>Increases in administration and support services of 5.</w:t>
      </w:r>
      <w:r w:rsidR="00341DAB">
        <w:rPr>
          <w:lang w:val="en-GB"/>
        </w:rPr>
        <w:t>2</w:t>
      </w:r>
      <w:r w:rsidR="00A261F3">
        <w:rPr>
          <w:lang w:val="en-GB"/>
        </w:rPr>
        <w:t> per cent</w:t>
      </w:r>
      <w:r>
        <w:rPr>
          <w:lang w:val="en-GB"/>
        </w:rPr>
        <w:t xml:space="preserve"> or $1.85 </w:t>
      </w:r>
      <w:proofErr w:type="spellStart"/>
      <w:r>
        <w:rPr>
          <w:lang w:val="en-GB"/>
        </w:rPr>
        <w:t>pbpd</w:t>
      </w:r>
      <w:proofErr w:type="spellEnd"/>
      <w:r>
        <w:rPr>
          <w:lang w:val="en-GB"/>
        </w:rPr>
        <w:t>.</w:t>
      </w:r>
    </w:p>
    <w:p w:rsidR="00D8721E" w:rsidRDefault="00C80D0E" w:rsidP="00B7720C">
      <w:pPr>
        <w:rPr>
          <w:lang w:val="en-GB"/>
        </w:rPr>
      </w:pPr>
      <w:r w:rsidRPr="00C80D0E">
        <w:rPr>
          <w:lang w:val="en-GB"/>
        </w:rPr>
        <w:t>Whilst the care result has driven the overall results lower, the accommodation results</w:t>
      </w:r>
      <w:r w:rsidR="00DE634F" w:rsidRPr="00C80D0E">
        <w:rPr>
          <w:rStyle w:val="FootnoteReference"/>
          <w:rFonts w:cs="Segoe UI"/>
          <w:color w:val="313131"/>
          <w:lang w:val="en-GB"/>
        </w:rPr>
        <w:footnoteReference w:id="47"/>
      </w:r>
      <w:r w:rsidRPr="00C80D0E">
        <w:rPr>
          <w:lang w:val="en-GB"/>
        </w:rPr>
        <w:t xml:space="preserve"> reported by </w:t>
      </w:r>
      <w:proofErr w:type="spellStart"/>
      <w:r w:rsidRPr="00C80D0E">
        <w:rPr>
          <w:lang w:val="en-GB"/>
        </w:rPr>
        <w:t>StewartBrown</w:t>
      </w:r>
      <w:proofErr w:type="spellEnd"/>
      <w:r w:rsidRPr="00C80D0E">
        <w:rPr>
          <w:lang w:val="en-GB"/>
        </w:rPr>
        <w:t xml:space="preserve"> have improved from $9.95 </w:t>
      </w:r>
      <w:proofErr w:type="spellStart"/>
      <w:r w:rsidRPr="00C80D0E">
        <w:rPr>
          <w:lang w:val="en-GB"/>
        </w:rPr>
        <w:t>pb</w:t>
      </w:r>
      <w:r>
        <w:rPr>
          <w:lang w:val="en-GB"/>
        </w:rPr>
        <w:t>p</w:t>
      </w:r>
      <w:r w:rsidRPr="00C80D0E">
        <w:rPr>
          <w:lang w:val="en-GB"/>
        </w:rPr>
        <w:t>d</w:t>
      </w:r>
      <w:proofErr w:type="spellEnd"/>
      <w:r w:rsidRPr="00C80D0E">
        <w:rPr>
          <w:lang w:val="en-GB"/>
        </w:rPr>
        <w:t xml:space="preserve"> to $11.23, or 12.</w:t>
      </w:r>
      <w:r w:rsidR="00D00B54">
        <w:rPr>
          <w:lang w:val="en-GB"/>
        </w:rPr>
        <w:t>9</w:t>
      </w:r>
      <w:r w:rsidR="00A261F3">
        <w:rPr>
          <w:lang w:val="en-GB"/>
        </w:rPr>
        <w:t> per cent</w:t>
      </w:r>
      <w:r w:rsidRPr="00C80D0E">
        <w:rPr>
          <w:lang w:val="en-GB"/>
        </w:rPr>
        <w:t>, in the nine months to March</w:t>
      </w:r>
      <w:r w:rsidR="00A261F3">
        <w:rPr>
          <w:lang w:val="en-GB"/>
        </w:rPr>
        <w:t> 201</w:t>
      </w:r>
      <w:r w:rsidRPr="00C80D0E">
        <w:rPr>
          <w:lang w:val="en-GB"/>
        </w:rPr>
        <w:t>8. The improving accommodation results are predominately due to greater significant refurbishment supplements and lower expenditure on refurbishment by survey participants.</w:t>
      </w:r>
    </w:p>
    <w:p w:rsidR="00022C34" w:rsidRPr="00596D01" w:rsidRDefault="000D4CEE" w:rsidP="00B7720C">
      <w:pPr>
        <w:pStyle w:val="Heading2Numbered"/>
      </w:pPr>
      <w:bookmarkStart w:id="784" w:name="_Toc487702614"/>
      <w:bookmarkStart w:id="785" w:name="_Toc487702966"/>
      <w:bookmarkStart w:id="786" w:name="_Toc487703464"/>
      <w:bookmarkStart w:id="787" w:name="_Toc487703658"/>
      <w:bookmarkStart w:id="788" w:name="_Toc524424791"/>
      <w:bookmarkStart w:id="789" w:name="_Ref524427758"/>
      <w:r w:rsidRPr="00596D01">
        <w:t>Looking forward</w:t>
      </w:r>
      <w:bookmarkEnd w:id="781"/>
      <w:bookmarkEnd w:id="782"/>
      <w:bookmarkEnd w:id="784"/>
      <w:bookmarkEnd w:id="785"/>
      <w:bookmarkEnd w:id="786"/>
      <w:bookmarkEnd w:id="787"/>
      <w:bookmarkEnd w:id="788"/>
      <w:bookmarkEnd w:id="789"/>
      <w:r w:rsidR="00022C34" w:rsidRPr="00596D01">
        <w:t xml:space="preserve"> </w:t>
      </w:r>
    </w:p>
    <w:p w:rsidR="00D8721E" w:rsidRDefault="004764A9" w:rsidP="00B7720C">
      <w:pPr>
        <w:rPr>
          <w:lang w:val="en-GB"/>
        </w:rPr>
      </w:pPr>
      <w:r>
        <w:rPr>
          <w:lang w:val="en-GB"/>
        </w:rPr>
        <w:t>Against the backdrop of the financial development</w:t>
      </w:r>
      <w:r w:rsidR="002F3CDE">
        <w:rPr>
          <w:lang w:val="en-GB"/>
        </w:rPr>
        <w:t>s</w:t>
      </w:r>
      <w:r>
        <w:rPr>
          <w:lang w:val="en-GB"/>
        </w:rPr>
        <w:t xml:space="preserve"> that have been canvassed, Chapter 11 provides some observations by ACFA on the funding and financing iss</w:t>
      </w:r>
      <w:r w:rsidR="00735EBE">
        <w:rPr>
          <w:lang w:val="en-GB"/>
        </w:rPr>
        <w:t>ues</w:t>
      </w:r>
      <w:r>
        <w:rPr>
          <w:lang w:val="en-GB"/>
        </w:rPr>
        <w:t xml:space="preserve"> confronting the residential aged care sector.</w:t>
      </w:r>
    </w:p>
    <w:p w:rsidR="00B7720C" w:rsidRDefault="00F667DB" w:rsidP="00B7720C">
      <w:pPr>
        <w:pStyle w:val="Heading1Numbered"/>
        <w:ind w:left="851" w:hanging="851"/>
      </w:pPr>
      <w:bookmarkStart w:id="790" w:name="_Residential_aged_care:_2"/>
      <w:bookmarkStart w:id="791" w:name="_Toc423017962"/>
      <w:bookmarkStart w:id="792" w:name="_Toc423447902"/>
      <w:bookmarkStart w:id="793" w:name="_Ref423521263"/>
      <w:bookmarkStart w:id="794" w:name="_Ref423521470"/>
      <w:bookmarkStart w:id="795" w:name="_Toc423602244"/>
      <w:bookmarkStart w:id="796" w:name="_Ref457548259"/>
      <w:bookmarkStart w:id="797" w:name="_Toc457549924"/>
      <w:bookmarkStart w:id="798" w:name="_Toc487702615"/>
      <w:bookmarkStart w:id="799" w:name="_Toc487702967"/>
      <w:bookmarkStart w:id="800" w:name="_Toc487703465"/>
      <w:bookmarkStart w:id="801" w:name="_Toc487703659"/>
      <w:bookmarkStart w:id="802" w:name="_Toc524424792"/>
      <w:bookmarkStart w:id="803" w:name="_Ref524427831"/>
      <w:bookmarkEnd w:id="640"/>
      <w:bookmarkEnd w:id="641"/>
      <w:bookmarkEnd w:id="790"/>
      <w:r w:rsidRPr="00557C8E">
        <w:lastRenderedPageBreak/>
        <w:t>Residential aged care: capital investment</w:t>
      </w:r>
      <w:bookmarkEnd w:id="791"/>
      <w:bookmarkEnd w:id="792"/>
      <w:bookmarkEnd w:id="793"/>
      <w:bookmarkEnd w:id="794"/>
      <w:bookmarkEnd w:id="795"/>
      <w:bookmarkEnd w:id="796"/>
      <w:bookmarkEnd w:id="797"/>
      <w:bookmarkEnd w:id="798"/>
      <w:bookmarkEnd w:id="799"/>
      <w:bookmarkEnd w:id="800"/>
      <w:bookmarkEnd w:id="801"/>
      <w:bookmarkEnd w:id="802"/>
      <w:bookmarkEnd w:id="803"/>
    </w:p>
    <w:p w:rsidR="00B7720C" w:rsidRPr="00596D01" w:rsidRDefault="00B7720C" w:rsidP="00B7720C">
      <w:pPr>
        <w:pStyle w:val="Boxed1Heading"/>
      </w:pPr>
      <w:r w:rsidRPr="00596D01">
        <w:t>This chapter provides an overview of capital investment in the residential aged care sector.</w:t>
      </w:r>
    </w:p>
    <w:p w:rsidR="00B7720C" w:rsidRPr="00596D01" w:rsidRDefault="00B7720C" w:rsidP="00B7720C">
      <w:pPr>
        <w:pStyle w:val="Boxed1Text"/>
        <w:rPr>
          <w:rStyle w:val="Strong"/>
        </w:rPr>
      </w:pPr>
      <w:r w:rsidRPr="00596D01">
        <w:rPr>
          <w:rStyle w:val="Strong"/>
        </w:rPr>
        <w:t>This chapter discusses:</w:t>
      </w:r>
    </w:p>
    <w:p w:rsidR="00B7720C" w:rsidRPr="00DE7592" w:rsidRDefault="00B7720C" w:rsidP="00B7720C">
      <w:pPr>
        <w:pStyle w:val="Boxed1Bullet"/>
      </w:pPr>
      <w:r>
        <w:t>the sources of capital financing for the residential care sector, including the role of Refundable Accommodation Deposits (bonds prior to 1 July 2014)</w:t>
      </w:r>
    </w:p>
    <w:p w:rsidR="00B7720C" w:rsidRPr="00DE7592" w:rsidRDefault="00B7720C" w:rsidP="00B7720C">
      <w:pPr>
        <w:pStyle w:val="Boxed1Bullet"/>
      </w:pPr>
      <w:r>
        <w:t>key balance sheet metrics for 2016–17</w:t>
      </w:r>
    </w:p>
    <w:p w:rsidR="00B7720C" w:rsidRDefault="00B7720C" w:rsidP="00B7720C">
      <w:pPr>
        <w:pStyle w:val="Boxed1Bullet"/>
      </w:pPr>
      <w:r>
        <w:t>current investment trends and future requirements</w:t>
      </w:r>
    </w:p>
    <w:p w:rsidR="00B7720C" w:rsidRPr="00596D01" w:rsidRDefault="00B7720C" w:rsidP="00B7720C">
      <w:pPr>
        <w:pStyle w:val="Boxed1Text"/>
        <w:rPr>
          <w:rStyle w:val="Strong"/>
        </w:rPr>
      </w:pPr>
      <w:r w:rsidRPr="00596D01">
        <w:rPr>
          <w:rStyle w:val="Strong"/>
        </w:rPr>
        <w:t>On 30 June 2017, compared with 30 June 2016, the industry as a whole had:</w:t>
      </w:r>
    </w:p>
    <w:p w:rsidR="00B7720C" w:rsidRPr="001621FC" w:rsidRDefault="00B7720C" w:rsidP="00B7720C">
      <w:pPr>
        <w:pStyle w:val="Boxed1Bullet"/>
      </w:pPr>
      <w:r w:rsidRPr="00596D01">
        <w:t>Total assets of $45.0 billion</w:t>
      </w:r>
      <w:r w:rsidRPr="001621FC">
        <w:t>, up from $</w:t>
      </w:r>
      <w:r>
        <w:t>40.7 billion, which includes:</w:t>
      </w:r>
    </w:p>
    <w:p w:rsidR="00B7720C" w:rsidRDefault="00B7720C" w:rsidP="00B7720C">
      <w:pPr>
        <w:pStyle w:val="Boxed1Bullet2"/>
        <w:ind w:left="851" w:hanging="567"/>
      </w:pPr>
      <w:r w:rsidRPr="00596D01">
        <w:rPr>
          <w:lang w:val="en-AU"/>
        </w:rPr>
        <w:t>–</w:t>
      </w:r>
      <w:r w:rsidRPr="00596D01">
        <w:rPr>
          <w:lang w:val="en-AU"/>
        </w:rPr>
        <w:tab/>
      </w:r>
      <w:r>
        <w:t>$13.1 billion of current assets, an increase of $1.5 billion; and</w:t>
      </w:r>
    </w:p>
    <w:p w:rsidR="00B7720C" w:rsidRPr="008A7604" w:rsidRDefault="00B7720C" w:rsidP="00B7720C">
      <w:pPr>
        <w:pStyle w:val="Boxed1Bullet2"/>
        <w:ind w:left="851" w:hanging="567"/>
      </w:pPr>
      <w:r w:rsidRPr="00596D01">
        <w:rPr>
          <w:lang w:val="en-AU"/>
        </w:rPr>
        <w:t>–</w:t>
      </w:r>
      <w:r w:rsidRPr="00596D01">
        <w:rPr>
          <w:lang w:val="en-AU"/>
        </w:rPr>
        <w:tab/>
      </w:r>
      <w:r w:rsidRPr="008A7604">
        <w:t>$31.9</w:t>
      </w:r>
      <w:r>
        <w:t> billion</w:t>
      </w:r>
      <w:r w:rsidRPr="008A7604">
        <w:t xml:space="preserve"> of non-current assets, including $2</w:t>
      </w:r>
      <w:r>
        <w:t>3.0 billion</w:t>
      </w:r>
      <w:r w:rsidRPr="008A7604">
        <w:t xml:space="preserve"> of property, plant and equipment</w:t>
      </w:r>
      <w:r w:rsidRPr="00660C00">
        <w:rPr>
          <w:rFonts w:cs="Segoe UI"/>
          <w:vertAlign w:val="superscript"/>
        </w:rPr>
        <w:footnoteReference w:id="48"/>
      </w:r>
      <w:r w:rsidRPr="008A7604">
        <w:t xml:space="preserve"> and $5.</w:t>
      </w:r>
      <w:r>
        <w:t>5 billion</w:t>
      </w:r>
      <w:r w:rsidRPr="008A7604">
        <w:t xml:space="preserve"> in Intangibles.</w:t>
      </w:r>
    </w:p>
    <w:p w:rsidR="00B7720C" w:rsidRDefault="00B7720C" w:rsidP="00B7720C">
      <w:pPr>
        <w:pStyle w:val="Boxed1Bullet"/>
      </w:pPr>
      <w:r w:rsidRPr="00596D01">
        <w:t>Total liabilities of $33.7 billion</w:t>
      </w:r>
      <w:r>
        <w:t>, up from $29.8 billion. This includes $24.8 billion of accommodation deposits held by industry, up from $21.9 billion;</w:t>
      </w:r>
    </w:p>
    <w:p w:rsidR="00B7720C" w:rsidRDefault="00B7720C" w:rsidP="00B7720C">
      <w:pPr>
        <w:pStyle w:val="Boxed1Bullet"/>
      </w:pPr>
      <w:r w:rsidRPr="00596D01">
        <w:t>Net assets of $11.3 billion</w:t>
      </w:r>
      <w:r>
        <w:t>, an increase of $300 million;</w:t>
      </w:r>
    </w:p>
    <w:p w:rsidR="00B7720C" w:rsidRDefault="00B7720C" w:rsidP="00B7720C">
      <w:pPr>
        <w:pStyle w:val="Boxed1Bullet"/>
      </w:pPr>
      <w:r>
        <w:t>average return on equity was 18.3 per cent, up from 17.7 per cent; and</w:t>
      </w:r>
    </w:p>
    <w:p w:rsidR="00B7720C" w:rsidRDefault="00B7720C" w:rsidP="00B7720C">
      <w:pPr>
        <w:pStyle w:val="Boxed1Bullet"/>
      </w:pPr>
      <w:r>
        <w:t>average return on assets was 4.6 per cent, down from 4.9 per cent.</w:t>
      </w:r>
    </w:p>
    <w:p w:rsidR="00B7720C" w:rsidRPr="00596D01" w:rsidRDefault="00B7720C" w:rsidP="00B7720C">
      <w:pPr>
        <w:pStyle w:val="Boxed1Text"/>
        <w:rPr>
          <w:rStyle w:val="Strong"/>
        </w:rPr>
      </w:pPr>
      <w:r w:rsidRPr="00596D01">
        <w:rPr>
          <w:rStyle w:val="Strong"/>
        </w:rPr>
        <w:t>ACFA Notes:</w:t>
      </w:r>
    </w:p>
    <w:p w:rsidR="00B7720C" w:rsidRDefault="00B7720C" w:rsidP="00B7720C">
      <w:pPr>
        <w:pStyle w:val="Boxed1Bullet"/>
      </w:pPr>
      <w:r>
        <w:t>$2.1 billion of new construction work was completed in 2016–17, compared with $1.6 billion in 2015–16; and</w:t>
      </w:r>
    </w:p>
    <w:p w:rsidR="00B7720C" w:rsidRPr="00B56955" w:rsidRDefault="00B7720C" w:rsidP="00B7720C">
      <w:pPr>
        <w:pStyle w:val="Boxed1Bullet"/>
      </w:pPr>
      <w:r>
        <w:t>the higher accommodation supplement for new and significantly refurbished facilities that came into effect on 1 July 2014 continues to provide positive incentives for investment in the sector.</w:t>
      </w:r>
    </w:p>
    <w:p w:rsidR="00B7720C" w:rsidRDefault="00B7720C">
      <w:pPr>
        <w:suppressAutoHyphens w:val="0"/>
        <w:spacing w:before="60" w:after="0"/>
        <w:jc w:val="both"/>
      </w:pPr>
      <w:r>
        <w:br w:type="page"/>
      </w:r>
    </w:p>
    <w:p w:rsidR="00A021A8" w:rsidRPr="00596D01" w:rsidRDefault="00F651D5" w:rsidP="00B7720C">
      <w:pPr>
        <w:pStyle w:val="Heading2Numbered"/>
      </w:pPr>
      <w:bookmarkStart w:id="804" w:name="_Ref421178512"/>
      <w:bookmarkStart w:id="805" w:name="_Toc457549925"/>
      <w:bookmarkStart w:id="806" w:name="_Toc487702616"/>
      <w:bookmarkStart w:id="807" w:name="_Toc487702968"/>
      <w:bookmarkStart w:id="808" w:name="_Toc487703466"/>
      <w:bookmarkStart w:id="809" w:name="_Toc487703660"/>
      <w:bookmarkStart w:id="810" w:name="_Toc524424793"/>
      <w:bookmarkStart w:id="811" w:name="_Toc421223718"/>
      <w:r w:rsidRPr="00596D01">
        <w:lastRenderedPageBreak/>
        <w:t>C</w:t>
      </w:r>
      <w:r w:rsidR="00F667DB" w:rsidRPr="00596D01">
        <w:t xml:space="preserve">apital </w:t>
      </w:r>
      <w:bookmarkEnd w:id="804"/>
      <w:r w:rsidR="00F667DB" w:rsidRPr="00596D01">
        <w:t>financing</w:t>
      </w:r>
      <w:bookmarkEnd w:id="805"/>
      <w:bookmarkEnd w:id="806"/>
      <w:bookmarkEnd w:id="807"/>
      <w:bookmarkEnd w:id="808"/>
      <w:bookmarkEnd w:id="809"/>
      <w:bookmarkEnd w:id="810"/>
    </w:p>
    <w:p w:rsidR="002A5756" w:rsidRDefault="002A5756" w:rsidP="00B7720C">
      <w:r w:rsidRPr="0065585D">
        <w:t>Capital for residential aged care providers</w:t>
      </w:r>
      <w:r w:rsidR="0085551E">
        <w:t xml:space="preserve"> is</w:t>
      </w:r>
      <w:r w:rsidRPr="0065585D">
        <w:t xml:space="preserve"> comprise</w:t>
      </w:r>
      <w:r>
        <w:t>d of:</w:t>
      </w:r>
    </w:p>
    <w:p w:rsidR="002A5756" w:rsidRDefault="002A5756" w:rsidP="00B7720C">
      <w:pPr>
        <w:pStyle w:val="Bullet1"/>
      </w:pPr>
      <w:r w:rsidRPr="0065585D">
        <w:t>financing from equity investments</w:t>
      </w:r>
      <w:r>
        <w:t>;</w:t>
      </w:r>
      <w:r w:rsidRPr="0065585D">
        <w:t xml:space="preserve"> </w:t>
      </w:r>
    </w:p>
    <w:p w:rsidR="002A5756" w:rsidRDefault="002A5756" w:rsidP="00B7720C">
      <w:pPr>
        <w:pStyle w:val="Bullet1"/>
      </w:pPr>
      <w:r w:rsidRPr="0065585D">
        <w:t>loans from financial institutions</w:t>
      </w:r>
      <w:r>
        <w:t>;</w:t>
      </w:r>
      <w:r w:rsidRPr="0065585D">
        <w:t xml:space="preserve"> </w:t>
      </w:r>
    </w:p>
    <w:p w:rsidR="002A5756" w:rsidRDefault="002A5756" w:rsidP="00B7720C">
      <w:pPr>
        <w:pStyle w:val="Bullet1"/>
      </w:pPr>
      <w:r w:rsidRPr="0065585D">
        <w:t xml:space="preserve">interest free loans from residents in the form of lump sum </w:t>
      </w:r>
      <w:r>
        <w:t>Refundable A</w:t>
      </w:r>
      <w:r w:rsidRPr="0065585D">
        <w:t>cco</w:t>
      </w:r>
      <w:r>
        <w:t xml:space="preserve">mmodation Deposits (bonds pre </w:t>
      </w:r>
      <w:r w:rsidR="00031ADB">
        <w:t>1 July</w:t>
      </w:r>
      <w:r w:rsidR="00A261F3">
        <w:t> 201</w:t>
      </w:r>
      <w:r w:rsidR="00031ADB">
        <w:t>4</w:t>
      </w:r>
      <w:r>
        <w:t>);</w:t>
      </w:r>
    </w:p>
    <w:p w:rsidR="002A5756" w:rsidRDefault="002A5756" w:rsidP="00B7720C">
      <w:pPr>
        <w:pStyle w:val="Bullet1"/>
      </w:pPr>
      <w:r>
        <w:t xml:space="preserve">capital investment support from </w:t>
      </w:r>
      <w:r w:rsidR="0051381F">
        <w:t>Government by way of capital grants for eligible projects</w:t>
      </w:r>
      <w:r>
        <w:t xml:space="preserve">; </w:t>
      </w:r>
      <w:r w:rsidRPr="0065585D">
        <w:t xml:space="preserve">and </w:t>
      </w:r>
    </w:p>
    <w:p w:rsidR="00D8721E" w:rsidRDefault="006B34D4" w:rsidP="00B7720C">
      <w:pPr>
        <w:pStyle w:val="Bullet1"/>
      </w:pPr>
      <w:r>
        <w:t xml:space="preserve">equity investment and </w:t>
      </w:r>
      <w:r w:rsidR="002A5756" w:rsidRPr="0065585D">
        <w:t>retained earnings</w:t>
      </w:r>
      <w:r w:rsidR="00D8721E">
        <w:t>.</w:t>
      </w:r>
    </w:p>
    <w:p w:rsidR="000A36B5" w:rsidRPr="00596D01" w:rsidRDefault="000A36B5" w:rsidP="00B7720C">
      <w:pPr>
        <w:pStyle w:val="Heading3Numbered"/>
      </w:pPr>
      <w:bookmarkStart w:id="812" w:name="_Toc421223709"/>
      <w:bookmarkStart w:id="813" w:name="_Toc421881561"/>
      <w:bookmarkStart w:id="814" w:name="_Toc423017964"/>
      <w:bookmarkStart w:id="815" w:name="_Toc423447904"/>
      <w:bookmarkStart w:id="816" w:name="_Toc423602246"/>
      <w:bookmarkStart w:id="817" w:name="_Toc425243170"/>
      <w:bookmarkStart w:id="818" w:name="_Toc425696574"/>
      <w:bookmarkStart w:id="819" w:name="_Toc425778874"/>
      <w:bookmarkStart w:id="820" w:name="_Toc425861669"/>
      <w:bookmarkStart w:id="821" w:name="_Toc487702617"/>
      <w:bookmarkStart w:id="822" w:name="_Toc487702969"/>
      <w:bookmarkStart w:id="823" w:name="_Toc487703467"/>
      <w:bookmarkStart w:id="824" w:name="_Toc487703661"/>
      <w:bookmarkStart w:id="825" w:name="_Toc524424794"/>
      <w:r w:rsidRPr="00596D01">
        <w:t>Residents</w:t>
      </w:r>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p>
    <w:p w:rsidR="00A468FC" w:rsidRPr="00A468FC" w:rsidRDefault="002A5756" w:rsidP="00B7720C">
      <w:r w:rsidRPr="0065585D">
        <w:t xml:space="preserve">Lump sum accommodation payments by </w:t>
      </w:r>
      <w:r>
        <w:t>residents</w:t>
      </w:r>
      <w:r w:rsidRPr="0065585D">
        <w:t xml:space="preserve"> contribute to </w:t>
      </w:r>
      <w:r>
        <w:t xml:space="preserve">funding of </w:t>
      </w:r>
      <w:r w:rsidRPr="0065585D">
        <w:t>capita</w:t>
      </w:r>
      <w:r w:rsidR="003D1F8C">
        <w:t>l investment in residential</w:t>
      </w:r>
      <w:r w:rsidRPr="0065585D">
        <w:t xml:space="preserve"> care. Refundable Accomm</w:t>
      </w:r>
      <w:r>
        <w:t>oda</w:t>
      </w:r>
      <w:r w:rsidR="0085551E">
        <w:t>tion Deposits (RADs)</w:t>
      </w:r>
      <w:r w:rsidRPr="0065585D">
        <w:t xml:space="preserve"> act as an interest free loan to providers</w:t>
      </w:r>
      <w:r w:rsidR="001E3813">
        <w:t>,</w:t>
      </w:r>
      <w:r w:rsidRPr="0065585D">
        <w:t xml:space="preserve"> paid by residents, and play a significant role in financing the industry. At </w:t>
      </w:r>
      <w:r w:rsidR="00A261F3">
        <w:t>30 J</w:t>
      </w:r>
      <w:r w:rsidR="00ED43AB">
        <w:t>une</w:t>
      </w:r>
      <w:r w:rsidR="00A261F3">
        <w:t> 201</w:t>
      </w:r>
      <w:r w:rsidR="004208B7">
        <w:t>7</w:t>
      </w:r>
      <w:r w:rsidRPr="0065585D">
        <w:t>, a total of $</w:t>
      </w:r>
      <w:r>
        <w:t>2</w:t>
      </w:r>
      <w:r w:rsidR="004208B7">
        <w:t>4.</w:t>
      </w:r>
      <w:r w:rsidR="0002552C">
        <w:t>8</w:t>
      </w:r>
      <w:r w:rsidR="00A261F3">
        <w:t> billion</w:t>
      </w:r>
      <w:r w:rsidRPr="0065585D">
        <w:t xml:space="preserve"> of accommodation deposits (including bonds) were held by providers.</w:t>
      </w:r>
      <w:r w:rsidRPr="0065585D" w:rsidDel="00504520">
        <w:t xml:space="preserve"> </w:t>
      </w:r>
      <w:r w:rsidR="00A468FC" w:rsidRPr="00A468FC">
        <w:t>Accommodation deposits provide a source of interest income that is included in the other income reported by providers in the operating statement.</w:t>
      </w:r>
    </w:p>
    <w:p w:rsidR="006F2DBC" w:rsidRDefault="002A5756" w:rsidP="00B7720C">
      <w:r>
        <w:t>As an alternative to RADs, residents may pay Daily Accommodation Payments (DAPs) or a combination of a RAD and DAP</w:t>
      </w:r>
      <w:r w:rsidR="006F2DBC">
        <w:t xml:space="preserve"> (refer to Section </w:t>
      </w:r>
      <w:r w:rsidR="00492BF8">
        <w:fldChar w:fldCharType="begin"/>
      </w:r>
      <w:r w:rsidR="00492BF8">
        <w:instrText xml:space="preserve"> REF _Ref524427779 \r \h </w:instrText>
      </w:r>
      <w:r w:rsidR="00492BF8">
        <w:fldChar w:fldCharType="separate"/>
      </w:r>
      <w:r w:rsidR="00492BF8">
        <w:t>4.3</w:t>
      </w:r>
      <w:r w:rsidR="00492BF8">
        <w:fldChar w:fldCharType="end"/>
      </w:r>
      <w:r w:rsidR="006F2DBC">
        <w:t xml:space="preserve"> for discussion on consumer choice)</w:t>
      </w:r>
      <w:r>
        <w:t xml:space="preserve">. Prior to </w:t>
      </w:r>
      <w:r w:rsidR="00031ADB">
        <w:t>1 July</w:t>
      </w:r>
      <w:r w:rsidR="00A261F3">
        <w:t> 201</w:t>
      </w:r>
      <w:r w:rsidR="00031ADB">
        <w:t>4</w:t>
      </w:r>
      <w:r w:rsidRPr="00601152">
        <w:t xml:space="preserve"> providers were restricted from charging an accommodation bond to residents in a high care place (unless it had extra service status). With the removal of the distinction between </w:t>
      </w:r>
      <w:r>
        <w:t xml:space="preserve">high and low care places on </w:t>
      </w:r>
      <w:r w:rsidR="00031ADB">
        <w:t>1 July</w:t>
      </w:r>
      <w:r w:rsidR="00A261F3">
        <w:t> 201</w:t>
      </w:r>
      <w:r w:rsidR="00031ADB">
        <w:t>4</w:t>
      </w:r>
      <w:r w:rsidRPr="00601152">
        <w:t>, this restriction was li</w:t>
      </w:r>
      <w:r>
        <w:t>fted and providers</w:t>
      </w:r>
      <w:r w:rsidRPr="00601152">
        <w:t xml:space="preserve"> </w:t>
      </w:r>
      <w:r w:rsidR="00B20AFA">
        <w:t xml:space="preserve">can </w:t>
      </w:r>
      <w:r w:rsidRPr="00601152">
        <w:t>accept lump sum refundab</w:t>
      </w:r>
      <w:r>
        <w:t>le deposits from all residents</w:t>
      </w:r>
      <w:r w:rsidR="006F2DBC">
        <w:t xml:space="preserve"> </w:t>
      </w:r>
      <w:r w:rsidR="002B5CDF">
        <w:t xml:space="preserve">except </w:t>
      </w:r>
      <w:r w:rsidR="006F2DBC" w:rsidRPr="002B5CDF">
        <w:t>fully supported</w:t>
      </w:r>
      <w:r w:rsidR="002B5CDF" w:rsidRPr="002B5CDF">
        <w:t xml:space="preserve"> residents</w:t>
      </w:r>
      <w:r>
        <w:t>.</w:t>
      </w:r>
    </w:p>
    <w:p w:rsidR="00D8721E" w:rsidRDefault="006F2DBC" w:rsidP="00B7720C">
      <w:r w:rsidRPr="002B5CDF">
        <w:t>Partially supported residents contribute towards accommodation as a Refundable Accommodation Contribution (RAC) or Daily Accommodation Contribution (DAC). In this chapter, references to RADs also include RACs and references to DAPs include DACs</w:t>
      </w:r>
      <w:r w:rsidR="00D8721E">
        <w:t>.</w:t>
      </w:r>
    </w:p>
    <w:p w:rsidR="00F667DB" w:rsidRPr="00596D01" w:rsidRDefault="000A36B5" w:rsidP="00B7720C">
      <w:pPr>
        <w:pStyle w:val="Heading3Numbered"/>
      </w:pPr>
      <w:bookmarkStart w:id="826" w:name="_Ref421190314"/>
      <w:bookmarkStart w:id="827" w:name="_Toc421223708"/>
      <w:bookmarkStart w:id="828" w:name="_Toc421881560"/>
      <w:bookmarkStart w:id="829" w:name="_Toc423017963"/>
      <w:bookmarkStart w:id="830" w:name="_Toc423447903"/>
      <w:bookmarkStart w:id="831" w:name="_Toc423602245"/>
      <w:bookmarkStart w:id="832" w:name="_Toc425243169"/>
      <w:bookmarkStart w:id="833" w:name="_Toc425696573"/>
      <w:bookmarkStart w:id="834" w:name="_Toc425778873"/>
      <w:bookmarkStart w:id="835" w:name="_Toc425861668"/>
      <w:bookmarkStart w:id="836" w:name="_Toc487702618"/>
      <w:bookmarkStart w:id="837" w:name="_Toc487702970"/>
      <w:bookmarkStart w:id="838" w:name="_Toc487703468"/>
      <w:bookmarkStart w:id="839" w:name="_Toc487703662"/>
      <w:bookmarkStart w:id="840" w:name="_Toc524424795"/>
      <w:r w:rsidRPr="00596D01">
        <w:t xml:space="preserve">Australian </w:t>
      </w:r>
      <w:r w:rsidR="00F667DB" w:rsidRPr="00596D01">
        <w:t>Government</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rsidR="004208B7" w:rsidRDefault="002A5756" w:rsidP="00B7720C">
      <w:bookmarkStart w:id="841" w:name="_Toc421223710"/>
      <w:bookmarkStart w:id="842" w:name="_Toc421881562"/>
      <w:bookmarkStart w:id="843" w:name="_Toc423017965"/>
      <w:bookmarkStart w:id="844" w:name="_Toc423447905"/>
      <w:bookmarkStart w:id="845" w:name="_Toc423602247"/>
      <w:bookmarkStart w:id="846" w:name="_Toc425243171"/>
      <w:bookmarkStart w:id="847" w:name="_Toc425696575"/>
      <w:bookmarkStart w:id="848" w:name="_Toc425778875"/>
      <w:bookmarkStart w:id="849" w:name="_Toc425861670"/>
      <w:r w:rsidRPr="00930E7B">
        <w:t xml:space="preserve">The Australian Government makes capital grants available for services that target communities and geographic areas where there may be insufficient access to capital from other sources. </w:t>
      </w:r>
      <w:r w:rsidR="004208B7">
        <w:t>The</w:t>
      </w:r>
      <w:r w:rsidR="00A261F3">
        <w:t> 201</w:t>
      </w:r>
      <w:r w:rsidR="004208B7">
        <w:t>8</w:t>
      </w:r>
      <w:r w:rsidR="00D8721E">
        <w:t>–1</w:t>
      </w:r>
      <w:r w:rsidR="004208B7">
        <w:t xml:space="preserve">9 ACAR is making </w:t>
      </w:r>
      <w:r w:rsidR="004208B7" w:rsidRPr="004208B7">
        <w:t>$6</w:t>
      </w:r>
      <w:r w:rsidR="00AB6911">
        <w:t>0</w:t>
      </w:r>
      <w:r w:rsidR="00A261F3">
        <w:t> million</w:t>
      </w:r>
      <w:r w:rsidR="004208B7" w:rsidRPr="004208B7">
        <w:t xml:space="preserve"> in capital grants available to successful approved providers, following a competitive application process.</w:t>
      </w:r>
    </w:p>
    <w:p w:rsidR="00D8721E" w:rsidRDefault="009E7AE5" w:rsidP="00B7720C">
      <w:r>
        <w:t xml:space="preserve">Data from the </w:t>
      </w:r>
      <w:r w:rsidR="00332C34" w:rsidRPr="00332C34">
        <w:t>Department shows that of the $6</w:t>
      </w:r>
      <w:r w:rsidR="00AB6911">
        <w:t>4</w:t>
      </w:r>
      <w:r w:rsidR="00A261F3">
        <w:t> million</w:t>
      </w:r>
      <w:r w:rsidR="00332C34" w:rsidRPr="00332C34">
        <w:t xml:space="preserve"> in grant funding allocated through the</w:t>
      </w:r>
      <w:r w:rsidR="00A261F3">
        <w:t> 201</w:t>
      </w:r>
      <w:r w:rsidR="00332C34" w:rsidRPr="00332C34">
        <w:t>6</w:t>
      </w:r>
      <w:r w:rsidR="00D8721E">
        <w:t>–1</w:t>
      </w:r>
      <w:r w:rsidR="00332C34" w:rsidRPr="00332C34">
        <w:t>7 ACAR, 90</w:t>
      </w:r>
      <w:r w:rsidR="00A261F3">
        <w:t> per cent</w:t>
      </w:r>
      <w:r w:rsidR="00332C34" w:rsidRPr="00332C34">
        <w:t xml:space="preserve"> was allocated to approved providers servicing rural and remote Australia</w:t>
      </w:r>
      <w:r w:rsidR="00E506F1">
        <w:t>. T</w:t>
      </w:r>
      <w:r w:rsidR="00332C34" w:rsidRPr="00332C34">
        <w:t>he remaining 10</w:t>
      </w:r>
      <w:r w:rsidR="00A261F3">
        <w:t> per cent</w:t>
      </w:r>
      <w:r w:rsidR="00332C34" w:rsidRPr="00332C34">
        <w:t xml:space="preserve"> was allocated to providers in metropolitan areas with a focus on homelessness and culturally and linguistically diverse (CALD) backgrounds. A total of $41</w:t>
      </w:r>
      <w:r w:rsidR="00AB6911">
        <w:t>5</w:t>
      </w:r>
      <w:r w:rsidR="00A261F3">
        <w:t> million</w:t>
      </w:r>
      <w:r w:rsidR="00332C34" w:rsidRPr="00332C34">
        <w:t xml:space="preserve"> was sought by providers for capital grant projects in the</w:t>
      </w:r>
      <w:r w:rsidR="00A261F3">
        <w:t> 201</w:t>
      </w:r>
      <w:r w:rsidR="00332C34" w:rsidRPr="00332C34">
        <w:t>6</w:t>
      </w:r>
      <w:r w:rsidR="00D8721E">
        <w:t>–1</w:t>
      </w:r>
      <w:r w:rsidR="00332C34" w:rsidRPr="00332C34">
        <w:t>7 ACAR</w:t>
      </w:r>
      <w:r w:rsidR="00D8721E">
        <w:t>.</w:t>
      </w:r>
    </w:p>
    <w:p w:rsidR="00D8721E" w:rsidRDefault="00204C17" w:rsidP="00B7720C">
      <w:r w:rsidRPr="00930E7B">
        <w:t xml:space="preserve">Additionally, the higher accommodation supplement, payable where a </w:t>
      </w:r>
      <w:r w:rsidR="007A0915">
        <w:t>facility</w:t>
      </w:r>
      <w:r w:rsidRPr="00930E7B">
        <w:t xml:space="preserve"> has been built or significantly</w:t>
      </w:r>
      <w:r w:rsidR="006B34D4" w:rsidRPr="00930E7B">
        <w:t xml:space="preserve"> refurbished</w:t>
      </w:r>
      <w:r w:rsidR="00FB7B83" w:rsidRPr="00930E7B">
        <w:t xml:space="preserve"> since 1 April</w:t>
      </w:r>
      <w:r w:rsidR="00A261F3">
        <w:t> 201</w:t>
      </w:r>
      <w:r w:rsidRPr="00930E7B">
        <w:t>2</w:t>
      </w:r>
      <w:r w:rsidR="00222F76" w:rsidRPr="00930E7B">
        <w:t>,</w:t>
      </w:r>
      <w:r w:rsidRPr="00930E7B">
        <w:t xml:space="preserve"> is encouraging investment in residential care. Although not strictly a form of capital for providers</w:t>
      </w:r>
      <w:r w:rsidR="00EB6789" w:rsidRPr="00930E7B">
        <w:t>,</w:t>
      </w:r>
      <w:r w:rsidRPr="00930E7B">
        <w:t xml:space="preserve"> it provides an increased rate of return on the capital invested.</w:t>
      </w:r>
    </w:p>
    <w:p w:rsidR="00F667DB" w:rsidRPr="00596D01" w:rsidRDefault="00F667DB" w:rsidP="00B7720C">
      <w:pPr>
        <w:pStyle w:val="Heading3Numbered"/>
      </w:pPr>
      <w:bookmarkStart w:id="850" w:name="_Toc487702619"/>
      <w:bookmarkStart w:id="851" w:name="_Toc487702971"/>
      <w:bookmarkStart w:id="852" w:name="_Toc487703469"/>
      <w:bookmarkStart w:id="853" w:name="_Toc487703663"/>
      <w:bookmarkStart w:id="854" w:name="_Toc524424796"/>
      <w:r w:rsidRPr="00596D01">
        <w:t>Other</w:t>
      </w:r>
      <w:bookmarkEnd w:id="841"/>
      <w:r w:rsidRPr="00596D01">
        <w:t xml:space="preserve"> sources of capital </w:t>
      </w:r>
      <w:bookmarkEnd w:id="842"/>
      <w:bookmarkEnd w:id="843"/>
      <w:bookmarkEnd w:id="844"/>
      <w:bookmarkEnd w:id="845"/>
      <w:r w:rsidRPr="00596D01">
        <w:t>finance</w:t>
      </w:r>
      <w:bookmarkEnd w:id="846"/>
      <w:bookmarkEnd w:id="847"/>
      <w:bookmarkEnd w:id="848"/>
      <w:bookmarkEnd w:id="849"/>
      <w:bookmarkEnd w:id="850"/>
      <w:bookmarkEnd w:id="851"/>
      <w:bookmarkEnd w:id="852"/>
      <w:bookmarkEnd w:id="853"/>
      <w:bookmarkEnd w:id="854"/>
    </w:p>
    <w:p w:rsidR="00D8721E" w:rsidRDefault="002A5756" w:rsidP="00B7720C">
      <w:bookmarkStart w:id="855" w:name="_Ref453183058"/>
      <w:bookmarkStart w:id="856" w:name="_Toc457549926"/>
      <w:r>
        <w:t>Re</w:t>
      </w:r>
      <w:r w:rsidR="003D1F8C">
        <w:t xml:space="preserve">sidential </w:t>
      </w:r>
      <w:r w:rsidRPr="0065585D">
        <w:t>care providers also obtain capital finance from investors, financial institution loans and donations. ACFA does not have data across the sect</w:t>
      </w:r>
      <w:r>
        <w:t>or on debt and equity financing, other than that reported in the aggregated balance sheets, which are discussed in this chapter</w:t>
      </w:r>
      <w:r w:rsidR="00D8721E">
        <w:t>.</w:t>
      </w:r>
    </w:p>
    <w:p w:rsidR="00F667DB" w:rsidRPr="00596D01" w:rsidRDefault="00F667DB" w:rsidP="00B7720C">
      <w:pPr>
        <w:pStyle w:val="Heading2Numbered"/>
      </w:pPr>
      <w:bookmarkStart w:id="857" w:name="_Toc487702620"/>
      <w:bookmarkStart w:id="858" w:name="_Toc487702972"/>
      <w:bookmarkStart w:id="859" w:name="_Toc487703470"/>
      <w:bookmarkStart w:id="860" w:name="_Toc487703664"/>
      <w:bookmarkStart w:id="861" w:name="_Toc524424797"/>
      <w:r w:rsidRPr="00596D01">
        <w:t>Accommodation</w:t>
      </w:r>
      <w:r w:rsidR="00051116" w:rsidRPr="00596D01">
        <w:t xml:space="preserve"> </w:t>
      </w:r>
      <w:r w:rsidR="00782651" w:rsidRPr="00596D01">
        <w:t>deposits</w:t>
      </w:r>
      <w:bookmarkEnd w:id="855"/>
      <w:bookmarkEnd w:id="856"/>
      <w:bookmarkEnd w:id="857"/>
      <w:bookmarkEnd w:id="858"/>
      <w:bookmarkEnd w:id="859"/>
      <w:bookmarkEnd w:id="860"/>
      <w:bookmarkEnd w:id="861"/>
    </w:p>
    <w:p w:rsidR="00D8721E" w:rsidRDefault="009E56B0" w:rsidP="00B7720C">
      <w:r w:rsidRPr="004764A9">
        <w:t xml:space="preserve">At </w:t>
      </w:r>
      <w:r w:rsidR="00A261F3">
        <w:t>30 J</w:t>
      </w:r>
      <w:r w:rsidRPr="004764A9">
        <w:t>une</w:t>
      </w:r>
      <w:r w:rsidR="00A261F3">
        <w:t> 201</w:t>
      </w:r>
      <w:r w:rsidRPr="004764A9">
        <w:t xml:space="preserve">7, refundable accommodation deposits (including bonds) </w:t>
      </w:r>
      <w:r w:rsidR="004764A9" w:rsidRPr="004764A9">
        <w:t xml:space="preserve">of those providers who submitted their ACFRs, totalled </w:t>
      </w:r>
      <w:r w:rsidRPr="004764A9">
        <w:t>$24.7</w:t>
      </w:r>
      <w:r w:rsidR="00A261F3">
        <w:t> billion</w:t>
      </w:r>
      <w:r w:rsidR="004764A9" w:rsidRPr="004764A9">
        <w:t xml:space="preserve"> and</w:t>
      </w:r>
      <w:r w:rsidRPr="004764A9">
        <w:t xml:space="preserve"> comprised 55</w:t>
      </w:r>
      <w:r w:rsidR="00A261F3">
        <w:t> per cent</w:t>
      </w:r>
      <w:r w:rsidRPr="004764A9">
        <w:t xml:space="preserve"> of total assets of $45.</w:t>
      </w:r>
      <w:r w:rsidR="0056555D">
        <w:t>0</w:t>
      </w:r>
      <w:r w:rsidR="00A261F3">
        <w:t> billion</w:t>
      </w:r>
      <w:r w:rsidRPr="004764A9">
        <w:t xml:space="preserve"> and 73</w:t>
      </w:r>
      <w:r w:rsidR="00A261F3">
        <w:t> per cent</w:t>
      </w:r>
      <w:r w:rsidRPr="004764A9">
        <w:t xml:space="preserve"> of liabilities ($33.7</w:t>
      </w:r>
      <w:r w:rsidR="00A261F3">
        <w:t> billion</w:t>
      </w:r>
      <w:r w:rsidRPr="004764A9">
        <w:t>) for the aged care industry</w:t>
      </w:r>
      <w:r w:rsidR="00D8721E">
        <w:t>.</w:t>
      </w:r>
    </w:p>
    <w:p w:rsidR="00D8721E" w:rsidRDefault="00695874" w:rsidP="00B7720C">
      <w:bookmarkStart w:id="862" w:name="_Ref452499799"/>
      <w:r>
        <w:lastRenderedPageBreak/>
        <w:t xml:space="preserve">At </w:t>
      </w:r>
      <w:r w:rsidR="00A261F3">
        <w:t>30 J</w:t>
      </w:r>
      <w:r w:rsidR="00ED43AB">
        <w:t>une</w:t>
      </w:r>
      <w:r w:rsidR="00A261F3">
        <w:t> 201</w:t>
      </w:r>
      <w:r>
        <w:t xml:space="preserve">7, there were </w:t>
      </w:r>
      <w:r w:rsidR="002A14F9">
        <w:t>87,160</w:t>
      </w:r>
      <w:r>
        <w:t xml:space="preserve"> refundable accommodation deposits (including bonds)</w:t>
      </w:r>
      <w:r w:rsidR="008F69ED">
        <w:t xml:space="preserve"> held by providers</w:t>
      </w:r>
      <w:r>
        <w:t xml:space="preserve"> (82,006 in</w:t>
      </w:r>
      <w:r w:rsidR="00A261F3">
        <w:t> 201</w:t>
      </w:r>
      <w:r>
        <w:t>5</w:t>
      </w:r>
      <w:r w:rsidR="00D8721E">
        <w:t>–1</w:t>
      </w:r>
      <w:r>
        <w:t>6), with an average value of $28</w:t>
      </w:r>
      <w:r w:rsidR="009E7AE5">
        <w:t>3</w:t>
      </w:r>
      <w:r w:rsidR="002A14F9">
        <w:t>,499</w:t>
      </w:r>
      <w:r>
        <w:t xml:space="preserve"> ($26</w:t>
      </w:r>
      <w:r w:rsidR="00B23CD3">
        <w:t>7,000</w:t>
      </w:r>
      <w:r>
        <w:t xml:space="preserve"> in</w:t>
      </w:r>
      <w:r w:rsidR="00A261F3">
        <w:t> 201</w:t>
      </w:r>
      <w:r>
        <w:t>5</w:t>
      </w:r>
      <w:r w:rsidR="00D8721E">
        <w:t>–1</w:t>
      </w:r>
      <w:r>
        <w:t>6)</w:t>
      </w:r>
      <w:r w:rsidR="00D8721E">
        <w:t>.</w:t>
      </w:r>
    </w:p>
    <w:p w:rsidR="00C910D4" w:rsidRPr="00596D01" w:rsidRDefault="00C910D4" w:rsidP="00B7720C">
      <w:pPr>
        <w:pStyle w:val="Heading3Numbered"/>
      </w:pPr>
      <w:bookmarkStart w:id="863" w:name="_Toc487702621"/>
      <w:bookmarkStart w:id="864" w:name="_Toc487702973"/>
      <w:bookmarkStart w:id="865" w:name="_Toc487703471"/>
      <w:bookmarkStart w:id="866" w:name="_Toc487703665"/>
      <w:bookmarkStart w:id="867" w:name="_Toc524424798"/>
      <w:bookmarkEnd w:id="862"/>
      <w:r w:rsidRPr="00596D01">
        <w:t xml:space="preserve">Accommodation </w:t>
      </w:r>
      <w:r w:rsidR="00637E84" w:rsidRPr="00596D01">
        <w:t>deposit</w:t>
      </w:r>
      <w:r w:rsidR="00F850B5" w:rsidRPr="00596D01">
        <w:t xml:space="preserve"> </w:t>
      </w:r>
      <w:r w:rsidR="00894268" w:rsidRPr="00596D01">
        <w:t>prices</w:t>
      </w:r>
      <w:bookmarkEnd w:id="863"/>
      <w:bookmarkEnd w:id="864"/>
      <w:bookmarkEnd w:id="865"/>
      <w:bookmarkEnd w:id="866"/>
      <w:bookmarkEnd w:id="867"/>
    </w:p>
    <w:p w:rsidR="00D8721E" w:rsidRDefault="00B62A05" w:rsidP="00B7720C">
      <w:r>
        <w:t>Up u</w:t>
      </w:r>
      <w:r w:rsidR="002A5756">
        <w:t>ntil and including the</w:t>
      </w:r>
      <w:r w:rsidR="00A261F3">
        <w:t> 201</w:t>
      </w:r>
      <w:r w:rsidR="002A5756">
        <w:t xml:space="preserve">5 ACFA report, </w:t>
      </w:r>
      <w:r w:rsidR="009506ED">
        <w:t>which reported</w:t>
      </w:r>
      <w:r w:rsidR="00DC7EC9">
        <w:t xml:space="preserve"> on the</w:t>
      </w:r>
      <w:r w:rsidR="00A261F3">
        <w:t> 201</w:t>
      </w:r>
      <w:r w:rsidR="00DC7EC9">
        <w:t>3</w:t>
      </w:r>
      <w:r w:rsidR="00D8721E">
        <w:t>–1</w:t>
      </w:r>
      <w:r w:rsidR="00DC7EC9">
        <w:t xml:space="preserve">4 financial year, </w:t>
      </w:r>
      <w:r w:rsidR="002A5756">
        <w:t xml:space="preserve">ACFA reported the </w:t>
      </w:r>
      <w:r w:rsidR="002A5756" w:rsidRPr="00A834D2">
        <w:t>average price of new accommodation bonds</w:t>
      </w:r>
      <w:r w:rsidR="00D8721E">
        <w:t>.</w:t>
      </w:r>
    </w:p>
    <w:p w:rsidR="002A5756" w:rsidRDefault="002A5756" w:rsidP="00B7720C">
      <w:r>
        <w:t xml:space="preserve">As of </w:t>
      </w:r>
      <w:r w:rsidR="00031ADB">
        <w:t>1 July</w:t>
      </w:r>
      <w:r w:rsidR="00A261F3">
        <w:t> 201</w:t>
      </w:r>
      <w:r w:rsidR="00031ADB">
        <w:t>4</w:t>
      </w:r>
      <w:r>
        <w:t>, new accommodation pricing arrangements came into effect. These changes included the following:</w:t>
      </w:r>
    </w:p>
    <w:p w:rsidR="002A5756" w:rsidRDefault="002A5756" w:rsidP="00B7720C">
      <w:pPr>
        <w:pStyle w:val="Bullet1"/>
      </w:pPr>
      <w:r>
        <w:t xml:space="preserve">Lump sum accommodation payments </w:t>
      </w:r>
      <w:r w:rsidR="00B62A05">
        <w:t xml:space="preserve">became </w:t>
      </w:r>
      <w:r>
        <w:t>known as Refundable Accommodation Deposits (RADs);</w:t>
      </w:r>
    </w:p>
    <w:p w:rsidR="002A5756" w:rsidRDefault="002A5756" w:rsidP="00B7720C">
      <w:pPr>
        <w:pStyle w:val="Bullet1"/>
      </w:pPr>
      <w:r>
        <w:t xml:space="preserve">Providers </w:t>
      </w:r>
      <w:r w:rsidR="002C2C80">
        <w:t xml:space="preserve">being able to </w:t>
      </w:r>
      <w:r>
        <w:t xml:space="preserve">charge a </w:t>
      </w:r>
      <w:r w:rsidRPr="00A834D2">
        <w:rPr>
          <w:lang w:eastAsia="en-US"/>
        </w:rPr>
        <w:t>RAD to any eligible resident whereas they had previously only been able to charge a bond to a low care resident, or a high care resident who had opted for extra services</w:t>
      </w:r>
      <w:r w:rsidR="00B62A05">
        <w:rPr>
          <w:lang w:eastAsia="en-US"/>
        </w:rPr>
        <w:t xml:space="preserve">. However </w:t>
      </w:r>
      <w:r w:rsidRPr="00A834D2">
        <w:rPr>
          <w:lang w:eastAsia="en-US"/>
        </w:rPr>
        <w:t>providers can no longer deduct a retention amount from the RAD;</w:t>
      </w:r>
      <w:r>
        <w:rPr>
          <w:color w:val="auto"/>
        </w:rPr>
        <w:t xml:space="preserve"> </w:t>
      </w:r>
    </w:p>
    <w:p w:rsidR="002A5756" w:rsidRPr="00A834D2" w:rsidRDefault="00E506F1" w:rsidP="00B7720C">
      <w:pPr>
        <w:pStyle w:val="Bullet1"/>
        <w:rPr>
          <w:lang w:eastAsia="en-US"/>
        </w:rPr>
      </w:pPr>
      <w:r>
        <w:rPr>
          <w:lang w:eastAsia="en-US"/>
        </w:rPr>
        <w:t>Residents can</w:t>
      </w:r>
      <w:r w:rsidR="002A5756" w:rsidRPr="00A834D2">
        <w:rPr>
          <w:lang w:eastAsia="en-US"/>
        </w:rPr>
        <w:t>, at their discretion, choose to pay a RAD, a Daily Accommodation Payment (DAP) or any combination of RAD and DAP; and</w:t>
      </w:r>
    </w:p>
    <w:p w:rsidR="002A5756" w:rsidRPr="00A834D2" w:rsidRDefault="002A5756" w:rsidP="00B7720C">
      <w:pPr>
        <w:pStyle w:val="Bullet1"/>
        <w:rPr>
          <w:lang w:eastAsia="en-US"/>
        </w:rPr>
      </w:pPr>
      <w:r w:rsidRPr="00A834D2">
        <w:rPr>
          <w:lang w:eastAsia="en-US"/>
        </w:rPr>
        <w:t xml:space="preserve">Providers </w:t>
      </w:r>
      <w:r w:rsidR="00E506F1">
        <w:rPr>
          <w:lang w:eastAsia="en-US"/>
        </w:rPr>
        <w:t>being</w:t>
      </w:r>
      <w:r w:rsidRPr="00A834D2">
        <w:rPr>
          <w:lang w:eastAsia="en-US"/>
        </w:rPr>
        <w:t xml:space="preserve"> required to publish the maximum price for their rooms, or part of a room, in their aged care </w:t>
      </w:r>
      <w:r w:rsidR="00B62A05">
        <w:rPr>
          <w:lang w:eastAsia="en-US"/>
        </w:rPr>
        <w:t>facilities</w:t>
      </w:r>
      <w:r w:rsidRPr="00A834D2">
        <w:rPr>
          <w:lang w:eastAsia="en-US"/>
        </w:rPr>
        <w:t>. Residents may negotiate a lower price (known as the agreed price) but cannot be asked to pay more than the published price.</w:t>
      </w:r>
    </w:p>
    <w:p w:rsidR="000825CA" w:rsidRDefault="000825CA" w:rsidP="00B7720C">
      <w:r w:rsidRPr="000825CA">
        <w:t>A</w:t>
      </w:r>
      <w:r w:rsidR="00AF6442">
        <w:t>CFA</w:t>
      </w:r>
      <w:r w:rsidRPr="000825CA">
        <w:t xml:space="preserve"> </w:t>
      </w:r>
      <w:r w:rsidR="002C2C80">
        <w:t xml:space="preserve">previously </w:t>
      </w:r>
      <w:r w:rsidRPr="000825CA">
        <w:t>noted that while average accommodation bond prices prior to the 1 July</w:t>
      </w:r>
      <w:r w:rsidR="00A261F3">
        <w:t> 201</w:t>
      </w:r>
      <w:r w:rsidRPr="000825CA">
        <w:t>4 changes are not directly comparable with the value of RADs following</w:t>
      </w:r>
      <w:r w:rsidR="00AF6442">
        <w:t xml:space="preserve"> the</w:t>
      </w:r>
      <w:r w:rsidR="00BC3887">
        <w:t>se</w:t>
      </w:r>
      <w:r w:rsidR="00AF6442">
        <w:t xml:space="preserve"> changes</w:t>
      </w:r>
      <w:r w:rsidRPr="000825CA">
        <w:t>, they can be compared, having regard to the differences noted above, with average and agreed prices following 1 July</w:t>
      </w:r>
      <w:r w:rsidR="00A261F3">
        <w:t> 201</w:t>
      </w:r>
      <w:r w:rsidRPr="000825CA">
        <w:t>4. It should be remembered th</w:t>
      </w:r>
      <w:r w:rsidR="00D85563">
        <w:t xml:space="preserve">at the </w:t>
      </w:r>
      <w:r w:rsidRPr="000825CA">
        <w:t>agreed prices can be a RAD, DAP or combination of the two, which is why there can be no direct comparison with bond prices prior to 1 July</w:t>
      </w:r>
      <w:r w:rsidR="00A261F3">
        <w:t> 201</w:t>
      </w:r>
      <w:r w:rsidRPr="000825CA">
        <w:t>4.</w:t>
      </w:r>
    </w:p>
    <w:p w:rsidR="00D8721E" w:rsidRDefault="00492BF8" w:rsidP="00B7720C">
      <w:r>
        <w:fldChar w:fldCharType="begin"/>
      </w:r>
      <w:r>
        <w:instrText xml:space="preserve"> REF _Ref524428700 \r \h </w:instrText>
      </w:r>
      <w:r>
        <w:fldChar w:fldCharType="separate"/>
      </w:r>
      <w:r>
        <w:t>Charts 10.1</w:t>
      </w:r>
      <w:r>
        <w:fldChar w:fldCharType="end"/>
      </w:r>
      <w:r>
        <w:t xml:space="preserve"> </w:t>
      </w:r>
      <w:r w:rsidR="00B20AFA">
        <w:t xml:space="preserve">and </w:t>
      </w:r>
      <w:r>
        <w:fldChar w:fldCharType="begin"/>
      </w:r>
      <w:r>
        <w:instrText xml:space="preserve"> REF _Ref524428707 \r \h </w:instrText>
      </w:r>
      <w:r>
        <w:fldChar w:fldCharType="separate"/>
      </w:r>
      <w:r>
        <w:t>10.2</w:t>
      </w:r>
      <w:r>
        <w:fldChar w:fldCharType="end"/>
      </w:r>
      <w:r w:rsidR="002A5756" w:rsidRPr="00A834D2">
        <w:t xml:space="preserve"> show the </w:t>
      </w:r>
      <w:r w:rsidR="00AF6442">
        <w:t xml:space="preserve">average </w:t>
      </w:r>
      <w:r w:rsidR="002A5756" w:rsidRPr="00A834D2">
        <w:t xml:space="preserve">agreed prices since </w:t>
      </w:r>
      <w:r w:rsidR="00031ADB">
        <w:t>1 July</w:t>
      </w:r>
      <w:r w:rsidR="00A261F3">
        <w:t> 201</w:t>
      </w:r>
      <w:r w:rsidR="00031ADB">
        <w:t>4</w:t>
      </w:r>
      <w:r w:rsidR="002A5756" w:rsidRPr="00A834D2">
        <w:t xml:space="preserve"> and the average new bond prices </w:t>
      </w:r>
      <w:r w:rsidR="002F3CDE">
        <w:t>for the five</w:t>
      </w:r>
      <w:r w:rsidR="002C2C80">
        <w:t xml:space="preserve"> years prior </w:t>
      </w:r>
      <w:r w:rsidR="002A5756" w:rsidRPr="00A834D2">
        <w:t xml:space="preserve">to </w:t>
      </w:r>
      <w:r w:rsidR="00031ADB">
        <w:t>1 July</w:t>
      </w:r>
      <w:r w:rsidR="00A261F3">
        <w:t> 201</w:t>
      </w:r>
      <w:r w:rsidR="00031ADB">
        <w:t>4</w:t>
      </w:r>
      <w:r w:rsidR="00B23CD3">
        <w:t xml:space="preserve">, presented by </w:t>
      </w:r>
      <w:r w:rsidR="00E032B1">
        <w:t xml:space="preserve">provider </w:t>
      </w:r>
      <w:r w:rsidR="00B23CD3">
        <w:t>ownership type and location</w:t>
      </w:r>
      <w:r w:rsidR="00D8721E">
        <w:t>.</w:t>
      </w:r>
    </w:p>
    <w:p w:rsidR="00871233" w:rsidRDefault="009660C5" w:rsidP="00B7720C">
      <w:r>
        <w:t>For-profit providers recorded the greatest increase in new agreed prices with an average of $402,000 compared with $362,000 in</w:t>
      </w:r>
      <w:r w:rsidR="00A261F3">
        <w:t> 201</w:t>
      </w:r>
      <w:r>
        <w:t>5</w:t>
      </w:r>
      <w:r w:rsidR="00D8721E">
        <w:t>–1</w:t>
      </w:r>
      <w:r>
        <w:t>6, an increase of 1</w:t>
      </w:r>
      <w:r w:rsidR="00341DAB">
        <w:t>1</w:t>
      </w:r>
      <w:r w:rsidR="00A261F3">
        <w:t> per cent</w:t>
      </w:r>
      <w:r>
        <w:t xml:space="preserve">. This follows a </w:t>
      </w:r>
      <w:r w:rsidR="008F69ED">
        <w:t>9</w:t>
      </w:r>
      <w:r w:rsidR="00A261F3">
        <w:t> per cent</w:t>
      </w:r>
      <w:r>
        <w:t xml:space="preserve"> rise in</w:t>
      </w:r>
      <w:r w:rsidR="00A261F3">
        <w:t> 201</w:t>
      </w:r>
      <w:r>
        <w:t>5</w:t>
      </w:r>
      <w:r w:rsidR="00D8721E">
        <w:t>–1</w:t>
      </w:r>
      <w:r>
        <w:t>6</w:t>
      </w:r>
      <w:r w:rsidR="004F2BB3">
        <w:t xml:space="preserve"> compared with</w:t>
      </w:r>
      <w:r w:rsidR="00A261F3">
        <w:t> 201</w:t>
      </w:r>
      <w:r w:rsidR="004F2BB3">
        <w:t>4</w:t>
      </w:r>
      <w:r w:rsidR="00D8721E">
        <w:t>–1</w:t>
      </w:r>
      <w:r w:rsidR="004F2BB3">
        <w:t>5. The not</w:t>
      </w:r>
      <w:r w:rsidR="004F2BB3">
        <w:noBreakHyphen/>
      </w:r>
      <w:r>
        <w:t>for</w:t>
      </w:r>
      <w:r w:rsidR="004F2BB3">
        <w:noBreakHyphen/>
      </w:r>
      <w:r>
        <w:t>profit providers recorded an average new agreed price in</w:t>
      </w:r>
      <w:r w:rsidR="00A261F3">
        <w:t> 201</w:t>
      </w:r>
      <w:r>
        <w:t>6</w:t>
      </w:r>
      <w:r w:rsidR="00D8721E">
        <w:t>–1</w:t>
      </w:r>
      <w:r>
        <w:t xml:space="preserve">7 of $373,000, </w:t>
      </w:r>
      <w:r w:rsidR="008F69ED">
        <w:t>6</w:t>
      </w:r>
      <w:r w:rsidR="00A261F3">
        <w:t> per cent</w:t>
      </w:r>
      <w:r>
        <w:t xml:space="preserve"> higher tha</w:t>
      </w:r>
      <w:r w:rsidR="002F3CDE">
        <w:t>n</w:t>
      </w:r>
      <w:r w:rsidR="00A261F3">
        <w:t> 201</w:t>
      </w:r>
      <w:r>
        <w:t>5</w:t>
      </w:r>
      <w:r w:rsidR="00D8721E">
        <w:t>–1</w:t>
      </w:r>
      <w:r>
        <w:t xml:space="preserve">6. Government providers’ agreed new price has remained almost the same over the last </w:t>
      </w:r>
      <w:r w:rsidR="008F69ED">
        <w:t>three</w:t>
      </w:r>
      <w:r>
        <w:t xml:space="preserve"> years. ACFA notes that in</w:t>
      </w:r>
      <w:r w:rsidR="00A261F3">
        <w:t> 201</w:t>
      </w:r>
      <w:r>
        <w:t>4</w:t>
      </w:r>
      <w:r w:rsidR="00D8721E">
        <w:t>–1</w:t>
      </w:r>
      <w:r>
        <w:t>5, the first year following the reforms, not</w:t>
      </w:r>
      <w:r>
        <w:noBreakHyphen/>
        <w:t>for</w:t>
      </w:r>
      <w:r>
        <w:noBreakHyphen/>
        <w:t>profit providers had a slightly higher average new agreed price than the for</w:t>
      </w:r>
      <w:r>
        <w:noBreakHyphen/>
        <w:t>profits. However</w:t>
      </w:r>
      <w:r w:rsidR="00E506F1">
        <w:t>,</w:t>
      </w:r>
      <w:r>
        <w:t xml:space="preserve"> since then the for</w:t>
      </w:r>
      <w:r>
        <w:noBreakHyphen/>
        <w:t>profits</w:t>
      </w:r>
      <w:r w:rsidR="008F69ED">
        <w:t>’</w:t>
      </w:r>
      <w:r>
        <w:t xml:space="preserve"> price has increased when compared with not</w:t>
      </w:r>
      <w:r>
        <w:noBreakHyphen/>
        <w:t>for</w:t>
      </w:r>
      <w:r>
        <w:noBreakHyphen/>
        <w:t>profit providers.</w:t>
      </w:r>
      <w:r w:rsidR="00B15CCD">
        <w:t xml:space="preserve"> </w:t>
      </w:r>
      <w:r w:rsidR="00B15CCD" w:rsidRPr="00B15CCD">
        <w:t>As noted in Chapter 8, the not</w:t>
      </w:r>
      <w:r w:rsidR="00B15CCD">
        <w:noBreakHyphen/>
      </w:r>
      <w:r w:rsidR="00B15CCD" w:rsidRPr="00B15CCD">
        <w:t>for</w:t>
      </w:r>
      <w:r w:rsidR="00B15CCD">
        <w:noBreakHyphen/>
      </w:r>
      <w:r w:rsidR="00B15CCD" w:rsidRPr="00B15CCD">
        <w:t>profit and government providers operate proportionally more of the places in regional and rural locations compared with the for</w:t>
      </w:r>
      <w:r w:rsidR="00B15CCD">
        <w:noBreakHyphen/>
      </w:r>
      <w:r w:rsidR="00B15CCD" w:rsidRPr="00B15CCD">
        <w:t>profit providers, which would contribute to their lower average prices.</w:t>
      </w:r>
    </w:p>
    <w:p w:rsidR="00D8721E" w:rsidRDefault="009660C5" w:rsidP="00B7720C">
      <w:r>
        <w:t>In terms of location, agreed prices are significantly higher in</w:t>
      </w:r>
      <w:r w:rsidR="006F2DBC">
        <w:t xml:space="preserve"> metropolitan areas ($411,000) </w:t>
      </w:r>
      <w:r>
        <w:t>compared with regional and remote areas ($316,000 and $256,000 respectively). This continues the trend which has been evident since</w:t>
      </w:r>
      <w:r w:rsidR="00A261F3">
        <w:t> 200</w:t>
      </w:r>
      <w:r>
        <w:t>9</w:t>
      </w:r>
      <w:r w:rsidR="00D8721E">
        <w:t>–1</w:t>
      </w:r>
      <w:r>
        <w:t>0.</w:t>
      </w:r>
    </w:p>
    <w:p w:rsidR="00A021A8" w:rsidRPr="00596D01" w:rsidRDefault="00CA7607" w:rsidP="00B7720C">
      <w:pPr>
        <w:pStyle w:val="ChartTitle"/>
      </w:pPr>
      <w:bookmarkStart w:id="868" w:name="_Ref524428700"/>
      <w:r w:rsidRPr="00596D01">
        <w:lastRenderedPageBreak/>
        <w:t>Average price of new accommodation bonds:</w:t>
      </w:r>
      <w:r w:rsidR="00A261F3" w:rsidRPr="00596D01">
        <w:t> 200</w:t>
      </w:r>
      <w:r w:rsidR="00304706" w:rsidRPr="00596D01">
        <w:t>9</w:t>
      </w:r>
      <w:r w:rsidR="00D8721E" w:rsidRPr="00596D01">
        <w:t>–1</w:t>
      </w:r>
      <w:r w:rsidR="00304706" w:rsidRPr="00596D01">
        <w:t>0</w:t>
      </w:r>
      <w:r w:rsidRPr="00596D01">
        <w:t xml:space="preserve"> to</w:t>
      </w:r>
      <w:r w:rsidR="00A261F3" w:rsidRPr="00596D01">
        <w:t> 201</w:t>
      </w:r>
      <w:r w:rsidRPr="00596D01">
        <w:t>3</w:t>
      </w:r>
      <w:r w:rsidR="00D8721E" w:rsidRPr="00596D01">
        <w:t>–1</w:t>
      </w:r>
      <w:r w:rsidRPr="00596D01">
        <w:t>4 and average agreed accommodation price</w:t>
      </w:r>
      <w:r w:rsidR="00304706" w:rsidRPr="00596D01">
        <w:t>s (lump sum equivalent):</w:t>
      </w:r>
      <w:r w:rsidR="00A261F3" w:rsidRPr="00596D01">
        <w:t> 201</w:t>
      </w:r>
      <w:r w:rsidR="00304706" w:rsidRPr="00596D01">
        <w:t>4</w:t>
      </w:r>
      <w:r w:rsidR="00D8721E" w:rsidRPr="00596D01">
        <w:t>–1</w:t>
      </w:r>
      <w:r w:rsidR="00304706" w:rsidRPr="00596D01">
        <w:t>5</w:t>
      </w:r>
      <w:r w:rsidR="006A585D" w:rsidRPr="00596D01">
        <w:t xml:space="preserve"> to</w:t>
      </w:r>
      <w:r w:rsidR="00A261F3" w:rsidRPr="00596D01">
        <w:t> 201</w:t>
      </w:r>
      <w:r w:rsidR="00ED6DD0" w:rsidRPr="00596D01">
        <w:t>6</w:t>
      </w:r>
      <w:r w:rsidR="00D8721E" w:rsidRPr="00596D01">
        <w:t>–1</w:t>
      </w:r>
      <w:r w:rsidR="00ED6DD0" w:rsidRPr="00596D01">
        <w:t>7</w:t>
      </w:r>
      <w:r w:rsidR="002F3CDE" w:rsidRPr="00596D01">
        <w:t xml:space="preserve"> (thousands), by provider </w:t>
      </w:r>
      <w:r w:rsidRPr="00596D01">
        <w:t>ownership type</w:t>
      </w:r>
      <w:bookmarkEnd w:id="868"/>
      <w:r w:rsidR="00634E78" w:rsidRPr="00596D01">
        <w:t xml:space="preserve"> </w:t>
      </w:r>
    </w:p>
    <w:p w:rsidR="000501E6" w:rsidRDefault="00ED5AFB" w:rsidP="00B7720C">
      <w:r>
        <w:rPr>
          <w:noProof/>
        </w:rPr>
        <w:drawing>
          <wp:inline distT="0" distB="0" distL="0" distR="0" wp14:anchorId="569158AA" wp14:editId="21034AC6">
            <wp:extent cx="6120000" cy="4112903"/>
            <wp:effectExtent l="0" t="0" r="0" b="1905"/>
            <wp:docPr id="680" name="Picture 680" descr="Chart 10.1 Average price of new accommodation bonds: 2009–10 to 2013–14 and average agreed accommodation prices (lump sum equivalent): 2014–15 to 2016–17 (thousands), by provider ownership 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cb0036\AppData\Local\Microsoft\Windows\Temporary Internet Files\Content.Outlook\DXFUNO8X\Chart_10.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000" cy="4112903"/>
                    </a:xfrm>
                    <a:prstGeom prst="rect">
                      <a:avLst/>
                    </a:prstGeom>
                    <a:noFill/>
                    <a:ln>
                      <a:noFill/>
                    </a:ln>
                  </pic:spPr>
                </pic:pic>
              </a:graphicData>
            </a:graphic>
          </wp:inline>
        </w:drawing>
      </w:r>
    </w:p>
    <w:p w:rsidR="006A585D" w:rsidRPr="00596D01" w:rsidRDefault="00CA7607" w:rsidP="00B7720C">
      <w:pPr>
        <w:pStyle w:val="ChartTitle"/>
      </w:pPr>
      <w:bookmarkStart w:id="869" w:name="_Ref524428707"/>
      <w:r w:rsidRPr="00596D01">
        <w:lastRenderedPageBreak/>
        <w:t>Average price of new accommodation bonds:</w:t>
      </w:r>
      <w:r w:rsidR="00A261F3" w:rsidRPr="00596D01">
        <w:t> 200</w:t>
      </w:r>
      <w:r w:rsidR="00304706" w:rsidRPr="00596D01">
        <w:t>9</w:t>
      </w:r>
      <w:r w:rsidR="00D8721E" w:rsidRPr="00596D01">
        <w:t>–1</w:t>
      </w:r>
      <w:r w:rsidR="00304706" w:rsidRPr="00596D01">
        <w:t>0</w:t>
      </w:r>
      <w:r w:rsidRPr="00596D01">
        <w:t xml:space="preserve"> to</w:t>
      </w:r>
      <w:r w:rsidR="00A261F3" w:rsidRPr="00596D01">
        <w:t> 201</w:t>
      </w:r>
      <w:r w:rsidRPr="00596D01">
        <w:t>3</w:t>
      </w:r>
      <w:r w:rsidR="00D8721E" w:rsidRPr="00596D01">
        <w:t>–1</w:t>
      </w:r>
      <w:r w:rsidRPr="00596D01">
        <w:t>4 and average agreed accommodation pri</w:t>
      </w:r>
      <w:r w:rsidR="008533C6" w:rsidRPr="00596D01">
        <w:t xml:space="preserve">ces (lump </w:t>
      </w:r>
      <w:r w:rsidR="00304706" w:rsidRPr="00596D01">
        <w:t>sum equivalent):</w:t>
      </w:r>
      <w:r w:rsidR="00A261F3" w:rsidRPr="00596D01">
        <w:t> 201</w:t>
      </w:r>
      <w:r w:rsidR="00304706" w:rsidRPr="00596D01">
        <w:t>4</w:t>
      </w:r>
      <w:r w:rsidR="00D8721E" w:rsidRPr="00596D01">
        <w:t>–1</w:t>
      </w:r>
      <w:r w:rsidR="00304706" w:rsidRPr="00596D01">
        <w:t>5</w:t>
      </w:r>
      <w:r w:rsidR="00A834D2" w:rsidRPr="00596D01">
        <w:t xml:space="preserve"> to</w:t>
      </w:r>
      <w:r w:rsidR="00A261F3" w:rsidRPr="00596D01">
        <w:t> 201</w:t>
      </w:r>
      <w:r w:rsidR="00ED6DD0" w:rsidRPr="00596D01">
        <w:t>6</w:t>
      </w:r>
      <w:r w:rsidR="00D8721E" w:rsidRPr="00596D01">
        <w:t>–1</w:t>
      </w:r>
      <w:r w:rsidR="00ED6DD0" w:rsidRPr="00596D01">
        <w:t>7</w:t>
      </w:r>
      <w:r w:rsidR="002F3CDE" w:rsidRPr="00596D01">
        <w:t xml:space="preserve"> (thousands), by </w:t>
      </w:r>
      <w:r w:rsidRPr="00596D01">
        <w:t>provider</w:t>
      </w:r>
      <w:r w:rsidR="002F3CDE" w:rsidRPr="00596D01">
        <w:t> </w:t>
      </w:r>
      <w:r w:rsidRPr="00596D01">
        <w:t>location</w:t>
      </w:r>
      <w:bookmarkEnd w:id="869"/>
      <w:r w:rsidR="00634E78" w:rsidRPr="00596D01">
        <w:t xml:space="preserve"> </w:t>
      </w:r>
    </w:p>
    <w:p w:rsidR="00932E6B" w:rsidRPr="00596D01" w:rsidRDefault="00ED5AFB" w:rsidP="00B7720C">
      <w:bookmarkStart w:id="870" w:name="_Toc520897576"/>
      <w:bookmarkStart w:id="871" w:name="_Toc421881565"/>
      <w:bookmarkStart w:id="872" w:name="_Toc423017967"/>
      <w:bookmarkStart w:id="873" w:name="_Toc423447907"/>
      <w:bookmarkStart w:id="874" w:name="_Toc423602249"/>
      <w:bookmarkStart w:id="875" w:name="_Toc425243173"/>
      <w:bookmarkStart w:id="876" w:name="_Toc425696577"/>
      <w:bookmarkStart w:id="877" w:name="_Toc425778877"/>
      <w:bookmarkStart w:id="878" w:name="_Toc425861671"/>
      <w:bookmarkStart w:id="879" w:name="_Toc457549927"/>
      <w:bookmarkStart w:id="880" w:name="_Toc487702622"/>
      <w:bookmarkStart w:id="881" w:name="_Toc487702974"/>
      <w:bookmarkStart w:id="882" w:name="_Toc487703472"/>
      <w:bookmarkStart w:id="883" w:name="_Toc487703666"/>
      <w:r w:rsidRPr="00596D01">
        <w:rPr>
          <w:noProof/>
        </w:rPr>
        <w:drawing>
          <wp:inline distT="0" distB="0" distL="0" distR="0" wp14:anchorId="16585FAE" wp14:editId="575B5034">
            <wp:extent cx="6120000" cy="4161600"/>
            <wp:effectExtent l="0" t="0" r="0" b="0"/>
            <wp:docPr id="685" name="Picture 685" descr="Chart 10.2 Average price of new accommodation bonds: 2009–10 to 2013–14 and average agreed accommodation prices (lump sum equivalent): 2014–15 to 2016–17 (thousands), by provider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cb0036\AppData\Local\Microsoft\Windows\Temporary Internet Files\Content.Outlook\DXFUNO8X\Chart_10.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000" cy="4161600"/>
                    </a:xfrm>
                    <a:prstGeom prst="rect">
                      <a:avLst/>
                    </a:prstGeom>
                    <a:noFill/>
                    <a:ln>
                      <a:noFill/>
                    </a:ln>
                  </pic:spPr>
                </pic:pic>
              </a:graphicData>
            </a:graphic>
          </wp:inline>
        </w:drawing>
      </w:r>
      <w:bookmarkEnd w:id="870"/>
    </w:p>
    <w:p w:rsidR="00DB2539" w:rsidRPr="00596D01" w:rsidRDefault="0043626D" w:rsidP="00B7720C">
      <w:pPr>
        <w:pStyle w:val="Heading2Numbered"/>
      </w:pPr>
      <w:bookmarkStart w:id="884" w:name="_Toc524424799"/>
      <w:r w:rsidRPr="00596D01">
        <w:t xml:space="preserve">Financing </w:t>
      </w:r>
      <w:r w:rsidR="00CE1595" w:rsidRPr="00596D01">
        <w:t>s</w:t>
      </w:r>
      <w:r w:rsidRPr="00596D01">
        <w:t>tatus</w:t>
      </w:r>
      <w:r w:rsidR="00D8721E" w:rsidRPr="00596D01">
        <w:t xml:space="preserve"> – </w:t>
      </w:r>
      <w:r w:rsidRPr="00596D01">
        <w:t>b</w:t>
      </w:r>
      <w:r w:rsidR="00DB2539" w:rsidRPr="00596D01">
        <w:t>alance sheet</w:t>
      </w:r>
      <w:bookmarkStart w:id="885" w:name="_Toc425243174"/>
      <w:bookmarkStart w:id="886" w:name="_Toc425696578"/>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p>
    <w:p w:rsidR="0017446D" w:rsidRPr="00932E6B" w:rsidRDefault="0017446D" w:rsidP="00B7720C">
      <w:r w:rsidRPr="0065585D">
        <w:t xml:space="preserve">This section focuses on the balance sheet of the residential aged care </w:t>
      </w:r>
      <w:r>
        <w:t>industry</w:t>
      </w:r>
      <w:r w:rsidRPr="0065585D">
        <w:t xml:space="preserve">, </w:t>
      </w:r>
      <w:r>
        <w:t xml:space="preserve">showing </w:t>
      </w:r>
      <w:r w:rsidRPr="0065585D">
        <w:t xml:space="preserve">the </w:t>
      </w:r>
      <w:r w:rsidRPr="00932E6B">
        <w:t>liabilities, assets and net assets. This is indicated</w:t>
      </w:r>
      <w:r>
        <w:t xml:space="preserve"> in the bottom half of</w:t>
      </w:r>
      <w:r w:rsidRPr="00932E6B">
        <w:t xml:space="preserve"> </w:t>
      </w:r>
      <w:r w:rsidR="00492BF8">
        <w:fldChar w:fldCharType="begin"/>
      </w:r>
      <w:r w:rsidR="00492BF8">
        <w:instrText xml:space="preserve"> REF _Ref524428996 \r \h </w:instrText>
      </w:r>
      <w:r w:rsidR="00492BF8">
        <w:fldChar w:fldCharType="separate"/>
      </w:r>
      <w:r w:rsidR="00492BF8">
        <w:t>Figure 10.1</w:t>
      </w:r>
      <w:r w:rsidR="00492BF8">
        <w:fldChar w:fldCharType="end"/>
      </w:r>
      <w:r w:rsidRPr="00932E6B">
        <w:t>.</w:t>
      </w:r>
    </w:p>
    <w:p w:rsidR="00D8721E" w:rsidRDefault="0017446D" w:rsidP="00B7720C">
      <w:r w:rsidRPr="00932E6B">
        <w:t xml:space="preserve">With the introduction of the </w:t>
      </w:r>
      <w:r w:rsidR="001955FC">
        <w:t>Aged Care Financial Report (</w:t>
      </w:r>
      <w:r w:rsidRPr="00932E6B">
        <w:t>ACFR</w:t>
      </w:r>
      <w:r w:rsidR="001955FC">
        <w:t>)</w:t>
      </w:r>
      <w:r w:rsidRPr="00932E6B">
        <w:t>, further disaggregation of the total assets and liabilities is possible. As this is the first year of the ACFR, compar</w:t>
      </w:r>
      <w:r w:rsidR="001955FC">
        <w:t xml:space="preserve">isons </w:t>
      </w:r>
      <w:r w:rsidRPr="00932E6B">
        <w:t xml:space="preserve">with previous years is not always possible. The disaggregated financial data is presented </w:t>
      </w:r>
      <w:r w:rsidR="002F3CDE">
        <w:t xml:space="preserve">in </w:t>
      </w:r>
      <w:r w:rsidR="00492BF8">
        <w:fldChar w:fldCharType="begin"/>
      </w:r>
      <w:r w:rsidR="00492BF8">
        <w:instrText xml:space="preserve"> REF _Ref524428996 \r \h </w:instrText>
      </w:r>
      <w:r w:rsidR="00492BF8">
        <w:fldChar w:fldCharType="separate"/>
      </w:r>
      <w:r w:rsidR="00492BF8">
        <w:t>Figure 10.1</w:t>
      </w:r>
      <w:r w:rsidR="00492BF8">
        <w:fldChar w:fldCharType="end"/>
      </w:r>
      <w:r w:rsidR="00492BF8">
        <w:t xml:space="preserve"> </w:t>
      </w:r>
      <w:r>
        <w:t xml:space="preserve">and </w:t>
      </w:r>
      <w:r w:rsidR="00492BF8">
        <w:fldChar w:fldCharType="begin"/>
      </w:r>
      <w:r w:rsidR="00492BF8">
        <w:instrText xml:space="preserve"> REF _Ref524429650 \r \h </w:instrText>
      </w:r>
      <w:r w:rsidR="00492BF8">
        <w:fldChar w:fldCharType="separate"/>
      </w:r>
      <w:r w:rsidR="00492BF8">
        <w:t>Table 10.4</w:t>
      </w:r>
      <w:r w:rsidR="00492BF8">
        <w:fldChar w:fldCharType="end"/>
      </w:r>
      <w:r w:rsidRPr="00B05398">
        <w:t>.</w:t>
      </w:r>
      <w:r>
        <w:t xml:space="preserve"> </w:t>
      </w:r>
      <w:r w:rsidR="00492BF8">
        <w:fldChar w:fldCharType="begin"/>
      </w:r>
      <w:r w:rsidR="00492BF8">
        <w:instrText xml:space="preserve"> REF _Ref524429664 \r \h </w:instrText>
      </w:r>
      <w:r w:rsidR="00492BF8">
        <w:fldChar w:fldCharType="separate"/>
      </w:r>
      <w:r w:rsidR="00492BF8">
        <w:t>Tables 10.1</w:t>
      </w:r>
      <w:r w:rsidR="00492BF8">
        <w:fldChar w:fldCharType="end"/>
      </w:r>
      <w:r>
        <w:t xml:space="preserve">, </w:t>
      </w:r>
      <w:r w:rsidR="00492BF8">
        <w:fldChar w:fldCharType="begin"/>
      </w:r>
      <w:r w:rsidR="00492BF8">
        <w:instrText xml:space="preserve"> REF _Ref524429675 \r \h </w:instrText>
      </w:r>
      <w:r w:rsidR="00492BF8">
        <w:fldChar w:fldCharType="separate"/>
      </w:r>
      <w:r w:rsidR="00492BF8">
        <w:t>10.2</w:t>
      </w:r>
      <w:r w:rsidR="00492BF8">
        <w:fldChar w:fldCharType="end"/>
      </w:r>
      <w:r w:rsidR="00492BF8">
        <w:t xml:space="preserve"> </w:t>
      </w:r>
      <w:r>
        <w:t xml:space="preserve">and </w:t>
      </w:r>
      <w:r w:rsidR="00492BF8">
        <w:fldChar w:fldCharType="begin"/>
      </w:r>
      <w:r w:rsidR="00492BF8">
        <w:instrText xml:space="preserve"> REF _Ref524429689 \r \h </w:instrText>
      </w:r>
      <w:r w:rsidR="00492BF8">
        <w:fldChar w:fldCharType="separate"/>
      </w:r>
      <w:r w:rsidR="00492BF8">
        <w:t>10.3</w:t>
      </w:r>
      <w:r w:rsidR="00492BF8">
        <w:fldChar w:fldCharType="end"/>
      </w:r>
      <w:r w:rsidR="00492BF8">
        <w:t xml:space="preserve"> </w:t>
      </w:r>
      <w:r>
        <w:t>use the previous methodology to allow for comparisons with previous years</w:t>
      </w:r>
      <w:r w:rsidR="00D8721E">
        <w:t>.</w:t>
      </w:r>
    </w:p>
    <w:p w:rsidR="00F12EAD" w:rsidRPr="00596D01" w:rsidRDefault="000733AB" w:rsidP="00B7720C">
      <w:pPr>
        <w:pStyle w:val="FigureTitle"/>
      </w:pPr>
      <w:bookmarkStart w:id="887" w:name="_Ref524428996"/>
      <w:r w:rsidRPr="00596D01">
        <w:lastRenderedPageBreak/>
        <w:t>Residential aged care funding/financing sources,</w:t>
      </w:r>
      <w:r w:rsidR="00A261F3" w:rsidRPr="00596D01">
        <w:t> 201</w:t>
      </w:r>
      <w:r w:rsidR="00021EC9" w:rsidRPr="00596D01">
        <w:t>6</w:t>
      </w:r>
      <w:r w:rsidR="00D8721E" w:rsidRPr="00596D01">
        <w:t>–1</w:t>
      </w:r>
      <w:r w:rsidR="00021EC9" w:rsidRPr="00596D01">
        <w:t>7</w:t>
      </w:r>
      <w:bookmarkEnd w:id="887"/>
    </w:p>
    <w:p w:rsidR="00D8721E" w:rsidRDefault="00605C04" w:rsidP="00B7720C">
      <w:r>
        <w:rPr>
          <w:noProof/>
        </w:rPr>
        <w:drawing>
          <wp:inline distT="0" distB="0" distL="0" distR="0" wp14:anchorId="6520CB5B" wp14:editId="3626548D">
            <wp:extent cx="6120000" cy="3387935"/>
            <wp:effectExtent l="0" t="0" r="0" b="3175"/>
            <wp:docPr id="44" name="Picture 44" descr="Figure 10.1 Residential aged care funding/financing sources,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zc0004\AppData\Local\Microsoft\Windows\Temporary Internet Files\Content.Outlook\6DIYYC82\Figure_10.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000" cy="3387935"/>
                    </a:xfrm>
                    <a:prstGeom prst="rect">
                      <a:avLst/>
                    </a:prstGeom>
                    <a:noFill/>
                    <a:ln>
                      <a:noFill/>
                    </a:ln>
                  </pic:spPr>
                </pic:pic>
              </a:graphicData>
            </a:graphic>
          </wp:inline>
        </w:drawing>
      </w:r>
    </w:p>
    <w:p w:rsidR="00D8721E" w:rsidRDefault="005E3F5D" w:rsidP="00B7720C">
      <w:pPr>
        <w:rPr>
          <w:color w:val="FF0000"/>
        </w:rPr>
      </w:pPr>
      <w:r>
        <w:t xml:space="preserve">Using the same methodology as in previous years, </w:t>
      </w:r>
      <w:r w:rsidR="00492BF8">
        <w:fldChar w:fldCharType="begin"/>
      </w:r>
      <w:r w:rsidR="00492BF8">
        <w:instrText xml:space="preserve"> REF _Ref524429664 \r \h </w:instrText>
      </w:r>
      <w:r w:rsidR="00492BF8">
        <w:fldChar w:fldCharType="separate"/>
      </w:r>
      <w:r w:rsidR="00492BF8">
        <w:t>Table 10.1</w:t>
      </w:r>
      <w:r w:rsidR="00492BF8">
        <w:fldChar w:fldCharType="end"/>
      </w:r>
      <w:r w:rsidR="00492BF8">
        <w:t xml:space="preserve"> </w:t>
      </w:r>
      <w:r w:rsidR="00BB1769" w:rsidRPr="00E434BB">
        <w:t>shows the balance shee</w:t>
      </w:r>
      <w:r w:rsidR="00BB1769">
        <w:t>t</w:t>
      </w:r>
      <w:r w:rsidR="00BB1769" w:rsidRPr="00E434BB">
        <w:t xml:space="preserve"> of residential care providers for</w:t>
      </w:r>
      <w:r w:rsidR="00A261F3">
        <w:t> 201</w:t>
      </w:r>
      <w:r w:rsidR="00B23CD3">
        <w:t>6</w:t>
      </w:r>
      <w:r w:rsidR="00D8721E">
        <w:t>–1</w:t>
      </w:r>
      <w:r w:rsidR="00B23CD3">
        <w:t>7</w:t>
      </w:r>
      <w:r w:rsidR="00BB1769" w:rsidRPr="00E434BB">
        <w:t xml:space="preserve"> compared with</w:t>
      </w:r>
      <w:r w:rsidR="00A261F3">
        <w:t> 201</w:t>
      </w:r>
      <w:r w:rsidR="00B23CD3">
        <w:t>5</w:t>
      </w:r>
      <w:r w:rsidR="00D8721E">
        <w:t>–1</w:t>
      </w:r>
      <w:r w:rsidR="00B23CD3">
        <w:t>6</w:t>
      </w:r>
      <w:r w:rsidR="00BB1769" w:rsidRPr="00E434BB">
        <w:t xml:space="preserve">. </w:t>
      </w:r>
      <w:r w:rsidR="00492BF8">
        <w:fldChar w:fldCharType="begin"/>
      </w:r>
      <w:r w:rsidR="00492BF8">
        <w:instrText xml:space="preserve"> REF _Ref524429675 \r \h </w:instrText>
      </w:r>
      <w:r w:rsidR="00492BF8">
        <w:fldChar w:fldCharType="separate"/>
      </w:r>
      <w:r w:rsidR="00492BF8">
        <w:t>Table 10.2</w:t>
      </w:r>
      <w:r w:rsidR="00492BF8">
        <w:fldChar w:fldCharType="end"/>
      </w:r>
      <w:r w:rsidR="00492BF8">
        <w:t xml:space="preserve"> </w:t>
      </w:r>
      <w:r w:rsidR="00BB1769" w:rsidRPr="0036334D">
        <w:t xml:space="preserve">shows the balance sheet for the </w:t>
      </w:r>
      <w:r w:rsidR="00930E7B" w:rsidRPr="0036334D">
        <w:t>five</w:t>
      </w:r>
      <w:r w:rsidR="00BB1769" w:rsidRPr="0036334D">
        <w:t xml:space="preserve"> years since</w:t>
      </w:r>
      <w:r w:rsidR="00A261F3">
        <w:t> 201</w:t>
      </w:r>
      <w:r w:rsidR="00B23CD3" w:rsidRPr="0036334D">
        <w:t>2</w:t>
      </w:r>
      <w:r w:rsidR="00D8721E">
        <w:t>–1</w:t>
      </w:r>
      <w:r w:rsidR="00B23CD3" w:rsidRPr="0036334D">
        <w:t>3</w:t>
      </w:r>
      <w:bookmarkStart w:id="888" w:name="_Ref453182508"/>
      <w:r w:rsidR="007B0C92" w:rsidRPr="0036334D">
        <w:t>.</w:t>
      </w:r>
    </w:p>
    <w:p w:rsidR="00AF7DF5" w:rsidRPr="00596D01" w:rsidRDefault="00BB1769" w:rsidP="00B7720C">
      <w:pPr>
        <w:pStyle w:val="TableTitle"/>
      </w:pPr>
      <w:bookmarkStart w:id="889" w:name="_Ref524429664"/>
      <w:r w:rsidRPr="00596D01">
        <w:t>Balance sheet of residential care providers</w:t>
      </w:r>
      <w:r w:rsidR="0002552C" w:rsidRPr="00596D01">
        <w:t xml:space="preserve"> who submitted their GPFR</w:t>
      </w:r>
      <w:r w:rsidRPr="00596D01">
        <w:t>,</w:t>
      </w:r>
      <w:r w:rsidR="00A261F3" w:rsidRPr="00596D01">
        <w:t> 201</w:t>
      </w:r>
      <w:r w:rsidR="00021EC9" w:rsidRPr="00596D01">
        <w:t>5</w:t>
      </w:r>
      <w:r w:rsidR="00D8721E" w:rsidRPr="00596D01">
        <w:t>–1</w:t>
      </w:r>
      <w:r w:rsidR="00021EC9" w:rsidRPr="00596D01">
        <w:t>6</w:t>
      </w:r>
      <w:r w:rsidRPr="00596D01">
        <w:t xml:space="preserve"> and</w:t>
      </w:r>
      <w:r w:rsidR="0002552C" w:rsidRPr="00596D01">
        <w:t xml:space="preserve"> ACFR,</w:t>
      </w:r>
      <w:r w:rsidR="00A261F3" w:rsidRPr="00596D01">
        <w:t> 201</w:t>
      </w:r>
      <w:bookmarkEnd w:id="888"/>
      <w:r w:rsidR="00021EC9" w:rsidRPr="00596D01">
        <w:t>6</w:t>
      </w:r>
      <w:r w:rsidR="00D8721E" w:rsidRPr="00596D01">
        <w:t>–1</w:t>
      </w:r>
      <w:r w:rsidR="00021EC9" w:rsidRPr="00596D01">
        <w:t>7</w:t>
      </w:r>
      <w:bookmarkEnd w:id="889"/>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165"/>
        <w:gridCol w:w="1867"/>
        <w:gridCol w:w="1866"/>
        <w:gridCol w:w="1866"/>
        <w:gridCol w:w="1864"/>
      </w:tblGrid>
      <w:tr w:rsidR="002705F0" w:rsidRPr="00B7720C" w:rsidTr="00B7720C">
        <w:trPr>
          <w:cnfStyle w:val="100000000000" w:firstRow="1" w:lastRow="0" w:firstColumn="0" w:lastColumn="0" w:oddVBand="0" w:evenVBand="0" w:oddHBand="0" w:evenHBand="0" w:firstRowFirstColumn="0" w:firstRowLastColumn="0" w:lastRowFirstColumn="0" w:lastRowLastColumn="0"/>
          <w:trHeight w:val="113"/>
          <w:tblHeader/>
        </w:trPr>
        <w:tc>
          <w:tcPr>
            <w:tcW w:w="1124" w:type="pct"/>
          </w:tcPr>
          <w:p w:rsidR="002705F0" w:rsidRPr="00B7720C" w:rsidRDefault="002705F0" w:rsidP="00B7720C">
            <w:r w:rsidRPr="00B7720C">
              <w:t>Assets/liabilities</w:t>
            </w:r>
          </w:p>
        </w:tc>
        <w:tc>
          <w:tcPr>
            <w:tcW w:w="969" w:type="pct"/>
          </w:tcPr>
          <w:p w:rsidR="002705F0" w:rsidRPr="00B7720C" w:rsidRDefault="002705F0" w:rsidP="00B7720C">
            <w:pPr>
              <w:jc w:val="right"/>
            </w:pPr>
            <w:r w:rsidRPr="00B7720C">
              <w:t>2015</w:t>
            </w:r>
            <w:r w:rsidR="00D8721E" w:rsidRPr="00B7720C">
              <w:t>–1</w:t>
            </w:r>
            <w:r w:rsidRPr="00B7720C">
              <w:t xml:space="preserve">6 ($million) </w:t>
            </w:r>
          </w:p>
        </w:tc>
        <w:tc>
          <w:tcPr>
            <w:tcW w:w="969" w:type="pct"/>
          </w:tcPr>
          <w:p w:rsidR="002705F0" w:rsidRPr="00B7720C" w:rsidRDefault="002705F0" w:rsidP="00B7720C">
            <w:pPr>
              <w:jc w:val="right"/>
            </w:pPr>
            <w:r w:rsidRPr="00B7720C">
              <w:t>2016</w:t>
            </w:r>
            <w:r w:rsidR="00D8721E" w:rsidRPr="00B7720C">
              <w:t>–1</w:t>
            </w:r>
            <w:r w:rsidRPr="00B7720C">
              <w:t>7 ($million)</w:t>
            </w:r>
          </w:p>
        </w:tc>
        <w:tc>
          <w:tcPr>
            <w:tcW w:w="969" w:type="pct"/>
          </w:tcPr>
          <w:p w:rsidR="002705F0" w:rsidRPr="00B7720C" w:rsidRDefault="002705F0" w:rsidP="00B7720C">
            <w:pPr>
              <w:jc w:val="right"/>
            </w:pPr>
            <w:r w:rsidRPr="00B7720C">
              <w:t>Change ($million)</w:t>
            </w:r>
          </w:p>
        </w:tc>
        <w:tc>
          <w:tcPr>
            <w:tcW w:w="968" w:type="pct"/>
          </w:tcPr>
          <w:p w:rsidR="002705F0" w:rsidRPr="00B7720C" w:rsidRDefault="002705F0" w:rsidP="00B7720C">
            <w:pPr>
              <w:jc w:val="right"/>
            </w:pPr>
            <w:r w:rsidRPr="00B7720C">
              <w:t>Change (%)</w:t>
            </w:r>
          </w:p>
        </w:tc>
      </w:tr>
      <w:tr w:rsidR="00F341CD" w:rsidRPr="00B7720C" w:rsidTr="00B7720C">
        <w:trPr>
          <w:trHeight w:val="113"/>
        </w:trPr>
        <w:tc>
          <w:tcPr>
            <w:tcW w:w="1124" w:type="pct"/>
          </w:tcPr>
          <w:p w:rsidR="00F341CD" w:rsidRPr="00B7720C" w:rsidRDefault="00F341CD" w:rsidP="00B7720C">
            <w:r w:rsidRPr="00B7720C">
              <w:t>Current assets</w:t>
            </w:r>
          </w:p>
        </w:tc>
        <w:tc>
          <w:tcPr>
            <w:tcW w:w="969" w:type="pct"/>
          </w:tcPr>
          <w:p w:rsidR="00F341CD" w:rsidRPr="00B7720C" w:rsidRDefault="00F341CD" w:rsidP="00B7720C">
            <w:pPr>
              <w:jc w:val="right"/>
            </w:pPr>
            <w:r w:rsidRPr="00B7720C">
              <w:t>$11,556</w:t>
            </w:r>
          </w:p>
        </w:tc>
        <w:tc>
          <w:tcPr>
            <w:tcW w:w="969" w:type="pct"/>
          </w:tcPr>
          <w:p w:rsidR="00F341CD" w:rsidRPr="00B7720C" w:rsidRDefault="00F341CD" w:rsidP="00B7720C">
            <w:pPr>
              <w:jc w:val="right"/>
            </w:pPr>
            <w:r w:rsidRPr="00B7720C">
              <w:t>$13,137</w:t>
            </w:r>
          </w:p>
        </w:tc>
        <w:tc>
          <w:tcPr>
            <w:tcW w:w="969" w:type="pct"/>
          </w:tcPr>
          <w:p w:rsidR="00F341CD" w:rsidRPr="00B7720C" w:rsidRDefault="00F341CD" w:rsidP="00B7720C">
            <w:pPr>
              <w:jc w:val="right"/>
            </w:pPr>
            <w:r w:rsidRPr="00B7720C">
              <w:t>$1,581</w:t>
            </w:r>
          </w:p>
        </w:tc>
        <w:tc>
          <w:tcPr>
            <w:tcW w:w="968" w:type="pct"/>
          </w:tcPr>
          <w:p w:rsidR="00F341CD" w:rsidRPr="00B7720C" w:rsidRDefault="00F341CD" w:rsidP="00B7720C">
            <w:pPr>
              <w:jc w:val="right"/>
            </w:pPr>
            <w:r w:rsidRPr="00B7720C">
              <w:t>+13.7%</w:t>
            </w:r>
          </w:p>
        </w:tc>
      </w:tr>
      <w:tr w:rsidR="00F341CD" w:rsidRPr="00B7720C" w:rsidTr="00B7720C">
        <w:trPr>
          <w:trHeight w:val="113"/>
        </w:trPr>
        <w:tc>
          <w:tcPr>
            <w:tcW w:w="1124" w:type="pct"/>
          </w:tcPr>
          <w:p w:rsidR="00F341CD" w:rsidRPr="00B7720C" w:rsidRDefault="00F341CD" w:rsidP="00B7720C">
            <w:r w:rsidRPr="00B7720C">
              <w:t>Fixed assets</w:t>
            </w:r>
          </w:p>
        </w:tc>
        <w:tc>
          <w:tcPr>
            <w:tcW w:w="969" w:type="pct"/>
          </w:tcPr>
          <w:p w:rsidR="00F341CD" w:rsidRPr="00B7720C" w:rsidRDefault="00F341CD" w:rsidP="00B7720C">
            <w:pPr>
              <w:jc w:val="right"/>
            </w:pPr>
            <w:r w:rsidRPr="00B7720C">
              <w:t>$11,455</w:t>
            </w:r>
          </w:p>
        </w:tc>
        <w:tc>
          <w:tcPr>
            <w:tcW w:w="969" w:type="pct"/>
          </w:tcPr>
          <w:p w:rsidR="00F341CD" w:rsidRPr="00B7720C" w:rsidRDefault="00F341CD" w:rsidP="00B7720C">
            <w:pPr>
              <w:jc w:val="right"/>
            </w:pPr>
            <w:r w:rsidRPr="00B7720C">
              <w:t>$22,</w:t>
            </w:r>
            <w:r w:rsidR="005E3F5D" w:rsidRPr="00B7720C">
              <w:t>963</w:t>
            </w:r>
          </w:p>
        </w:tc>
        <w:tc>
          <w:tcPr>
            <w:tcW w:w="969" w:type="pct"/>
          </w:tcPr>
          <w:p w:rsidR="00F341CD" w:rsidRPr="00B7720C" w:rsidRDefault="00F341CD" w:rsidP="00B7720C">
            <w:pPr>
              <w:jc w:val="right"/>
            </w:pPr>
            <w:r w:rsidRPr="00B7720C">
              <w:t>$1</w:t>
            </w:r>
            <w:r w:rsidR="005E3F5D" w:rsidRPr="00B7720C">
              <w:t>1,508</w:t>
            </w:r>
          </w:p>
        </w:tc>
        <w:tc>
          <w:tcPr>
            <w:tcW w:w="968" w:type="pct"/>
          </w:tcPr>
          <w:p w:rsidR="00F341CD" w:rsidRPr="00B7720C" w:rsidRDefault="00F341CD" w:rsidP="00B7720C">
            <w:pPr>
              <w:jc w:val="right"/>
            </w:pPr>
            <w:r w:rsidRPr="00B7720C">
              <w:t>+</w:t>
            </w:r>
            <w:r w:rsidR="005E3F5D" w:rsidRPr="00B7720C">
              <w:t>100.5</w:t>
            </w:r>
            <w:r w:rsidRPr="00B7720C">
              <w:t>%</w:t>
            </w:r>
          </w:p>
        </w:tc>
      </w:tr>
      <w:tr w:rsidR="00F341CD" w:rsidRPr="00B7720C" w:rsidTr="00B7720C">
        <w:trPr>
          <w:trHeight w:val="113"/>
        </w:trPr>
        <w:tc>
          <w:tcPr>
            <w:tcW w:w="1124" w:type="pct"/>
          </w:tcPr>
          <w:p w:rsidR="00F341CD" w:rsidRPr="00B7720C" w:rsidRDefault="00F341CD" w:rsidP="00B7720C">
            <w:r w:rsidRPr="00B7720C">
              <w:t xml:space="preserve">Intangible assets </w:t>
            </w:r>
          </w:p>
        </w:tc>
        <w:tc>
          <w:tcPr>
            <w:tcW w:w="969" w:type="pct"/>
          </w:tcPr>
          <w:p w:rsidR="00F341CD" w:rsidRPr="00B7720C" w:rsidRDefault="00F341CD" w:rsidP="00B7720C">
            <w:pPr>
              <w:jc w:val="right"/>
            </w:pPr>
            <w:r w:rsidRPr="00B7720C">
              <w:t>$3,442</w:t>
            </w:r>
          </w:p>
        </w:tc>
        <w:tc>
          <w:tcPr>
            <w:tcW w:w="969" w:type="pct"/>
          </w:tcPr>
          <w:p w:rsidR="00F341CD" w:rsidRPr="00B7720C" w:rsidRDefault="00F341CD" w:rsidP="00B7720C">
            <w:pPr>
              <w:jc w:val="right"/>
            </w:pPr>
            <w:r w:rsidRPr="00B7720C">
              <w:t>$5,529</w:t>
            </w:r>
          </w:p>
        </w:tc>
        <w:tc>
          <w:tcPr>
            <w:tcW w:w="969" w:type="pct"/>
          </w:tcPr>
          <w:p w:rsidR="00F341CD" w:rsidRPr="00B7720C" w:rsidRDefault="00F341CD" w:rsidP="00B7720C">
            <w:pPr>
              <w:jc w:val="right"/>
            </w:pPr>
            <w:r w:rsidRPr="00B7720C">
              <w:t>$2,087</w:t>
            </w:r>
          </w:p>
        </w:tc>
        <w:tc>
          <w:tcPr>
            <w:tcW w:w="968" w:type="pct"/>
          </w:tcPr>
          <w:p w:rsidR="00F341CD" w:rsidRPr="00B7720C" w:rsidRDefault="00F341CD" w:rsidP="00B7720C">
            <w:pPr>
              <w:jc w:val="right"/>
            </w:pPr>
            <w:r w:rsidRPr="00B7720C">
              <w:t>+60.6%</w:t>
            </w:r>
          </w:p>
        </w:tc>
      </w:tr>
      <w:tr w:rsidR="00F341CD" w:rsidRPr="00B7720C" w:rsidTr="00B7720C">
        <w:trPr>
          <w:trHeight w:val="113"/>
        </w:trPr>
        <w:tc>
          <w:tcPr>
            <w:tcW w:w="1124" w:type="pct"/>
          </w:tcPr>
          <w:p w:rsidR="00F341CD" w:rsidRPr="00B7720C" w:rsidRDefault="00B62A05" w:rsidP="00B7720C">
            <w:r w:rsidRPr="00B7720C">
              <w:t>Other non-c</w:t>
            </w:r>
            <w:r w:rsidR="00F341CD" w:rsidRPr="00B7720C">
              <w:t xml:space="preserve">urrent </w:t>
            </w:r>
            <w:r w:rsidRPr="00B7720C">
              <w:t>a</w:t>
            </w:r>
            <w:r w:rsidR="00F341CD" w:rsidRPr="00B7720C">
              <w:t>ssets</w:t>
            </w:r>
          </w:p>
        </w:tc>
        <w:tc>
          <w:tcPr>
            <w:tcW w:w="969" w:type="pct"/>
          </w:tcPr>
          <w:p w:rsidR="00F341CD" w:rsidRPr="00B7720C" w:rsidRDefault="00F341CD" w:rsidP="00B7720C">
            <w:pPr>
              <w:jc w:val="right"/>
            </w:pPr>
            <w:r w:rsidRPr="00B7720C">
              <w:t>$14,240</w:t>
            </w:r>
          </w:p>
        </w:tc>
        <w:tc>
          <w:tcPr>
            <w:tcW w:w="969" w:type="pct"/>
          </w:tcPr>
          <w:p w:rsidR="00F341CD" w:rsidRPr="00B7720C" w:rsidRDefault="00F341CD" w:rsidP="00B7720C">
            <w:pPr>
              <w:jc w:val="right"/>
            </w:pPr>
            <w:r w:rsidRPr="00B7720C">
              <w:t>$</w:t>
            </w:r>
            <w:r w:rsidR="005E3F5D" w:rsidRPr="00B7720C">
              <w:t>3,388</w:t>
            </w:r>
          </w:p>
        </w:tc>
        <w:tc>
          <w:tcPr>
            <w:tcW w:w="969" w:type="pct"/>
          </w:tcPr>
          <w:p w:rsidR="00F341CD" w:rsidRPr="00B7720C" w:rsidRDefault="00F341CD" w:rsidP="00B7720C">
            <w:pPr>
              <w:jc w:val="right"/>
            </w:pPr>
            <w:r w:rsidRPr="00B7720C">
              <w:t>-$10,</w:t>
            </w:r>
            <w:r w:rsidR="005E3F5D" w:rsidRPr="00B7720C">
              <w:t>852</w:t>
            </w:r>
          </w:p>
        </w:tc>
        <w:tc>
          <w:tcPr>
            <w:tcW w:w="968" w:type="pct"/>
          </w:tcPr>
          <w:p w:rsidR="00F341CD" w:rsidRPr="00B7720C" w:rsidRDefault="00D8721E" w:rsidP="00B7720C">
            <w:pPr>
              <w:jc w:val="right"/>
            </w:pPr>
            <w:r w:rsidRPr="00B7720C">
              <w:t>–7</w:t>
            </w:r>
            <w:r w:rsidR="005E3F5D" w:rsidRPr="00B7720C">
              <w:t>6.2</w:t>
            </w:r>
            <w:r w:rsidR="00F341CD" w:rsidRPr="00B7720C">
              <w:t>%</w:t>
            </w:r>
          </w:p>
        </w:tc>
      </w:tr>
      <w:tr w:rsidR="00F341CD" w:rsidRPr="00B7720C" w:rsidTr="00B7720C">
        <w:trPr>
          <w:trHeight w:val="113"/>
        </w:trPr>
        <w:tc>
          <w:tcPr>
            <w:tcW w:w="1124" w:type="pct"/>
          </w:tcPr>
          <w:p w:rsidR="00F341CD" w:rsidRPr="00B7720C" w:rsidRDefault="00F341CD" w:rsidP="00B7720C">
            <w:r w:rsidRPr="00B7720C">
              <w:rPr>
                <w:rStyle w:val="Strong"/>
              </w:rPr>
              <w:t xml:space="preserve">Total assets </w:t>
            </w:r>
          </w:p>
        </w:tc>
        <w:tc>
          <w:tcPr>
            <w:tcW w:w="969" w:type="pct"/>
          </w:tcPr>
          <w:p w:rsidR="00F341CD" w:rsidRPr="00B7720C" w:rsidRDefault="00F341CD" w:rsidP="00B7720C">
            <w:pPr>
              <w:jc w:val="right"/>
            </w:pPr>
            <w:r w:rsidRPr="00B7720C">
              <w:rPr>
                <w:rStyle w:val="Strong"/>
              </w:rPr>
              <w:t>$40,694</w:t>
            </w:r>
          </w:p>
        </w:tc>
        <w:tc>
          <w:tcPr>
            <w:tcW w:w="969" w:type="pct"/>
          </w:tcPr>
          <w:p w:rsidR="00F341CD" w:rsidRPr="00B7720C" w:rsidRDefault="00F341CD" w:rsidP="00B7720C">
            <w:pPr>
              <w:jc w:val="right"/>
            </w:pPr>
            <w:r w:rsidRPr="00B7720C">
              <w:rPr>
                <w:rStyle w:val="Strong"/>
              </w:rPr>
              <w:t>$45,017</w:t>
            </w:r>
          </w:p>
        </w:tc>
        <w:tc>
          <w:tcPr>
            <w:tcW w:w="969" w:type="pct"/>
          </w:tcPr>
          <w:p w:rsidR="00F341CD" w:rsidRPr="00B7720C" w:rsidRDefault="00F341CD" w:rsidP="00B7720C">
            <w:pPr>
              <w:jc w:val="right"/>
            </w:pPr>
            <w:r w:rsidRPr="00B7720C">
              <w:rPr>
                <w:rStyle w:val="Strong"/>
              </w:rPr>
              <w:t>$4,324</w:t>
            </w:r>
          </w:p>
        </w:tc>
        <w:tc>
          <w:tcPr>
            <w:tcW w:w="968" w:type="pct"/>
          </w:tcPr>
          <w:p w:rsidR="00F341CD" w:rsidRPr="00B7720C" w:rsidRDefault="00F341CD" w:rsidP="00B7720C">
            <w:pPr>
              <w:jc w:val="right"/>
              <w:rPr>
                <w:rStyle w:val="Strong"/>
              </w:rPr>
            </w:pPr>
            <w:r w:rsidRPr="00B7720C">
              <w:rPr>
                <w:rStyle w:val="Strong"/>
              </w:rPr>
              <w:t>+10.6%</w:t>
            </w:r>
          </w:p>
        </w:tc>
      </w:tr>
      <w:tr w:rsidR="00F341CD" w:rsidRPr="00B7720C" w:rsidTr="00B7720C">
        <w:trPr>
          <w:trHeight w:val="113"/>
        </w:trPr>
        <w:tc>
          <w:tcPr>
            <w:tcW w:w="1124" w:type="pct"/>
          </w:tcPr>
          <w:p w:rsidR="00F341CD" w:rsidRPr="00B7720C" w:rsidRDefault="00F341CD" w:rsidP="00B7720C">
            <w:r w:rsidRPr="00B7720C">
              <w:t xml:space="preserve">Accommodation deposits </w:t>
            </w:r>
          </w:p>
        </w:tc>
        <w:tc>
          <w:tcPr>
            <w:tcW w:w="969" w:type="pct"/>
          </w:tcPr>
          <w:p w:rsidR="00F341CD" w:rsidRPr="00B7720C" w:rsidRDefault="00F341CD" w:rsidP="00B7720C">
            <w:pPr>
              <w:jc w:val="right"/>
            </w:pPr>
            <w:r w:rsidRPr="00B7720C">
              <w:t>$21,872</w:t>
            </w:r>
          </w:p>
        </w:tc>
        <w:tc>
          <w:tcPr>
            <w:tcW w:w="969" w:type="pct"/>
          </w:tcPr>
          <w:p w:rsidR="00F341CD" w:rsidRPr="00B7720C" w:rsidRDefault="00F341CD" w:rsidP="00B7720C">
            <w:pPr>
              <w:jc w:val="right"/>
            </w:pPr>
            <w:r w:rsidRPr="00B7720C">
              <w:t>$24,7</w:t>
            </w:r>
            <w:r w:rsidR="003644E5" w:rsidRPr="00B7720C">
              <w:t>10</w:t>
            </w:r>
          </w:p>
        </w:tc>
        <w:tc>
          <w:tcPr>
            <w:tcW w:w="969" w:type="pct"/>
          </w:tcPr>
          <w:p w:rsidR="00F341CD" w:rsidRPr="00B7720C" w:rsidRDefault="00F341CD" w:rsidP="00B7720C">
            <w:pPr>
              <w:jc w:val="right"/>
            </w:pPr>
            <w:r w:rsidRPr="00B7720C">
              <w:t>$2,837</w:t>
            </w:r>
          </w:p>
        </w:tc>
        <w:tc>
          <w:tcPr>
            <w:tcW w:w="968" w:type="pct"/>
          </w:tcPr>
          <w:p w:rsidR="00F341CD" w:rsidRPr="00B7720C" w:rsidRDefault="00F341CD" w:rsidP="00B7720C">
            <w:pPr>
              <w:jc w:val="right"/>
            </w:pPr>
            <w:r w:rsidRPr="00B7720C">
              <w:t>+13%</w:t>
            </w:r>
          </w:p>
        </w:tc>
      </w:tr>
      <w:tr w:rsidR="00F341CD" w:rsidRPr="00B7720C" w:rsidTr="00B7720C">
        <w:trPr>
          <w:trHeight w:val="113"/>
        </w:trPr>
        <w:tc>
          <w:tcPr>
            <w:tcW w:w="1124" w:type="pct"/>
          </w:tcPr>
          <w:p w:rsidR="00F341CD" w:rsidRPr="00B7720C" w:rsidRDefault="00F341CD" w:rsidP="00B7720C">
            <w:r w:rsidRPr="00B7720C">
              <w:t xml:space="preserve">Other liabilities </w:t>
            </w:r>
          </w:p>
        </w:tc>
        <w:tc>
          <w:tcPr>
            <w:tcW w:w="969" w:type="pct"/>
          </w:tcPr>
          <w:p w:rsidR="00F341CD" w:rsidRPr="00B7720C" w:rsidRDefault="00F341CD" w:rsidP="00B7720C">
            <w:pPr>
              <w:jc w:val="right"/>
            </w:pPr>
            <w:r w:rsidRPr="00B7720C">
              <w:t>$7,878</w:t>
            </w:r>
          </w:p>
        </w:tc>
        <w:tc>
          <w:tcPr>
            <w:tcW w:w="969" w:type="pct"/>
          </w:tcPr>
          <w:p w:rsidR="00F341CD" w:rsidRPr="00B7720C" w:rsidRDefault="00F341CD" w:rsidP="00B7720C">
            <w:pPr>
              <w:jc w:val="right"/>
            </w:pPr>
            <w:r w:rsidRPr="00B7720C">
              <w:t>$8,982</w:t>
            </w:r>
          </w:p>
        </w:tc>
        <w:tc>
          <w:tcPr>
            <w:tcW w:w="969" w:type="pct"/>
          </w:tcPr>
          <w:p w:rsidR="00F341CD" w:rsidRPr="00B7720C" w:rsidRDefault="00F341CD" w:rsidP="00B7720C">
            <w:pPr>
              <w:jc w:val="right"/>
            </w:pPr>
            <w:r w:rsidRPr="00B7720C">
              <w:t>$1,104</w:t>
            </w:r>
          </w:p>
        </w:tc>
        <w:tc>
          <w:tcPr>
            <w:tcW w:w="968" w:type="pct"/>
          </w:tcPr>
          <w:p w:rsidR="00F341CD" w:rsidRPr="00B7720C" w:rsidRDefault="00F341CD" w:rsidP="00B7720C">
            <w:pPr>
              <w:jc w:val="right"/>
            </w:pPr>
            <w:r w:rsidRPr="00B7720C">
              <w:t>+14%</w:t>
            </w:r>
          </w:p>
        </w:tc>
      </w:tr>
      <w:tr w:rsidR="00F341CD" w:rsidRPr="00B7720C" w:rsidTr="00B7720C">
        <w:trPr>
          <w:trHeight w:val="113"/>
        </w:trPr>
        <w:tc>
          <w:tcPr>
            <w:tcW w:w="1124" w:type="pct"/>
          </w:tcPr>
          <w:p w:rsidR="00F341CD" w:rsidRPr="00B7720C" w:rsidRDefault="00F341CD" w:rsidP="00B7720C">
            <w:r w:rsidRPr="00B7720C">
              <w:rPr>
                <w:rStyle w:val="Strong"/>
              </w:rPr>
              <w:t xml:space="preserve">Total liabilities </w:t>
            </w:r>
          </w:p>
        </w:tc>
        <w:tc>
          <w:tcPr>
            <w:tcW w:w="969" w:type="pct"/>
          </w:tcPr>
          <w:p w:rsidR="00F341CD" w:rsidRPr="00B7720C" w:rsidRDefault="00F341CD" w:rsidP="00B7720C">
            <w:pPr>
              <w:jc w:val="right"/>
            </w:pPr>
            <w:r w:rsidRPr="00B7720C">
              <w:rPr>
                <w:rStyle w:val="Strong"/>
              </w:rPr>
              <w:t>$29,750</w:t>
            </w:r>
          </w:p>
        </w:tc>
        <w:tc>
          <w:tcPr>
            <w:tcW w:w="969" w:type="pct"/>
          </w:tcPr>
          <w:p w:rsidR="00F341CD" w:rsidRPr="00B7720C" w:rsidRDefault="00F341CD" w:rsidP="00B7720C">
            <w:pPr>
              <w:jc w:val="right"/>
            </w:pPr>
            <w:r w:rsidRPr="00B7720C">
              <w:rPr>
                <w:rStyle w:val="Strong"/>
              </w:rPr>
              <w:t>$33,691</w:t>
            </w:r>
          </w:p>
        </w:tc>
        <w:tc>
          <w:tcPr>
            <w:tcW w:w="969" w:type="pct"/>
          </w:tcPr>
          <w:p w:rsidR="00F341CD" w:rsidRPr="00B7720C" w:rsidRDefault="00F341CD" w:rsidP="00B7720C">
            <w:pPr>
              <w:jc w:val="right"/>
            </w:pPr>
            <w:r w:rsidRPr="00B7720C">
              <w:rPr>
                <w:rStyle w:val="Strong"/>
              </w:rPr>
              <w:t>$3,941</w:t>
            </w:r>
          </w:p>
        </w:tc>
        <w:tc>
          <w:tcPr>
            <w:tcW w:w="968" w:type="pct"/>
          </w:tcPr>
          <w:p w:rsidR="00F341CD" w:rsidRPr="00B7720C" w:rsidRDefault="00F341CD" w:rsidP="00B7720C">
            <w:pPr>
              <w:jc w:val="right"/>
              <w:rPr>
                <w:rStyle w:val="Strong"/>
              </w:rPr>
            </w:pPr>
            <w:r w:rsidRPr="00B7720C">
              <w:rPr>
                <w:rStyle w:val="Strong"/>
              </w:rPr>
              <w:t>+13.2%</w:t>
            </w:r>
          </w:p>
        </w:tc>
      </w:tr>
      <w:tr w:rsidR="00F341CD" w:rsidRPr="00B7720C" w:rsidTr="00B7720C">
        <w:trPr>
          <w:trHeight w:val="113"/>
        </w:trPr>
        <w:tc>
          <w:tcPr>
            <w:tcW w:w="1124" w:type="pct"/>
          </w:tcPr>
          <w:p w:rsidR="00F341CD" w:rsidRPr="00B7720C" w:rsidRDefault="00F341CD" w:rsidP="00B7720C">
            <w:r w:rsidRPr="00B7720C">
              <w:rPr>
                <w:rStyle w:val="Strong"/>
              </w:rPr>
              <w:t xml:space="preserve">Net worth/equity </w:t>
            </w:r>
          </w:p>
        </w:tc>
        <w:tc>
          <w:tcPr>
            <w:tcW w:w="969" w:type="pct"/>
          </w:tcPr>
          <w:p w:rsidR="00F341CD" w:rsidRPr="00B7720C" w:rsidRDefault="00F341CD" w:rsidP="00B7720C">
            <w:pPr>
              <w:jc w:val="right"/>
            </w:pPr>
            <w:r w:rsidRPr="00B7720C">
              <w:rPr>
                <w:rStyle w:val="Strong"/>
              </w:rPr>
              <w:t>$10,943</w:t>
            </w:r>
          </w:p>
        </w:tc>
        <w:tc>
          <w:tcPr>
            <w:tcW w:w="969" w:type="pct"/>
          </w:tcPr>
          <w:p w:rsidR="00F341CD" w:rsidRPr="00B7720C" w:rsidRDefault="00F341CD" w:rsidP="00B7720C">
            <w:pPr>
              <w:jc w:val="right"/>
            </w:pPr>
            <w:r w:rsidRPr="00B7720C">
              <w:rPr>
                <w:rStyle w:val="Strong"/>
              </w:rPr>
              <w:t>$11,326</w:t>
            </w:r>
          </w:p>
        </w:tc>
        <w:tc>
          <w:tcPr>
            <w:tcW w:w="969" w:type="pct"/>
          </w:tcPr>
          <w:p w:rsidR="00F341CD" w:rsidRPr="00B7720C" w:rsidRDefault="00F341CD" w:rsidP="00B7720C">
            <w:pPr>
              <w:jc w:val="right"/>
            </w:pPr>
            <w:r w:rsidRPr="00B7720C">
              <w:rPr>
                <w:rStyle w:val="Strong"/>
              </w:rPr>
              <w:t>$383</w:t>
            </w:r>
          </w:p>
        </w:tc>
        <w:tc>
          <w:tcPr>
            <w:tcW w:w="968" w:type="pct"/>
          </w:tcPr>
          <w:p w:rsidR="00F341CD" w:rsidRPr="00B7720C" w:rsidRDefault="00F341CD" w:rsidP="00B7720C">
            <w:pPr>
              <w:jc w:val="right"/>
              <w:rPr>
                <w:rStyle w:val="Strong"/>
              </w:rPr>
            </w:pPr>
            <w:r w:rsidRPr="00B7720C">
              <w:rPr>
                <w:rStyle w:val="Strong"/>
              </w:rPr>
              <w:t>+3.5%</w:t>
            </w:r>
          </w:p>
        </w:tc>
      </w:tr>
    </w:tbl>
    <w:p w:rsidR="00D8721E" w:rsidRDefault="00C6397A" w:rsidP="00B7720C">
      <w:pPr>
        <w:pStyle w:val="SourceNotes"/>
      </w:pPr>
      <w:r w:rsidRPr="00D9194D">
        <w:t xml:space="preserve">Note: One of the main reasons of the significant increase in fixed assets and commensurate decrease in ‘other non-current assets’ is a correction in </w:t>
      </w:r>
      <w:r w:rsidR="007262CB">
        <w:t xml:space="preserve">reporting </w:t>
      </w:r>
      <w:r w:rsidRPr="00D9194D">
        <w:t>of around $9.5</w:t>
      </w:r>
      <w:r w:rsidR="00A261F3">
        <w:t> billion</w:t>
      </w:r>
      <w:r w:rsidRPr="00D9194D">
        <w:t xml:space="preserve"> of certain property, plant and equipment items in the balance sheet reporting between</w:t>
      </w:r>
      <w:r w:rsidR="00A261F3">
        <w:t> 201</w:t>
      </w:r>
      <w:r w:rsidR="00456158" w:rsidRPr="00D9194D">
        <w:t>5</w:t>
      </w:r>
      <w:r w:rsidR="00D8721E">
        <w:t>–1</w:t>
      </w:r>
      <w:r w:rsidRPr="00D9194D">
        <w:t>6 and</w:t>
      </w:r>
      <w:r w:rsidR="00A261F3">
        <w:t> 201</w:t>
      </w:r>
      <w:r w:rsidRPr="00D9194D">
        <w:t>6</w:t>
      </w:r>
      <w:r w:rsidR="00D8721E">
        <w:t>–1</w:t>
      </w:r>
      <w:r w:rsidRPr="00D9194D">
        <w:t>7.</w:t>
      </w:r>
    </w:p>
    <w:p w:rsidR="00D8721E" w:rsidRDefault="00B87DBA" w:rsidP="00B7720C">
      <w:r w:rsidRPr="005E7AF8">
        <w:lastRenderedPageBreak/>
        <w:t xml:space="preserve">At </w:t>
      </w:r>
      <w:r w:rsidR="00A261F3">
        <w:t>30 J</w:t>
      </w:r>
      <w:r w:rsidR="00ED43AB">
        <w:t>une</w:t>
      </w:r>
      <w:r w:rsidR="00A261F3">
        <w:t> 201</w:t>
      </w:r>
      <w:r w:rsidR="00827A5A" w:rsidRPr="005E7AF8">
        <w:t>7</w:t>
      </w:r>
      <w:r w:rsidRPr="005E7AF8">
        <w:t xml:space="preserve">, the industry as a whole had </w:t>
      </w:r>
      <w:r w:rsidR="005A6E98" w:rsidRPr="005E7AF8">
        <w:t xml:space="preserve">total </w:t>
      </w:r>
      <w:r w:rsidRPr="005E7AF8">
        <w:t>assets of $</w:t>
      </w:r>
      <w:r w:rsidR="00827A5A" w:rsidRPr="005E7AF8">
        <w:t>4</w:t>
      </w:r>
      <w:r w:rsidR="005E7AF8" w:rsidRPr="005E7AF8">
        <w:t>5.</w:t>
      </w:r>
      <w:r w:rsidR="0056555D">
        <w:t>0</w:t>
      </w:r>
      <w:r w:rsidR="00A261F3">
        <w:t> billion</w:t>
      </w:r>
      <w:r w:rsidRPr="005E7AF8">
        <w:t xml:space="preserve"> (an increase of $</w:t>
      </w:r>
      <w:r w:rsidR="005E7AF8" w:rsidRPr="005E7AF8">
        <w:t>4.</w:t>
      </w:r>
      <w:r w:rsidR="00271A36">
        <w:t>3</w:t>
      </w:r>
      <w:r w:rsidR="00A261F3">
        <w:t> billion</w:t>
      </w:r>
      <w:r w:rsidRPr="005E7AF8">
        <w:t xml:space="preserve"> </w:t>
      </w:r>
      <w:r w:rsidR="001955FC">
        <w:t>since</w:t>
      </w:r>
      <w:r w:rsidRPr="005E7AF8">
        <w:t xml:space="preserve"> </w:t>
      </w:r>
      <w:r w:rsidR="00A261F3">
        <w:t>30 J</w:t>
      </w:r>
      <w:r w:rsidR="00ED43AB">
        <w:t>une</w:t>
      </w:r>
      <w:r w:rsidR="00A261F3">
        <w:t> 201</w:t>
      </w:r>
      <w:r w:rsidR="00827A5A" w:rsidRPr="005E7AF8">
        <w:t>6</w:t>
      </w:r>
      <w:r w:rsidR="001955FC">
        <w:t>)</w:t>
      </w:r>
      <w:r w:rsidRPr="005E7AF8">
        <w:t>. C</w:t>
      </w:r>
      <w:r w:rsidR="00A859AA" w:rsidRPr="005E7AF8">
        <w:t>urrent assets increased by 1</w:t>
      </w:r>
      <w:r w:rsidR="008C2527">
        <w:t>4</w:t>
      </w:r>
      <w:r w:rsidR="00A261F3">
        <w:t> per cent</w:t>
      </w:r>
      <w:r w:rsidR="004F2BB3">
        <w:t xml:space="preserve"> proportionally in line with the growth in accommodation deposits.</w:t>
      </w:r>
      <w:r w:rsidR="00A859AA" w:rsidRPr="005E7AF8">
        <w:t xml:space="preserve"> Due to some corrections in the treatment of certain </w:t>
      </w:r>
      <w:r w:rsidR="00A859AA" w:rsidRPr="0016354B">
        <w:t>items</w:t>
      </w:r>
      <w:r w:rsidR="001955FC" w:rsidRPr="0016354B">
        <w:t xml:space="preserve"> under the ACFR,</w:t>
      </w:r>
      <w:r w:rsidR="00A859AA" w:rsidRPr="0016354B">
        <w:t xml:space="preserve"> there </w:t>
      </w:r>
      <w:r w:rsidR="00A859AA" w:rsidRPr="005E7AF8">
        <w:t>was a significant increase in fixed assets with a commensurate decrease in other non-current assets</w:t>
      </w:r>
      <w:r w:rsidR="00D8721E">
        <w:t>.</w:t>
      </w:r>
    </w:p>
    <w:p w:rsidR="00D8721E" w:rsidRDefault="00B87DBA" w:rsidP="00B7720C">
      <w:r w:rsidRPr="005E7AF8">
        <w:t>Total liabilities were $</w:t>
      </w:r>
      <w:r w:rsidR="00A859AA" w:rsidRPr="005E7AF8">
        <w:t>33.</w:t>
      </w:r>
      <w:r w:rsidR="00B62A05">
        <w:t>7</w:t>
      </w:r>
      <w:r w:rsidR="00A261F3">
        <w:t> billion</w:t>
      </w:r>
      <w:r w:rsidRPr="005E7AF8">
        <w:t xml:space="preserve"> (compared with $2</w:t>
      </w:r>
      <w:r w:rsidR="00A859AA" w:rsidRPr="005E7AF8">
        <w:t>9.8</w:t>
      </w:r>
      <w:r w:rsidR="00A261F3">
        <w:t> billion</w:t>
      </w:r>
      <w:r w:rsidRPr="005E7AF8">
        <w:t xml:space="preserve"> in</w:t>
      </w:r>
      <w:r w:rsidR="00A261F3">
        <w:t> 201</w:t>
      </w:r>
      <w:r w:rsidR="00A859AA" w:rsidRPr="005E7AF8">
        <w:t>5</w:t>
      </w:r>
      <w:r w:rsidR="00D8721E">
        <w:t>–1</w:t>
      </w:r>
      <w:r w:rsidR="00A859AA" w:rsidRPr="005E7AF8">
        <w:t>6</w:t>
      </w:r>
      <w:r w:rsidRPr="005E7AF8">
        <w:t>). This includes the $2</w:t>
      </w:r>
      <w:r w:rsidR="00486F66" w:rsidRPr="005E7AF8">
        <w:t>4.</w:t>
      </w:r>
      <w:r w:rsidR="005E7AF8">
        <w:t>7</w:t>
      </w:r>
      <w:r w:rsidR="00A261F3">
        <w:t> billion</w:t>
      </w:r>
      <w:r w:rsidRPr="005E7AF8">
        <w:t xml:space="preserve"> of accommodation deposits held by industry (up from $</w:t>
      </w:r>
      <w:r w:rsidR="00486F66" w:rsidRPr="005E7AF8">
        <w:t>21.9</w:t>
      </w:r>
      <w:r w:rsidR="00A261F3">
        <w:t> billion</w:t>
      </w:r>
      <w:r w:rsidRPr="005E7AF8">
        <w:t xml:space="preserve"> in</w:t>
      </w:r>
      <w:r w:rsidR="00A261F3">
        <w:t> 201</w:t>
      </w:r>
      <w:r w:rsidR="00486F66" w:rsidRPr="005E7AF8">
        <w:t>5</w:t>
      </w:r>
      <w:r w:rsidR="00D8721E">
        <w:t>–1</w:t>
      </w:r>
      <w:r w:rsidR="00486F66" w:rsidRPr="005E7AF8">
        <w:t>6</w:t>
      </w:r>
      <w:r w:rsidRPr="005E7AF8">
        <w:t>)</w:t>
      </w:r>
      <w:r w:rsidR="00D8721E">
        <w:t>.</w:t>
      </w:r>
    </w:p>
    <w:p w:rsidR="000D0EFD" w:rsidRPr="005E7AF8" w:rsidRDefault="000D0EFD" w:rsidP="00B7720C">
      <w:r w:rsidRPr="005E7AF8">
        <w:t>The sector overall had net equity of $</w:t>
      </w:r>
      <w:r w:rsidR="00486F66" w:rsidRPr="005E7AF8">
        <w:t>11.</w:t>
      </w:r>
      <w:r w:rsidR="00271A36">
        <w:t>3</w:t>
      </w:r>
      <w:r w:rsidR="00A261F3">
        <w:t> billion</w:t>
      </w:r>
      <w:r w:rsidRPr="005E7AF8">
        <w:t xml:space="preserve"> in</w:t>
      </w:r>
      <w:r w:rsidR="00A261F3">
        <w:t> 201</w:t>
      </w:r>
      <w:r w:rsidR="00486F66" w:rsidRPr="005E7AF8">
        <w:t>6</w:t>
      </w:r>
      <w:r w:rsidR="00D8721E">
        <w:t>–1</w:t>
      </w:r>
      <w:r w:rsidR="00486F66" w:rsidRPr="005E7AF8">
        <w:t>7</w:t>
      </w:r>
      <w:r w:rsidRPr="005E7AF8">
        <w:t>, up from $10.9</w:t>
      </w:r>
      <w:r w:rsidR="00A261F3">
        <w:t> billion</w:t>
      </w:r>
      <w:r w:rsidRPr="005E7AF8">
        <w:t xml:space="preserve"> in</w:t>
      </w:r>
      <w:r w:rsidR="00A261F3">
        <w:t> 201</w:t>
      </w:r>
      <w:r w:rsidR="00486F66" w:rsidRPr="005E7AF8">
        <w:t>5</w:t>
      </w:r>
      <w:r w:rsidR="00D8721E">
        <w:t>–1</w:t>
      </w:r>
      <w:r w:rsidR="00486F66" w:rsidRPr="005E7AF8">
        <w:t>6</w:t>
      </w:r>
      <w:r w:rsidRPr="005E7AF8">
        <w:t>.</w:t>
      </w:r>
    </w:p>
    <w:p w:rsidR="003E2AFD" w:rsidRDefault="003E2AFD" w:rsidP="00B7720C">
      <w:r w:rsidRPr="005E7AF8">
        <w:t>Accommodation deposits</w:t>
      </w:r>
      <w:r w:rsidR="00E506F1">
        <w:t>,</w:t>
      </w:r>
      <w:r w:rsidRPr="005E7AF8">
        <w:t xml:space="preserve"> as a proportion of total assets</w:t>
      </w:r>
      <w:r w:rsidR="00E506F1">
        <w:t>,</w:t>
      </w:r>
      <w:r w:rsidRPr="005E7AF8">
        <w:t xml:space="preserve"> is a measure that indicates an organisation’s leveraging and shows the proportion of total assets that have been financed by accommodation deposits. </w:t>
      </w:r>
      <w:r>
        <w:t xml:space="preserve">As shown in </w:t>
      </w:r>
      <w:r w:rsidR="00492BF8">
        <w:fldChar w:fldCharType="begin"/>
      </w:r>
      <w:r w:rsidR="00492BF8">
        <w:instrText xml:space="preserve"> REF _Ref524429675 \r \h </w:instrText>
      </w:r>
      <w:r w:rsidR="00492BF8">
        <w:fldChar w:fldCharType="separate"/>
      </w:r>
      <w:r w:rsidR="00492BF8">
        <w:t>Table 10.2</w:t>
      </w:r>
      <w:r w:rsidR="00492BF8">
        <w:fldChar w:fldCharType="end"/>
      </w:r>
      <w:r>
        <w:t xml:space="preserve">, accommodation deposits as a proportion of total assets has been increasing gradually over the last </w:t>
      </w:r>
      <w:r w:rsidR="00696ED6">
        <w:t>five</w:t>
      </w:r>
      <w:r w:rsidR="003A0790">
        <w:t> </w:t>
      </w:r>
      <w:r>
        <w:t>years from 4</w:t>
      </w:r>
      <w:r w:rsidR="00D00B54">
        <w:t>6</w:t>
      </w:r>
      <w:r w:rsidR="00A261F3">
        <w:t> per cent</w:t>
      </w:r>
      <w:r>
        <w:t xml:space="preserve"> in</w:t>
      </w:r>
      <w:r w:rsidR="00A261F3">
        <w:t> 201</w:t>
      </w:r>
      <w:r>
        <w:t>2</w:t>
      </w:r>
      <w:r w:rsidR="00D8721E">
        <w:t>–1</w:t>
      </w:r>
      <w:r>
        <w:t>3 to 55</w:t>
      </w:r>
      <w:r w:rsidR="00A261F3">
        <w:t> per cent</w:t>
      </w:r>
      <w:r>
        <w:t xml:space="preserve"> in</w:t>
      </w:r>
      <w:r w:rsidR="00A261F3">
        <w:t> 201</w:t>
      </w:r>
      <w:r>
        <w:t>6</w:t>
      </w:r>
      <w:r w:rsidR="00D8721E">
        <w:t>–1</w:t>
      </w:r>
      <w:r>
        <w:t>7.</w:t>
      </w:r>
    </w:p>
    <w:p w:rsidR="00BB1769" w:rsidRDefault="00BB1769" w:rsidP="00B7720C">
      <w:r w:rsidRPr="005E7AF8">
        <w:t xml:space="preserve">Other liabilities, which include secured </w:t>
      </w:r>
      <w:r w:rsidR="00D356F1">
        <w:t xml:space="preserve">bank </w:t>
      </w:r>
      <w:r w:rsidRPr="005E7AF8">
        <w:t xml:space="preserve">and </w:t>
      </w:r>
      <w:r w:rsidR="00D356F1">
        <w:t xml:space="preserve">related party </w:t>
      </w:r>
      <w:r w:rsidRPr="005E7AF8">
        <w:t xml:space="preserve">lenders, creditors and provisions, represent </w:t>
      </w:r>
      <w:r w:rsidR="005E7AF8" w:rsidRPr="005E7AF8">
        <w:t>20</w:t>
      </w:r>
      <w:r w:rsidR="00A261F3">
        <w:t> per cent</w:t>
      </w:r>
      <w:r w:rsidRPr="005E7AF8">
        <w:t xml:space="preserve"> of total asset financing</w:t>
      </w:r>
      <w:r w:rsidR="00624414">
        <w:t>. This has been stable over the last five years.</w:t>
      </w:r>
    </w:p>
    <w:p w:rsidR="00D8721E" w:rsidRDefault="00BB1769" w:rsidP="00B7720C">
      <w:r>
        <w:t>Net worth/</w:t>
      </w:r>
      <w:r w:rsidRPr="00D32F07">
        <w:t>total equity as a proportion of assets is a measure of the share of an organisation which is contributed by and held beneficially by the owners/shareholders.</w:t>
      </w:r>
      <w:r w:rsidR="00624414">
        <w:t xml:space="preserve"> Over the last five years there has been a decline from 3</w:t>
      </w:r>
      <w:r w:rsidR="00341DAB">
        <w:t>3</w:t>
      </w:r>
      <w:r w:rsidR="00A261F3">
        <w:t> per cent</w:t>
      </w:r>
      <w:r w:rsidR="00624414">
        <w:t xml:space="preserve"> in</w:t>
      </w:r>
      <w:r w:rsidR="00A261F3">
        <w:t> 201</w:t>
      </w:r>
      <w:r w:rsidR="00624414">
        <w:t>2</w:t>
      </w:r>
      <w:r w:rsidR="00D8721E">
        <w:t>–1</w:t>
      </w:r>
      <w:r w:rsidR="00624414">
        <w:t>3 to 2</w:t>
      </w:r>
      <w:r w:rsidR="009C307B">
        <w:t>5</w:t>
      </w:r>
      <w:r w:rsidR="00A261F3">
        <w:t> per cent</w:t>
      </w:r>
      <w:r w:rsidR="00624414">
        <w:t xml:space="preserve"> in</w:t>
      </w:r>
      <w:r w:rsidR="00A261F3">
        <w:t> 201</w:t>
      </w:r>
      <w:r w:rsidR="00624414">
        <w:t>6</w:t>
      </w:r>
      <w:r w:rsidR="00D8721E">
        <w:t>–1</w:t>
      </w:r>
      <w:r w:rsidR="00624414">
        <w:t>7.</w:t>
      </w:r>
    </w:p>
    <w:p w:rsidR="00BB1769" w:rsidRPr="00596D01" w:rsidRDefault="00BB1769" w:rsidP="00B7720C">
      <w:pPr>
        <w:pStyle w:val="TableTitle"/>
        <w:rPr>
          <w:rStyle w:val="Strong"/>
        </w:rPr>
      </w:pPr>
      <w:bookmarkStart w:id="890" w:name="_Ref524429675"/>
      <w:r w:rsidRPr="00596D01">
        <w:t>Balance sheet of resid</w:t>
      </w:r>
      <w:r w:rsidR="00021EC9" w:rsidRPr="00596D01">
        <w:t>ential care providers</w:t>
      </w:r>
      <w:r w:rsidR="007262CB" w:rsidRPr="00596D01">
        <w:t xml:space="preserve"> who submitted their GPFR,</w:t>
      </w:r>
      <w:r w:rsidR="00A261F3" w:rsidRPr="00596D01">
        <w:t> 201</w:t>
      </w:r>
      <w:r w:rsidR="007262CB" w:rsidRPr="00596D01">
        <w:t>2</w:t>
      </w:r>
      <w:r w:rsidR="00D8721E" w:rsidRPr="00596D01">
        <w:t>–1</w:t>
      </w:r>
      <w:r w:rsidR="007262CB" w:rsidRPr="00596D01">
        <w:t>3 to</w:t>
      </w:r>
      <w:r w:rsidR="00303CD5">
        <w:t xml:space="preserve"> </w:t>
      </w:r>
      <w:r w:rsidR="00303CD5">
        <w:br/>
      </w:r>
      <w:r w:rsidR="00A261F3" w:rsidRPr="00596D01">
        <w:t>201</w:t>
      </w:r>
      <w:r w:rsidR="007262CB" w:rsidRPr="00596D01">
        <w:t>5</w:t>
      </w:r>
      <w:r w:rsidR="00D8721E" w:rsidRPr="00596D01">
        <w:t>–1</w:t>
      </w:r>
      <w:r w:rsidR="007262CB" w:rsidRPr="00596D01">
        <w:t>6 and ACFR</w:t>
      </w:r>
      <w:r w:rsidR="00021EC9" w:rsidRPr="00596D01">
        <w:t>,</w:t>
      </w:r>
      <w:r w:rsidR="00A261F3" w:rsidRPr="00596D01">
        <w:t> 201</w:t>
      </w:r>
      <w:r w:rsidR="00021EC9" w:rsidRPr="00596D01">
        <w:t>6</w:t>
      </w:r>
      <w:r w:rsidR="00D8721E" w:rsidRPr="00596D01">
        <w:t>–1</w:t>
      </w:r>
      <w:r w:rsidR="00021EC9" w:rsidRPr="00596D01">
        <w:t>7</w:t>
      </w:r>
      <w:bookmarkEnd w:id="890"/>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971"/>
        <w:gridCol w:w="1331"/>
        <w:gridCol w:w="1331"/>
        <w:gridCol w:w="1331"/>
        <w:gridCol w:w="1331"/>
        <w:gridCol w:w="1333"/>
      </w:tblGrid>
      <w:tr w:rsidR="00B7720C" w:rsidRPr="00D8075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543" w:type="pct"/>
          </w:tcPr>
          <w:p w:rsidR="00021EC9" w:rsidRPr="00D8075E" w:rsidRDefault="00021EC9" w:rsidP="00B7720C">
            <w:pPr>
              <w:rPr>
                <w:rFonts w:ascii="Segoe UI" w:hAnsi="Segoe UI" w:cs="Segoe UI"/>
              </w:rPr>
            </w:pPr>
            <w:r w:rsidRPr="00596D01">
              <w:t>Assets/ liabilities</w:t>
            </w:r>
          </w:p>
        </w:tc>
        <w:tc>
          <w:tcPr>
            <w:tcW w:w="691" w:type="pct"/>
          </w:tcPr>
          <w:p w:rsidR="00021EC9" w:rsidRPr="00D8075E" w:rsidRDefault="00021EC9" w:rsidP="00B7720C">
            <w:pPr>
              <w:jc w:val="right"/>
              <w:rPr>
                <w:rFonts w:ascii="Segoe UI" w:hAnsi="Segoe UI" w:cs="Segoe UI"/>
              </w:rPr>
            </w:pPr>
            <w:r w:rsidRPr="00596D01">
              <w:t>2012</w:t>
            </w:r>
            <w:r w:rsidR="00D8721E" w:rsidRPr="00596D01">
              <w:t>–1</w:t>
            </w:r>
            <w:r w:rsidRPr="00596D01">
              <w:t>3</w:t>
            </w:r>
            <w:r w:rsidR="00B7720C">
              <w:br/>
            </w:r>
            <w:r w:rsidRPr="00596D01">
              <w:t>($m)</w:t>
            </w:r>
          </w:p>
        </w:tc>
        <w:tc>
          <w:tcPr>
            <w:tcW w:w="691" w:type="pct"/>
          </w:tcPr>
          <w:p w:rsidR="00021EC9" w:rsidRPr="00D8075E" w:rsidRDefault="00021EC9" w:rsidP="00B7720C">
            <w:pPr>
              <w:jc w:val="right"/>
              <w:rPr>
                <w:rFonts w:ascii="Segoe UI" w:hAnsi="Segoe UI" w:cs="Segoe UI"/>
              </w:rPr>
            </w:pPr>
            <w:r w:rsidRPr="00596D01">
              <w:t>2013</w:t>
            </w:r>
            <w:r w:rsidR="00D8721E" w:rsidRPr="00596D01">
              <w:t>–1</w:t>
            </w:r>
            <w:r w:rsidRPr="00596D01">
              <w:t>4</w:t>
            </w:r>
            <w:r w:rsidR="00B7720C">
              <w:br/>
            </w:r>
            <w:r w:rsidR="003A0790" w:rsidRPr="00596D01">
              <w:t>($m)</w:t>
            </w:r>
          </w:p>
        </w:tc>
        <w:tc>
          <w:tcPr>
            <w:tcW w:w="691" w:type="pct"/>
          </w:tcPr>
          <w:p w:rsidR="00021EC9" w:rsidRPr="00D8075E" w:rsidRDefault="00021EC9" w:rsidP="00B7720C">
            <w:pPr>
              <w:jc w:val="right"/>
              <w:rPr>
                <w:rFonts w:ascii="Segoe UI" w:hAnsi="Segoe UI" w:cs="Segoe UI"/>
              </w:rPr>
            </w:pPr>
            <w:r w:rsidRPr="00596D01">
              <w:t>2014</w:t>
            </w:r>
            <w:r w:rsidR="00D8721E" w:rsidRPr="00596D01">
              <w:t>–1</w:t>
            </w:r>
            <w:r w:rsidRPr="00596D01">
              <w:t>5</w:t>
            </w:r>
            <w:r w:rsidR="00B7720C">
              <w:br/>
            </w:r>
            <w:r w:rsidRPr="00596D01">
              <w:t>($m)</w:t>
            </w:r>
          </w:p>
        </w:tc>
        <w:tc>
          <w:tcPr>
            <w:tcW w:w="691" w:type="pct"/>
          </w:tcPr>
          <w:p w:rsidR="00021EC9" w:rsidRPr="00D8075E" w:rsidRDefault="00021EC9" w:rsidP="00B7720C">
            <w:pPr>
              <w:jc w:val="right"/>
              <w:rPr>
                <w:rFonts w:ascii="Segoe UI" w:hAnsi="Segoe UI" w:cs="Segoe UI"/>
              </w:rPr>
            </w:pPr>
            <w:r w:rsidRPr="00596D01">
              <w:t>2015</w:t>
            </w:r>
            <w:r w:rsidR="00D8721E" w:rsidRPr="00596D01">
              <w:t>–1</w:t>
            </w:r>
            <w:r w:rsidRPr="00596D01">
              <w:t>6</w:t>
            </w:r>
            <w:r w:rsidR="00B7720C">
              <w:br/>
            </w:r>
            <w:r w:rsidRPr="00596D01">
              <w:t>($m)</w:t>
            </w:r>
          </w:p>
        </w:tc>
        <w:tc>
          <w:tcPr>
            <w:tcW w:w="692" w:type="pct"/>
          </w:tcPr>
          <w:p w:rsidR="00793D09" w:rsidRPr="00596D01" w:rsidRDefault="00021EC9" w:rsidP="00B7720C">
            <w:pPr>
              <w:jc w:val="right"/>
            </w:pPr>
            <w:r w:rsidRPr="00596D01">
              <w:t>2016</w:t>
            </w:r>
            <w:r w:rsidR="00D8721E" w:rsidRPr="00596D01">
              <w:t>–1</w:t>
            </w:r>
            <w:r w:rsidRPr="00596D01">
              <w:t>7</w:t>
            </w:r>
            <w:r w:rsidR="00B7720C">
              <w:br/>
            </w:r>
            <w:r w:rsidR="00793D09" w:rsidRPr="00596D01">
              <w:t>($m)</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Cash assets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$3,942</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$3,558</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$5,170</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$5,611</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w:t>
            </w:r>
            <w:r w:rsidR="003644E5" w:rsidRPr="00D8075E">
              <w:rPr>
                <w:rFonts w:ascii="Segoe UI" w:hAnsi="Segoe UI" w:cs="Segoe UI"/>
              </w:rPr>
              <w:t>8,199</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Fixed assets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$9,372</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$10,238</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$10,674</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$11,455</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$2</w:t>
            </w:r>
            <w:r w:rsidR="003644E5" w:rsidRPr="00D8075E">
              <w:rPr>
                <w:rFonts w:ascii="Segoe UI" w:hAnsi="Segoe UI" w:cs="Segoe UI"/>
              </w:rPr>
              <w:t>2,963</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Other assets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$17,539</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$19,866</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$20,742</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$23,629</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$1</w:t>
            </w:r>
            <w:r w:rsidR="003644E5" w:rsidRPr="00D8075E">
              <w:rPr>
                <w:rFonts w:ascii="Segoe UI" w:hAnsi="Segoe UI" w:cs="Segoe UI"/>
              </w:rPr>
              <w:t>3,855</w:t>
            </w:r>
          </w:p>
        </w:tc>
      </w:tr>
      <w:tr w:rsidR="00B7720C" w:rsidRPr="00D8075E" w:rsidTr="00B7720C">
        <w:trPr>
          <w:trHeight w:val="113"/>
        </w:trPr>
        <w:tc>
          <w:tcPr>
            <w:tcW w:w="1543" w:type="pct"/>
          </w:tcPr>
          <w:p w:rsidR="00021EC9" w:rsidRPr="00D8075E" w:rsidRDefault="00021EC9" w:rsidP="00B7720C">
            <w:pPr>
              <w:rPr>
                <w:rFonts w:ascii="Segoe UI" w:hAnsi="Segoe UI" w:cs="Segoe UI"/>
                <w:b/>
              </w:rPr>
            </w:pPr>
            <w:r w:rsidRPr="00596D01">
              <w:rPr>
                <w:rStyle w:val="Strong"/>
              </w:rPr>
              <w:t xml:space="preserve">Total </w:t>
            </w:r>
            <w:r w:rsidR="00B62A05" w:rsidRPr="00596D01">
              <w:rPr>
                <w:rStyle w:val="Strong"/>
              </w:rPr>
              <w:t>a</w:t>
            </w:r>
            <w:r w:rsidRPr="00596D01">
              <w:rPr>
                <w:rStyle w:val="Strong"/>
              </w:rPr>
              <w:t>ssets</w:t>
            </w:r>
          </w:p>
        </w:tc>
        <w:tc>
          <w:tcPr>
            <w:tcW w:w="691" w:type="pct"/>
          </w:tcPr>
          <w:p w:rsidR="00021EC9" w:rsidRPr="00D8075E" w:rsidRDefault="00021EC9" w:rsidP="00B7720C">
            <w:pPr>
              <w:jc w:val="right"/>
              <w:rPr>
                <w:rFonts w:ascii="Segoe UI" w:hAnsi="Segoe UI" w:cs="Segoe UI"/>
                <w:b/>
              </w:rPr>
            </w:pPr>
            <w:r w:rsidRPr="00596D01">
              <w:rPr>
                <w:rStyle w:val="Strong"/>
              </w:rPr>
              <w:t>$30,853</w:t>
            </w:r>
          </w:p>
        </w:tc>
        <w:tc>
          <w:tcPr>
            <w:tcW w:w="691" w:type="pct"/>
          </w:tcPr>
          <w:p w:rsidR="00021EC9" w:rsidRPr="00D8075E" w:rsidRDefault="00021EC9" w:rsidP="00B7720C">
            <w:pPr>
              <w:jc w:val="right"/>
              <w:rPr>
                <w:rFonts w:ascii="Segoe UI" w:hAnsi="Segoe UI" w:cs="Segoe UI"/>
                <w:b/>
              </w:rPr>
            </w:pPr>
            <w:r w:rsidRPr="00596D01">
              <w:rPr>
                <w:rStyle w:val="Strong"/>
              </w:rPr>
              <w:t>$33,662</w:t>
            </w:r>
          </w:p>
        </w:tc>
        <w:tc>
          <w:tcPr>
            <w:tcW w:w="691" w:type="pct"/>
          </w:tcPr>
          <w:p w:rsidR="00021EC9" w:rsidRPr="00D8075E" w:rsidRDefault="00021EC9" w:rsidP="00B7720C">
            <w:pPr>
              <w:jc w:val="right"/>
              <w:rPr>
                <w:rFonts w:ascii="Segoe UI" w:hAnsi="Segoe UI" w:cs="Segoe UI"/>
                <w:b/>
              </w:rPr>
            </w:pPr>
            <w:r w:rsidRPr="00596D01">
              <w:rPr>
                <w:rStyle w:val="Strong"/>
              </w:rPr>
              <w:t>$36,586</w:t>
            </w:r>
          </w:p>
        </w:tc>
        <w:tc>
          <w:tcPr>
            <w:tcW w:w="691" w:type="pct"/>
          </w:tcPr>
          <w:p w:rsidR="00021EC9" w:rsidRPr="00D8075E" w:rsidRDefault="00021EC9" w:rsidP="00B7720C">
            <w:pPr>
              <w:jc w:val="right"/>
              <w:rPr>
                <w:rFonts w:ascii="Segoe UI" w:hAnsi="Segoe UI" w:cs="Segoe UI"/>
                <w:b/>
              </w:rPr>
            </w:pPr>
            <w:r w:rsidRPr="00596D01">
              <w:rPr>
                <w:rStyle w:val="Strong"/>
              </w:rPr>
              <w:t>$40,694</w:t>
            </w:r>
          </w:p>
        </w:tc>
        <w:tc>
          <w:tcPr>
            <w:tcW w:w="692" w:type="pct"/>
          </w:tcPr>
          <w:p w:rsidR="00021EC9" w:rsidRPr="00596D01" w:rsidRDefault="00793D09" w:rsidP="00B7720C">
            <w:pPr>
              <w:jc w:val="right"/>
              <w:rPr>
                <w:rStyle w:val="Strong"/>
              </w:rPr>
            </w:pPr>
            <w:r w:rsidRPr="00596D01">
              <w:rPr>
                <w:rStyle w:val="Strong"/>
              </w:rPr>
              <w:t>$45,017</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Refundable accommodation deposits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$14,295</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$15,611</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$18,213</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$21,872</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$24,7</w:t>
            </w:r>
            <w:r w:rsidR="003644E5" w:rsidRPr="00D8075E">
              <w:rPr>
                <w:rFonts w:ascii="Segoe UI" w:hAnsi="Segoe UI" w:cs="Segoe UI"/>
              </w:rPr>
              <w:t>10</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Other liabilities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$6,369</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$6,883</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$7,472</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$7,878</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$8,981</w:t>
            </w:r>
          </w:p>
        </w:tc>
      </w:tr>
      <w:tr w:rsidR="00B7720C" w:rsidRPr="00D8075E" w:rsidTr="00B7720C">
        <w:trPr>
          <w:trHeight w:val="113"/>
        </w:trPr>
        <w:tc>
          <w:tcPr>
            <w:tcW w:w="1543" w:type="pct"/>
          </w:tcPr>
          <w:p w:rsidR="00021EC9" w:rsidRPr="00D8075E" w:rsidRDefault="00021EC9" w:rsidP="00B7720C">
            <w:pPr>
              <w:rPr>
                <w:rFonts w:ascii="Segoe UI" w:hAnsi="Segoe UI" w:cs="Segoe UI"/>
                <w:b/>
              </w:rPr>
            </w:pPr>
            <w:r w:rsidRPr="00596D01">
              <w:rPr>
                <w:rStyle w:val="Strong"/>
              </w:rPr>
              <w:t>Total liabilities</w:t>
            </w:r>
          </w:p>
        </w:tc>
        <w:tc>
          <w:tcPr>
            <w:tcW w:w="691" w:type="pct"/>
          </w:tcPr>
          <w:p w:rsidR="00021EC9" w:rsidRPr="00D8075E" w:rsidRDefault="00021EC9" w:rsidP="00B7720C">
            <w:pPr>
              <w:jc w:val="right"/>
              <w:rPr>
                <w:rFonts w:ascii="Segoe UI" w:hAnsi="Segoe UI" w:cs="Segoe UI"/>
                <w:b/>
              </w:rPr>
            </w:pPr>
            <w:r w:rsidRPr="00596D01">
              <w:rPr>
                <w:rStyle w:val="Strong"/>
              </w:rPr>
              <w:t>$20,664</w:t>
            </w:r>
          </w:p>
        </w:tc>
        <w:tc>
          <w:tcPr>
            <w:tcW w:w="691" w:type="pct"/>
          </w:tcPr>
          <w:p w:rsidR="00021EC9" w:rsidRPr="00D8075E" w:rsidRDefault="00021EC9" w:rsidP="00B7720C">
            <w:pPr>
              <w:jc w:val="right"/>
              <w:rPr>
                <w:rFonts w:ascii="Segoe UI" w:hAnsi="Segoe UI" w:cs="Segoe UI"/>
                <w:b/>
              </w:rPr>
            </w:pPr>
            <w:r w:rsidRPr="00596D01">
              <w:rPr>
                <w:rStyle w:val="Strong"/>
              </w:rPr>
              <w:t>$22,494</w:t>
            </w:r>
          </w:p>
        </w:tc>
        <w:tc>
          <w:tcPr>
            <w:tcW w:w="691" w:type="pct"/>
          </w:tcPr>
          <w:p w:rsidR="00021EC9" w:rsidRPr="00D8075E" w:rsidRDefault="00021EC9" w:rsidP="00B7720C">
            <w:pPr>
              <w:jc w:val="right"/>
              <w:rPr>
                <w:rFonts w:ascii="Segoe UI" w:hAnsi="Segoe UI" w:cs="Segoe UI"/>
                <w:b/>
              </w:rPr>
            </w:pPr>
            <w:r w:rsidRPr="00596D01">
              <w:rPr>
                <w:rStyle w:val="Strong"/>
              </w:rPr>
              <w:t>$25,685</w:t>
            </w:r>
          </w:p>
        </w:tc>
        <w:tc>
          <w:tcPr>
            <w:tcW w:w="691" w:type="pct"/>
          </w:tcPr>
          <w:p w:rsidR="00021EC9" w:rsidRPr="00D8075E" w:rsidRDefault="00021EC9" w:rsidP="00B7720C">
            <w:pPr>
              <w:jc w:val="right"/>
              <w:rPr>
                <w:rFonts w:ascii="Segoe UI" w:hAnsi="Segoe UI" w:cs="Segoe UI"/>
                <w:b/>
              </w:rPr>
            </w:pPr>
            <w:r w:rsidRPr="00596D01">
              <w:rPr>
                <w:rStyle w:val="Strong"/>
              </w:rPr>
              <w:t>$29,750</w:t>
            </w:r>
          </w:p>
        </w:tc>
        <w:tc>
          <w:tcPr>
            <w:tcW w:w="692" w:type="pct"/>
          </w:tcPr>
          <w:p w:rsidR="00021EC9" w:rsidRPr="00596D01" w:rsidRDefault="00793D09" w:rsidP="00B7720C">
            <w:pPr>
              <w:jc w:val="right"/>
              <w:rPr>
                <w:rStyle w:val="Strong"/>
              </w:rPr>
            </w:pPr>
            <w:r w:rsidRPr="00596D01">
              <w:rPr>
                <w:rStyle w:val="Strong"/>
              </w:rPr>
              <w:t>$33,691</w:t>
            </w:r>
          </w:p>
        </w:tc>
      </w:tr>
      <w:tr w:rsidR="00B7720C" w:rsidRPr="00D8075E" w:rsidTr="00B7720C">
        <w:trPr>
          <w:trHeight w:val="113"/>
        </w:trPr>
        <w:tc>
          <w:tcPr>
            <w:tcW w:w="1543" w:type="pct"/>
          </w:tcPr>
          <w:p w:rsidR="00021EC9" w:rsidRPr="00D8075E" w:rsidRDefault="00021EC9" w:rsidP="00B7720C">
            <w:pPr>
              <w:rPr>
                <w:rFonts w:ascii="Segoe UI" w:hAnsi="Segoe UI" w:cs="Segoe UI"/>
                <w:b/>
              </w:rPr>
            </w:pPr>
            <w:r w:rsidRPr="00596D01">
              <w:rPr>
                <w:rStyle w:val="Strong"/>
              </w:rPr>
              <w:t xml:space="preserve">Net </w:t>
            </w:r>
            <w:r w:rsidR="00B62A05" w:rsidRPr="00596D01">
              <w:rPr>
                <w:rStyle w:val="Strong"/>
              </w:rPr>
              <w:t>w</w:t>
            </w:r>
            <w:r w:rsidRPr="00596D01">
              <w:rPr>
                <w:rStyle w:val="Strong"/>
              </w:rPr>
              <w:t>orth</w:t>
            </w:r>
            <w:r w:rsidR="003A0790" w:rsidRPr="00596D01">
              <w:rPr>
                <w:rStyle w:val="Strong"/>
              </w:rPr>
              <w:t>/</w:t>
            </w:r>
            <w:r w:rsidR="00B62A05" w:rsidRPr="00596D01">
              <w:rPr>
                <w:rStyle w:val="Strong"/>
              </w:rPr>
              <w:t>e</w:t>
            </w:r>
            <w:r w:rsidRPr="00596D01">
              <w:rPr>
                <w:rStyle w:val="Strong"/>
              </w:rPr>
              <w:t>quity</w:t>
            </w:r>
          </w:p>
        </w:tc>
        <w:tc>
          <w:tcPr>
            <w:tcW w:w="691" w:type="pct"/>
          </w:tcPr>
          <w:p w:rsidR="00021EC9" w:rsidRPr="00D8075E" w:rsidRDefault="00021EC9" w:rsidP="00B7720C">
            <w:pPr>
              <w:jc w:val="right"/>
              <w:rPr>
                <w:rFonts w:ascii="Segoe UI" w:hAnsi="Segoe UI" w:cs="Segoe UI"/>
                <w:b/>
              </w:rPr>
            </w:pPr>
            <w:r w:rsidRPr="00596D01">
              <w:rPr>
                <w:rStyle w:val="Strong"/>
              </w:rPr>
              <w:t>$10,189</w:t>
            </w:r>
          </w:p>
        </w:tc>
        <w:tc>
          <w:tcPr>
            <w:tcW w:w="691" w:type="pct"/>
          </w:tcPr>
          <w:p w:rsidR="00021EC9" w:rsidRPr="00D8075E" w:rsidRDefault="00021EC9" w:rsidP="00B7720C">
            <w:pPr>
              <w:jc w:val="right"/>
              <w:rPr>
                <w:rFonts w:ascii="Segoe UI" w:hAnsi="Segoe UI" w:cs="Segoe UI"/>
                <w:b/>
              </w:rPr>
            </w:pPr>
            <w:r w:rsidRPr="00596D01">
              <w:rPr>
                <w:rStyle w:val="Strong"/>
              </w:rPr>
              <w:t>$11,168</w:t>
            </w:r>
          </w:p>
        </w:tc>
        <w:tc>
          <w:tcPr>
            <w:tcW w:w="691" w:type="pct"/>
          </w:tcPr>
          <w:p w:rsidR="00021EC9" w:rsidRPr="00D8075E" w:rsidRDefault="00021EC9" w:rsidP="00B7720C">
            <w:pPr>
              <w:jc w:val="right"/>
              <w:rPr>
                <w:rFonts w:ascii="Segoe UI" w:hAnsi="Segoe UI" w:cs="Segoe UI"/>
                <w:b/>
              </w:rPr>
            </w:pPr>
            <w:r w:rsidRPr="00596D01">
              <w:rPr>
                <w:rStyle w:val="Strong"/>
              </w:rPr>
              <w:t>$10,901</w:t>
            </w:r>
          </w:p>
        </w:tc>
        <w:tc>
          <w:tcPr>
            <w:tcW w:w="691" w:type="pct"/>
          </w:tcPr>
          <w:p w:rsidR="00021EC9" w:rsidRPr="00D8075E" w:rsidRDefault="00021EC9" w:rsidP="00B7720C">
            <w:pPr>
              <w:jc w:val="right"/>
              <w:rPr>
                <w:rFonts w:ascii="Segoe UI" w:hAnsi="Segoe UI" w:cs="Segoe UI"/>
                <w:b/>
              </w:rPr>
            </w:pPr>
            <w:r w:rsidRPr="00596D01">
              <w:rPr>
                <w:rStyle w:val="Strong"/>
              </w:rPr>
              <w:t>$10,944</w:t>
            </w:r>
          </w:p>
        </w:tc>
        <w:tc>
          <w:tcPr>
            <w:tcW w:w="692" w:type="pct"/>
          </w:tcPr>
          <w:p w:rsidR="00021EC9" w:rsidRPr="00596D01" w:rsidRDefault="00793D09" w:rsidP="00B7720C">
            <w:pPr>
              <w:jc w:val="right"/>
              <w:rPr>
                <w:rStyle w:val="Strong"/>
              </w:rPr>
            </w:pPr>
            <w:r w:rsidRPr="00596D01">
              <w:rPr>
                <w:rStyle w:val="Strong"/>
              </w:rPr>
              <w:t>$11,326</w:t>
            </w:r>
          </w:p>
        </w:tc>
      </w:tr>
      <w:tr w:rsidR="00B7720C" w:rsidRPr="00D8075E" w:rsidTr="00B7720C">
        <w:trPr>
          <w:trHeight w:val="113"/>
        </w:trPr>
        <w:tc>
          <w:tcPr>
            <w:tcW w:w="1543" w:type="pct"/>
            <w:shd w:val="clear" w:color="auto" w:fill="E8E8E8" w:themeFill="background2"/>
          </w:tcPr>
          <w:p w:rsidR="00021EC9" w:rsidRPr="00D8075E" w:rsidRDefault="00021EC9" w:rsidP="00B7720C">
            <w:pPr>
              <w:rPr>
                <w:rFonts w:ascii="Segoe UI" w:hAnsi="Segoe UI" w:cs="Segoe UI"/>
                <w:b/>
              </w:rPr>
            </w:pPr>
            <w:r w:rsidRPr="00596D01">
              <w:rPr>
                <w:rStyle w:val="Strong"/>
              </w:rPr>
              <w:t>As % of total assets</w:t>
            </w:r>
          </w:p>
        </w:tc>
        <w:tc>
          <w:tcPr>
            <w:tcW w:w="691" w:type="pct"/>
            <w:shd w:val="clear" w:color="auto" w:fill="E8E8E8" w:themeFill="background2"/>
          </w:tcPr>
          <w:p w:rsidR="00021EC9" w:rsidRPr="00D8075E" w:rsidRDefault="00021EC9" w:rsidP="00B7720C">
            <w:pPr>
              <w:jc w:val="right"/>
              <w:rPr>
                <w:rFonts w:ascii="Segoe UI" w:hAnsi="Segoe UI" w:cs="Segoe UI"/>
                <w:b/>
              </w:rPr>
            </w:pPr>
          </w:p>
        </w:tc>
        <w:tc>
          <w:tcPr>
            <w:tcW w:w="691" w:type="pct"/>
            <w:shd w:val="clear" w:color="auto" w:fill="E8E8E8" w:themeFill="background2"/>
          </w:tcPr>
          <w:p w:rsidR="00021EC9" w:rsidRPr="00D8075E" w:rsidRDefault="00021EC9" w:rsidP="00B7720C">
            <w:pPr>
              <w:jc w:val="right"/>
              <w:rPr>
                <w:rFonts w:ascii="Segoe UI" w:hAnsi="Segoe UI" w:cs="Segoe UI"/>
                <w:b/>
              </w:rPr>
            </w:pPr>
          </w:p>
        </w:tc>
        <w:tc>
          <w:tcPr>
            <w:tcW w:w="691" w:type="pct"/>
            <w:shd w:val="clear" w:color="auto" w:fill="E8E8E8" w:themeFill="background2"/>
          </w:tcPr>
          <w:p w:rsidR="00021EC9" w:rsidRPr="00D8075E" w:rsidRDefault="00021EC9" w:rsidP="00B7720C">
            <w:pPr>
              <w:jc w:val="right"/>
              <w:rPr>
                <w:rFonts w:ascii="Segoe UI" w:hAnsi="Segoe UI" w:cs="Segoe UI"/>
                <w:b/>
              </w:rPr>
            </w:pPr>
          </w:p>
        </w:tc>
        <w:tc>
          <w:tcPr>
            <w:tcW w:w="691" w:type="pct"/>
            <w:shd w:val="clear" w:color="auto" w:fill="E8E8E8" w:themeFill="background2"/>
          </w:tcPr>
          <w:p w:rsidR="00021EC9" w:rsidRPr="00D8075E" w:rsidRDefault="00021EC9" w:rsidP="00B7720C">
            <w:pPr>
              <w:jc w:val="right"/>
              <w:rPr>
                <w:rFonts w:ascii="Segoe UI" w:hAnsi="Segoe UI" w:cs="Segoe UI"/>
                <w:b/>
              </w:rPr>
            </w:pPr>
          </w:p>
        </w:tc>
        <w:tc>
          <w:tcPr>
            <w:tcW w:w="692" w:type="pct"/>
            <w:shd w:val="clear" w:color="auto" w:fill="E8E8E8" w:themeFill="background2"/>
          </w:tcPr>
          <w:p w:rsidR="00021EC9" w:rsidRPr="00596D01" w:rsidRDefault="00021EC9" w:rsidP="00B7720C">
            <w:pPr>
              <w:jc w:val="right"/>
              <w:rPr>
                <w:rStyle w:val="Strong"/>
              </w:rPr>
            </w:pP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Refundable accommodation deposits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46.3%</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46.4%</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49.8%</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53.7%</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54.9%</w:t>
            </w:r>
          </w:p>
        </w:tc>
      </w:tr>
      <w:tr w:rsidR="00B7720C" w:rsidRPr="00D8075E" w:rsidTr="00B7720C">
        <w:trPr>
          <w:trHeight w:val="113"/>
        </w:trPr>
        <w:tc>
          <w:tcPr>
            <w:tcW w:w="1543" w:type="pct"/>
          </w:tcPr>
          <w:p w:rsidR="00021EC9" w:rsidRPr="00D8075E" w:rsidRDefault="00021EC9" w:rsidP="00B7720C">
            <w:pPr>
              <w:rPr>
                <w:rFonts w:ascii="Segoe UI" w:hAnsi="Segoe UI" w:cs="Segoe UI"/>
              </w:rPr>
            </w:pPr>
            <w:r w:rsidRPr="00D8075E">
              <w:rPr>
                <w:rFonts w:ascii="Segoe UI" w:hAnsi="Segoe UI" w:cs="Segoe UI"/>
              </w:rPr>
              <w:t>Other liabilities</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20.6%</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20.4%</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20.4%</w:t>
            </w:r>
          </w:p>
        </w:tc>
        <w:tc>
          <w:tcPr>
            <w:tcW w:w="691" w:type="pct"/>
          </w:tcPr>
          <w:p w:rsidR="00021EC9" w:rsidRPr="00D8075E" w:rsidRDefault="00021EC9" w:rsidP="00B7720C">
            <w:pPr>
              <w:jc w:val="right"/>
              <w:rPr>
                <w:rFonts w:ascii="Segoe UI" w:hAnsi="Segoe UI" w:cs="Segoe UI"/>
              </w:rPr>
            </w:pPr>
            <w:r w:rsidRPr="00D8075E">
              <w:rPr>
                <w:rFonts w:ascii="Segoe UI" w:hAnsi="Segoe UI" w:cs="Segoe UI"/>
              </w:rPr>
              <w:t>19.4%</w:t>
            </w:r>
          </w:p>
        </w:tc>
        <w:tc>
          <w:tcPr>
            <w:tcW w:w="692" w:type="pct"/>
          </w:tcPr>
          <w:p w:rsidR="00021EC9" w:rsidRPr="00D8075E" w:rsidRDefault="00793D09" w:rsidP="00B7720C">
            <w:pPr>
              <w:jc w:val="right"/>
              <w:rPr>
                <w:rFonts w:ascii="Segoe UI" w:hAnsi="Segoe UI" w:cs="Segoe UI"/>
              </w:rPr>
            </w:pPr>
            <w:r w:rsidRPr="00D8075E">
              <w:rPr>
                <w:rFonts w:ascii="Segoe UI" w:hAnsi="Segoe UI" w:cs="Segoe UI"/>
              </w:rPr>
              <w:t>20.0%</w:t>
            </w:r>
          </w:p>
        </w:tc>
      </w:tr>
      <w:tr w:rsidR="00B7720C" w:rsidRPr="00D8075E" w:rsidTr="00B7720C">
        <w:trPr>
          <w:trHeight w:val="113"/>
        </w:trPr>
        <w:tc>
          <w:tcPr>
            <w:tcW w:w="1543" w:type="pct"/>
          </w:tcPr>
          <w:p w:rsidR="00021EC9" w:rsidRPr="00D8075E" w:rsidRDefault="00021EC9" w:rsidP="00B7720C">
            <w:pPr>
              <w:rPr>
                <w:rFonts w:ascii="Segoe UI" w:hAnsi="Segoe UI" w:cs="Segoe UI"/>
                <w:b/>
              </w:rPr>
            </w:pPr>
            <w:r w:rsidRPr="00596D01">
              <w:rPr>
                <w:rStyle w:val="Strong"/>
              </w:rPr>
              <w:t>Total liabilities</w:t>
            </w:r>
          </w:p>
        </w:tc>
        <w:tc>
          <w:tcPr>
            <w:tcW w:w="691" w:type="pct"/>
          </w:tcPr>
          <w:p w:rsidR="00021EC9" w:rsidRPr="00D8075E" w:rsidRDefault="00021EC9" w:rsidP="00B7720C">
            <w:pPr>
              <w:jc w:val="right"/>
              <w:rPr>
                <w:rFonts w:ascii="Segoe UI" w:hAnsi="Segoe UI" w:cs="Segoe UI"/>
                <w:b/>
              </w:rPr>
            </w:pPr>
            <w:r w:rsidRPr="00596D01">
              <w:rPr>
                <w:rStyle w:val="Strong"/>
              </w:rPr>
              <w:t>67.0%</w:t>
            </w:r>
          </w:p>
        </w:tc>
        <w:tc>
          <w:tcPr>
            <w:tcW w:w="691" w:type="pct"/>
          </w:tcPr>
          <w:p w:rsidR="00021EC9" w:rsidRPr="00D8075E" w:rsidRDefault="00021EC9" w:rsidP="00B7720C">
            <w:pPr>
              <w:jc w:val="right"/>
              <w:rPr>
                <w:rFonts w:ascii="Segoe UI" w:hAnsi="Segoe UI" w:cs="Segoe UI"/>
                <w:b/>
              </w:rPr>
            </w:pPr>
            <w:r w:rsidRPr="00596D01">
              <w:rPr>
                <w:rStyle w:val="Strong"/>
              </w:rPr>
              <w:t>66.8%</w:t>
            </w:r>
          </w:p>
        </w:tc>
        <w:tc>
          <w:tcPr>
            <w:tcW w:w="691" w:type="pct"/>
          </w:tcPr>
          <w:p w:rsidR="00021EC9" w:rsidRPr="00D8075E" w:rsidRDefault="00021EC9" w:rsidP="00B7720C">
            <w:pPr>
              <w:jc w:val="right"/>
              <w:rPr>
                <w:rFonts w:ascii="Segoe UI" w:hAnsi="Segoe UI" w:cs="Segoe UI"/>
                <w:b/>
              </w:rPr>
            </w:pPr>
            <w:r w:rsidRPr="00596D01">
              <w:rPr>
                <w:rStyle w:val="Strong"/>
              </w:rPr>
              <w:t>70.2%</w:t>
            </w:r>
          </w:p>
        </w:tc>
        <w:tc>
          <w:tcPr>
            <w:tcW w:w="691" w:type="pct"/>
          </w:tcPr>
          <w:p w:rsidR="00021EC9" w:rsidRPr="00D8075E" w:rsidRDefault="00021EC9" w:rsidP="00B7720C">
            <w:pPr>
              <w:jc w:val="right"/>
              <w:rPr>
                <w:rFonts w:ascii="Segoe UI" w:hAnsi="Segoe UI" w:cs="Segoe UI"/>
                <w:b/>
              </w:rPr>
            </w:pPr>
            <w:r w:rsidRPr="00596D01">
              <w:rPr>
                <w:rStyle w:val="Strong"/>
              </w:rPr>
              <w:t>73.1%</w:t>
            </w:r>
          </w:p>
        </w:tc>
        <w:tc>
          <w:tcPr>
            <w:tcW w:w="692" w:type="pct"/>
          </w:tcPr>
          <w:p w:rsidR="00021EC9" w:rsidRPr="00596D01" w:rsidRDefault="00793D09" w:rsidP="00B7720C">
            <w:pPr>
              <w:jc w:val="right"/>
              <w:rPr>
                <w:rStyle w:val="Strong"/>
              </w:rPr>
            </w:pPr>
            <w:r w:rsidRPr="00596D01">
              <w:rPr>
                <w:rStyle w:val="Strong"/>
              </w:rPr>
              <w:t>74.8%</w:t>
            </w:r>
          </w:p>
        </w:tc>
      </w:tr>
      <w:tr w:rsidR="00B7720C" w:rsidRPr="00D8075E" w:rsidTr="00B7720C">
        <w:trPr>
          <w:trHeight w:val="113"/>
        </w:trPr>
        <w:tc>
          <w:tcPr>
            <w:tcW w:w="1543" w:type="pct"/>
          </w:tcPr>
          <w:p w:rsidR="00021EC9" w:rsidRPr="00D8075E" w:rsidRDefault="00021EC9" w:rsidP="00B7720C">
            <w:pPr>
              <w:rPr>
                <w:rFonts w:ascii="Segoe UI" w:hAnsi="Segoe UI" w:cs="Segoe UI"/>
                <w:b/>
              </w:rPr>
            </w:pPr>
            <w:r w:rsidRPr="00596D01">
              <w:rPr>
                <w:rStyle w:val="Strong"/>
              </w:rPr>
              <w:t xml:space="preserve">Net </w:t>
            </w:r>
            <w:r w:rsidR="00DF089D" w:rsidRPr="00596D01">
              <w:rPr>
                <w:rStyle w:val="Strong"/>
              </w:rPr>
              <w:t>w</w:t>
            </w:r>
            <w:r w:rsidRPr="00596D01">
              <w:rPr>
                <w:rStyle w:val="Strong"/>
              </w:rPr>
              <w:t>orth/</w:t>
            </w:r>
            <w:r w:rsidR="00DF089D" w:rsidRPr="00596D01">
              <w:rPr>
                <w:rStyle w:val="Strong"/>
              </w:rPr>
              <w:t>e</w:t>
            </w:r>
            <w:r w:rsidRPr="00596D01">
              <w:rPr>
                <w:rStyle w:val="Strong"/>
              </w:rPr>
              <w:t>quity</w:t>
            </w:r>
          </w:p>
        </w:tc>
        <w:tc>
          <w:tcPr>
            <w:tcW w:w="691" w:type="pct"/>
          </w:tcPr>
          <w:p w:rsidR="00021EC9" w:rsidRPr="00D8075E" w:rsidRDefault="00021EC9" w:rsidP="00B7720C">
            <w:pPr>
              <w:jc w:val="right"/>
              <w:rPr>
                <w:rFonts w:ascii="Segoe UI" w:hAnsi="Segoe UI" w:cs="Segoe UI"/>
                <w:b/>
              </w:rPr>
            </w:pPr>
            <w:r w:rsidRPr="00596D01">
              <w:rPr>
                <w:rStyle w:val="Strong"/>
              </w:rPr>
              <w:t>33.0%</w:t>
            </w:r>
          </w:p>
        </w:tc>
        <w:tc>
          <w:tcPr>
            <w:tcW w:w="691" w:type="pct"/>
          </w:tcPr>
          <w:p w:rsidR="00021EC9" w:rsidRPr="00D8075E" w:rsidRDefault="00021EC9" w:rsidP="00B7720C">
            <w:pPr>
              <w:jc w:val="right"/>
              <w:rPr>
                <w:rFonts w:ascii="Segoe UI" w:hAnsi="Segoe UI" w:cs="Segoe UI"/>
                <w:b/>
              </w:rPr>
            </w:pPr>
            <w:r w:rsidRPr="00596D01">
              <w:rPr>
                <w:rStyle w:val="Strong"/>
              </w:rPr>
              <w:t>33.2%</w:t>
            </w:r>
          </w:p>
        </w:tc>
        <w:tc>
          <w:tcPr>
            <w:tcW w:w="691" w:type="pct"/>
          </w:tcPr>
          <w:p w:rsidR="00021EC9" w:rsidRPr="00D8075E" w:rsidRDefault="00021EC9" w:rsidP="00B7720C">
            <w:pPr>
              <w:jc w:val="right"/>
              <w:rPr>
                <w:rFonts w:ascii="Segoe UI" w:hAnsi="Segoe UI" w:cs="Segoe UI"/>
                <w:b/>
              </w:rPr>
            </w:pPr>
            <w:r w:rsidRPr="00596D01">
              <w:rPr>
                <w:rStyle w:val="Strong"/>
              </w:rPr>
              <w:t>29.8%</w:t>
            </w:r>
          </w:p>
        </w:tc>
        <w:tc>
          <w:tcPr>
            <w:tcW w:w="691" w:type="pct"/>
          </w:tcPr>
          <w:p w:rsidR="00021EC9" w:rsidRPr="00D8075E" w:rsidRDefault="00021EC9" w:rsidP="00B7720C">
            <w:pPr>
              <w:jc w:val="right"/>
              <w:rPr>
                <w:rFonts w:ascii="Segoe UI" w:hAnsi="Segoe UI" w:cs="Segoe UI"/>
                <w:b/>
              </w:rPr>
            </w:pPr>
            <w:r w:rsidRPr="00596D01">
              <w:rPr>
                <w:rStyle w:val="Strong"/>
              </w:rPr>
              <w:t>26.9%</w:t>
            </w:r>
          </w:p>
        </w:tc>
        <w:tc>
          <w:tcPr>
            <w:tcW w:w="692" w:type="pct"/>
          </w:tcPr>
          <w:p w:rsidR="00021EC9" w:rsidRPr="00596D01" w:rsidRDefault="00793D09" w:rsidP="00B7720C">
            <w:pPr>
              <w:jc w:val="right"/>
              <w:rPr>
                <w:rStyle w:val="Strong"/>
              </w:rPr>
            </w:pPr>
            <w:r w:rsidRPr="00596D01">
              <w:rPr>
                <w:rStyle w:val="Strong"/>
              </w:rPr>
              <w:t>25.2%</w:t>
            </w:r>
          </w:p>
        </w:tc>
      </w:tr>
    </w:tbl>
    <w:p w:rsidR="00120A0B" w:rsidRPr="00596D01" w:rsidRDefault="00120A0B" w:rsidP="00B7720C">
      <w:pPr>
        <w:pStyle w:val="Heading3Numbered"/>
      </w:pPr>
      <w:bookmarkStart w:id="891" w:name="_Toc487702623"/>
      <w:bookmarkStart w:id="892" w:name="_Toc487702975"/>
      <w:bookmarkStart w:id="893" w:name="_Toc487703473"/>
      <w:bookmarkStart w:id="894" w:name="_Toc487703667"/>
      <w:bookmarkStart w:id="895" w:name="_Toc524424800"/>
      <w:r w:rsidRPr="00596D01">
        <w:lastRenderedPageBreak/>
        <w:t>Balance sheet analysis by ownership type</w:t>
      </w:r>
      <w:bookmarkEnd w:id="891"/>
      <w:bookmarkEnd w:id="892"/>
      <w:bookmarkEnd w:id="893"/>
      <w:bookmarkEnd w:id="894"/>
      <w:bookmarkEnd w:id="895"/>
    </w:p>
    <w:p w:rsidR="00D8721E" w:rsidRDefault="00120A0B" w:rsidP="00B7720C">
      <w:r w:rsidRPr="00B62A05">
        <w:t xml:space="preserve">Assets and liabilities have </w:t>
      </w:r>
      <w:r w:rsidR="00554490" w:rsidRPr="00B62A05">
        <w:t>been analysed by ownership type</w:t>
      </w:r>
      <w:r w:rsidRPr="00B62A05">
        <w:t xml:space="preserve"> in order to identify differences between not-for-profit, for-profit and government providers</w:t>
      </w:r>
      <w:r w:rsidR="00330DD1" w:rsidRPr="00B62A05">
        <w:t xml:space="preserve">. </w:t>
      </w:r>
      <w:r w:rsidR="00492BF8">
        <w:fldChar w:fldCharType="begin"/>
      </w:r>
      <w:r w:rsidR="00492BF8">
        <w:instrText xml:space="preserve"> REF _Ref524429689 \r \h </w:instrText>
      </w:r>
      <w:r w:rsidR="00492BF8">
        <w:fldChar w:fldCharType="separate"/>
      </w:r>
      <w:r w:rsidR="00492BF8">
        <w:t>Table 10.3</w:t>
      </w:r>
      <w:r w:rsidR="00492BF8">
        <w:fldChar w:fldCharType="end"/>
      </w:r>
      <w:r w:rsidR="00492BF8">
        <w:t xml:space="preserve"> </w:t>
      </w:r>
      <w:r w:rsidR="00330DD1" w:rsidRPr="00B62A05">
        <w:t>shows the balance sheets by ownership</w:t>
      </w:r>
      <w:r w:rsidR="003644E5">
        <w:t xml:space="preserve"> in</w:t>
      </w:r>
      <w:r w:rsidR="00A261F3">
        <w:t> 201</w:t>
      </w:r>
      <w:r w:rsidR="000068A7">
        <w:t>6</w:t>
      </w:r>
      <w:r w:rsidR="00D8721E">
        <w:t>–1</w:t>
      </w:r>
      <w:r w:rsidR="000068A7">
        <w:t>7</w:t>
      </w:r>
      <w:r w:rsidR="00D8721E">
        <w:t>.</w:t>
      </w:r>
    </w:p>
    <w:p w:rsidR="00D8721E" w:rsidRDefault="00120A0B" w:rsidP="00B7720C">
      <w:r w:rsidRPr="005361D5">
        <w:t xml:space="preserve">At </w:t>
      </w:r>
      <w:r w:rsidR="00A261F3">
        <w:t>30 J</w:t>
      </w:r>
      <w:r w:rsidR="00ED43AB">
        <w:t>une</w:t>
      </w:r>
      <w:r w:rsidR="00A261F3">
        <w:t> 201</w:t>
      </w:r>
      <w:r w:rsidR="00CF6386">
        <w:t>7</w:t>
      </w:r>
      <w:r w:rsidRPr="005361D5">
        <w:t>, the not-f</w:t>
      </w:r>
      <w:r w:rsidR="00D85563">
        <w:t>or-profit providers (who hold 5</w:t>
      </w:r>
      <w:r w:rsidR="00D00B54">
        <w:t>6</w:t>
      </w:r>
      <w:r w:rsidR="00A261F3">
        <w:t> per cent</w:t>
      </w:r>
      <w:r w:rsidRPr="005361D5">
        <w:t xml:space="preserve"> of places i</w:t>
      </w:r>
      <w:r w:rsidR="00554490">
        <w:t>n the sector) had total assets</w:t>
      </w:r>
      <w:r w:rsidRPr="005361D5">
        <w:t xml:space="preserve"> of $2</w:t>
      </w:r>
      <w:r w:rsidR="00271A36">
        <w:t>4</w:t>
      </w:r>
      <w:r w:rsidR="00A261F3">
        <w:t> billion</w:t>
      </w:r>
      <w:r w:rsidRPr="005361D5">
        <w:t xml:space="preserve"> (5</w:t>
      </w:r>
      <w:r w:rsidR="008C2527">
        <w:t>4</w:t>
      </w:r>
      <w:r w:rsidR="00A261F3">
        <w:t> per cent</w:t>
      </w:r>
      <w:r>
        <w:t xml:space="preserve"> of total industry assets)</w:t>
      </w:r>
      <w:r w:rsidR="00CF6386">
        <w:t xml:space="preserve">. </w:t>
      </w:r>
      <w:r w:rsidRPr="005361D5">
        <w:t>The</w:t>
      </w:r>
      <w:r w:rsidR="00D85563">
        <w:t xml:space="preserve"> for</w:t>
      </w:r>
      <w:r w:rsidR="00B62A05">
        <w:noBreakHyphen/>
      </w:r>
      <w:r w:rsidR="00D85563">
        <w:t xml:space="preserve">profit providers </w:t>
      </w:r>
      <w:r w:rsidRPr="005361D5">
        <w:t>had total assets of $1</w:t>
      </w:r>
      <w:r w:rsidR="006B2D0D">
        <w:t>9.5</w:t>
      </w:r>
      <w:r w:rsidR="00A261F3">
        <w:t> billion</w:t>
      </w:r>
      <w:r w:rsidR="00D8721E">
        <w:t>.</w:t>
      </w:r>
    </w:p>
    <w:p w:rsidR="00D8721E" w:rsidRDefault="00120A0B" w:rsidP="00B7720C">
      <w:r w:rsidRPr="005361D5">
        <w:t>As</w:t>
      </w:r>
      <w:r w:rsidR="00CF6386">
        <w:t xml:space="preserve"> has been the case in previous years, the</w:t>
      </w:r>
      <w:r w:rsidRPr="005361D5">
        <w:t xml:space="preserve"> for-profit sector</w:t>
      </w:r>
      <w:r w:rsidR="00CF6386">
        <w:t xml:space="preserve"> </w:t>
      </w:r>
      <w:r w:rsidRPr="005361D5">
        <w:t>had the highest proportion of liabilities</w:t>
      </w:r>
      <w:r w:rsidR="00B62A05">
        <w:t>,</w:t>
      </w:r>
      <w:r w:rsidR="00CF011F">
        <w:t xml:space="preserve"> with total liabilities being 8</w:t>
      </w:r>
      <w:r w:rsidR="00D00B54">
        <w:t>9</w:t>
      </w:r>
      <w:r w:rsidR="00A261F3">
        <w:t> per cent</w:t>
      </w:r>
      <w:r w:rsidR="00CF011F">
        <w:t xml:space="preserve"> of total assets compared with the not</w:t>
      </w:r>
      <w:r w:rsidR="00CF011F">
        <w:noBreakHyphen/>
        <w:t>for</w:t>
      </w:r>
      <w:r w:rsidR="00CF011F">
        <w:noBreakHyphen/>
        <w:t>profit providers with 6</w:t>
      </w:r>
      <w:r w:rsidR="00D00B54">
        <w:t>6</w:t>
      </w:r>
      <w:r w:rsidR="00A261F3">
        <w:t> per cent</w:t>
      </w:r>
      <w:r w:rsidR="00CF011F">
        <w:t>. This significant difference is representative of the way the for-profits operate in terms of higher leveraging</w:t>
      </w:r>
      <w:r w:rsidR="00D8721E">
        <w:t>.</w:t>
      </w:r>
    </w:p>
    <w:p w:rsidR="00D8721E" w:rsidRDefault="00492BF8" w:rsidP="00B7720C">
      <w:r>
        <w:fldChar w:fldCharType="begin"/>
      </w:r>
      <w:r>
        <w:instrText xml:space="preserve"> REF _Ref524428721 \r \h </w:instrText>
      </w:r>
      <w:r>
        <w:fldChar w:fldCharType="separate"/>
      </w:r>
      <w:r>
        <w:t>Chart 10.3</w:t>
      </w:r>
      <w:r>
        <w:fldChar w:fldCharType="end"/>
      </w:r>
      <w:r>
        <w:t xml:space="preserve"> </w:t>
      </w:r>
      <w:r w:rsidR="00F313A3">
        <w:t xml:space="preserve">shows liabilities and net worth/equity as a proportion of total assets. </w:t>
      </w:r>
      <w:r w:rsidR="00120A0B">
        <w:t xml:space="preserve">Government </w:t>
      </w:r>
      <w:r w:rsidR="00120A0B" w:rsidRPr="005361D5">
        <w:t>providers</w:t>
      </w:r>
      <w:r w:rsidR="00CF011F">
        <w:t xml:space="preserve"> again</w:t>
      </w:r>
      <w:r w:rsidR="00120A0B" w:rsidRPr="005361D5">
        <w:t xml:space="preserve"> had</w:t>
      </w:r>
      <w:r w:rsidR="00120A0B">
        <w:t xml:space="preserve"> by far </w:t>
      </w:r>
      <w:r w:rsidR="00120A0B" w:rsidRPr="005361D5">
        <w:t xml:space="preserve">the </w:t>
      </w:r>
      <w:r w:rsidR="00120A0B">
        <w:t>highest net worth/equity</w:t>
      </w:r>
      <w:r w:rsidR="00785D86">
        <w:t xml:space="preserve"> as a proportion of assets</w:t>
      </w:r>
      <w:r w:rsidR="00120A0B">
        <w:t xml:space="preserve"> with 6</w:t>
      </w:r>
      <w:r w:rsidR="00341DAB">
        <w:t>1</w:t>
      </w:r>
      <w:r w:rsidR="00A261F3">
        <w:t> per cent</w:t>
      </w:r>
      <w:r w:rsidR="00120A0B">
        <w:t xml:space="preserve"> followed by the not</w:t>
      </w:r>
      <w:r w:rsidR="00120A0B">
        <w:noBreakHyphen/>
      </w:r>
      <w:r w:rsidR="00120A0B" w:rsidRPr="005361D5">
        <w:t>for</w:t>
      </w:r>
      <w:r w:rsidR="00120A0B">
        <w:noBreakHyphen/>
      </w:r>
      <w:r w:rsidR="00120A0B" w:rsidRPr="005361D5">
        <w:t>profit providers (</w:t>
      </w:r>
      <w:r w:rsidR="00120A0B">
        <w:t>3</w:t>
      </w:r>
      <w:r w:rsidR="008C2527">
        <w:t>4</w:t>
      </w:r>
      <w:r w:rsidR="00A261F3">
        <w:t> per cent</w:t>
      </w:r>
      <w:r w:rsidR="00120A0B">
        <w:t>)</w:t>
      </w:r>
      <w:r w:rsidR="00120A0B" w:rsidRPr="005361D5">
        <w:t xml:space="preserve">. </w:t>
      </w:r>
      <w:r w:rsidR="00785D86">
        <w:t>For</w:t>
      </w:r>
      <w:r w:rsidR="00B62A05">
        <w:noBreakHyphen/>
      </w:r>
      <w:r w:rsidR="00785D86">
        <w:t>profit providers had the lowest</w:t>
      </w:r>
      <w:r w:rsidR="00120A0B">
        <w:t xml:space="preserve"> net worth/equity</w:t>
      </w:r>
      <w:r w:rsidR="00785D86">
        <w:t xml:space="preserve"> as a proportion of assets with </w:t>
      </w:r>
      <w:r w:rsidR="00120A0B">
        <w:t>1</w:t>
      </w:r>
      <w:r w:rsidR="00341DAB">
        <w:t>1</w:t>
      </w:r>
      <w:r w:rsidR="00A261F3">
        <w:t> per cent</w:t>
      </w:r>
      <w:r w:rsidR="00785D86">
        <w:t>,</w:t>
      </w:r>
      <w:r w:rsidR="00120A0B">
        <w:t xml:space="preserve"> which reflects </w:t>
      </w:r>
      <w:r w:rsidR="00120A0B" w:rsidRPr="005361D5">
        <w:t>both a higher proportion of accommodation deposits</w:t>
      </w:r>
      <w:r w:rsidR="000068A7">
        <w:t>,</w:t>
      </w:r>
      <w:r w:rsidR="00120A0B" w:rsidRPr="005361D5">
        <w:t xml:space="preserve"> g</w:t>
      </w:r>
      <w:r w:rsidR="00120A0B" w:rsidRPr="00E75463">
        <w:t>reater use of debt to fund investment</w:t>
      </w:r>
      <w:r w:rsidR="000068A7" w:rsidRPr="00E75463">
        <w:t xml:space="preserve"> and greater distribution of profits</w:t>
      </w:r>
      <w:r w:rsidR="00120A0B" w:rsidRPr="00E75463">
        <w:t>. These different financing characteristics affect the ratios discussed in the rest of this section.</w:t>
      </w:r>
    </w:p>
    <w:p w:rsidR="00F313A3" w:rsidRPr="00596D01" w:rsidRDefault="00F313A3" w:rsidP="00B7720C">
      <w:pPr>
        <w:pStyle w:val="ChartTitle"/>
      </w:pPr>
      <w:bookmarkStart w:id="896" w:name="_Ref524428721"/>
      <w:r w:rsidRPr="00596D01">
        <w:t>Liabilities and net worth/equity as a proportion of total assets,</w:t>
      </w:r>
      <w:r w:rsidR="00A261F3" w:rsidRPr="00596D01">
        <w:t> 201</w:t>
      </w:r>
      <w:r w:rsidRPr="00596D01">
        <w:t>6</w:t>
      </w:r>
      <w:r w:rsidR="00D8721E" w:rsidRPr="00596D01">
        <w:t>–1</w:t>
      </w:r>
      <w:r w:rsidRPr="00596D01">
        <w:t>7, by provider ownership type</w:t>
      </w:r>
      <w:bookmarkEnd w:id="896"/>
    </w:p>
    <w:p w:rsidR="00D8721E" w:rsidRDefault="00F313A3" w:rsidP="00B7720C">
      <w:pPr>
        <w:rPr>
          <w:rFonts w:ascii="Segoe UI" w:hAnsi="Segoe UI" w:cs="Segoe UI"/>
        </w:rPr>
      </w:pPr>
      <w:r>
        <w:rPr>
          <w:noProof/>
        </w:rPr>
        <w:drawing>
          <wp:inline distT="0" distB="0" distL="0" distR="0" wp14:anchorId="77866DAD" wp14:editId="7B2A787C">
            <wp:extent cx="6120000" cy="2066226"/>
            <wp:effectExtent l="0" t="0" r="0" b="0"/>
            <wp:docPr id="8" name="Picture 8" descr="Chart 10.3 Liabilities and net worth/equity as a proportion of total assets, 2016–17, by provider ownership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2.png@01D40D6B.A4641070"/>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6120000" cy="2066226"/>
                    </a:xfrm>
                    <a:prstGeom prst="rect">
                      <a:avLst/>
                    </a:prstGeom>
                    <a:noFill/>
                    <a:ln>
                      <a:noFill/>
                    </a:ln>
                  </pic:spPr>
                </pic:pic>
              </a:graphicData>
            </a:graphic>
          </wp:inline>
        </w:drawing>
      </w:r>
    </w:p>
    <w:p w:rsidR="00B7720C" w:rsidRDefault="00B7720C">
      <w:pPr>
        <w:suppressAutoHyphens w:val="0"/>
        <w:spacing w:before="60" w:after="0"/>
        <w:jc w:val="both"/>
        <w:rPr>
          <w:rFonts w:ascii="Segoe UI" w:hAnsi="Segoe UI" w:cs="Segoe UI"/>
        </w:rPr>
      </w:pPr>
      <w:r>
        <w:rPr>
          <w:rFonts w:ascii="Segoe UI" w:hAnsi="Segoe UI" w:cs="Segoe UI"/>
        </w:rPr>
        <w:br w:type="page"/>
      </w:r>
    </w:p>
    <w:p w:rsidR="00120A0B" w:rsidRPr="00596D01" w:rsidRDefault="00E75463" w:rsidP="00B7720C">
      <w:pPr>
        <w:pStyle w:val="TableTitle"/>
      </w:pPr>
      <w:bookmarkStart w:id="897" w:name="_Ref524429689"/>
      <w:r w:rsidRPr="00596D01">
        <w:lastRenderedPageBreak/>
        <w:t xml:space="preserve">Balance sheet, by ownership type, at </w:t>
      </w:r>
      <w:r w:rsidR="00A261F3" w:rsidRPr="00596D01">
        <w:t>30 J</w:t>
      </w:r>
      <w:r w:rsidRPr="00596D01">
        <w:t>une</w:t>
      </w:r>
      <w:r w:rsidR="00A261F3" w:rsidRPr="00596D01">
        <w:t> 201</w:t>
      </w:r>
      <w:r w:rsidRPr="00596D01">
        <w:t>7</w:t>
      </w:r>
      <w:bookmarkEnd w:id="897"/>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65"/>
        <w:gridCol w:w="1562"/>
        <w:gridCol w:w="1415"/>
        <w:gridCol w:w="1560"/>
        <w:gridCol w:w="1126"/>
      </w:tblGrid>
      <w:tr w:rsidR="00D12B72" w:rsidRPr="00D8075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059" w:type="pct"/>
          </w:tcPr>
          <w:p w:rsidR="00D12B72" w:rsidRPr="00D8075E" w:rsidRDefault="00D12B72" w:rsidP="00330DD1">
            <w:pPr>
              <w:pStyle w:val="TabletextLeft"/>
              <w:rPr>
                <w:rFonts w:ascii="Segoe UI" w:hAnsi="Segoe UI" w:cs="Segoe UI"/>
                <w:b w:val="0"/>
              </w:rPr>
            </w:pPr>
          </w:p>
        </w:tc>
        <w:tc>
          <w:tcPr>
            <w:tcW w:w="811" w:type="pct"/>
          </w:tcPr>
          <w:p w:rsidR="00D12B72" w:rsidRPr="00D8075E" w:rsidRDefault="00D12B72" w:rsidP="00B7720C">
            <w:pPr>
              <w:pStyle w:val="TabletextLeft"/>
              <w:jc w:val="right"/>
              <w:rPr>
                <w:rFonts w:ascii="Segoe UI" w:hAnsi="Segoe UI" w:cs="Segoe UI"/>
                <w:b w:val="0"/>
              </w:rPr>
            </w:pPr>
            <w:r w:rsidRPr="00596D01">
              <w:t>Not-for-profit</w:t>
            </w:r>
            <w:r w:rsidR="00B7720C">
              <w:br/>
            </w:r>
            <w:r w:rsidRPr="00596D01">
              <w:t>($m)</w:t>
            </w:r>
          </w:p>
        </w:tc>
        <w:tc>
          <w:tcPr>
            <w:tcW w:w="735" w:type="pct"/>
          </w:tcPr>
          <w:p w:rsidR="00D12B72" w:rsidRPr="00D8075E" w:rsidRDefault="00D12B72" w:rsidP="00B7720C">
            <w:pPr>
              <w:pStyle w:val="TabletextLeft"/>
              <w:jc w:val="right"/>
              <w:rPr>
                <w:rFonts w:ascii="Segoe UI" w:hAnsi="Segoe UI" w:cs="Segoe UI"/>
                <w:b w:val="0"/>
              </w:rPr>
            </w:pPr>
            <w:r w:rsidRPr="00596D01">
              <w:t>For-profit</w:t>
            </w:r>
            <w:r w:rsidR="00B7720C">
              <w:br/>
            </w:r>
            <w:r w:rsidRPr="00596D01">
              <w:t>($m)</w:t>
            </w:r>
          </w:p>
        </w:tc>
        <w:tc>
          <w:tcPr>
            <w:tcW w:w="810" w:type="pct"/>
          </w:tcPr>
          <w:p w:rsidR="00D12B72" w:rsidRPr="00D8075E" w:rsidRDefault="00D12B72" w:rsidP="00B7720C">
            <w:pPr>
              <w:pStyle w:val="TabletextLeft"/>
              <w:jc w:val="right"/>
              <w:rPr>
                <w:rFonts w:ascii="Segoe UI" w:hAnsi="Segoe UI" w:cs="Segoe UI"/>
                <w:b w:val="0"/>
              </w:rPr>
            </w:pPr>
            <w:r w:rsidRPr="00596D01">
              <w:t>Government</w:t>
            </w:r>
            <w:r w:rsidR="00B7720C">
              <w:br/>
            </w:r>
            <w:r w:rsidRPr="00596D01">
              <w:t>($m)</w:t>
            </w:r>
          </w:p>
        </w:tc>
        <w:tc>
          <w:tcPr>
            <w:tcW w:w="586" w:type="pct"/>
          </w:tcPr>
          <w:p w:rsidR="00D12B72" w:rsidRPr="00596D01" w:rsidRDefault="00D12B72" w:rsidP="00B7720C">
            <w:pPr>
              <w:pStyle w:val="TabletextLeft"/>
              <w:jc w:val="right"/>
            </w:pPr>
            <w:r w:rsidRPr="00596D01">
              <w:t>Total</w:t>
            </w:r>
            <w:r w:rsidR="00B7720C">
              <w:br/>
            </w:r>
            <w:r w:rsidRPr="00596D01">
              <w:t>($m)</w:t>
            </w:r>
          </w:p>
        </w:tc>
      </w:tr>
      <w:tr w:rsidR="00D12B72" w:rsidRPr="00D8075E" w:rsidTr="00B7720C">
        <w:trPr>
          <w:trHeight w:val="113"/>
        </w:trPr>
        <w:tc>
          <w:tcPr>
            <w:tcW w:w="2059" w:type="pct"/>
          </w:tcPr>
          <w:p w:rsidR="00D12B72" w:rsidRPr="00D8075E" w:rsidRDefault="00D12B72" w:rsidP="00B62A05">
            <w:pPr>
              <w:rPr>
                <w:rFonts w:ascii="Segoe UI" w:hAnsi="Segoe UI" w:cs="Segoe UI"/>
                <w:b/>
                <w:color w:val="000000"/>
              </w:rPr>
            </w:pPr>
            <w:r w:rsidRPr="00596D01">
              <w:rPr>
                <w:rStyle w:val="Strong"/>
              </w:rPr>
              <w:t xml:space="preserve">Total </w:t>
            </w:r>
            <w:r w:rsidR="00B62A05" w:rsidRPr="00596D01">
              <w:rPr>
                <w:rStyle w:val="Strong"/>
              </w:rPr>
              <w:t>a</w:t>
            </w:r>
            <w:r w:rsidRPr="00596D01">
              <w:rPr>
                <w:rStyle w:val="Strong"/>
              </w:rPr>
              <w:t>ssets</w:t>
            </w:r>
            <w:r w:rsidRPr="00596D01">
              <w:rPr>
                <w:rStyle w:val="Strong"/>
              </w:rPr>
              <w:br/>
            </w:r>
            <w:r w:rsidRPr="00596D01">
              <w:rPr>
                <w:rStyle w:val="IntenseEmphasis"/>
              </w:rPr>
              <w:t>funded by:</w:t>
            </w:r>
          </w:p>
        </w:tc>
        <w:tc>
          <w:tcPr>
            <w:tcW w:w="811" w:type="pct"/>
          </w:tcPr>
          <w:p w:rsidR="00D12B72" w:rsidRPr="00D8075E" w:rsidRDefault="00D12B72" w:rsidP="00B7720C">
            <w:pPr>
              <w:pStyle w:val="TabletextLeft"/>
              <w:jc w:val="right"/>
              <w:rPr>
                <w:rFonts w:ascii="Segoe UI" w:hAnsi="Segoe UI" w:cs="Segoe UI"/>
                <w:b/>
              </w:rPr>
            </w:pPr>
            <w:r w:rsidRPr="00596D01">
              <w:rPr>
                <w:rStyle w:val="Strong"/>
              </w:rPr>
              <w:t>$24,017</w:t>
            </w:r>
          </w:p>
        </w:tc>
        <w:tc>
          <w:tcPr>
            <w:tcW w:w="735" w:type="pct"/>
          </w:tcPr>
          <w:p w:rsidR="00D12B72" w:rsidRPr="00D8075E" w:rsidRDefault="00D12B72" w:rsidP="00B7720C">
            <w:pPr>
              <w:pStyle w:val="TabletextLeft"/>
              <w:jc w:val="right"/>
              <w:rPr>
                <w:rFonts w:ascii="Segoe UI" w:hAnsi="Segoe UI" w:cs="Segoe UI"/>
                <w:b/>
              </w:rPr>
            </w:pPr>
            <w:r w:rsidRPr="00596D01">
              <w:rPr>
                <w:rStyle w:val="Strong"/>
              </w:rPr>
              <w:t>$19,454</w:t>
            </w:r>
          </w:p>
        </w:tc>
        <w:tc>
          <w:tcPr>
            <w:tcW w:w="810" w:type="pct"/>
          </w:tcPr>
          <w:p w:rsidR="00D12B72" w:rsidRPr="00D8075E" w:rsidRDefault="00D12B72" w:rsidP="00B7720C">
            <w:pPr>
              <w:pStyle w:val="TabletextLeft"/>
              <w:jc w:val="right"/>
              <w:rPr>
                <w:rFonts w:ascii="Segoe UI" w:hAnsi="Segoe UI" w:cs="Segoe UI"/>
                <w:b/>
              </w:rPr>
            </w:pPr>
            <w:r w:rsidRPr="00596D01">
              <w:rPr>
                <w:rStyle w:val="Strong"/>
              </w:rPr>
              <w:t>$1,545</w:t>
            </w:r>
          </w:p>
        </w:tc>
        <w:tc>
          <w:tcPr>
            <w:tcW w:w="586" w:type="pct"/>
          </w:tcPr>
          <w:p w:rsidR="00D12B72" w:rsidRPr="00596D01" w:rsidRDefault="00D12B72" w:rsidP="00B7720C">
            <w:pPr>
              <w:pStyle w:val="TabletextLeft"/>
              <w:jc w:val="right"/>
              <w:rPr>
                <w:rStyle w:val="Strong"/>
              </w:rPr>
            </w:pPr>
            <w:r w:rsidRPr="00596D01">
              <w:rPr>
                <w:rStyle w:val="Strong"/>
              </w:rPr>
              <w:t>$45,017</w:t>
            </w:r>
          </w:p>
        </w:tc>
      </w:tr>
      <w:tr w:rsidR="00D12B72" w:rsidRPr="00D8075E" w:rsidTr="00B7720C">
        <w:trPr>
          <w:trHeight w:val="113"/>
        </w:trPr>
        <w:tc>
          <w:tcPr>
            <w:tcW w:w="2059" w:type="pct"/>
          </w:tcPr>
          <w:p w:rsidR="00D12B72" w:rsidRPr="00D8075E" w:rsidRDefault="00B62A05" w:rsidP="00330DD1">
            <w:pPr>
              <w:rPr>
                <w:rFonts w:ascii="Segoe UI" w:hAnsi="Segoe UI" w:cs="Segoe UI"/>
                <w:color w:val="000000"/>
              </w:rPr>
            </w:pPr>
            <w:r w:rsidRPr="00D8075E">
              <w:rPr>
                <w:rFonts w:ascii="Segoe UI" w:hAnsi="Segoe UI" w:cs="Segoe UI"/>
                <w:color w:val="000000"/>
              </w:rPr>
              <w:t>Refundable accommodation d</w:t>
            </w:r>
            <w:r w:rsidR="00D12B72" w:rsidRPr="00D8075E">
              <w:rPr>
                <w:rFonts w:ascii="Segoe UI" w:hAnsi="Segoe UI" w:cs="Segoe UI"/>
                <w:color w:val="000000"/>
              </w:rPr>
              <w:t>eposits</w:t>
            </w:r>
          </w:p>
        </w:tc>
        <w:tc>
          <w:tcPr>
            <w:tcW w:w="811"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$12,779</w:t>
            </w:r>
          </w:p>
        </w:tc>
        <w:tc>
          <w:tcPr>
            <w:tcW w:w="735"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$11,418</w:t>
            </w:r>
          </w:p>
        </w:tc>
        <w:tc>
          <w:tcPr>
            <w:tcW w:w="810"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$512</w:t>
            </w:r>
          </w:p>
        </w:tc>
        <w:tc>
          <w:tcPr>
            <w:tcW w:w="586"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$24,7</w:t>
            </w:r>
            <w:r w:rsidR="003644E5" w:rsidRPr="00D8075E">
              <w:rPr>
                <w:rFonts w:ascii="Segoe UI" w:hAnsi="Segoe UI" w:cs="Segoe UI"/>
              </w:rPr>
              <w:t>10</w:t>
            </w:r>
          </w:p>
        </w:tc>
      </w:tr>
      <w:tr w:rsidR="00D12B72" w:rsidRPr="00D8075E" w:rsidTr="00B7720C">
        <w:trPr>
          <w:trHeight w:val="113"/>
        </w:trPr>
        <w:tc>
          <w:tcPr>
            <w:tcW w:w="2059" w:type="pct"/>
          </w:tcPr>
          <w:p w:rsidR="00D12B72" w:rsidRPr="00D8075E" w:rsidRDefault="00D12B72" w:rsidP="00330DD1">
            <w:pPr>
              <w:rPr>
                <w:rFonts w:ascii="Segoe UI" w:hAnsi="Segoe UI" w:cs="Segoe UI"/>
                <w:color w:val="000000"/>
              </w:rPr>
            </w:pPr>
            <w:r w:rsidRPr="00D8075E">
              <w:rPr>
                <w:rFonts w:ascii="Segoe UI" w:hAnsi="Segoe UI" w:cs="Segoe UI"/>
                <w:color w:val="000000"/>
              </w:rPr>
              <w:t>Other liabilities</w:t>
            </w:r>
          </w:p>
        </w:tc>
        <w:tc>
          <w:tcPr>
            <w:tcW w:w="811"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$2,980</w:t>
            </w:r>
          </w:p>
        </w:tc>
        <w:tc>
          <w:tcPr>
            <w:tcW w:w="735"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$5,911</w:t>
            </w:r>
          </w:p>
        </w:tc>
        <w:tc>
          <w:tcPr>
            <w:tcW w:w="810"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$90</w:t>
            </w:r>
          </w:p>
        </w:tc>
        <w:tc>
          <w:tcPr>
            <w:tcW w:w="586"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$8,982</w:t>
            </w:r>
          </w:p>
        </w:tc>
      </w:tr>
      <w:tr w:rsidR="00D12B72" w:rsidRPr="00D8075E" w:rsidTr="00B7720C">
        <w:trPr>
          <w:trHeight w:val="113"/>
        </w:trPr>
        <w:tc>
          <w:tcPr>
            <w:tcW w:w="2059" w:type="pct"/>
          </w:tcPr>
          <w:p w:rsidR="00D12B72" w:rsidRPr="00D8075E" w:rsidRDefault="00D12B72" w:rsidP="00330DD1">
            <w:pPr>
              <w:rPr>
                <w:rFonts w:ascii="Segoe UI" w:hAnsi="Segoe UI" w:cs="Segoe UI"/>
                <w:b/>
                <w:color w:val="000000"/>
              </w:rPr>
            </w:pPr>
            <w:r w:rsidRPr="00596D01">
              <w:rPr>
                <w:rStyle w:val="Strong"/>
              </w:rPr>
              <w:t>Total liabilities</w:t>
            </w:r>
          </w:p>
        </w:tc>
        <w:tc>
          <w:tcPr>
            <w:tcW w:w="811" w:type="pct"/>
          </w:tcPr>
          <w:p w:rsidR="00D12B72" w:rsidRPr="00D8075E" w:rsidRDefault="00D12B72" w:rsidP="00B7720C">
            <w:pPr>
              <w:pStyle w:val="TabletextLeft"/>
              <w:jc w:val="right"/>
              <w:rPr>
                <w:rFonts w:ascii="Segoe UI" w:hAnsi="Segoe UI" w:cs="Segoe UI"/>
                <w:b/>
              </w:rPr>
            </w:pPr>
            <w:r w:rsidRPr="00596D01">
              <w:rPr>
                <w:rStyle w:val="Strong"/>
              </w:rPr>
              <w:t>$15,759</w:t>
            </w:r>
          </w:p>
        </w:tc>
        <w:tc>
          <w:tcPr>
            <w:tcW w:w="735" w:type="pct"/>
          </w:tcPr>
          <w:p w:rsidR="00D12B72" w:rsidRPr="00D8075E" w:rsidRDefault="00D12B72" w:rsidP="00B7720C">
            <w:pPr>
              <w:pStyle w:val="TabletextLeft"/>
              <w:jc w:val="right"/>
              <w:rPr>
                <w:rFonts w:ascii="Segoe UI" w:hAnsi="Segoe UI" w:cs="Segoe UI"/>
                <w:b/>
              </w:rPr>
            </w:pPr>
            <w:r w:rsidRPr="00596D01">
              <w:rPr>
                <w:rStyle w:val="Strong"/>
              </w:rPr>
              <w:t>$17,329</w:t>
            </w:r>
          </w:p>
        </w:tc>
        <w:tc>
          <w:tcPr>
            <w:tcW w:w="810" w:type="pct"/>
          </w:tcPr>
          <w:p w:rsidR="00D12B72" w:rsidRPr="00D8075E" w:rsidRDefault="00D12B72" w:rsidP="00B7720C">
            <w:pPr>
              <w:pStyle w:val="TabletextLeft"/>
              <w:jc w:val="right"/>
              <w:rPr>
                <w:rFonts w:ascii="Segoe UI" w:hAnsi="Segoe UI" w:cs="Segoe UI"/>
                <w:b/>
              </w:rPr>
            </w:pPr>
            <w:r w:rsidRPr="00596D01">
              <w:rPr>
                <w:rStyle w:val="Strong"/>
              </w:rPr>
              <w:t>$602</w:t>
            </w:r>
          </w:p>
        </w:tc>
        <w:tc>
          <w:tcPr>
            <w:tcW w:w="586" w:type="pct"/>
          </w:tcPr>
          <w:p w:rsidR="00D12B72" w:rsidRPr="00596D01" w:rsidRDefault="00D12B72" w:rsidP="00B7720C">
            <w:pPr>
              <w:pStyle w:val="TabletextLeft"/>
              <w:jc w:val="right"/>
              <w:rPr>
                <w:rStyle w:val="Strong"/>
              </w:rPr>
            </w:pPr>
            <w:r w:rsidRPr="00596D01">
              <w:rPr>
                <w:rStyle w:val="Strong"/>
              </w:rPr>
              <w:t>$33,690</w:t>
            </w:r>
          </w:p>
        </w:tc>
      </w:tr>
      <w:tr w:rsidR="00D12B72" w:rsidRPr="00D8075E" w:rsidTr="00B7720C">
        <w:trPr>
          <w:trHeight w:val="113"/>
        </w:trPr>
        <w:tc>
          <w:tcPr>
            <w:tcW w:w="2059" w:type="pct"/>
          </w:tcPr>
          <w:p w:rsidR="00D12B72" w:rsidRPr="00D8075E" w:rsidRDefault="00D12B72" w:rsidP="00B62A05">
            <w:pPr>
              <w:rPr>
                <w:rFonts w:ascii="Segoe UI" w:hAnsi="Segoe UI" w:cs="Segoe UI"/>
                <w:b/>
                <w:color w:val="000000"/>
              </w:rPr>
            </w:pPr>
            <w:r w:rsidRPr="00596D01">
              <w:rPr>
                <w:rStyle w:val="Strong"/>
              </w:rPr>
              <w:t xml:space="preserve">Net </w:t>
            </w:r>
            <w:r w:rsidR="00B62A05" w:rsidRPr="00596D01">
              <w:rPr>
                <w:rStyle w:val="Strong"/>
              </w:rPr>
              <w:t>w</w:t>
            </w:r>
            <w:r w:rsidRPr="00596D01">
              <w:rPr>
                <w:rStyle w:val="Strong"/>
              </w:rPr>
              <w:t>orth/</w:t>
            </w:r>
            <w:r w:rsidR="00B62A05" w:rsidRPr="00596D01">
              <w:rPr>
                <w:rStyle w:val="Strong"/>
              </w:rPr>
              <w:t>e</w:t>
            </w:r>
            <w:r w:rsidRPr="00596D01">
              <w:rPr>
                <w:rStyle w:val="Strong"/>
              </w:rPr>
              <w:t>quity</w:t>
            </w:r>
          </w:p>
        </w:tc>
        <w:tc>
          <w:tcPr>
            <w:tcW w:w="811" w:type="pct"/>
          </w:tcPr>
          <w:p w:rsidR="00D12B72" w:rsidRPr="00D8075E" w:rsidRDefault="00D12B72" w:rsidP="00B7720C">
            <w:pPr>
              <w:pStyle w:val="TabletextLeft"/>
              <w:jc w:val="right"/>
              <w:rPr>
                <w:rFonts w:ascii="Segoe UI" w:hAnsi="Segoe UI" w:cs="Segoe UI"/>
                <w:b/>
              </w:rPr>
            </w:pPr>
            <w:r w:rsidRPr="00596D01">
              <w:rPr>
                <w:rStyle w:val="Strong"/>
              </w:rPr>
              <w:t>$8,259</w:t>
            </w:r>
          </w:p>
        </w:tc>
        <w:tc>
          <w:tcPr>
            <w:tcW w:w="735" w:type="pct"/>
          </w:tcPr>
          <w:p w:rsidR="00D12B72" w:rsidRPr="00D8075E" w:rsidRDefault="00D12B72" w:rsidP="00B7720C">
            <w:pPr>
              <w:pStyle w:val="TabletextLeft"/>
              <w:jc w:val="right"/>
              <w:rPr>
                <w:rFonts w:ascii="Segoe UI" w:hAnsi="Segoe UI" w:cs="Segoe UI"/>
                <w:b/>
              </w:rPr>
            </w:pPr>
            <w:r w:rsidRPr="00596D01">
              <w:rPr>
                <w:rStyle w:val="Strong"/>
              </w:rPr>
              <w:t>$2,125</w:t>
            </w:r>
          </w:p>
        </w:tc>
        <w:tc>
          <w:tcPr>
            <w:tcW w:w="810" w:type="pct"/>
          </w:tcPr>
          <w:p w:rsidR="00D12B72" w:rsidRPr="00D8075E" w:rsidRDefault="00D12B72" w:rsidP="00B7720C">
            <w:pPr>
              <w:pStyle w:val="TabletextLeft"/>
              <w:jc w:val="right"/>
              <w:rPr>
                <w:rFonts w:ascii="Segoe UI" w:hAnsi="Segoe UI" w:cs="Segoe UI"/>
                <w:b/>
              </w:rPr>
            </w:pPr>
            <w:r w:rsidRPr="00596D01">
              <w:rPr>
                <w:rStyle w:val="Strong"/>
              </w:rPr>
              <w:t>$942</w:t>
            </w:r>
          </w:p>
        </w:tc>
        <w:tc>
          <w:tcPr>
            <w:tcW w:w="586" w:type="pct"/>
          </w:tcPr>
          <w:p w:rsidR="00D12B72" w:rsidRPr="00596D01" w:rsidRDefault="00D12B72" w:rsidP="00B7720C">
            <w:pPr>
              <w:pStyle w:val="TabletextLeft"/>
              <w:jc w:val="right"/>
              <w:rPr>
                <w:rStyle w:val="Strong"/>
              </w:rPr>
            </w:pPr>
            <w:r w:rsidRPr="00596D01">
              <w:rPr>
                <w:rStyle w:val="Strong"/>
              </w:rPr>
              <w:t>$11,326</w:t>
            </w:r>
          </w:p>
        </w:tc>
      </w:tr>
      <w:tr w:rsidR="00B7720C" w:rsidRPr="00D8075E" w:rsidTr="00B7720C">
        <w:trPr>
          <w:trHeight w:val="113"/>
        </w:trPr>
        <w:tc>
          <w:tcPr>
            <w:tcW w:w="2059" w:type="pct"/>
            <w:shd w:val="clear" w:color="auto" w:fill="E8E8E8" w:themeFill="background2"/>
          </w:tcPr>
          <w:p w:rsidR="00D12B72" w:rsidRPr="00596D01" w:rsidRDefault="00D12B72" w:rsidP="00B62A05">
            <w:pPr>
              <w:rPr>
                <w:rStyle w:val="Strong"/>
              </w:rPr>
            </w:pPr>
            <w:r w:rsidRPr="00596D01">
              <w:rPr>
                <w:rStyle w:val="Strong"/>
              </w:rPr>
              <w:t xml:space="preserve">As a % of </w:t>
            </w:r>
            <w:r w:rsidR="00B62A05" w:rsidRPr="00596D01">
              <w:rPr>
                <w:rStyle w:val="Strong"/>
              </w:rPr>
              <w:t>t</w:t>
            </w:r>
            <w:r w:rsidRPr="00596D01">
              <w:rPr>
                <w:rStyle w:val="Strong"/>
              </w:rPr>
              <w:t xml:space="preserve">otal </w:t>
            </w:r>
            <w:r w:rsidR="00B62A05" w:rsidRPr="00596D01">
              <w:rPr>
                <w:rStyle w:val="Strong"/>
              </w:rPr>
              <w:t>a</w:t>
            </w:r>
            <w:r w:rsidRPr="00596D01">
              <w:rPr>
                <w:rStyle w:val="Strong"/>
              </w:rPr>
              <w:t>ssets</w:t>
            </w:r>
            <w:r w:rsidRPr="00596D01">
              <w:rPr>
                <w:rStyle w:val="IntenseEmphasis"/>
              </w:rPr>
              <w:t xml:space="preserve"> </w:t>
            </w:r>
          </w:p>
        </w:tc>
        <w:tc>
          <w:tcPr>
            <w:tcW w:w="811" w:type="pct"/>
            <w:shd w:val="clear" w:color="auto" w:fill="E8E8E8" w:themeFill="background2"/>
          </w:tcPr>
          <w:p w:rsidR="00D12B72" w:rsidRPr="00D8075E" w:rsidRDefault="00D12B72" w:rsidP="00B7720C">
            <w:pPr>
              <w:jc w:val="right"/>
              <w:rPr>
                <w:rFonts w:ascii="Segoe UI" w:hAnsi="Segoe UI" w:cs="Segoe UI"/>
                <w:color w:val="000000"/>
              </w:rPr>
            </w:pPr>
          </w:p>
        </w:tc>
        <w:tc>
          <w:tcPr>
            <w:tcW w:w="735" w:type="pct"/>
            <w:shd w:val="clear" w:color="auto" w:fill="E8E8E8" w:themeFill="background2"/>
          </w:tcPr>
          <w:p w:rsidR="00D12B72" w:rsidRPr="00D8075E" w:rsidRDefault="00D12B72" w:rsidP="00B7720C">
            <w:pPr>
              <w:jc w:val="right"/>
              <w:rPr>
                <w:rFonts w:ascii="Segoe UI" w:hAnsi="Segoe UI" w:cs="Segoe UI"/>
                <w:color w:val="000000"/>
              </w:rPr>
            </w:pPr>
          </w:p>
        </w:tc>
        <w:tc>
          <w:tcPr>
            <w:tcW w:w="810" w:type="pct"/>
            <w:shd w:val="clear" w:color="auto" w:fill="E8E8E8" w:themeFill="background2"/>
          </w:tcPr>
          <w:p w:rsidR="00D12B72" w:rsidRPr="00D8075E" w:rsidRDefault="00D12B72" w:rsidP="00B7720C">
            <w:pPr>
              <w:jc w:val="right"/>
              <w:rPr>
                <w:rFonts w:ascii="Segoe UI" w:hAnsi="Segoe UI" w:cs="Segoe UI"/>
                <w:color w:val="000000"/>
              </w:rPr>
            </w:pPr>
          </w:p>
        </w:tc>
        <w:tc>
          <w:tcPr>
            <w:tcW w:w="586" w:type="pct"/>
            <w:shd w:val="clear" w:color="auto" w:fill="E8E8E8" w:themeFill="background2"/>
          </w:tcPr>
          <w:p w:rsidR="00D12B72" w:rsidRPr="00D8075E" w:rsidRDefault="00D12B72" w:rsidP="00B7720C">
            <w:pPr>
              <w:jc w:val="right"/>
              <w:rPr>
                <w:rFonts w:ascii="Segoe UI" w:hAnsi="Segoe UI" w:cs="Segoe UI"/>
                <w:color w:val="000000"/>
              </w:rPr>
            </w:pPr>
          </w:p>
        </w:tc>
      </w:tr>
      <w:tr w:rsidR="00D12B72" w:rsidRPr="00D8075E" w:rsidTr="00B7720C">
        <w:trPr>
          <w:trHeight w:val="113"/>
        </w:trPr>
        <w:tc>
          <w:tcPr>
            <w:tcW w:w="2059" w:type="pct"/>
          </w:tcPr>
          <w:p w:rsidR="00D12B72" w:rsidRPr="00D8075E" w:rsidRDefault="00D12B72" w:rsidP="00B62A05">
            <w:pPr>
              <w:rPr>
                <w:rFonts w:ascii="Segoe UI" w:hAnsi="Segoe UI" w:cs="Segoe UI"/>
                <w:color w:val="000000"/>
              </w:rPr>
            </w:pPr>
            <w:r w:rsidRPr="00D8075E">
              <w:rPr>
                <w:rFonts w:ascii="Segoe UI" w:hAnsi="Segoe UI" w:cs="Segoe UI"/>
                <w:color w:val="000000"/>
              </w:rPr>
              <w:t xml:space="preserve">Refundable </w:t>
            </w:r>
            <w:r w:rsidR="00B62A05" w:rsidRPr="00D8075E">
              <w:rPr>
                <w:rFonts w:ascii="Segoe UI" w:hAnsi="Segoe UI" w:cs="Segoe UI"/>
                <w:color w:val="000000"/>
              </w:rPr>
              <w:t>accommodation d</w:t>
            </w:r>
            <w:r w:rsidRPr="00D8075E">
              <w:rPr>
                <w:rFonts w:ascii="Segoe UI" w:hAnsi="Segoe UI" w:cs="Segoe UI"/>
                <w:color w:val="000000"/>
              </w:rPr>
              <w:t>eposits</w:t>
            </w:r>
          </w:p>
        </w:tc>
        <w:tc>
          <w:tcPr>
            <w:tcW w:w="811"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53</w:t>
            </w:r>
            <w:r w:rsidR="00147B54" w:rsidRPr="00D8075E">
              <w:rPr>
                <w:rFonts w:ascii="Segoe UI" w:hAnsi="Segoe UI" w:cs="Segoe UI"/>
              </w:rPr>
              <w:t>.2</w:t>
            </w:r>
            <w:r w:rsidRPr="00D8075E">
              <w:rPr>
                <w:rFonts w:ascii="Segoe UI" w:hAnsi="Segoe UI" w:cs="Segoe UI"/>
              </w:rPr>
              <w:t>%</w:t>
            </w:r>
          </w:p>
        </w:tc>
        <w:tc>
          <w:tcPr>
            <w:tcW w:w="735"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58</w:t>
            </w:r>
            <w:r w:rsidR="00147B54" w:rsidRPr="00D8075E">
              <w:rPr>
                <w:rFonts w:ascii="Segoe UI" w:hAnsi="Segoe UI" w:cs="Segoe UI"/>
              </w:rPr>
              <w:t>.7</w:t>
            </w:r>
            <w:r w:rsidRPr="00D8075E">
              <w:rPr>
                <w:rFonts w:ascii="Segoe UI" w:hAnsi="Segoe UI" w:cs="Segoe UI"/>
              </w:rPr>
              <w:t>%</w:t>
            </w:r>
          </w:p>
        </w:tc>
        <w:tc>
          <w:tcPr>
            <w:tcW w:w="810"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3</w:t>
            </w:r>
            <w:r w:rsidR="00C762E2" w:rsidRPr="00D8075E">
              <w:rPr>
                <w:rFonts w:ascii="Segoe UI" w:hAnsi="Segoe UI" w:cs="Segoe UI"/>
              </w:rPr>
              <w:t>3.1</w:t>
            </w:r>
            <w:r w:rsidRPr="00D8075E">
              <w:rPr>
                <w:rFonts w:ascii="Segoe UI" w:hAnsi="Segoe UI" w:cs="Segoe UI"/>
              </w:rPr>
              <w:t>%</w:t>
            </w:r>
          </w:p>
        </w:tc>
        <w:tc>
          <w:tcPr>
            <w:tcW w:w="586"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5</w:t>
            </w:r>
            <w:r w:rsidR="00C762E2" w:rsidRPr="00D8075E">
              <w:rPr>
                <w:rFonts w:ascii="Segoe UI" w:hAnsi="Segoe UI" w:cs="Segoe UI"/>
              </w:rPr>
              <w:t>4.9</w:t>
            </w:r>
            <w:r w:rsidRPr="00D8075E">
              <w:rPr>
                <w:rFonts w:ascii="Segoe UI" w:hAnsi="Segoe UI" w:cs="Segoe UI"/>
              </w:rPr>
              <w:t>%</w:t>
            </w:r>
          </w:p>
        </w:tc>
      </w:tr>
      <w:tr w:rsidR="00D12B72" w:rsidRPr="00D8075E" w:rsidTr="00B7720C">
        <w:trPr>
          <w:trHeight w:val="113"/>
        </w:trPr>
        <w:tc>
          <w:tcPr>
            <w:tcW w:w="2059" w:type="pct"/>
          </w:tcPr>
          <w:p w:rsidR="00D12B72" w:rsidRPr="00D8075E" w:rsidRDefault="00D12B72" w:rsidP="00330DD1">
            <w:pPr>
              <w:rPr>
                <w:rFonts w:ascii="Segoe UI" w:hAnsi="Segoe UI" w:cs="Segoe UI"/>
                <w:color w:val="000000"/>
              </w:rPr>
            </w:pPr>
            <w:r w:rsidRPr="00D8075E">
              <w:rPr>
                <w:rFonts w:ascii="Segoe UI" w:hAnsi="Segoe UI" w:cs="Segoe UI"/>
                <w:color w:val="000000"/>
              </w:rPr>
              <w:t>Other liabilities</w:t>
            </w:r>
          </w:p>
        </w:tc>
        <w:tc>
          <w:tcPr>
            <w:tcW w:w="811"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12</w:t>
            </w:r>
            <w:r w:rsidR="00147B54" w:rsidRPr="00D8075E">
              <w:rPr>
                <w:rFonts w:ascii="Segoe UI" w:hAnsi="Segoe UI" w:cs="Segoe UI"/>
              </w:rPr>
              <w:t>.4</w:t>
            </w:r>
            <w:r w:rsidRPr="00D8075E">
              <w:rPr>
                <w:rFonts w:ascii="Segoe UI" w:hAnsi="Segoe UI" w:cs="Segoe UI"/>
              </w:rPr>
              <w:t>%</w:t>
            </w:r>
          </w:p>
        </w:tc>
        <w:tc>
          <w:tcPr>
            <w:tcW w:w="735"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30</w:t>
            </w:r>
            <w:r w:rsidR="00C762E2" w:rsidRPr="00D8075E">
              <w:rPr>
                <w:rFonts w:ascii="Segoe UI" w:hAnsi="Segoe UI" w:cs="Segoe UI"/>
              </w:rPr>
              <w:t>.4</w:t>
            </w:r>
            <w:r w:rsidRPr="00D8075E">
              <w:rPr>
                <w:rFonts w:ascii="Segoe UI" w:hAnsi="Segoe UI" w:cs="Segoe UI"/>
              </w:rPr>
              <w:t>%</w:t>
            </w:r>
          </w:p>
        </w:tc>
        <w:tc>
          <w:tcPr>
            <w:tcW w:w="810" w:type="pct"/>
          </w:tcPr>
          <w:p w:rsidR="00D12B72" w:rsidRPr="00D8075E" w:rsidRDefault="00C762E2" w:rsidP="00B7720C">
            <w:pPr>
              <w:pStyle w:val="TabletextLeft"/>
              <w:jc w:val="right"/>
              <w:rPr>
                <w:rFonts w:ascii="Segoe UI" w:hAnsi="Segoe UI" w:cs="Segoe UI"/>
              </w:rPr>
            </w:pPr>
            <w:r w:rsidRPr="00D8075E">
              <w:rPr>
                <w:rFonts w:ascii="Segoe UI" w:hAnsi="Segoe UI" w:cs="Segoe UI"/>
              </w:rPr>
              <w:t>5.9</w:t>
            </w:r>
            <w:r w:rsidR="00D12B72" w:rsidRPr="00D8075E">
              <w:rPr>
                <w:rFonts w:ascii="Segoe UI" w:hAnsi="Segoe UI" w:cs="Segoe UI"/>
              </w:rPr>
              <w:t>%</w:t>
            </w:r>
          </w:p>
        </w:tc>
        <w:tc>
          <w:tcPr>
            <w:tcW w:w="586" w:type="pct"/>
          </w:tcPr>
          <w:p w:rsidR="00D12B72" w:rsidRPr="00D8075E" w:rsidRDefault="00D12B72" w:rsidP="00B7720C">
            <w:pPr>
              <w:pStyle w:val="TabletextLeft"/>
              <w:jc w:val="right"/>
              <w:rPr>
                <w:rFonts w:ascii="Segoe UI" w:hAnsi="Segoe UI" w:cs="Segoe UI"/>
              </w:rPr>
            </w:pPr>
            <w:r w:rsidRPr="00D8075E">
              <w:rPr>
                <w:rFonts w:ascii="Segoe UI" w:hAnsi="Segoe UI" w:cs="Segoe UI"/>
              </w:rPr>
              <w:t>20</w:t>
            </w:r>
            <w:r w:rsidR="00C762E2" w:rsidRPr="00D8075E">
              <w:rPr>
                <w:rFonts w:ascii="Segoe UI" w:hAnsi="Segoe UI" w:cs="Segoe UI"/>
              </w:rPr>
              <w:t>.0</w:t>
            </w:r>
            <w:r w:rsidRPr="00D8075E">
              <w:rPr>
                <w:rFonts w:ascii="Segoe UI" w:hAnsi="Segoe UI" w:cs="Segoe UI"/>
              </w:rPr>
              <w:t>%</w:t>
            </w:r>
          </w:p>
        </w:tc>
      </w:tr>
      <w:tr w:rsidR="00D12B72" w:rsidRPr="00D8075E" w:rsidTr="00B7720C">
        <w:trPr>
          <w:trHeight w:val="113"/>
        </w:trPr>
        <w:tc>
          <w:tcPr>
            <w:tcW w:w="2059" w:type="pct"/>
          </w:tcPr>
          <w:p w:rsidR="00D12B72" w:rsidRPr="00D8075E" w:rsidRDefault="00D12B72" w:rsidP="00330DD1">
            <w:pPr>
              <w:rPr>
                <w:rFonts w:ascii="Segoe UI" w:hAnsi="Segoe UI" w:cs="Segoe UI"/>
                <w:b/>
                <w:color w:val="000000"/>
              </w:rPr>
            </w:pPr>
            <w:r w:rsidRPr="00596D01">
              <w:rPr>
                <w:rStyle w:val="Strong"/>
              </w:rPr>
              <w:t>Total liabilities</w:t>
            </w:r>
          </w:p>
        </w:tc>
        <w:tc>
          <w:tcPr>
            <w:tcW w:w="811" w:type="pct"/>
          </w:tcPr>
          <w:p w:rsidR="00D12B72" w:rsidRPr="00D8075E" w:rsidRDefault="00D12B72" w:rsidP="00B7720C">
            <w:pPr>
              <w:pStyle w:val="TabletextLeft"/>
              <w:jc w:val="right"/>
              <w:rPr>
                <w:rFonts w:ascii="Segoe UI" w:hAnsi="Segoe UI" w:cs="Segoe UI"/>
                <w:b/>
              </w:rPr>
            </w:pPr>
            <w:r w:rsidRPr="00596D01">
              <w:rPr>
                <w:rStyle w:val="Strong"/>
              </w:rPr>
              <w:t>66%</w:t>
            </w:r>
          </w:p>
        </w:tc>
        <w:tc>
          <w:tcPr>
            <w:tcW w:w="735" w:type="pct"/>
          </w:tcPr>
          <w:p w:rsidR="00D12B72" w:rsidRPr="00D8075E" w:rsidRDefault="00D12B72" w:rsidP="00B7720C">
            <w:pPr>
              <w:pStyle w:val="TabletextLeft"/>
              <w:jc w:val="right"/>
              <w:rPr>
                <w:rFonts w:ascii="Segoe UI" w:hAnsi="Segoe UI" w:cs="Segoe UI"/>
                <w:b/>
              </w:rPr>
            </w:pPr>
            <w:r w:rsidRPr="00596D01">
              <w:rPr>
                <w:rStyle w:val="Strong"/>
              </w:rPr>
              <w:t>89%</w:t>
            </w:r>
          </w:p>
        </w:tc>
        <w:tc>
          <w:tcPr>
            <w:tcW w:w="810" w:type="pct"/>
          </w:tcPr>
          <w:p w:rsidR="00D12B72" w:rsidRPr="00D8075E" w:rsidRDefault="00D12B72" w:rsidP="00B7720C">
            <w:pPr>
              <w:pStyle w:val="TabletextLeft"/>
              <w:jc w:val="right"/>
              <w:rPr>
                <w:rFonts w:ascii="Segoe UI" w:hAnsi="Segoe UI" w:cs="Segoe UI"/>
                <w:b/>
              </w:rPr>
            </w:pPr>
            <w:r w:rsidRPr="00596D01">
              <w:rPr>
                <w:rStyle w:val="Strong"/>
              </w:rPr>
              <w:t>39%</w:t>
            </w:r>
          </w:p>
        </w:tc>
        <w:tc>
          <w:tcPr>
            <w:tcW w:w="586" w:type="pct"/>
          </w:tcPr>
          <w:p w:rsidR="00D12B72" w:rsidRPr="00596D01" w:rsidRDefault="00D12B72" w:rsidP="00B7720C">
            <w:pPr>
              <w:pStyle w:val="TabletextLeft"/>
              <w:jc w:val="right"/>
              <w:rPr>
                <w:rStyle w:val="Strong"/>
              </w:rPr>
            </w:pPr>
            <w:r w:rsidRPr="00596D01">
              <w:rPr>
                <w:rStyle w:val="Strong"/>
              </w:rPr>
              <w:t>75%</w:t>
            </w:r>
          </w:p>
        </w:tc>
      </w:tr>
      <w:tr w:rsidR="00D12B72" w:rsidRPr="00D8075E" w:rsidTr="00B7720C">
        <w:trPr>
          <w:trHeight w:val="113"/>
        </w:trPr>
        <w:tc>
          <w:tcPr>
            <w:tcW w:w="2059" w:type="pct"/>
          </w:tcPr>
          <w:p w:rsidR="00D12B72" w:rsidRPr="00D8075E" w:rsidRDefault="00D12B72" w:rsidP="00330DD1">
            <w:pPr>
              <w:rPr>
                <w:rFonts w:ascii="Segoe UI" w:hAnsi="Segoe UI" w:cs="Segoe UI"/>
                <w:b/>
                <w:color w:val="000000"/>
              </w:rPr>
            </w:pPr>
            <w:r w:rsidRPr="00596D01">
              <w:rPr>
                <w:rStyle w:val="Strong"/>
              </w:rPr>
              <w:t>Net worth/equity</w:t>
            </w:r>
          </w:p>
        </w:tc>
        <w:tc>
          <w:tcPr>
            <w:tcW w:w="811" w:type="pct"/>
          </w:tcPr>
          <w:p w:rsidR="00D12B72" w:rsidRPr="00D8075E" w:rsidRDefault="00D12B72" w:rsidP="00B7720C">
            <w:pPr>
              <w:pStyle w:val="TabletextLeft"/>
              <w:jc w:val="right"/>
              <w:rPr>
                <w:rFonts w:ascii="Segoe UI" w:hAnsi="Segoe UI" w:cs="Segoe UI"/>
                <w:b/>
              </w:rPr>
            </w:pPr>
            <w:r w:rsidRPr="00596D01">
              <w:rPr>
                <w:rStyle w:val="Strong"/>
              </w:rPr>
              <w:t>34</w:t>
            </w:r>
            <w:r w:rsidR="00147B54" w:rsidRPr="00596D01">
              <w:rPr>
                <w:rStyle w:val="Strong"/>
              </w:rPr>
              <w:t>.4</w:t>
            </w:r>
            <w:r w:rsidRPr="00596D01">
              <w:rPr>
                <w:rStyle w:val="Strong"/>
              </w:rPr>
              <w:t>%</w:t>
            </w:r>
          </w:p>
        </w:tc>
        <w:tc>
          <w:tcPr>
            <w:tcW w:w="735" w:type="pct"/>
          </w:tcPr>
          <w:p w:rsidR="00D12B72" w:rsidRPr="00D8075E" w:rsidRDefault="00D12B72" w:rsidP="00B7720C">
            <w:pPr>
              <w:pStyle w:val="TabletextLeft"/>
              <w:jc w:val="right"/>
              <w:rPr>
                <w:rFonts w:ascii="Segoe UI" w:hAnsi="Segoe UI" w:cs="Segoe UI"/>
                <w:b/>
              </w:rPr>
            </w:pPr>
            <w:r w:rsidRPr="00596D01">
              <w:rPr>
                <w:rStyle w:val="Strong"/>
              </w:rPr>
              <w:t>1</w:t>
            </w:r>
            <w:r w:rsidR="00C762E2" w:rsidRPr="00596D01">
              <w:rPr>
                <w:rStyle w:val="Strong"/>
              </w:rPr>
              <w:t>0.9</w:t>
            </w:r>
            <w:r w:rsidRPr="00596D01">
              <w:rPr>
                <w:rStyle w:val="Strong"/>
              </w:rPr>
              <w:t>%</w:t>
            </w:r>
          </w:p>
        </w:tc>
        <w:tc>
          <w:tcPr>
            <w:tcW w:w="810" w:type="pct"/>
          </w:tcPr>
          <w:p w:rsidR="00D12B72" w:rsidRPr="00D8075E" w:rsidRDefault="00D12B72" w:rsidP="00B7720C">
            <w:pPr>
              <w:pStyle w:val="TabletextLeft"/>
              <w:jc w:val="right"/>
              <w:rPr>
                <w:rFonts w:ascii="Segoe UI" w:hAnsi="Segoe UI" w:cs="Segoe UI"/>
                <w:b/>
              </w:rPr>
            </w:pPr>
            <w:r w:rsidRPr="00596D01">
              <w:rPr>
                <w:rStyle w:val="Strong"/>
              </w:rPr>
              <w:t>61</w:t>
            </w:r>
            <w:r w:rsidR="00C762E2" w:rsidRPr="00596D01">
              <w:rPr>
                <w:rStyle w:val="Strong"/>
              </w:rPr>
              <w:t>.0</w:t>
            </w:r>
            <w:r w:rsidRPr="00596D01">
              <w:rPr>
                <w:rStyle w:val="Strong"/>
              </w:rPr>
              <w:t>%</w:t>
            </w:r>
          </w:p>
        </w:tc>
        <w:tc>
          <w:tcPr>
            <w:tcW w:w="586" w:type="pct"/>
          </w:tcPr>
          <w:p w:rsidR="00D12B72" w:rsidRPr="00596D01" w:rsidRDefault="00D12B72" w:rsidP="00B7720C">
            <w:pPr>
              <w:pStyle w:val="TabletextLeft"/>
              <w:jc w:val="right"/>
              <w:rPr>
                <w:rStyle w:val="Strong"/>
              </w:rPr>
            </w:pPr>
            <w:r w:rsidRPr="00596D01">
              <w:rPr>
                <w:rStyle w:val="Strong"/>
              </w:rPr>
              <w:t>25</w:t>
            </w:r>
            <w:r w:rsidR="00C762E2" w:rsidRPr="00596D01">
              <w:rPr>
                <w:rStyle w:val="Strong"/>
              </w:rPr>
              <w:t>.2</w:t>
            </w:r>
            <w:r w:rsidRPr="00596D01">
              <w:rPr>
                <w:rStyle w:val="Strong"/>
              </w:rPr>
              <w:t>%</w:t>
            </w:r>
          </w:p>
        </w:tc>
      </w:tr>
    </w:tbl>
    <w:p w:rsidR="00D8721E" w:rsidRDefault="00492BF8" w:rsidP="00B7720C">
      <w:r>
        <w:fldChar w:fldCharType="begin"/>
      </w:r>
      <w:r>
        <w:instrText xml:space="preserve"> REF _Ref524429650 \r \h </w:instrText>
      </w:r>
      <w:r>
        <w:fldChar w:fldCharType="separate"/>
      </w:r>
      <w:r>
        <w:t>Table 10.4</w:t>
      </w:r>
      <w:r>
        <w:fldChar w:fldCharType="end"/>
      </w:r>
      <w:r>
        <w:t xml:space="preserve"> </w:t>
      </w:r>
      <w:r w:rsidR="003E2AFD" w:rsidRPr="000068A7">
        <w:t>presents the consolidated balance sheet at segment and organisation level</w:t>
      </w:r>
      <w:r w:rsidR="003E2AFD">
        <w:t xml:space="preserve"> for</w:t>
      </w:r>
      <w:r w:rsidR="00A261F3">
        <w:t> 201</w:t>
      </w:r>
      <w:r w:rsidR="003E2AFD">
        <w:t>6</w:t>
      </w:r>
      <w:r w:rsidR="00D8721E">
        <w:t>–1</w:t>
      </w:r>
      <w:r w:rsidR="003E2AFD">
        <w:t>7</w:t>
      </w:r>
      <w:r w:rsidR="003E2AFD" w:rsidRPr="000068A7">
        <w:t>. This has been presented for the</w:t>
      </w:r>
      <w:r w:rsidR="003E2AFD">
        <w:t xml:space="preserve"> first time</w:t>
      </w:r>
      <w:r w:rsidR="003E2AFD" w:rsidRPr="000068A7">
        <w:t>, and disaggregates the large ‘other asset’ and ‘other liability’ categories to present a more comprehensive picture of the assets and liabilities of the sector</w:t>
      </w:r>
      <w:r w:rsidR="00D8721E">
        <w:t>.</w:t>
      </w:r>
    </w:p>
    <w:p w:rsidR="00D8721E" w:rsidRDefault="003E2AFD" w:rsidP="00B7720C">
      <w:r w:rsidRPr="000068A7">
        <w:t xml:space="preserve">An exception </w:t>
      </w:r>
      <w:r>
        <w:t>is</w:t>
      </w:r>
      <w:r w:rsidRPr="000068A7">
        <w:t xml:space="preserve"> government organisations, as data is not available to be disaggregated to the same level as not-for-profit and for-profit providers. In future years more detailed comparative analysis, including enhanced balance sheet ratios will be possible for not</w:t>
      </w:r>
      <w:r w:rsidR="004426CC">
        <w:noBreakHyphen/>
      </w:r>
      <w:r w:rsidRPr="000068A7">
        <w:t>for</w:t>
      </w:r>
      <w:r w:rsidR="004426CC">
        <w:noBreakHyphen/>
      </w:r>
      <w:r w:rsidRPr="000068A7">
        <w:t>profit and for</w:t>
      </w:r>
      <w:r w:rsidR="004426CC">
        <w:noBreakHyphen/>
      </w:r>
      <w:r w:rsidRPr="000068A7">
        <w:t>profit providers within the sector.</w:t>
      </w:r>
    </w:p>
    <w:p w:rsidR="00993DBC" w:rsidRPr="00596D01" w:rsidRDefault="00A92B1C" w:rsidP="00B7720C">
      <w:pPr>
        <w:pStyle w:val="TableTitle"/>
      </w:pPr>
      <w:bookmarkStart w:id="898" w:name="_Ref524429650"/>
      <w:r w:rsidRPr="00596D01">
        <w:t xml:space="preserve">Disaggregated </w:t>
      </w:r>
      <w:r w:rsidR="003401E1" w:rsidRPr="00596D01">
        <w:t>b</w:t>
      </w:r>
      <w:r w:rsidRPr="00596D01">
        <w:t xml:space="preserve">alance </w:t>
      </w:r>
      <w:r w:rsidR="003401E1" w:rsidRPr="00596D01">
        <w:t>s</w:t>
      </w:r>
      <w:r w:rsidRPr="00596D01">
        <w:t xml:space="preserve">heet by organisation, at </w:t>
      </w:r>
      <w:r w:rsidR="00A261F3" w:rsidRPr="00596D01">
        <w:t>30 J</w:t>
      </w:r>
      <w:r w:rsidRPr="00596D01">
        <w:t>une</w:t>
      </w:r>
      <w:r w:rsidR="00A261F3" w:rsidRPr="00596D01">
        <w:t> 201</w:t>
      </w:r>
      <w:r w:rsidRPr="00596D01">
        <w:t>7</w:t>
      </w:r>
      <w:bookmarkEnd w:id="898"/>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660"/>
        <w:gridCol w:w="1481"/>
        <w:gridCol w:w="1625"/>
        <w:gridCol w:w="1320"/>
        <w:gridCol w:w="1542"/>
      </w:tblGrid>
      <w:tr w:rsidR="00B7720C" w:rsidRPr="00D8075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901" w:type="pct"/>
            <w:noWrap/>
            <w:hideMark/>
          </w:tcPr>
          <w:p w:rsidR="00B7720C" w:rsidRPr="00596D01" w:rsidRDefault="00B7720C" w:rsidP="00B7720C"/>
        </w:tc>
        <w:tc>
          <w:tcPr>
            <w:tcW w:w="769" w:type="pct"/>
            <w:noWrap/>
            <w:hideMark/>
          </w:tcPr>
          <w:p w:rsidR="00B7720C" w:rsidRPr="00D8075E" w:rsidRDefault="00B7720C" w:rsidP="00B7720C">
            <w:pPr>
              <w:jc w:val="right"/>
              <w:rPr>
                <w:rFonts w:ascii="Segoe UI" w:hAnsi="Segoe UI" w:cs="Segoe UI"/>
              </w:rPr>
            </w:pPr>
            <w:r w:rsidRPr="00596D01">
              <w:t>Total sector ($m)</w:t>
            </w:r>
          </w:p>
        </w:tc>
        <w:tc>
          <w:tcPr>
            <w:tcW w:w="844" w:type="pct"/>
            <w:noWrap/>
            <w:hideMark/>
          </w:tcPr>
          <w:p w:rsidR="00B7720C" w:rsidRPr="00D8075E" w:rsidRDefault="00B7720C" w:rsidP="00B7720C">
            <w:pPr>
              <w:jc w:val="right"/>
              <w:rPr>
                <w:rFonts w:ascii="Segoe UI" w:hAnsi="Segoe UI" w:cs="Segoe UI"/>
              </w:rPr>
            </w:pPr>
            <w:r w:rsidRPr="00596D01">
              <w:t>Not-for-profit ($m)</w:t>
            </w:r>
          </w:p>
        </w:tc>
        <w:tc>
          <w:tcPr>
            <w:tcW w:w="686" w:type="pct"/>
            <w:noWrap/>
            <w:hideMark/>
          </w:tcPr>
          <w:p w:rsidR="00B7720C" w:rsidRPr="00D8075E" w:rsidRDefault="00B7720C" w:rsidP="00B7720C">
            <w:pPr>
              <w:jc w:val="right"/>
              <w:rPr>
                <w:rFonts w:ascii="Segoe UI" w:hAnsi="Segoe UI" w:cs="Segoe UI"/>
              </w:rPr>
            </w:pPr>
            <w:r w:rsidRPr="00596D01">
              <w:t>For-profit ($m)</w:t>
            </w:r>
          </w:p>
        </w:tc>
        <w:tc>
          <w:tcPr>
            <w:tcW w:w="801" w:type="pct"/>
            <w:noWrap/>
            <w:hideMark/>
          </w:tcPr>
          <w:p w:rsidR="00B7720C" w:rsidRPr="00596D01" w:rsidRDefault="00B7720C" w:rsidP="00B7720C">
            <w:pPr>
              <w:jc w:val="right"/>
            </w:pPr>
            <w:r w:rsidRPr="00596D01">
              <w:t>Government ($m)</w:t>
            </w:r>
          </w:p>
        </w:tc>
      </w:tr>
      <w:tr w:rsidR="00B7720C" w:rsidRPr="00D8075E" w:rsidTr="00B7720C">
        <w:trPr>
          <w:trHeight w:val="113"/>
        </w:trPr>
        <w:tc>
          <w:tcPr>
            <w:tcW w:w="1901" w:type="pct"/>
            <w:noWrap/>
          </w:tcPr>
          <w:p w:rsidR="00B7720C" w:rsidRPr="00596D01" w:rsidRDefault="00B7720C" w:rsidP="00B7720C">
            <w:pPr>
              <w:rPr>
                <w:rStyle w:val="Strong"/>
              </w:rPr>
            </w:pPr>
            <w:r w:rsidRPr="00596D01">
              <w:rPr>
                <w:rStyle w:val="Strong"/>
              </w:rPr>
              <w:t>Assets</w:t>
            </w:r>
          </w:p>
        </w:tc>
        <w:tc>
          <w:tcPr>
            <w:tcW w:w="769" w:type="pct"/>
            <w:noWrap/>
          </w:tcPr>
          <w:p w:rsidR="00B7720C" w:rsidRPr="00D8075E" w:rsidRDefault="00B7720C" w:rsidP="00B7720C">
            <w:pPr>
              <w:jc w:val="right"/>
              <w:rPr>
                <w:rFonts w:ascii="Segoe UI" w:hAnsi="Segoe UI" w:cs="Segoe UI"/>
                <w:color w:val="000000"/>
              </w:rPr>
            </w:pPr>
          </w:p>
        </w:tc>
        <w:tc>
          <w:tcPr>
            <w:tcW w:w="844" w:type="pct"/>
            <w:noWrap/>
          </w:tcPr>
          <w:p w:rsidR="00B7720C" w:rsidRPr="00D8075E" w:rsidRDefault="00B7720C" w:rsidP="00B7720C">
            <w:pPr>
              <w:jc w:val="right"/>
              <w:rPr>
                <w:rFonts w:ascii="Segoe UI" w:hAnsi="Segoe UI" w:cs="Segoe UI"/>
                <w:color w:val="000000"/>
              </w:rPr>
            </w:pPr>
          </w:p>
        </w:tc>
        <w:tc>
          <w:tcPr>
            <w:tcW w:w="686" w:type="pct"/>
            <w:noWrap/>
          </w:tcPr>
          <w:p w:rsidR="00B7720C" w:rsidRPr="00D8075E" w:rsidRDefault="00B7720C" w:rsidP="00B7720C">
            <w:pPr>
              <w:jc w:val="right"/>
              <w:rPr>
                <w:rFonts w:ascii="Segoe UI" w:hAnsi="Segoe UI" w:cs="Segoe UI"/>
                <w:color w:val="000000"/>
              </w:rPr>
            </w:pPr>
          </w:p>
        </w:tc>
        <w:tc>
          <w:tcPr>
            <w:tcW w:w="801" w:type="pct"/>
            <w:noWrap/>
          </w:tcPr>
          <w:p w:rsidR="00B7720C" w:rsidRPr="00D8075E" w:rsidRDefault="00B7720C" w:rsidP="00B7720C">
            <w:pPr>
              <w:jc w:val="right"/>
              <w:rPr>
                <w:rFonts w:ascii="Segoe UI" w:hAnsi="Segoe UI" w:cs="Segoe UI"/>
                <w:color w:val="000000"/>
              </w:rPr>
            </w:pPr>
          </w:p>
        </w:tc>
      </w:tr>
      <w:tr w:rsidR="00B7720C" w:rsidRPr="00D8075E" w:rsidTr="00B7720C">
        <w:trPr>
          <w:trHeight w:val="113"/>
        </w:trPr>
        <w:tc>
          <w:tcPr>
            <w:tcW w:w="1901" w:type="pct"/>
            <w:noWrap/>
            <w:hideMark/>
          </w:tcPr>
          <w:p w:rsidR="00B7720C" w:rsidRPr="00596D01" w:rsidRDefault="00B7720C" w:rsidP="00B7720C">
            <w:pPr>
              <w:rPr>
                <w:rStyle w:val="Strong"/>
              </w:rPr>
            </w:pPr>
            <w:r w:rsidRPr="00596D01">
              <w:rPr>
                <w:rStyle w:val="Strong"/>
              </w:rPr>
              <w:t>Current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 </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 </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 </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 </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Cash</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$5,873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$4,096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$1,676</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$102</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Financial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$2,004</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$1,916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$88</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Trade receivables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$516</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$322</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$194</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RADs &amp; RACs receivable</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$876</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$513</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$363</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 xml:space="preserve">Related party loans </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$2,868</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$191</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$2,677</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lastRenderedPageBreak/>
              <w:t xml:space="preserve">Work in progress </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$193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$153</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$40</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Other current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$808</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$297</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$132</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$379</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current assets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$13,138</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$7,486</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$5,170</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$481</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b/>
                <w:bCs/>
                <w:color w:val="000000"/>
                <w:u w:val="single"/>
              </w:rPr>
            </w:pPr>
            <w:r w:rsidRPr="00596D01">
              <w:rPr>
                <w:rStyle w:val="Strong"/>
              </w:rPr>
              <w:t>Non-current assets</w:t>
            </w:r>
          </w:p>
        </w:tc>
        <w:tc>
          <w:tcPr>
            <w:tcW w:w="769"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44"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686"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01" w:type="pct"/>
            <w:noWrap/>
            <w:hideMark/>
          </w:tcPr>
          <w:p w:rsidR="00B7720C" w:rsidRPr="00596D01" w:rsidRDefault="00B7720C" w:rsidP="00B7720C">
            <w:pPr>
              <w:jc w:val="right"/>
              <w:rPr>
                <w:rStyle w:val="Strong"/>
              </w:rPr>
            </w:pPr>
            <w:r w:rsidRPr="00596D01">
              <w:rPr>
                <w:rStyle w:val="Strong"/>
              </w:rPr>
              <w:t> </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Financial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$322</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$215</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$107</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Related party loans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$1,752</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$1,696</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Fixed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$22,963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$14,506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$7,469</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$967</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Work in progress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$685</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$584</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$101</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Intangibles</w:t>
            </w:r>
            <w:r>
              <w:rPr>
                <w:rFonts w:ascii="Segoe UI" w:hAnsi="Segoe UI" w:cs="Segoe UI"/>
                <w:color w:val="000000"/>
              </w:rPr>
              <w:t xml:space="preserve"> – </w:t>
            </w:r>
            <w:r w:rsidRPr="00D8075E">
              <w:rPr>
                <w:rFonts w:ascii="Segoe UI" w:hAnsi="Segoe UI" w:cs="Segoe UI"/>
                <w:color w:val="000000"/>
              </w:rPr>
              <w:t>bed licences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$2,924</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$969</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$1,955</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 xml:space="preserve">Intangibles </w:t>
            </w:r>
            <w:r>
              <w:rPr>
                <w:rFonts w:ascii="Segoe UI" w:hAnsi="Segoe UI" w:cs="Segoe UI"/>
                <w:color w:val="000000"/>
              </w:rPr>
              <w:t>–</w:t>
            </w:r>
            <w:r w:rsidRPr="00D8075E">
              <w:rPr>
                <w:rFonts w:ascii="Segoe UI" w:hAnsi="Segoe UI" w:cs="Segoe UI"/>
                <w:color w:val="000000"/>
              </w:rPr>
              <w:t xml:space="preserve"> other</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$2,601</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$156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$2,445</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Other non-current assets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$633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$511</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$76</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non-current assets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$31,880</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$16,531</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$14,284</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$1,064</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assets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$45,017</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$24,018</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$19,454</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$1,545</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b/>
                <w:bCs/>
                <w:color w:val="000000"/>
                <w:u w:val="single"/>
              </w:rPr>
            </w:pPr>
            <w:r w:rsidRPr="00596D01">
              <w:rPr>
                <w:rStyle w:val="Strong"/>
              </w:rPr>
              <w:t>Liabilities</w:t>
            </w:r>
          </w:p>
        </w:tc>
        <w:tc>
          <w:tcPr>
            <w:tcW w:w="769"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44"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686"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01" w:type="pct"/>
            <w:noWrap/>
            <w:hideMark/>
          </w:tcPr>
          <w:p w:rsidR="00B7720C" w:rsidRPr="00596D01" w:rsidRDefault="00B7720C" w:rsidP="00B7720C">
            <w:pPr>
              <w:jc w:val="right"/>
              <w:rPr>
                <w:rStyle w:val="Strong"/>
              </w:rPr>
            </w:pPr>
            <w:r w:rsidRPr="00596D01">
              <w:rPr>
                <w:rStyle w:val="Strong"/>
              </w:rPr>
              <w:t> </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b/>
                <w:bCs/>
                <w:color w:val="000000"/>
              </w:rPr>
            </w:pPr>
            <w:r w:rsidRPr="00596D01">
              <w:rPr>
                <w:rStyle w:val="Strong"/>
              </w:rPr>
              <w:t>Current liabilities</w:t>
            </w:r>
          </w:p>
        </w:tc>
        <w:tc>
          <w:tcPr>
            <w:tcW w:w="769"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44"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686"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01" w:type="pct"/>
            <w:noWrap/>
            <w:hideMark/>
          </w:tcPr>
          <w:p w:rsidR="00B7720C" w:rsidRPr="00596D01" w:rsidRDefault="00B7720C" w:rsidP="00B7720C">
            <w:pPr>
              <w:jc w:val="right"/>
              <w:rPr>
                <w:rStyle w:val="Strong"/>
              </w:rPr>
            </w:pPr>
            <w:r w:rsidRPr="00596D01">
              <w:rPr>
                <w:rStyle w:val="Strong"/>
              </w:rPr>
              <w:t> </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Accommodation deposits (including bonds)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$24,710</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$12,779</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$11,418</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$512</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Related party loans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$1,497</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$108</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$1,389</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Bank borrowings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$623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$206</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$417</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Employee provisions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$1,093</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$641</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$452</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Other current liabilities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$2,426</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$1,179</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$1,204</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$43</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current liabilities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$30,349</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$14,913</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$14,881</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$555</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b/>
                <w:bCs/>
                <w:color w:val="000000"/>
                <w:u w:val="single"/>
              </w:rPr>
            </w:pPr>
            <w:r w:rsidRPr="00596D01">
              <w:rPr>
                <w:rStyle w:val="Strong"/>
              </w:rPr>
              <w:t>Non-current liabilities</w:t>
            </w:r>
          </w:p>
        </w:tc>
        <w:tc>
          <w:tcPr>
            <w:tcW w:w="769"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44"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686" w:type="pct"/>
            <w:noWrap/>
            <w:hideMark/>
          </w:tcPr>
          <w:p w:rsidR="00B7720C" w:rsidRPr="00D8075E" w:rsidRDefault="00B7720C" w:rsidP="00B7720C">
            <w:pPr>
              <w:jc w:val="right"/>
              <w:rPr>
                <w:rFonts w:ascii="Segoe UI" w:hAnsi="Segoe UI" w:cs="Segoe UI"/>
                <w:b/>
                <w:bCs/>
                <w:color w:val="000000"/>
              </w:rPr>
            </w:pPr>
            <w:r w:rsidRPr="00596D01">
              <w:rPr>
                <w:rStyle w:val="Strong"/>
              </w:rPr>
              <w:t> </w:t>
            </w:r>
          </w:p>
        </w:tc>
        <w:tc>
          <w:tcPr>
            <w:tcW w:w="801" w:type="pct"/>
            <w:noWrap/>
            <w:hideMark/>
          </w:tcPr>
          <w:p w:rsidR="00B7720C" w:rsidRPr="00596D01" w:rsidRDefault="00B7720C" w:rsidP="00B7720C">
            <w:pPr>
              <w:jc w:val="right"/>
              <w:rPr>
                <w:rStyle w:val="Strong"/>
              </w:rPr>
            </w:pPr>
            <w:r w:rsidRPr="00596D01">
              <w:rPr>
                <w:rStyle w:val="Strong"/>
              </w:rPr>
              <w:t> </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Related party loans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$1,055</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$117</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$938</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lastRenderedPageBreak/>
              <w:t>Bank borrowings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$1,307</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$365</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$942</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Employee provisions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$229</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$127</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$101</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$0</w:t>
            </w:r>
          </w:p>
        </w:tc>
      </w:tr>
      <w:tr w:rsidR="00B7720C" w:rsidRPr="00D8075E" w:rsidTr="00B7720C">
        <w:trPr>
          <w:trHeight w:val="113"/>
        </w:trPr>
        <w:tc>
          <w:tcPr>
            <w:tcW w:w="1901" w:type="pct"/>
            <w:noWrap/>
            <w:hideMark/>
          </w:tcPr>
          <w:p w:rsidR="00B7720C" w:rsidRPr="00D8075E" w:rsidRDefault="00B7720C" w:rsidP="00B7720C">
            <w:pPr>
              <w:rPr>
                <w:rFonts w:ascii="Segoe UI" w:hAnsi="Segoe UI" w:cs="Segoe UI"/>
                <w:color w:val="000000"/>
              </w:rPr>
            </w:pPr>
            <w:r w:rsidRPr="00D8075E">
              <w:rPr>
                <w:rFonts w:ascii="Segoe UI" w:hAnsi="Segoe UI" w:cs="Segoe UI"/>
                <w:color w:val="000000"/>
              </w:rPr>
              <w:t>Other non-current liabilities</w:t>
            </w:r>
          </w:p>
        </w:tc>
        <w:tc>
          <w:tcPr>
            <w:tcW w:w="769"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$752</w:t>
            </w:r>
          </w:p>
        </w:tc>
        <w:tc>
          <w:tcPr>
            <w:tcW w:w="844"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$237</w:t>
            </w:r>
          </w:p>
        </w:tc>
        <w:tc>
          <w:tcPr>
            <w:tcW w:w="686"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$467</w:t>
            </w:r>
          </w:p>
        </w:tc>
        <w:tc>
          <w:tcPr>
            <w:tcW w:w="801" w:type="pct"/>
            <w:noWrap/>
            <w:hideMark/>
          </w:tcPr>
          <w:p w:rsidR="00B7720C" w:rsidRPr="00D8075E" w:rsidRDefault="00B7720C" w:rsidP="00B7720C">
            <w:pPr>
              <w:jc w:val="right"/>
              <w:rPr>
                <w:rFonts w:ascii="Segoe UI" w:hAnsi="Segoe UI" w:cs="Segoe UI"/>
                <w:color w:val="000000"/>
              </w:rPr>
            </w:pPr>
            <w:r w:rsidRPr="00D8075E">
              <w:rPr>
                <w:rFonts w:ascii="Segoe UI" w:hAnsi="Segoe UI" w:cs="Segoe UI"/>
                <w:color w:val="000000"/>
              </w:rPr>
              <w:t>$48</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non-current liabilities</w:t>
            </w:r>
          </w:p>
        </w:tc>
        <w:tc>
          <w:tcPr>
            <w:tcW w:w="769" w:type="pct"/>
            <w:shd w:val="clear" w:color="auto" w:fill="E8E8E8" w:themeFill="background2"/>
            <w:noWrap/>
            <w:hideMark/>
          </w:tcPr>
          <w:p w:rsidR="00B7720C" w:rsidRPr="00D8075E" w:rsidRDefault="00B7720C" w:rsidP="00B7720C">
            <w:pPr>
              <w:jc w:val="right"/>
              <w:rPr>
                <w:rFonts w:ascii="Segoe UI" w:hAnsi="Segoe UI" w:cs="Segoe UI"/>
                <w:b/>
                <w:color w:val="000000"/>
              </w:rPr>
            </w:pPr>
            <w:r w:rsidRPr="00596D01">
              <w:rPr>
                <w:rStyle w:val="Strong"/>
              </w:rPr>
              <w:t>$3,342</w:t>
            </w:r>
          </w:p>
        </w:tc>
        <w:tc>
          <w:tcPr>
            <w:tcW w:w="844" w:type="pct"/>
            <w:shd w:val="clear" w:color="auto" w:fill="E8E8E8" w:themeFill="background2"/>
            <w:noWrap/>
            <w:hideMark/>
          </w:tcPr>
          <w:p w:rsidR="00B7720C" w:rsidRPr="00D8075E" w:rsidRDefault="00B7720C" w:rsidP="00B7720C">
            <w:pPr>
              <w:jc w:val="right"/>
              <w:rPr>
                <w:rFonts w:ascii="Segoe UI" w:hAnsi="Segoe UI" w:cs="Segoe UI"/>
                <w:b/>
                <w:color w:val="000000"/>
              </w:rPr>
            </w:pPr>
            <w:r w:rsidRPr="00596D01">
              <w:rPr>
                <w:rStyle w:val="Strong"/>
              </w:rPr>
              <w:t>$846</w:t>
            </w:r>
          </w:p>
        </w:tc>
        <w:tc>
          <w:tcPr>
            <w:tcW w:w="686" w:type="pct"/>
            <w:shd w:val="clear" w:color="auto" w:fill="E8E8E8" w:themeFill="background2"/>
            <w:noWrap/>
            <w:hideMark/>
          </w:tcPr>
          <w:p w:rsidR="00B7720C" w:rsidRPr="00D8075E" w:rsidRDefault="00B7720C" w:rsidP="00B7720C">
            <w:pPr>
              <w:jc w:val="right"/>
              <w:rPr>
                <w:rFonts w:ascii="Segoe UI" w:hAnsi="Segoe UI" w:cs="Segoe UI"/>
                <w:b/>
                <w:color w:val="000000"/>
              </w:rPr>
            </w:pPr>
            <w:r w:rsidRPr="00596D01">
              <w:rPr>
                <w:rStyle w:val="Strong"/>
              </w:rPr>
              <w:t>$2,449</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$48</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Total liabilities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$33,691</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$15,759</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$17,329</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$603</w:t>
            </w:r>
          </w:p>
        </w:tc>
      </w:tr>
      <w:tr w:rsidR="00B7720C" w:rsidRPr="00D8075E" w:rsidTr="00B7720C">
        <w:trPr>
          <w:trHeight w:val="113"/>
        </w:trPr>
        <w:tc>
          <w:tcPr>
            <w:tcW w:w="1901" w:type="pct"/>
            <w:shd w:val="clear" w:color="auto" w:fill="E8E8E8" w:themeFill="background2"/>
            <w:noWrap/>
            <w:hideMark/>
          </w:tcPr>
          <w:p w:rsidR="00B7720C" w:rsidRPr="00D8075E" w:rsidRDefault="00B7720C" w:rsidP="00B7720C">
            <w:pPr>
              <w:rPr>
                <w:rFonts w:ascii="Segoe UI" w:hAnsi="Segoe UI" w:cs="Segoe UI"/>
                <w:b/>
                <w:bCs/>
                <w:color w:val="000000"/>
              </w:rPr>
            </w:pPr>
            <w:r w:rsidRPr="00596D01">
              <w:rPr>
                <w:rStyle w:val="Strong"/>
              </w:rPr>
              <w:t>Net assets</w:t>
            </w:r>
          </w:p>
        </w:tc>
        <w:tc>
          <w:tcPr>
            <w:tcW w:w="769"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$11,326</w:t>
            </w:r>
          </w:p>
        </w:tc>
        <w:tc>
          <w:tcPr>
            <w:tcW w:w="844"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$8,259</w:t>
            </w:r>
          </w:p>
        </w:tc>
        <w:tc>
          <w:tcPr>
            <w:tcW w:w="686" w:type="pct"/>
            <w:shd w:val="clear" w:color="auto" w:fill="E8E8E8" w:themeFill="background2"/>
            <w:noWrap/>
            <w:hideMark/>
          </w:tcPr>
          <w:p w:rsidR="00B7720C" w:rsidRPr="00D8075E" w:rsidRDefault="00B7720C" w:rsidP="00B7720C">
            <w:pPr>
              <w:jc w:val="right"/>
              <w:rPr>
                <w:rFonts w:ascii="Segoe UI" w:hAnsi="Segoe UI" w:cs="Segoe UI"/>
                <w:b/>
                <w:bCs/>
                <w:color w:val="000000"/>
              </w:rPr>
            </w:pPr>
            <w:r w:rsidRPr="00596D01">
              <w:rPr>
                <w:rStyle w:val="Strong"/>
              </w:rPr>
              <w:t>$2,125</w:t>
            </w:r>
          </w:p>
        </w:tc>
        <w:tc>
          <w:tcPr>
            <w:tcW w:w="801" w:type="pct"/>
            <w:shd w:val="clear" w:color="auto" w:fill="E8E8E8" w:themeFill="background2"/>
            <w:noWrap/>
            <w:hideMark/>
          </w:tcPr>
          <w:p w:rsidR="00B7720C" w:rsidRPr="00596D01" w:rsidRDefault="00B7720C" w:rsidP="00B7720C">
            <w:pPr>
              <w:jc w:val="right"/>
              <w:rPr>
                <w:rStyle w:val="Strong"/>
              </w:rPr>
            </w:pPr>
            <w:r w:rsidRPr="00596D01">
              <w:rPr>
                <w:rStyle w:val="Strong"/>
              </w:rPr>
              <w:t>$942</w:t>
            </w:r>
          </w:p>
        </w:tc>
      </w:tr>
    </w:tbl>
    <w:bookmarkEnd w:id="885"/>
    <w:bookmarkEnd w:id="886"/>
    <w:p w:rsidR="00D8721E" w:rsidRDefault="003E2AFD" w:rsidP="00B7720C">
      <w:r w:rsidRPr="005A6E14">
        <w:t xml:space="preserve">As shown in </w:t>
      </w:r>
      <w:r w:rsidR="00492BF8">
        <w:fldChar w:fldCharType="begin"/>
      </w:r>
      <w:r w:rsidR="00492BF8">
        <w:instrText xml:space="preserve"> REF _Ref524429650 \r \h </w:instrText>
      </w:r>
      <w:r w:rsidR="00492BF8">
        <w:fldChar w:fldCharType="separate"/>
      </w:r>
      <w:r w:rsidR="00492BF8">
        <w:t>Table 10.4</w:t>
      </w:r>
      <w:r w:rsidR="00492BF8">
        <w:fldChar w:fldCharType="end"/>
      </w:r>
      <w:r w:rsidRPr="005A6E14">
        <w:t>, fixed assets</w:t>
      </w:r>
      <w:r>
        <w:t xml:space="preserve"> – </w:t>
      </w:r>
      <w:r w:rsidRPr="005A6E14">
        <w:t>predominantly residential aged care facilities</w:t>
      </w:r>
      <w:r>
        <w:t xml:space="preserve"> </w:t>
      </w:r>
      <w:r w:rsidRPr="005A6E14">
        <w:t>infrastructure</w:t>
      </w:r>
      <w:r>
        <w:t xml:space="preserve"> – </w:t>
      </w:r>
      <w:r w:rsidRPr="005A6E14">
        <w:t>are the single largest asset category held by providers ($2</w:t>
      </w:r>
      <w:r w:rsidR="00271A36">
        <w:t>3</w:t>
      </w:r>
      <w:r w:rsidR="00A261F3">
        <w:t> billion</w:t>
      </w:r>
      <w:r w:rsidRPr="005A6E14">
        <w:t xml:space="preserve"> or 51</w:t>
      </w:r>
      <w:r w:rsidR="00A261F3">
        <w:t> per cent</w:t>
      </w:r>
      <w:r w:rsidRPr="005A6E14">
        <w:t xml:space="preserve"> of total assets). It is also the largest asset category based on ownership type, although it is notable that for the not</w:t>
      </w:r>
      <w:r w:rsidRPr="005A6E14">
        <w:noBreakHyphen/>
        <w:t>for</w:t>
      </w:r>
      <w:r w:rsidRPr="005A6E14">
        <w:noBreakHyphen/>
        <w:t>profit providers</w:t>
      </w:r>
      <w:r w:rsidR="00696ED6">
        <w:t>,</w:t>
      </w:r>
      <w:r w:rsidRPr="005A6E14">
        <w:t xml:space="preserve"> fixed assets represent 60</w:t>
      </w:r>
      <w:r w:rsidR="00A261F3">
        <w:t> per cent</w:t>
      </w:r>
      <w:r w:rsidRPr="005A6E14">
        <w:t xml:space="preserve"> of total assets whereas for the for-profit providers it is 3</w:t>
      </w:r>
      <w:r w:rsidR="00D00B54">
        <w:t>8</w:t>
      </w:r>
      <w:r w:rsidR="00A261F3">
        <w:t> per cent</w:t>
      </w:r>
      <w:r w:rsidRPr="005A6E14">
        <w:t xml:space="preserve">. The significant difference is likely explained in part by providers in the for-profit sector being more likely to rent the facilities they provide residential services in, often </w:t>
      </w:r>
      <w:r w:rsidR="00D9194D">
        <w:t>under</w:t>
      </w:r>
      <w:r w:rsidRPr="005A6E14">
        <w:t xml:space="preserve"> arrangements where the facilities are rented from related party entities</w:t>
      </w:r>
      <w:r w:rsidR="00D8721E">
        <w:t>.</w:t>
      </w:r>
    </w:p>
    <w:p w:rsidR="00D8721E" w:rsidRDefault="003E2AFD" w:rsidP="00B7720C">
      <w:r w:rsidRPr="005A6E14">
        <w:t xml:space="preserve">Cash </w:t>
      </w:r>
      <w:r>
        <w:t>(</w:t>
      </w:r>
      <w:r w:rsidRPr="005A6E14">
        <w:t>$5.9</w:t>
      </w:r>
      <w:r w:rsidR="00A261F3">
        <w:t> billion</w:t>
      </w:r>
      <w:r>
        <w:t xml:space="preserve">) and </w:t>
      </w:r>
      <w:r w:rsidRPr="005A6E14">
        <w:t>financial assets ($2.</w:t>
      </w:r>
      <w:r w:rsidR="0056555D">
        <w:t>0</w:t>
      </w:r>
      <w:r w:rsidR="00A261F3">
        <w:t> billion</w:t>
      </w:r>
      <w:r w:rsidRPr="005A6E14">
        <w:t xml:space="preserve"> current and $0.</w:t>
      </w:r>
      <w:r w:rsidR="00271A36">
        <w:t>3</w:t>
      </w:r>
      <w:r w:rsidR="00A261F3">
        <w:t> billion</w:t>
      </w:r>
      <w:r w:rsidRPr="005A6E14">
        <w:t xml:space="preserve"> non-current) represent $8.</w:t>
      </w:r>
      <w:r w:rsidR="0056555D">
        <w:t>2</w:t>
      </w:r>
      <w:r w:rsidR="00A261F3">
        <w:t> billion</w:t>
      </w:r>
      <w:r w:rsidRPr="005A6E14">
        <w:t xml:space="preserve"> (18.</w:t>
      </w:r>
      <w:r w:rsidR="00D00B54">
        <w:t>6</w:t>
      </w:r>
      <w:r w:rsidR="00A261F3">
        <w:t> per cent</w:t>
      </w:r>
      <w:r w:rsidRPr="005A6E14">
        <w:t>) of total assets, and $7.9</w:t>
      </w:r>
      <w:r w:rsidR="00A261F3">
        <w:t> billion</w:t>
      </w:r>
      <w:r w:rsidRPr="005A6E14">
        <w:t xml:space="preserve"> (60</w:t>
      </w:r>
      <w:r w:rsidR="00A261F3">
        <w:t> per cent</w:t>
      </w:r>
      <w:r w:rsidRPr="005A6E14">
        <w:t xml:space="preserve">) of current assets. </w:t>
      </w:r>
      <w:r>
        <w:t>N</w:t>
      </w:r>
      <w:r w:rsidRPr="005A6E14">
        <w:t>ot-for-profit providers hold 80</w:t>
      </w:r>
      <w:r w:rsidR="00A261F3">
        <w:t> per cent</w:t>
      </w:r>
      <w:r w:rsidRPr="005A6E14">
        <w:t>, or $7.6</w:t>
      </w:r>
      <w:r w:rsidR="00A261F3">
        <w:t> billion</w:t>
      </w:r>
      <w:r w:rsidRPr="005A6E14">
        <w:t xml:space="preserve"> of current assets in cash and financial assets, while for-profit providers hold 34</w:t>
      </w:r>
      <w:r w:rsidR="00A261F3">
        <w:t> per cent</w:t>
      </w:r>
      <w:r w:rsidRPr="005A6E14">
        <w:t>, or $1.9</w:t>
      </w:r>
      <w:r w:rsidR="00A261F3">
        <w:t> billion</w:t>
      </w:r>
      <w:r w:rsidRPr="005A6E14">
        <w:t>. This indicates that the for</w:t>
      </w:r>
      <w:r>
        <w:noBreakHyphen/>
        <w:t>profit providers are more active in investing their funds, often in categories other than fixed assets</w:t>
      </w:r>
      <w:r w:rsidR="00D8721E">
        <w:t>.</w:t>
      </w:r>
    </w:p>
    <w:p w:rsidR="00D8721E" w:rsidRDefault="003E2AFD" w:rsidP="00B7720C">
      <w:r w:rsidRPr="005A6E14">
        <w:t>Intangible assets make up 12</w:t>
      </w:r>
      <w:r w:rsidR="00A261F3">
        <w:t> per cent</w:t>
      </w:r>
      <w:r w:rsidRPr="005A6E14">
        <w:t>, or $5.5</w:t>
      </w:r>
      <w:r w:rsidR="00A261F3">
        <w:t> billion</w:t>
      </w:r>
      <w:r w:rsidRPr="005A6E14">
        <w:t xml:space="preserve"> of total sector assets. Of the $5.5</w:t>
      </w:r>
      <w:r w:rsidR="00A261F3">
        <w:t> billion</w:t>
      </w:r>
      <w:r w:rsidRPr="005A6E14">
        <w:t>, bed licences make up 53</w:t>
      </w:r>
      <w:r w:rsidR="00A261F3">
        <w:t> per cent</w:t>
      </w:r>
      <w:r w:rsidRPr="005A6E14">
        <w:t>, or $2.9</w:t>
      </w:r>
      <w:r w:rsidR="00A261F3">
        <w:t> billion</w:t>
      </w:r>
      <w:r w:rsidRPr="005A6E14">
        <w:t>, and other intangibles of $2.6</w:t>
      </w:r>
      <w:r w:rsidR="00A261F3">
        <w:t> billion</w:t>
      </w:r>
      <w:r w:rsidRPr="005A6E14">
        <w:t>, consisting mostly of goodwill held by the for-profit sector, makes up the</w:t>
      </w:r>
      <w:r>
        <w:t xml:space="preserve"> remainder of this balance. For</w:t>
      </w:r>
      <w:r>
        <w:noBreakHyphen/>
        <w:t>profit providers hold 80</w:t>
      </w:r>
      <w:r w:rsidR="00A261F3">
        <w:t> per cent</w:t>
      </w:r>
      <w:r>
        <w:t>, or $4.</w:t>
      </w:r>
      <w:r w:rsidR="00271A36">
        <w:t>4</w:t>
      </w:r>
      <w:r w:rsidR="00A261F3">
        <w:t> billion</w:t>
      </w:r>
      <w:r>
        <w:t xml:space="preserve"> of the intangibles balance for the sector. It is of note that whilst for</w:t>
      </w:r>
      <w:r>
        <w:noBreakHyphen/>
        <w:t>profit providers hold 3</w:t>
      </w:r>
      <w:r w:rsidR="00D00B54">
        <w:t>9</w:t>
      </w:r>
      <w:r w:rsidR="00A261F3">
        <w:t> per cent</w:t>
      </w:r>
      <w:r>
        <w:t xml:space="preserve"> of residential operational places, they account for 6</w:t>
      </w:r>
      <w:r w:rsidR="00D00B54">
        <w:t>7</w:t>
      </w:r>
      <w:r w:rsidR="00A261F3">
        <w:t> per cent</w:t>
      </w:r>
      <w:r>
        <w:t xml:space="preserve"> of the value attributed to bed licences</w:t>
      </w:r>
      <w:r w:rsidR="00D8721E">
        <w:t>.</w:t>
      </w:r>
    </w:p>
    <w:p w:rsidR="003E2AFD" w:rsidRPr="00003C34" w:rsidRDefault="004764A9" w:rsidP="00B7720C">
      <w:r>
        <w:t>ACFA notes that the Government announced in the</w:t>
      </w:r>
      <w:r w:rsidR="00A261F3">
        <w:t> 201</w:t>
      </w:r>
      <w:r>
        <w:t>8</w:t>
      </w:r>
      <w:r w:rsidR="00D8721E">
        <w:t>–1</w:t>
      </w:r>
      <w:r>
        <w:t xml:space="preserve">9 Budget that it will fund </w:t>
      </w:r>
      <w:r w:rsidR="003E2AFD" w:rsidRPr="00003C34">
        <w:t>an impact analysis of allocating residential aged care places to consumers instead of providers</w:t>
      </w:r>
      <w:r w:rsidR="003E2AFD">
        <w:t>.</w:t>
      </w:r>
    </w:p>
    <w:p w:rsidR="003E2AFD" w:rsidRDefault="004764A9" w:rsidP="00B7720C">
      <w:r>
        <w:t xml:space="preserve">Another </w:t>
      </w:r>
      <w:r w:rsidR="003E2AFD">
        <w:t>significant area of investment is related party loans. While related party loans make up 10</w:t>
      </w:r>
      <w:r w:rsidR="00A261F3">
        <w:t> per cent</w:t>
      </w:r>
      <w:r w:rsidR="003E2AFD">
        <w:t xml:space="preserve"> ($4.6</w:t>
      </w:r>
      <w:r w:rsidR="00A261F3">
        <w:t> billion</w:t>
      </w:r>
      <w:r w:rsidR="003E2AFD">
        <w:t>) of total assets, for</w:t>
      </w:r>
      <w:r w:rsidR="003E2AFD">
        <w:noBreakHyphen/>
        <w:t>profit providers hold $4.</w:t>
      </w:r>
      <w:r w:rsidR="00271A36">
        <w:t>4</w:t>
      </w:r>
      <w:r w:rsidR="00A261F3">
        <w:t> billion</w:t>
      </w:r>
      <w:r w:rsidR="003A0790">
        <w:t xml:space="preserve"> of this balance. Some of this </w:t>
      </w:r>
      <w:r w:rsidR="003E2AFD">
        <w:t>might be explained by residential facilities being held by related parties, but as 61</w:t>
      </w:r>
      <w:r w:rsidR="00A261F3">
        <w:t> per cent</w:t>
      </w:r>
      <w:r w:rsidR="003E2AFD">
        <w:t xml:space="preserve"> ($2.7</w:t>
      </w:r>
      <w:r w:rsidR="00A261F3">
        <w:t> billion</w:t>
      </w:r>
      <w:r w:rsidR="003E2AFD">
        <w:t>) of related party loans are classified as current assets (receivable within 12 months), and fixed assets are non-current in nature, only a portion can be attributable to this.</w:t>
      </w:r>
    </w:p>
    <w:p w:rsidR="00D8721E" w:rsidRDefault="003E2AFD" w:rsidP="00B7720C">
      <w:r>
        <w:t xml:space="preserve">Given the regulated permitted uses of RADs and bonds, the build-up of categories of assets other than fixed assets is noteworthy. A formal review of the use of RADs and bond financing is part of the annual focus of the Department of Health in their examination of Annual Prudential Compliance Statements. It is important that as RADs and their related investments continue to grow, </w:t>
      </w:r>
      <w:r w:rsidR="004426CC">
        <w:t>G</w:t>
      </w:r>
      <w:r>
        <w:t>overnment regulation and oversight keep pace with the expanding sector</w:t>
      </w:r>
      <w:r w:rsidR="00D8721E">
        <w:t>.</w:t>
      </w:r>
    </w:p>
    <w:p w:rsidR="003E2AFD" w:rsidRDefault="003E2AFD" w:rsidP="00B7720C">
      <w:r>
        <w:t>In terms of total liabilities, RADs (including bonds) make up 73</w:t>
      </w:r>
      <w:r w:rsidR="00A261F3">
        <w:t> per cent</w:t>
      </w:r>
      <w:r>
        <w:t xml:space="preserve"> ($24.7</w:t>
      </w:r>
      <w:r w:rsidR="00A261F3">
        <w:t> billion</w:t>
      </w:r>
      <w:r>
        <w:t xml:space="preserve">) of the </w:t>
      </w:r>
      <w:r w:rsidRPr="00172456">
        <w:t xml:space="preserve">capital </w:t>
      </w:r>
      <w:r>
        <w:t>funding of the sector. Fifty-two</w:t>
      </w:r>
      <w:r w:rsidR="00A261F3">
        <w:t> per cent</w:t>
      </w:r>
      <w:r>
        <w:t xml:space="preserve"> of RADs </w:t>
      </w:r>
      <w:r w:rsidR="00D9194D">
        <w:t>are</w:t>
      </w:r>
      <w:r>
        <w:t xml:space="preserve"> held by not</w:t>
      </w:r>
      <w:r>
        <w:noBreakHyphen/>
        <w:t>for</w:t>
      </w:r>
      <w:r>
        <w:noBreakHyphen/>
        <w:t>profit providers, 4</w:t>
      </w:r>
      <w:r w:rsidR="00D00B54">
        <w:t>6</w:t>
      </w:r>
      <w:r w:rsidR="00A261F3">
        <w:t> per cent</w:t>
      </w:r>
      <w:r>
        <w:t xml:space="preserve"> by for</w:t>
      </w:r>
      <w:r>
        <w:noBreakHyphen/>
        <w:t>profit providers and</w:t>
      </w:r>
      <w:r w:rsidR="00853876">
        <w:t xml:space="preserve"> 2</w:t>
      </w:r>
      <w:r w:rsidR="00A261F3">
        <w:t> per cent</w:t>
      </w:r>
      <w:r>
        <w:t xml:space="preserve"> by government providers. With 3</w:t>
      </w:r>
      <w:r w:rsidR="00D00B54">
        <w:t>9</w:t>
      </w:r>
      <w:r w:rsidR="00A261F3">
        <w:t> per cent</w:t>
      </w:r>
      <w:r>
        <w:t xml:space="preserve"> of places held in the sector, the for-profit providers hold the highest proportion of RADs and bonds. Conversely the not</w:t>
      </w:r>
      <w:r>
        <w:noBreakHyphen/>
        <w:t>for</w:t>
      </w:r>
      <w:r>
        <w:noBreakHyphen/>
        <w:t>profit providers have proportionally, significantly less RADs as they hold 5</w:t>
      </w:r>
      <w:r w:rsidR="00D00B54">
        <w:t>6</w:t>
      </w:r>
      <w:r w:rsidR="00A261F3">
        <w:t> per cent</w:t>
      </w:r>
      <w:r>
        <w:t xml:space="preserve"> of places.</w:t>
      </w:r>
    </w:p>
    <w:p w:rsidR="003E2AFD" w:rsidRPr="005A6E14" w:rsidRDefault="003E2AFD" w:rsidP="00B7720C">
      <w:r w:rsidRPr="005A6E14">
        <w:lastRenderedPageBreak/>
        <w:t>Other capital funding sources include:</w:t>
      </w:r>
    </w:p>
    <w:p w:rsidR="003E2AFD" w:rsidRPr="005A6E14" w:rsidRDefault="003E2AFD" w:rsidP="00B7720C">
      <w:pPr>
        <w:pStyle w:val="Bullet1"/>
        <w:rPr>
          <w:lang w:eastAsia="en-US"/>
        </w:rPr>
      </w:pPr>
      <w:r w:rsidRPr="005A6E14">
        <w:rPr>
          <w:lang w:eastAsia="en-US"/>
        </w:rPr>
        <w:t>Bank borrowings which make up</w:t>
      </w:r>
      <w:r w:rsidR="00853876">
        <w:rPr>
          <w:lang w:eastAsia="en-US"/>
        </w:rPr>
        <w:t xml:space="preserve"> 6</w:t>
      </w:r>
      <w:r w:rsidR="00A261F3">
        <w:rPr>
          <w:lang w:eastAsia="en-US"/>
        </w:rPr>
        <w:t> per cent</w:t>
      </w:r>
      <w:r w:rsidRPr="005A6E14">
        <w:rPr>
          <w:lang w:eastAsia="en-US"/>
        </w:rPr>
        <w:t>, or $1.9</w:t>
      </w:r>
      <w:r w:rsidR="00A261F3">
        <w:rPr>
          <w:lang w:eastAsia="en-US"/>
        </w:rPr>
        <w:t> billion</w:t>
      </w:r>
      <w:r w:rsidRPr="005A6E14">
        <w:rPr>
          <w:lang w:eastAsia="en-US"/>
        </w:rPr>
        <w:t xml:space="preserve"> of total liabilities. The for-profit sector hold 72</w:t>
      </w:r>
      <w:r w:rsidR="00A261F3">
        <w:rPr>
          <w:lang w:eastAsia="en-US"/>
        </w:rPr>
        <w:t> per cent</w:t>
      </w:r>
      <w:r w:rsidRPr="005A6E14">
        <w:rPr>
          <w:lang w:eastAsia="en-US"/>
        </w:rPr>
        <w:t>, or $1.</w:t>
      </w:r>
      <w:r w:rsidR="00271A36">
        <w:rPr>
          <w:lang w:eastAsia="en-US"/>
        </w:rPr>
        <w:t>4</w:t>
      </w:r>
      <w:r w:rsidR="00A261F3">
        <w:rPr>
          <w:lang w:eastAsia="en-US"/>
        </w:rPr>
        <w:t> billion</w:t>
      </w:r>
      <w:r w:rsidRPr="005A6E14">
        <w:rPr>
          <w:lang w:eastAsia="en-US"/>
        </w:rPr>
        <w:t>, while not-for-profit providers have borrowed 2</w:t>
      </w:r>
      <w:r w:rsidR="00D00B54">
        <w:rPr>
          <w:lang w:eastAsia="en-US"/>
        </w:rPr>
        <w:t>8</w:t>
      </w:r>
      <w:r w:rsidR="00A261F3">
        <w:rPr>
          <w:lang w:eastAsia="en-US"/>
        </w:rPr>
        <w:t> per cent</w:t>
      </w:r>
      <w:r w:rsidRPr="005A6E14">
        <w:rPr>
          <w:lang w:eastAsia="en-US"/>
        </w:rPr>
        <w:t>, or $0.5</w:t>
      </w:r>
      <w:r w:rsidR="00A261F3">
        <w:rPr>
          <w:lang w:eastAsia="en-US"/>
        </w:rPr>
        <w:t> billion</w:t>
      </w:r>
      <w:r w:rsidRPr="005A6E14">
        <w:rPr>
          <w:lang w:eastAsia="en-US"/>
        </w:rPr>
        <w:t>; and</w:t>
      </w:r>
    </w:p>
    <w:p w:rsidR="003E2AFD" w:rsidRPr="005A6E14" w:rsidRDefault="003E2AFD" w:rsidP="00B7720C">
      <w:pPr>
        <w:pStyle w:val="Bullet1"/>
        <w:rPr>
          <w:lang w:eastAsia="en-US"/>
        </w:rPr>
      </w:pPr>
      <w:r w:rsidRPr="005A6E14">
        <w:rPr>
          <w:lang w:eastAsia="en-US"/>
        </w:rPr>
        <w:t>Related party loans which make up</w:t>
      </w:r>
      <w:r w:rsidR="00853876">
        <w:rPr>
          <w:lang w:eastAsia="en-US"/>
        </w:rPr>
        <w:t xml:space="preserve"> 8</w:t>
      </w:r>
      <w:r w:rsidR="00A261F3">
        <w:rPr>
          <w:lang w:eastAsia="en-US"/>
        </w:rPr>
        <w:t> per cent</w:t>
      </w:r>
      <w:r w:rsidRPr="005A6E14">
        <w:rPr>
          <w:lang w:eastAsia="en-US"/>
        </w:rPr>
        <w:t>, or $2.6</w:t>
      </w:r>
      <w:r w:rsidR="00A261F3">
        <w:rPr>
          <w:lang w:eastAsia="en-US"/>
        </w:rPr>
        <w:t> billion</w:t>
      </w:r>
      <w:r w:rsidRPr="005A6E14">
        <w:rPr>
          <w:lang w:eastAsia="en-US"/>
        </w:rPr>
        <w:t xml:space="preserve"> of total liabilities. The for-profit sector once again holds the major</w:t>
      </w:r>
      <w:r>
        <w:rPr>
          <w:lang w:eastAsia="en-US"/>
        </w:rPr>
        <w:t>ity of this funding with 91</w:t>
      </w:r>
      <w:r w:rsidR="00A261F3">
        <w:rPr>
          <w:lang w:eastAsia="en-US"/>
        </w:rPr>
        <w:t> per cent</w:t>
      </w:r>
      <w:r w:rsidRPr="005A6E14">
        <w:rPr>
          <w:lang w:eastAsia="en-US"/>
        </w:rPr>
        <w:t>, or $2.</w:t>
      </w:r>
      <w:r w:rsidR="00271A36">
        <w:rPr>
          <w:lang w:eastAsia="en-US"/>
        </w:rPr>
        <w:t>3</w:t>
      </w:r>
      <w:r w:rsidR="00A261F3">
        <w:rPr>
          <w:lang w:eastAsia="en-US"/>
        </w:rPr>
        <w:t> billion</w:t>
      </w:r>
      <w:r w:rsidRPr="005A6E14">
        <w:rPr>
          <w:lang w:eastAsia="en-US"/>
        </w:rPr>
        <w:t xml:space="preserve"> of borrowings</w:t>
      </w:r>
      <w:r w:rsidR="00BD7969">
        <w:rPr>
          <w:lang w:eastAsia="en-US"/>
        </w:rPr>
        <w:t>.</w:t>
      </w:r>
    </w:p>
    <w:p w:rsidR="00D8721E" w:rsidRDefault="003E2AFD" w:rsidP="00B7720C">
      <w:pPr>
        <w:rPr>
          <w:lang w:eastAsia="en-US"/>
        </w:rPr>
      </w:pPr>
      <w:r>
        <w:rPr>
          <w:lang w:eastAsia="en-US"/>
        </w:rPr>
        <w:t>Other liabilities make up</w:t>
      </w:r>
      <w:r w:rsidR="00853876">
        <w:rPr>
          <w:lang w:eastAsia="en-US"/>
        </w:rPr>
        <w:t xml:space="preserve"> 9</w:t>
      </w:r>
      <w:r w:rsidR="00A261F3">
        <w:rPr>
          <w:lang w:eastAsia="en-US"/>
        </w:rPr>
        <w:t> per cent</w:t>
      </w:r>
      <w:r>
        <w:rPr>
          <w:lang w:eastAsia="en-US"/>
        </w:rPr>
        <w:t>, or $3.</w:t>
      </w:r>
      <w:r w:rsidR="0056555D">
        <w:rPr>
          <w:lang w:eastAsia="en-US"/>
        </w:rPr>
        <w:t>2</w:t>
      </w:r>
      <w:r w:rsidR="00A261F3">
        <w:rPr>
          <w:lang w:eastAsia="en-US"/>
        </w:rPr>
        <w:t> billion</w:t>
      </w:r>
      <w:r>
        <w:rPr>
          <w:lang w:eastAsia="en-US"/>
        </w:rPr>
        <w:t xml:space="preserve"> of total liabilities. Other liabilities include balances that have not been disaggregated from data submitted from providers. Other liabilities include items, but not limited to; deferred revenue, trade and other payables, income tax payable, deferred tax liabilities, financial instruments such as interest rate swaps, other financial liabilities such as lease arrangements, and non-employee related provisions</w:t>
      </w:r>
      <w:r w:rsidR="00D8721E">
        <w:rPr>
          <w:lang w:eastAsia="en-US"/>
        </w:rPr>
        <w:t>.</w:t>
      </w:r>
    </w:p>
    <w:p w:rsidR="00AF79CD" w:rsidRPr="00596D01" w:rsidRDefault="0027274D" w:rsidP="00B7720C">
      <w:pPr>
        <w:pStyle w:val="Heading3Numbered"/>
      </w:pPr>
      <w:bookmarkStart w:id="899" w:name="_Toc524424801"/>
      <w:r w:rsidRPr="00596D01">
        <w:t>Balance sheet performance ratios</w:t>
      </w:r>
      <w:bookmarkEnd w:id="899"/>
    </w:p>
    <w:p w:rsidR="00223470" w:rsidRPr="00223470" w:rsidRDefault="00223470" w:rsidP="00B7720C">
      <w:r w:rsidRPr="00223470">
        <w:t>Balance sheet ratios are calculated from the financial results</w:t>
      </w:r>
      <w:r w:rsidR="00D85563">
        <w:t xml:space="preserve"> and performance of providers. </w:t>
      </w:r>
      <w:r w:rsidRPr="00223470">
        <w:t>Balance sheet ratios provide an indication of the financial health of providers across the sector through analysis of their levels of profitability, liquidity</w:t>
      </w:r>
      <w:r w:rsidR="00F201E7">
        <w:t xml:space="preserve"> and</w:t>
      </w:r>
      <w:r w:rsidRPr="00223470">
        <w:t xml:space="preserve"> efficiency as well as their net worth.</w:t>
      </w:r>
    </w:p>
    <w:p w:rsidR="00A021A8" w:rsidRPr="00596D01" w:rsidRDefault="00A021A8" w:rsidP="00B7720C">
      <w:pPr>
        <w:pStyle w:val="Boxed2Heading"/>
      </w:pPr>
      <w:r w:rsidRPr="00596D01">
        <w:t>Balance sheet performance ratios</w:t>
      </w:r>
      <w:r w:rsidR="00EB039B" w:rsidRPr="00596D01">
        <w:t xml:space="preserve"> – d</w:t>
      </w:r>
      <w:r w:rsidR="00223470" w:rsidRPr="00596D01">
        <w:t xml:space="preserve">efinitions </w:t>
      </w:r>
    </w:p>
    <w:p w:rsidR="00187D34" w:rsidRPr="00596D01" w:rsidRDefault="00187D34" w:rsidP="00B7720C">
      <w:pPr>
        <w:pStyle w:val="Boxed2Text"/>
        <w:rPr>
          <w:rStyle w:val="Strong"/>
        </w:rPr>
      </w:pPr>
      <w:r w:rsidRPr="00596D01">
        <w:rPr>
          <w:rStyle w:val="Strong"/>
        </w:rPr>
        <w:t>Current Ratio</w:t>
      </w:r>
    </w:p>
    <w:p w:rsidR="00D8721E" w:rsidRDefault="00554490" w:rsidP="00B7720C">
      <w:pPr>
        <w:pStyle w:val="Boxed2Text"/>
      </w:pPr>
      <w:r>
        <w:t xml:space="preserve">Current ratio is a </w:t>
      </w:r>
      <w:r w:rsidR="00DA7C9C">
        <w:t>measure of an organisation</w:t>
      </w:r>
      <w:r w:rsidR="00F201E7">
        <w:t>’</w:t>
      </w:r>
      <w:r w:rsidR="00187D34" w:rsidRPr="007D37C9">
        <w:t>s ability to meet its short term obligations (current liabilities) from its current assets. The current ratio measures an organisation’s liquidity and provides an indication of risk that the organisation may not be able to meet its short term obligation as and when they fall due. It is calculated by dividing current assets of an organisation by its current liabilities</w:t>
      </w:r>
      <w:r w:rsidR="00D8721E">
        <w:t>.</w:t>
      </w:r>
    </w:p>
    <w:p w:rsidR="00D8721E" w:rsidRDefault="00F201E7" w:rsidP="00B7720C">
      <w:pPr>
        <w:pStyle w:val="Boxed2Text"/>
      </w:pPr>
      <w:r>
        <w:t>G</w:t>
      </w:r>
      <w:r w:rsidR="00554490">
        <w:t>enerally</w:t>
      </w:r>
      <w:r>
        <w:t>, a current ratio of at least 1.0,</w:t>
      </w:r>
      <w:r w:rsidR="00187D34" w:rsidRPr="007D37C9">
        <w:t xml:space="preserve"> shows that </w:t>
      </w:r>
      <w:r>
        <w:t>an</w:t>
      </w:r>
      <w:r w:rsidR="00187D34" w:rsidRPr="007D37C9">
        <w:t xml:space="preserve"> organisation has sufficient current assets to meet its short term obligations.</w:t>
      </w:r>
      <w:r w:rsidR="00CE215D">
        <w:t xml:space="preserve"> However t</w:t>
      </w:r>
      <w:r w:rsidR="00187D34" w:rsidRPr="007D37C9">
        <w:t>he requirement to categorise accommodation deposits as current liabilities</w:t>
      </w:r>
      <w:r w:rsidR="008B0EBA">
        <w:rPr>
          <w:rStyle w:val="FootnoteReference"/>
          <w:rFonts w:cs="Segoe UI"/>
          <w:color w:val="313131"/>
        </w:rPr>
        <w:footnoteReference w:id="49"/>
      </w:r>
      <w:r w:rsidR="00187D34" w:rsidRPr="007D37C9">
        <w:t xml:space="preserve"> on the balance sheet means that the current rati</w:t>
      </w:r>
      <w:r w:rsidR="003E2AFD">
        <w:t>o needs to b</w:t>
      </w:r>
      <w:r w:rsidR="003A0790">
        <w:t>e treated with</w:t>
      </w:r>
      <w:r w:rsidR="00187D34" w:rsidRPr="007D37C9">
        <w:t xml:space="preserve"> </w:t>
      </w:r>
      <w:r w:rsidR="00F406FE">
        <w:t xml:space="preserve">some </w:t>
      </w:r>
      <w:r w:rsidR="00187D34" w:rsidRPr="007D37C9">
        <w:t xml:space="preserve">caution and considered with other financial indicators of liquidity for aged care organisations. </w:t>
      </w:r>
      <w:r w:rsidR="00F406FE">
        <w:t>This is because, although refundable accommodation deposits (RADs) are required to be repaid when a resident leaves care, they are more often than not</w:t>
      </w:r>
      <w:r w:rsidR="004426CC">
        <w:t>,</w:t>
      </w:r>
      <w:r w:rsidR="00F406FE">
        <w:t xml:space="preserve"> repaid after a stay of longer than one year. </w:t>
      </w:r>
      <w:r w:rsidR="004764A9">
        <w:t>T</w:t>
      </w:r>
      <w:r w:rsidR="00F406FE">
        <w:t>he average length of stay for residents is currently just over three years</w:t>
      </w:r>
      <w:r w:rsidR="00D8721E">
        <w:t>.</w:t>
      </w:r>
    </w:p>
    <w:p w:rsidR="0027274D" w:rsidRPr="00596D01" w:rsidRDefault="00187D34" w:rsidP="00B7720C">
      <w:pPr>
        <w:pStyle w:val="Boxed2Text"/>
        <w:rPr>
          <w:rStyle w:val="Strong"/>
        </w:rPr>
      </w:pPr>
      <w:r w:rsidRPr="00596D01">
        <w:rPr>
          <w:rStyle w:val="Strong"/>
        </w:rPr>
        <w:t>Net Assets Value</w:t>
      </w:r>
    </w:p>
    <w:p w:rsidR="00D8721E" w:rsidRDefault="00187D34" w:rsidP="00B7720C">
      <w:pPr>
        <w:pStyle w:val="Boxed2Text"/>
      </w:pPr>
      <w:r w:rsidRPr="007D37C9">
        <w:t xml:space="preserve">The net assets value provides an indication of the value of an organisation. The net assets value is determined by taking the total assets of an organisation and subtracting the total liabilities. A low net assets value or a decrease in the value over time indicates </w:t>
      </w:r>
      <w:r w:rsidR="007D37C9">
        <w:t>higher levels of financial risk for lenders and consumers.</w:t>
      </w:r>
    </w:p>
    <w:p w:rsidR="00187D34" w:rsidRPr="00596D01" w:rsidRDefault="00187D34" w:rsidP="00B7720C">
      <w:pPr>
        <w:pStyle w:val="Boxed2Text"/>
        <w:rPr>
          <w:rStyle w:val="Strong"/>
        </w:rPr>
      </w:pPr>
      <w:r w:rsidRPr="00596D01">
        <w:rPr>
          <w:rStyle w:val="Strong"/>
        </w:rPr>
        <w:t>Debt Ratio</w:t>
      </w:r>
    </w:p>
    <w:p w:rsidR="00D8721E" w:rsidRDefault="00543A9B" w:rsidP="00B7720C">
      <w:pPr>
        <w:pStyle w:val="Boxed2Text"/>
      </w:pPr>
      <w:r w:rsidRPr="007D37C9">
        <w:t>The debt ratio is calculated by dividing an organisation</w:t>
      </w:r>
      <w:r w:rsidR="00D25686">
        <w:t>’</w:t>
      </w:r>
      <w:r w:rsidRPr="007D37C9">
        <w:t>s total liabili</w:t>
      </w:r>
      <w:r w:rsidR="00586646">
        <w:t xml:space="preserve">ties by its total assets and </w:t>
      </w:r>
      <w:r w:rsidRPr="007D37C9">
        <w:t>provides an indication of the degree of</w:t>
      </w:r>
      <w:r w:rsidR="00D85563">
        <w:t xml:space="preserve"> financing of an</w:t>
      </w:r>
      <w:r w:rsidR="003A0790">
        <w:t xml:space="preserve"> organisation. Within </w:t>
      </w:r>
      <w:r w:rsidRPr="007D37C9">
        <w:t>the aged care sector, total liabilities will consist of an organisation’s refundable accommodation deposits as well as other secure</w:t>
      </w:r>
      <w:r w:rsidR="00D85563">
        <w:t>d and unsecured debt balances. </w:t>
      </w:r>
      <w:r w:rsidRPr="007D37C9">
        <w:t>An organisation’s total assets will include cash and asset balances to which the refundable accommodation d</w:t>
      </w:r>
      <w:r w:rsidR="00D85563">
        <w:t>eposits may have been applied. </w:t>
      </w:r>
      <w:r w:rsidRPr="007D37C9">
        <w:t>As total liabilities increase as a proportion of total assets, the higher levels of debt could reflect the use of additional borrowings used to fund an organisation’s improvements and expansions</w:t>
      </w:r>
      <w:r w:rsidR="00D8721E">
        <w:t>.</w:t>
      </w:r>
    </w:p>
    <w:p w:rsidR="00187D34" w:rsidRPr="00596D01" w:rsidRDefault="00187D34" w:rsidP="00B7720C">
      <w:pPr>
        <w:pStyle w:val="Boxed2Text"/>
        <w:rPr>
          <w:rStyle w:val="Strong"/>
        </w:rPr>
      </w:pPr>
      <w:r w:rsidRPr="00596D01">
        <w:rPr>
          <w:rStyle w:val="Strong"/>
        </w:rPr>
        <w:t>EBITDA to assets ratio</w:t>
      </w:r>
    </w:p>
    <w:p w:rsidR="00D8721E" w:rsidRDefault="00187D34" w:rsidP="00B7720C">
      <w:pPr>
        <w:pStyle w:val="Boxed2Text"/>
      </w:pPr>
      <w:r w:rsidRPr="007D37C9">
        <w:lastRenderedPageBreak/>
        <w:t>The EBITDA to total assets ratio measures the operating return generated from an organisation’s total assets. The ratio is a measure of financial performance and is calculated by taking the earnings, before interest, tax, depreciation and amortisation (EBITDA) and dividing this by the organisation’s total assets. Generally, the higher the EBITDA to total assets ratio, the better the level of return generated from the organisation’s total assets.</w:t>
      </w:r>
    </w:p>
    <w:p w:rsidR="00187D34" w:rsidRPr="00596D01" w:rsidRDefault="00187D34" w:rsidP="00B7720C">
      <w:pPr>
        <w:pStyle w:val="Boxed2Text"/>
        <w:rPr>
          <w:rStyle w:val="Strong"/>
        </w:rPr>
      </w:pPr>
      <w:r w:rsidRPr="00596D01">
        <w:rPr>
          <w:rStyle w:val="Strong"/>
        </w:rPr>
        <w:t>EBITDA to total equity/net worth/net assets ratio</w:t>
      </w:r>
    </w:p>
    <w:p w:rsidR="00D8721E" w:rsidRDefault="00A7189E" w:rsidP="00B7720C">
      <w:pPr>
        <w:pStyle w:val="Boxed2Text"/>
        <w:rPr>
          <w:smallCaps/>
        </w:rPr>
      </w:pPr>
      <w:r w:rsidRPr="00A7189E">
        <w:t>The EBITDA to total equity ratio measures the operating return generated from an organisation’s total equity or their net assets.</w:t>
      </w:r>
      <w:r w:rsidR="00187D34" w:rsidRPr="007D37C9">
        <w:t xml:space="preserve"> The ratio is a measure of financial performance and is calculated by </w:t>
      </w:r>
      <w:r w:rsidR="00EB6789">
        <w:t>dividing an</w:t>
      </w:r>
      <w:r w:rsidR="00586646">
        <w:t xml:space="preserve"> </w:t>
      </w:r>
      <w:r w:rsidR="00EB6789">
        <w:t>organisation’s</w:t>
      </w:r>
      <w:r w:rsidR="00187D34" w:rsidRPr="007D37C9">
        <w:t xml:space="preserve"> earnings, before interest, tax, depreciation and amortisation (EBITDA) by the organisation’s total equity or net asset position. Generally, the higher the </w:t>
      </w:r>
      <w:r w:rsidR="005B2312">
        <w:t>‘</w:t>
      </w:r>
      <w:r w:rsidR="00187D34" w:rsidRPr="007D37C9">
        <w:t>EBITDA to total equity ratio</w:t>
      </w:r>
      <w:r w:rsidR="005B2312">
        <w:t>’</w:t>
      </w:r>
      <w:r w:rsidR="00187D34" w:rsidRPr="007D37C9">
        <w:t>, the greater the level of return on the owners’ contribution and retention of earnings over time.</w:t>
      </w:r>
    </w:p>
    <w:p w:rsidR="00D8721E" w:rsidRDefault="00543A9B" w:rsidP="00B7720C">
      <w:r w:rsidRPr="00974CD9">
        <w:t xml:space="preserve">As illustrated in </w:t>
      </w:r>
      <w:r w:rsidR="00492BF8">
        <w:fldChar w:fldCharType="begin"/>
      </w:r>
      <w:r w:rsidR="00492BF8">
        <w:instrText xml:space="preserve"> REF _Ref524428731 \r \h </w:instrText>
      </w:r>
      <w:r w:rsidR="00492BF8">
        <w:fldChar w:fldCharType="separate"/>
      </w:r>
      <w:r w:rsidR="00492BF8">
        <w:t>Chart 10.4</w:t>
      </w:r>
      <w:r w:rsidR="00492BF8">
        <w:fldChar w:fldCharType="end"/>
      </w:r>
      <w:r w:rsidR="00586646" w:rsidRPr="00974CD9">
        <w:t>,</w:t>
      </w:r>
      <w:r w:rsidRPr="00974CD9">
        <w:t xml:space="preserve"> the current ratio and EBITDA to total assets ratios </w:t>
      </w:r>
      <w:r w:rsidR="00D25686">
        <w:t xml:space="preserve">decreased slightly </w:t>
      </w:r>
      <w:r w:rsidRPr="00974CD9">
        <w:t>between</w:t>
      </w:r>
      <w:r w:rsidR="00A261F3">
        <w:t> 201</w:t>
      </w:r>
      <w:r w:rsidRPr="00974CD9">
        <w:t>5</w:t>
      </w:r>
      <w:r w:rsidR="00D8721E">
        <w:t>–1</w:t>
      </w:r>
      <w:r w:rsidRPr="00974CD9">
        <w:t>6</w:t>
      </w:r>
      <w:r w:rsidR="00D25686">
        <w:t xml:space="preserve"> and</w:t>
      </w:r>
      <w:r w:rsidR="00A261F3">
        <w:t> 201</w:t>
      </w:r>
      <w:r w:rsidR="00D25686">
        <w:t>6</w:t>
      </w:r>
      <w:r w:rsidR="00D8721E">
        <w:t>–1</w:t>
      </w:r>
      <w:r w:rsidR="00D25686">
        <w:t>7</w:t>
      </w:r>
      <w:r w:rsidR="0011307E">
        <w:t>. This was</w:t>
      </w:r>
      <w:r w:rsidR="00D25686">
        <w:t xml:space="preserve"> after being stable in the previous two years</w:t>
      </w:r>
      <w:r w:rsidRPr="00974CD9">
        <w:t>. The EBITDA to Equity/net worth/net assets ratio did however increase</w:t>
      </w:r>
      <w:r w:rsidR="00C12728">
        <w:t xml:space="preserve"> to 18.</w:t>
      </w:r>
      <w:r w:rsidR="00341DAB">
        <w:t>3</w:t>
      </w:r>
      <w:r w:rsidR="00A261F3">
        <w:t> per cent</w:t>
      </w:r>
      <w:r w:rsidR="00C12728">
        <w:t xml:space="preserve"> after increasing </w:t>
      </w:r>
      <w:r w:rsidRPr="00974CD9">
        <w:t>from 16.0 to 17.7 in</w:t>
      </w:r>
      <w:r w:rsidR="00A261F3">
        <w:t> 201</w:t>
      </w:r>
      <w:r w:rsidRPr="00974CD9">
        <w:t>5</w:t>
      </w:r>
      <w:r w:rsidR="00D8721E">
        <w:t>–1</w:t>
      </w:r>
      <w:r w:rsidRPr="00974CD9">
        <w:t>6</w:t>
      </w:r>
      <w:r w:rsidR="00586646" w:rsidRPr="00974CD9">
        <w:t>. This indicates</w:t>
      </w:r>
      <w:r w:rsidRPr="00974CD9">
        <w:t xml:space="preserve"> an improvement in the level of </w:t>
      </w:r>
      <w:r w:rsidR="00831932">
        <w:t>results</w:t>
      </w:r>
      <w:r w:rsidRPr="00974CD9">
        <w:t xml:space="preserve"> derived across the net</w:t>
      </w:r>
      <w:r w:rsidR="00586646" w:rsidRPr="00974CD9">
        <w:t xml:space="preserve"> assets of the sector</w:t>
      </w:r>
      <w:r w:rsidR="00D8721E">
        <w:t>.</w:t>
      </w:r>
    </w:p>
    <w:p w:rsidR="00B7720C" w:rsidRDefault="00DB2539" w:rsidP="00B7720C">
      <w:pPr>
        <w:pStyle w:val="ChartTitle"/>
      </w:pPr>
      <w:bookmarkStart w:id="900" w:name="_Ref452529885"/>
      <w:bookmarkStart w:id="901" w:name="_Ref524428731"/>
      <w:r w:rsidRPr="00596D01">
        <w:t xml:space="preserve">Balance </w:t>
      </w:r>
      <w:r w:rsidR="004A1DD4" w:rsidRPr="00596D01">
        <w:t>sheet performance ratios</w:t>
      </w:r>
      <w:r w:rsidR="00DA7C9C" w:rsidRPr="00596D01">
        <w:t>,</w:t>
      </w:r>
      <w:r w:rsidR="00A261F3" w:rsidRPr="00596D01">
        <w:t> 201</w:t>
      </w:r>
      <w:r w:rsidR="00B07E98" w:rsidRPr="00596D01">
        <w:t>5</w:t>
      </w:r>
      <w:r w:rsidR="00D8721E" w:rsidRPr="00596D01">
        <w:t>–1</w:t>
      </w:r>
      <w:r w:rsidR="00B07E98" w:rsidRPr="00596D01">
        <w:t>6</w:t>
      </w:r>
      <w:r w:rsidRPr="00596D01">
        <w:t xml:space="preserve"> and</w:t>
      </w:r>
      <w:r w:rsidR="00A261F3" w:rsidRPr="00596D01">
        <w:t> 201</w:t>
      </w:r>
      <w:bookmarkEnd w:id="900"/>
      <w:r w:rsidR="00B07E98" w:rsidRPr="00596D01">
        <w:t>6</w:t>
      </w:r>
      <w:r w:rsidR="00D8721E" w:rsidRPr="00596D01">
        <w:t>–1</w:t>
      </w:r>
      <w:r w:rsidR="00B07E98" w:rsidRPr="00596D01">
        <w:t>7</w:t>
      </w:r>
      <w:bookmarkEnd w:id="901"/>
      <w:r w:rsidR="00313746" w:rsidRPr="00596D01">
        <w:t xml:space="preserve"> </w:t>
      </w:r>
    </w:p>
    <w:p w:rsidR="00D8721E" w:rsidRPr="00596D01" w:rsidRDefault="00605C04" w:rsidP="00B7720C">
      <w:r w:rsidRPr="00596D01">
        <w:rPr>
          <w:noProof/>
        </w:rPr>
        <w:drawing>
          <wp:inline distT="0" distB="0" distL="0" distR="0" wp14:anchorId="275D29F4" wp14:editId="3C1F47B0">
            <wp:extent cx="6120000" cy="2218947"/>
            <wp:effectExtent l="0" t="0" r="0" b="0"/>
            <wp:docPr id="45" name="Picture 45" descr="Chart 10.4 Balance sheet performance ratios, 2015–16 and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zc0004\AppData\Local\Microsoft\Windows\Temporary Internet Files\Content.Outlook\6DIYYC82\Chart_10.3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000" cy="2218947"/>
                    </a:xfrm>
                    <a:prstGeom prst="rect">
                      <a:avLst/>
                    </a:prstGeom>
                    <a:noFill/>
                    <a:ln>
                      <a:noFill/>
                    </a:ln>
                  </pic:spPr>
                </pic:pic>
              </a:graphicData>
            </a:graphic>
          </wp:inline>
        </w:drawing>
      </w:r>
    </w:p>
    <w:p w:rsidR="00D8721E" w:rsidRDefault="00492BF8" w:rsidP="00B7720C">
      <w:r>
        <w:fldChar w:fldCharType="begin"/>
      </w:r>
      <w:r>
        <w:instrText xml:space="preserve"> REF _Ref452499917 \r \h </w:instrText>
      </w:r>
      <w:r>
        <w:fldChar w:fldCharType="separate"/>
      </w:r>
      <w:r>
        <w:t>Chart 10.5</w:t>
      </w:r>
      <w:r>
        <w:fldChar w:fldCharType="end"/>
      </w:r>
      <w:r>
        <w:t xml:space="preserve"> </w:t>
      </w:r>
      <w:r w:rsidR="00C10128">
        <w:t>shows</w:t>
      </w:r>
      <w:r w:rsidR="002A5756" w:rsidRPr="00974CD9">
        <w:t xml:space="preserve"> the balance sheet ratios by provider type</w:t>
      </w:r>
      <w:r w:rsidR="00D8721E">
        <w:t>.</w:t>
      </w:r>
    </w:p>
    <w:p w:rsidR="00D8721E" w:rsidRDefault="00664431" w:rsidP="00B7720C">
      <w:r>
        <w:t>In</w:t>
      </w:r>
      <w:r w:rsidR="00A261F3">
        <w:t> 201</w:t>
      </w:r>
      <w:r>
        <w:t>6</w:t>
      </w:r>
      <w:r w:rsidR="00D8721E">
        <w:t>–1</w:t>
      </w:r>
      <w:r>
        <w:t>7, the current ratio for not</w:t>
      </w:r>
      <w:r>
        <w:noBreakHyphen/>
        <w:t>for</w:t>
      </w:r>
      <w:r>
        <w:noBreakHyphen/>
        <w:t>profit providers decreased to 0.46 compared with 0.58 and 0.55 in the previous two years. Although the current ratio for the not-for-profits declined, it was still higher than the current ratio achieved by the for-profit providers which was steady at 0.35 in</w:t>
      </w:r>
      <w:r w:rsidR="00A261F3">
        <w:t> 201</w:t>
      </w:r>
      <w:r>
        <w:t>6</w:t>
      </w:r>
      <w:r w:rsidR="00D8721E">
        <w:t>–1</w:t>
      </w:r>
      <w:r>
        <w:t xml:space="preserve">7. </w:t>
      </w:r>
      <w:r w:rsidR="004426CC">
        <w:t xml:space="preserve">As noted, </w:t>
      </w:r>
      <w:r w:rsidRPr="00974CD9">
        <w:t xml:space="preserve">a current ratio </w:t>
      </w:r>
      <w:r w:rsidR="004426CC">
        <w:t>of</w:t>
      </w:r>
      <w:r w:rsidRPr="00974CD9">
        <w:t xml:space="preserve"> less than 1.0 </w:t>
      </w:r>
      <w:r w:rsidR="004426CC">
        <w:t xml:space="preserve">ordinarily </w:t>
      </w:r>
      <w:r w:rsidRPr="00974CD9">
        <w:t>indicates an organisation has insufficient assets to meet their obligations when they become due and payable</w:t>
      </w:r>
      <w:r w:rsidR="004426CC">
        <w:t xml:space="preserve">. However, although </w:t>
      </w:r>
      <w:r>
        <w:t>r</w:t>
      </w:r>
      <w:r w:rsidRPr="00974CD9">
        <w:t>efundable accommodation deposits can become repayable at any time and are classified as current liabilities</w:t>
      </w:r>
      <w:r w:rsidR="004426CC">
        <w:t>, i</w:t>
      </w:r>
      <w:r w:rsidR="00F406FE">
        <w:t xml:space="preserve">n </w:t>
      </w:r>
      <w:r w:rsidRPr="00974CD9">
        <w:t xml:space="preserve">practice, the repayment period for accommodation deposit balances will vary in line with each resident’s tenure. This means that the current ratio result should be used with </w:t>
      </w:r>
      <w:r w:rsidR="00F406FE">
        <w:t xml:space="preserve">some </w:t>
      </w:r>
      <w:r w:rsidRPr="00974CD9">
        <w:t xml:space="preserve">caution and considered with other financial </w:t>
      </w:r>
      <w:r w:rsidR="00873BE8">
        <w:t xml:space="preserve">indicators </w:t>
      </w:r>
      <w:r w:rsidRPr="00974CD9">
        <w:t>in the residential aged care</w:t>
      </w:r>
      <w:r w:rsidR="00873BE8">
        <w:t xml:space="preserve"> sector</w:t>
      </w:r>
      <w:r w:rsidR="00D8721E">
        <w:t>.</w:t>
      </w:r>
    </w:p>
    <w:p w:rsidR="00D8721E" w:rsidRDefault="00664431" w:rsidP="00B7720C">
      <w:r w:rsidRPr="00974CD9">
        <w:t xml:space="preserve">The average debt ratio across the sector </w:t>
      </w:r>
      <w:r>
        <w:t xml:space="preserve">again </w:t>
      </w:r>
      <w:r w:rsidRPr="00974CD9">
        <w:t>increased slightly</w:t>
      </w:r>
      <w:r>
        <w:t xml:space="preserve"> with all three ownership types recording an increase compared with</w:t>
      </w:r>
      <w:r w:rsidR="00A261F3">
        <w:t> 201</w:t>
      </w:r>
      <w:r>
        <w:t>5</w:t>
      </w:r>
      <w:r w:rsidR="00D8721E">
        <w:t>–1</w:t>
      </w:r>
      <w:r>
        <w:t xml:space="preserve">6. </w:t>
      </w:r>
      <w:r w:rsidRPr="00974CD9">
        <w:t xml:space="preserve">The </w:t>
      </w:r>
      <w:r>
        <w:t xml:space="preserve">average </w:t>
      </w:r>
      <w:r w:rsidRPr="00974CD9">
        <w:t>debt ratio shows the proportion of organisational assets that are financed through debt. A ratio of more than 1.0 indicates that an organisation has a higher debt level than the value of its assets</w:t>
      </w:r>
      <w:r w:rsidR="00D8721E">
        <w:t>.</w:t>
      </w:r>
    </w:p>
    <w:p w:rsidR="00D8721E" w:rsidRDefault="00664431" w:rsidP="00B7720C">
      <w:r>
        <w:t>The EBITDA to total assets was almost the same for the not</w:t>
      </w:r>
      <w:r>
        <w:noBreakHyphen/>
        <w:t>for</w:t>
      </w:r>
      <w:r>
        <w:noBreakHyphen/>
        <w:t>profit providers (4.</w:t>
      </w:r>
      <w:r w:rsidR="00D00B54">
        <w:t>9</w:t>
      </w:r>
      <w:r w:rsidR="00A261F3">
        <w:t> per cent</w:t>
      </w:r>
      <w:r>
        <w:t>) as it was for the for</w:t>
      </w:r>
      <w:r>
        <w:noBreakHyphen/>
        <w:t>profit providers (4.</w:t>
      </w:r>
      <w:r w:rsidR="00D00B54">
        <w:t>8</w:t>
      </w:r>
      <w:r w:rsidR="00A261F3">
        <w:t> per cent</w:t>
      </w:r>
      <w:r>
        <w:t>) however there was a significant difference in terms of the EBITDA to Net Worth assets (14.2 and 43.</w:t>
      </w:r>
      <w:r w:rsidR="00D00B54">
        <w:t>6</w:t>
      </w:r>
      <w:r w:rsidR="00A261F3">
        <w:t> per cent</w:t>
      </w:r>
      <w:r>
        <w:t xml:space="preserve"> respectively).</w:t>
      </w:r>
    </w:p>
    <w:p w:rsidR="00695F53" w:rsidRPr="00596D01" w:rsidRDefault="00695F53" w:rsidP="00B7720C">
      <w:pPr>
        <w:pStyle w:val="ChartTitle"/>
      </w:pPr>
      <w:bookmarkStart w:id="902" w:name="_Ref452499917"/>
      <w:bookmarkStart w:id="903" w:name="_Toc421223719"/>
      <w:bookmarkStart w:id="904" w:name="_Toc423017970"/>
      <w:bookmarkStart w:id="905" w:name="_Ref423092949"/>
      <w:bookmarkStart w:id="906" w:name="_Toc423447910"/>
      <w:bookmarkStart w:id="907" w:name="_Toc423602251"/>
      <w:bookmarkStart w:id="908" w:name="_Toc425696580"/>
      <w:bookmarkStart w:id="909" w:name="_Toc425861673"/>
      <w:bookmarkEnd w:id="811"/>
      <w:r w:rsidRPr="00596D01">
        <w:lastRenderedPageBreak/>
        <w:t>Balance</w:t>
      </w:r>
      <w:r w:rsidR="00807EA1" w:rsidRPr="00596D01">
        <w:t xml:space="preserve"> sheet performance ratios at </w:t>
      </w:r>
      <w:r w:rsidR="00A261F3" w:rsidRPr="00596D01">
        <w:t>30 J</w:t>
      </w:r>
      <w:r w:rsidR="00807EA1" w:rsidRPr="00596D01">
        <w:t>une</w:t>
      </w:r>
      <w:r w:rsidR="00A261F3" w:rsidRPr="00596D01">
        <w:t> 201</w:t>
      </w:r>
      <w:r w:rsidR="00B07E98" w:rsidRPr="00596D01">
        <w:t>7</w:t>
      </w:r>
      <w:r w:rsidRPr="00596D01">
        <w:t>, by provider type</w:t>
      </w:r>
      <w:bookmarkEnd w:id="902"/>
    </w:p>
    <w:p w:rsidR="00D8721E" w:rsidRDefault="00605C04" w:rsidP="00B7720C">
      <w:r>
        <w:rPr>
          <w:noProof/>
        </w:rPr>
        <w:drawing>
          <wp:inline distT="0" distB="0" distL="0" distR="0" wp14:anchorId="170E00CF" wp14:editId="0F41BED3">
            <wp:extent cx="6120000" cy="2642956"/>
            <wp:effectExtent l="0" t="0" r="0" b="5080"/>
            <wp:docPr id="52" name="Picture 52" descr="Chart 10.5 Balance sheet performance ratios at 30 June 2017, by provide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zc0004\AppData\Local\Microsoft\Windows\Temporary Internet Files\Content.Outlook\6DIYYC82\Chart_10.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000" cy="2642956"/>
                    </a:xfrm>
                    <a:prstGeom prst="rect">
                      <a:avLst/>
                    </a:prstGeom>
                    <a:noFill/>
                    <a:ln>
                      <a:noFill/>
                    </a:ln>
                  </pic:spPr>
                </pic:pic>
              </a:graphicData>
            </a:graphic>
          </wp:inline>
        </w:drawing>
      </w:r>
    </w:p>
    <w:p w:rsidR="00D8721E" w:rsidRDefault="00492BF8" w:rsidP="00B7720C">
      <w:r>
        <w:fldChar w:fldCharType="begin"/>
      </w:r>
      <w:r>
        <w:instrText xml:space="preserve"> REF _Ref452529956 \r \h </w:instrText>
      </w:r>
      <w:r>
        <w:fldChar w:fldCharType="separate"/>
      </w:r>
      <w:r>
        <w:t>Chart 10.6</w:t>
      </w:r>
      <w:r>
        <w:fldChar w:fldCharType="end"/>
      </w:r>
      <w:r>
        <w:t xml:space="preserve"> </w:t>
      </w:r>
      <w:r w:rsidR="005709AB" w:rsidRPr="00974CD9">
        <w:t>shows the balance sheet</w:t>
      </w:r>
      <w:r w:rsidR="00C73631" w:rsidRPr="00974CD9">
        <w:t xml:space="preserve"> metrics by ownership type in</w:t>
      </w:r>
      <w:r w:rsidR="00A261F3">
        <w:t> 201</w:t>
      </w:r>
      <w:r w:rsidR="00313746">
        <w:t>6</w:t>
      </w:r>
      <w:r w:rsidR="00D8721E">
        <w:t>–1</w:t>
      </w:r>
      <w:r w:rsidR="00313746">
        <w:t>7</w:t>
      </w:r>
      <w:r w:rsidR="002B6DD2">
        <w:t>,</w:t>
      </w:r>
      <w:r w:rsidR="00C73631" w:rsidRPr="00974CD9">
        <w:t xml:space="preserve"> compared with</w:t>
      </w:r>
      <w:r w:rsidR="00A261F3">
        <w:t> 201</w:t>
      </w:r>
      <w:r w:rsidR="00313746">
        <w:t>5</w:t>
      </w:r>
      <w:r w:rsidR="00D8721E">
        <w:t>–1</w:t>
      </w:r>
      <w:r w:rsidR="00313746">
        <w:t>6</w:t>
      </w:r>
      <w:r w:rsidR="00C73631" w:rsidRPr="00974CD9">
        <w:t>.</w:t>
      </w:r>
      <w:r w:rsidR="00DC6980" w:rsidRPr="00974CD9">
        <w:t xml:space="preserve"> </w:t>
      </w:r>
      <w:r w:rsidR="002A5756" w:rsidRPr="00974CD9">
        <w:t>For the whole of sector, the average for all accommodatio</w:t>
      </w:r>
      <w:r w:rsidR="00313746">
        <w:t>n deposits held increased to $28</w:t>
      </w:r>
      <w:r w:rsidR="009276FF">
        <w:t>3,499</w:t>
      </w:r>
      <w:r w:rsidR="002A5756" w:rsidRPr="00974CD9">
        <w:t xml:space="preserve"> per resident from $2</w:t>
      </w:r>
      <w:r w:rsidR="00313746">
        <w:t>6</w:t>
      </w:r>
      <w:r w:rsidR="009276FF">
        <w:t>6,717</w:t>
      </w:r>
      <w:r w:rsidR="002A5756" w:rsidRPr="00974CD9">
        <w:t xml:space="preserve"> in</w:t>
      </w:r>
      <w:r w:rsidR="00A261F3">
        <w:t> 201</w:t>
      </w:r>
      <w:r w:rsidR="00313746">
        <w:t>5</w:t>
      </w:r>
      <w:r w:rsidR="00D8721E">
        <w:t>–1</w:t>
      </w:r>
      <w:r w:rsidR="00313746">
        <w:t xml:space="preserve">6, an increase of </w:t>
      </w:r>
      <w:r w:rsidR="00853876">
        <w:t>6</w:t>
      </w:r>
      <w:r w:rsidR="00A261F3">
        <w:t> per cent</w:t>
      </w:r>
      <w:r w:rsidR="002A5756" w:rsidRPr="00974CD9">
        <w:t xml:space="preserve">. This metric measures the average value of all bonds (pre </w:t>
      </w:r>
      <w:r w:rsidR="00031ADB" w:rsidRPr="00974CD9">
        <w:t>1 July</w:t>
      </w:r>
      <w:r w:rsidR="00A261F3">
        <w:t> 201</w:t>
      </w:r>
      <w:r w:rsidR="00031ADB" w:rsidRPr="00974CD9">
        <w:t>4</w:t>
      </w:r>
      <w:r w:rsidR="002A5756" w:rsidRPr="00974CD9">
        <w:t>) and accommodation deposits (post </w:t>
      </w:r>
      <w:r w:rsidR="00031ADB" w:rsidRPr="00974CD9">
        <w:t>1 July</w:t>
      </w:r>
      <w:r w:rsidR="00A261F3">
        <w:t> 201</w:t>
      </w:r>
      <w:r w:rsidR="00031ADB" w:rsidRPr="00974CD9">
        <w:t>4</w:t>
      </w:r>
      <w:r w:rsidR="002A5756" w:rsidRPr="00974CD9">
        <w:t>) that provider</w:t>
      </w:r>
      <w:r w:rsidR="002B6DD2">
        <w:t>s</w:t>
      </w:r>
      <w:r w:rsidR="002A5756" w:rsidRPr="00974CD9">
        <w:t xml:space="preserve"> hold. </w:t>
      </w:r>
      <w:r w:rsidR="00313746">
        <w:t>Net worth/equity decreased for the for</w:t>
      </w:r>
      <w:r w:rsidR="00BF154D">
        <w:noBreakHyphen/>
      </w:r>
      <w:r w:rsidR="00313746">
        <w:t>profit providers by around $5,000 (1</w:t>
      </w:r>
      <w:r w:rsidR="002B6DD2">
        <w:t>5.</w:t>
      </w:r>
      <w:r w:rsidR="00D00B54">
        <w:t>7</w:t>
      </w:r>
      <w:r w:rsidR="00A261F3">
        <w:t> per cent</w:t>
      </w:r>
      <w:r w:rsidR="00313746">
        <w:t>) in</w:t>
      </w:r>
      <w:r w:rsidR="00A261F3">
        <w:t> 201</w:t>
      </w:r>
      <w:r w:rsidR="00313746">
        <w:t>6</w:t>
      </w:r>
      <w:r w:rsidR="00D8721E">
        <w:t>–1</w:t>
      </w:r>
      <w:r w:rsidR="00313746">
        <w:t>7 whereas the not-for-profit recorded a 7.</w:t>
      </w:r>
      <w:r w:rsidR="00D00B54">
        <w:t>6</w:t>
      </w:r>
      <w:r w:rsidR="00A261F3">
        <w:t> per cent</w:t>
      </w:r>
      <w:r w:rsidR="00313746">
        <w:t xml:space="preserve"> increase</w:t>
      </w:r>
      <w:r w:rsidR="00D8721E">
        <w:t>.</w:t>
      </w:r>
    </w:p>
    <w:p w:rsidR="00B7720C" w:rsidRDefault="00695F53" w:rsidP="00B7720C">
      <w:pPr>
        <w:pStyle w:val="ChartTitle"/>
      </w:pPr>
      <w:bookmarkStart w:id="910" w:name="_Ref452529956"/>
      <w:r w:rsidRPr="00596D01">
        <w:t>Average balance s</w:t>
      </w:r>
      <w:r w:rsidR="00B07E98" w:rsidRPr="00596D01">
        <w:t>heet metrics by resident</w:t>
      </w:r>
      <w:r w:rsidR="0014387D" w:rsidRPr="00596D01">
        <w:t>,</w:t>
      </w:r>
      <w:r w:rsidR="00A261F3" w:rsidRPr="00596D01">
        <w:t> 201</w:t>
      </w:r>
      <w:r w:rsidR="00B07E98" w:rsidRPr="00596D01">
        <w:t>5</w:t>
      </w:r>
      <w:r w:rsidR="00D8721E" w:rsidRPr="00596D01">
        <w:t>–1</w:t>
      </w:r>
      <w:r w:rsidR="00B07E98" w:rsidRPr="00596D01">
        <w:t>6 and</w:t>
      </w:r>
      <w:r w:rsidR="00A261F3" w:rsidRPr="00596D01">
        <w:t> 201</w:t>
      </w:r>
      <w:r w:rsidR="00B07E98" w:rsidRPr="00596D01">
        <w:t>6</w:t>
      </w:r>
      <w:r w:rsidR="00D8721E" w:rsidRPr="00596D01">
        <w:t>–1</w:t>
      </w:r>
      <w:r w:rsidR="00B07E98" w:rsidRPr="00596D01">
        <w:t>7</w:t>
      </w:r>
      <w:r w:rsidRPr="00596D01">
        <w:t>, by</w:t>
      </w:r>
      <w:r w:rsidR="009276FF" w:rsidRPr="00596D01">
        <w:t> </w:t>
      </w:r>
      <w:r w:rsidRPr="00596D01">
        <w:t>provider</w:t>
      </w:r>
      <w:r w:rsidR="009276FF" w:rsidRPr="00596D01">
        <w:t> </w:t>
      </w:r>
      <w:r w:rsidRPr="00596D01">
        <w:t>type</w:t>
      </w:r>
      <w:bookmarkEnd w:id="910"/>
    </w:p>
    <w:p w:rsidR="00D8721E" w:rsidRPr="00596D01" w:rsidRDefault="00605C04" w:rsidP="00B7720C">
      <w:r w:rsidRPr="00596D01">
        <w:rPr>
          <w:noProof/>
        </w:rPr>
        <w:drawing>
          <wp:inline distT="0" distB="0" distL="0" distR="0" wp14:anchorId="68424BEA" wp14:editId="526730BD">
            <wp:extent cx="6120000" cy="3669721"/>
            <wp:effectExtent l="0" t="0" r="0" b="6985"/>
            <wp:docPr id="54" name="Picture 54" descr="Chart 10.6 Average balance sheet metrics by resident, 2015–16 and 2016–17, by provide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zc0004\AppData\Local\Microsoft\Windows\Temporary Internet Files\Content.Outlook\6DIYYC82\Chart_10.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000" cy="3669721"/>
                    </a:xfrm>
                    <a:prstGeom prst="rect">
                      <a:avLst/>
                    </a:prstGeom>
                    <a:noFill/>
                    <a:ln>
                      <a:noFill/>
                    </a:ln>
                  </pic:spPr>
                </pic:pic>
              </a:graphicData>
            </a:graphic>
          </wp:inline>
        </w:drawing>
      </w:r>
    </w:p>
    <w:p w:rsidR="00D8721E" w:rsidRPr="00596D01" w:rsidRDefault="00F667DB" w:rsidP="00B7720C">
      <w:pPr>
        <w:pStyle w:val="Heading2Numbered"/>
      </w:pPr>
      <w:bookmarkStart w:id="911" w:name="_Toc457549928"/>
      <w:bookmarkStart w:id="912" w:name="_Toc487702624"/>
      <w:bookmarkStart w:id="913" w:name="_Toc487702976"/>
      <w:bookmarkStart w:id="914" w:name="_Toc487703474"/>
      <w:bookmarkStart w:id="915" w:name="_Toc487703668"/>
      <w:bookmarkStart w:id="916" w:name="_Toc524424802"/>
      <w:bookmarkStart w:id="917" w:name="_Ref524427820"/>
      <w:r w:rsidRPr="00596D01">
        <w:t>Investment requirements</w:t>
      </w:r>
      <w:bookmarkEnd w:id="903"/>
      <w:bookmarkEnd w:id="904"/>
      <w:bookmarkEnd w:id="905"/>
      <w:bookmarkEnd w:id="906"/>
      <w:bookmarkEnd w:id="907"/>
      <w:bookmarkEnd w:id="908"/>
      <w:bookmarkEnd w:id="909"/>
      <w:bookmarkEnd w:id="911"/>
      <w:bookmarkEnd w:id="912"/>
      <w:bookmarkEnd w:id="913"/>
      <w:bookmarkEnd w:id="914"/>
      <w:bookmarkEnd w:id="915"/>
      <w:bookmarkEnd w:id="916"/>
      <w:bookmarkEnd w:id="917"/>
      <w:r w:rsidR="00313746" w:rsidRPr="00596D01">
        <w:t xml:space="preserve"> </w:t>
      </w:r>
    </w:p>
    <w:p w:rsidR="005F14AD" w:rsidRPr="005F14AD" w:rsidRDefault="005F14AD" w:rsidP="00B7720C">
      <w:pPr>
        <w:rPr>
          <w:lang w:val="en-GB"/>
        </w:rPr>
      </w:pPr>
      <w:r w:rsidRPr="005F14AD">
        <w:rPr>
          <w:lang w:val="en-GB"/>
        </w:rPr>
        <w:t xml:space="preserve">The Department maintains a model that forecasts the future </w:t>
      </w:r>
      <w:r w:rsidR="003E2AFD">
        <w:rPr>
          <w:lang w:val="en-GB"/>
        </w:rPr>
        <w:t>requirements</w:t>
      </w:r>
      <w:r w:rsidRPr="005F14AD">
        <w:rPr>
          <w:lang w:val="en-GB"/>
        </w:rPr>
        <w:t xml:space="preserve"> for investment in residential aged care</w:t>
      </w:r>
      <w:r w:rsidR="00793CA1">
        <w:rPr>
          <w:lang w:val="en-GB"/>
        </w:rPr>
        <w:t xml:space="preserve"> based on the Government’s current target provision ratios</w:t>
      </w:r>
      <w:r w:rsidRPr="005F14AD">
        <w:rPr>
          <w:lang w:val="en-GB"/>
        </w:rPr>
        <w:t xml:space="preserve">. The number of places required and the total investment requirement over the next decade have been published in previous ACFA reports. </w:t>
      </w:r>
      <w:r w:rsidR="00793CA1">
        <w:rPr>
          <w:lang w:val="en-GB"/>
        </w:rPr>
        <w:t>In early</w:t>
      </w:r>
      <w:r w:rsidR="00A261F3">
        <w:rPr>
          <w:lang w:val="en-GB"/>
        </w:rPr>
        <w:t> 201</w:t>
      </w:r>
      <w:r w:rsidR="00793CA1">
        <w:rPr>
          <w:lang w:val="en-GB"/>
        </w:rPr>
        <w:t xml:space="preserve">8, </w:t>
      </w:r>
      <w:r w:rsidRPr="005F14AD">
        <w:rPr>
          <w:lang w:val="en-GB"/>
        </w:rPr>
        <w:t xml:space="preserve">Deloitte Access Economics was engaged by the Department to review and redevelop the model, and provide </w:t>
      </w:r>
      <w:r w:rsidRPr="005F14AD">
        <w:rPr>
          <w:lang w:val="en-GB"/>
        </w:rPr>
        <w:lastRenderedPageBreak/>
        <w:t>advice on improving the reporting of the model’s outputs. The following analysis is based on the model developed by Deloitte Access Economics.</w:t>
      </w:r>
    </w:p>
    <w:p w:rsidR="005F14AD" w:rsidRPr="005F14AD" w:rsidRDefault="005F14AD" w:rsidP="00B7720C">
      <w:pPr>
        <w:rPr>
          <w:lang w:val="en-GB"/>
        </w:rPr>
      </w:pPr>
      <w:r w:rsidRPr="005F14AD">
        <w:rPr>
          <w:lang w:val="en-GB"/>
        </w:rPr>
        <w:t>The model estimates the sector’s annual investment requirement for residential care over the next decade, based on the Government’s current target provision ratio. These estimates are based on a number of key assumptions:</w:t>
      </w:r>
    </w:p>
    <w:p w:rsidR="005F14AD" w:rsidRPr="005F14AD" w:rsidRDefault="005F14AD" w:rsidP="00B7720C">
      <w:pPr>
        <w:pStyle w:val="Bullet1"/>
        <w:rPr>
          <w:lang w:val="en-GB"/>
        </w:rPr>
      </w:pPr>
      <w:r w:rsidRPr="005F14AD">
        <w:rPr>
          <w:lang w:val="en-GB"/>
        </w:rPr>
        <w:t xml:space="preserve">the current service </w:t>
      </w:r>
      <w:r w:rsidR="007F4959">
        <w:rPr>
          <w:lang w:val="en-GB"/>
        </w:rPr>
        <w:t xml:space="preserve">target </w:t>
      </w:r>
      <w:r w:rsidRPr="005F14AD">
        <w:rPr>
          <w:lang w:val="en-GB"/>
        </w:rPr>
        <w:t>provision</w:t>
      </w:r>
      <w:r w:rsidR="007F4959">
        <w:rPr>
          <w:lang w:val="en-GB"/>
        </w:rPr>
        <w:t xml:space="preserve"> ratios</w:t>
      </w:r>
      <w:r w:rsidRPr="005F14AD">
        <w:rPr>
          <w:lang w:val="en-GB"/>
        </w:rPr>
        <w:t xml:space="preserve"> continue;</w:t>
      </w:r>
    </w:p>
    <w:p w:rsidR="005F14AD" w:rsidRPr="005F14AD" w:rsidRDefault="005F14AD" w:rsidP="00B7720C">
      <w:pPr>
        <w:pStyle w:val="Bullet1"/>
        <w:rPr>
          <w:lang w:val="en-GB"/>
        </w:rPr>
      </w:pPr>
      <w:r w:rsidRPr="005F14AD">
        <w:rPr>
          <w:lang w:val="en-GB"/>
        </w:rPr>
        <w:t>the cost of construction and land continue to grow at about 2.</w:t>
      </w:r>
      <w:r w:rsidR="008C2527">
        <w:rPr>
          <w:lang w:val="en-GB"/>
        </w:rPr>
        <w:t>4</w:t>
      </w:r>
      <w:r w:rsidR="00A261F3">
        <w:rPr>
          <w:lang w:val="en-GB"/>
        </w:rPr>
        <w:t> per cent</w:t>
      </w:r>
      <w:r w:rsidRPr="005F14AD">
        <w:rPr>
          <w:lang w:val="en-GB"/>
        </w:rPr>
        <w:t xml:space="preserve"> and 4.</w:t>
      </w:r>
      <w:r w:rsidR="008C2527">
        <w:rPr>
          <w:lang w:val="en-GB"/>
        </w:rPr>
        <w:t>4</w:t>
      </w:r>
      <w:r w:rsidR="00A261F3">
        <w:rPr>
          <w:lang w:val="en-GB"/>
        </w:rPr>
        <w:t> per cent</w:t>
      </w:r>
      <w:r w:rsidRPr="005F14AD">
        <w:rPr>
          <w:lang w:val="en-GB"/>
        </w:rPr>
        <w:t xml:space="preserve"> each year respectively; and</w:t>
      </w:r>
    </w:p>
    <w:p w:rsidR="005F14AD" w:rsidRPr="005F14AD" w:rsidRDefault="005F14AD" w:rsidP="00B7720C">
      <w:pPr>
        <w:pStyle w:val="Bullet1"/>
        <w:rPr>
          <w:lang w:val="en-GB"/>
        </w:rPr>
      </w:pPr>
      <w:r w:rsidRPr="005F14AD">
        <w:rPr>
          <w:lang w:val="en-GB"/>
        </w:rPr>
        <w:t>the average lifetime of an aged care building is about 40 years, so that the current stock will need to be replaced over the next four decades.</w:t>
      </w:r>
    </w:p>
    <w:p w:rsidR="00D8721E" w:rsidRDefault="005F14AD" w:rsidP="00B7720C">
      <w:pPr>
        <w:rPr>
          <w:lang w:val="en-GB"/>
        </w:rPr>
      </w:pPr>
      <w:r w:rsidRPr="005F14AD">
        <w:rPr>
          <w:lang w:val="en-GB"/>
        </w:rPr>
        <w:t>It is estimated that the residential care sector will need to build an additional 88,110 places over the next decade</w:t>
      </w:r>
      <w:r w:rsidR="002F0EAD">
        <w:rPr>
          <w:lang w:val="en-GB"/>
        </w:rPr>
        <w:t xml:space="preserve"> (</w:t>
      </w:r>
      <w:r w:rsidR="00492BF8">
        <w:rPr>
          <w:lang w:val="en-GB"/>
        </w:rPr>
        <w:fldChar w:fldCharType="begin"/>
      </w:r>
      <w:r w:rsidR="00492BF8">
        <w:rPr>
          <w:lang w:val="en-GB"/>
        </w:rPr>
        <w:instrText xml:space="preserve"> REF _Ref450124928 \r \h </w:instrText>
      </w:r>
      <w:r w:rsidR="00492BF8">
        <w:rPr>
          <w:lang w:val="en-GB"/>
        </w:rPr>
      </w:r>
      <w:r w:rsidR="00492BF8">
        <w:rPr>
          <w:lang w:val="en-GB"/>
        </w:rPr>
        <w:fldChar w:fldCharType="separate"/>
      </w:r>
      <w:r w:rsidR="00492BF8">
        <w:rPr>
          <w:lang w:val="en-GB"/>
        </w:rPr>
        <w:t>Chart 10.7</w:t>
      </w:r>
      <w:r w:rsidR="00492BF8">
        <w:rPr>
          <w:lang w:val="en-GB"/>
        </w:rPr>
        <w:fldChar w:fldCharType="end"/>
      </w:r>
      <w:r w:rsidR="002F0EAD">
        <w:rPr>
          <w:lang w:val="en-GB"/>
        </w:rPr>
        <w:t>)</w:t>
      </w:r>
      <w:r w:rsidRPr="005F14AD">
        <w:rPr>
          <w:lang w:val="en-GB"/>
        </w:rPr>
        <w:t xml:space="preserve"> in order to meet the </w:t>
      </w:r>
      <w:r w:rsidR="007F4959">
        <w:rPr>
          <w:lang w:val="en-GB"/>
        </w:rPr>
        <w:t xml:space="preserve">target </w:t>
      </w:r>
      <w:r w:rsidRPr="005F14AD">
        <w:rPr>
          <w:lang w:val="en-GB"/>
        </w:rPr>
        <w:t xml:space="preserve">provision </w:t>
      </w:r>
      <w:r w:rsidR="007F4959">
        <w:rPr>
          <w:lang w:val="en-GB"/>
        </w:rPr>
        <w:t xml:space="preserve">ratio </w:t>
      </w:r>
      <w:r w:rsidRPr="005F14AD">
        <w:rPr>
          <w:lang w:val="en-GB"/>
        </w:rPr>
        <w:t>of 78 operational places per 1,000 people aged 70 and over</w:t>
      </w:r>
      <w:r w:rsidR="00D8721E">
        <w:rPr>
          <w:lang w:val="en-GB"/>
        </w:rPr>
        <w:t>.</w:t>
      </w:r>
    </w:p>
    <w:p w:rsidR="00D8721E" w:rsidRDefault="005F14AD" w:rsidP="00B7720C">
      <w:pPr>
        <w:rPr>
          <w:lang w:val="en-GB"/>
        </w:rPr>
      </w:pPr>
      <w:r w:rsidRPr="005F14AD">
        <w:rPr>
          <w:lang w:val="en-GB"/>
        </w:rPr>
        <w:t>At the same time, the sector will need to rebuild a substantial proportion of its current stock. Assuming that a quarter of the current stock of buildings is rebuilt at an even rate over the next decade, it is estimated that the investment requirement of the sector over the next decade is in the order of $54.</w:t>
      </w:r>
      <w:r w:rsidR="0056555D">
        <w:rPr>
          <w:lang w:val="en-GB"/>
        </w:rPr>
        <w:t>0</w:t>
      </w:r>
      <w:r w:rsidR="00A261F3">
        <w:rPr>
          <w:lang w:val="en-GB"/>
        </w:rPr>
        <w:t> billion</w:t>
      </w:r>
      <w:r w:rsidR="00D8721E">
        <w:rPr>
          <w:lang w:val="en-GB"/>
        </w:rPr>
        <w:t>.</w:t>
      </w:r>
    </w:p>
    <w:p w:rsidR="00B7720C" w:rsidRDefault="00F1098B" w:rsidP="00B7720C">
      <w:pPr>
        <w:pStyle w:val="ChartTitle"/>
      </w:pPr>
      <w:bookmarkStart w:id="918" w:name="_Ref450124928"/>
      <w:r w:rsidRPr="00596D01">
        <w:t>Number of operational residential aged care places required in the next</w:t>
      </w:r>
      <w:r w:rsidR="00BF154D" w:rsidRPr="00596D01">
        <w:t xml:space="preserve"> </w:t>
      </w:r>
      <w:r w:rsidRPr="00596D01">
        <w:t>d</w:t>
      </w:r>
      <w:r w:rsidR="00384ECB" w:rsidRPr="00596D01">
        <w:t>ecade</w:t>
      </w:r>
      <w:bookmarkEnd w:id="918"/>
    </w:p>
    <w:p w:rsidR="00415F70" w:rsidRPr="00596D01" w:rsidRDefault="005F14AD" w:rsidP="00B7720C">
      <w:r w:rsidRPr="00596D01">
        <w:rPr>
          <w:noProof/>
        </w:rPr>
        <w:drawing>
          <wp:inline distT="0" distB="0" distL="0" distR="0" wp14:anchorId="5BC5AF9B" wp14:editId="49EEAB32">
            <wp:extent cx="6120000" cy="2574516"/>
            <wp:effectExtent l="0" t="0" r="0" b="0"/>
            <wp:docPr id="20" name="Picture 20" descr="Chart 10.7 Number of operational residential aged care places required in the next de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000" cy="2574516"/>
                    </a:xfrm>
                    <a:prstGeom prst="rect">
                      <a:avLst/>
                    </a:prstGeom>
                    <a:noFill/>
                  </pic:spPr>
                </pic:pic>
              </a:graphicData>
            </a:graphic>
          </wp:inline>
        </w:drawing>
      </w:r>
    </w:p>
    <w:p w:rsidR="00234060" w:rsidRPr="00234060" w:rsidRDefault="00234060" w:rsidP="00B7720C">
      <w:pPr>
        <w:rPr>
          <w:lang w:val="en-GB"/>
        </w:rPr>
      </w:pPr>
      <w:r w:rsidRPr="00234060">
        <w:rPr>
          <w:lang w:val="en-GB"/>
        </w:rPr>
        <w:t>In</w:t>
      </w:r>
      <w:r w:rsidR="00A261F3">
        <w:rPr>
          <w:lang w:val="en-GB"/>
        </w:rPr>
        <w:t> 201</w:t>
      </w:r>
      <w:r w:rsidRPr="00234060">
        <w:rPr>
          <w:lang w:val="en-GB"/>
        </w:rPr>
        <w:t>6</w:t>
      </w:r>
      <w:r w:rsidR="00D8721E">
        <w:rPr>
          <w:lang w:val="en-GB"/>
        </w:rPr>
        <w:t>–1</w:t>
      </w:r>
      <w:r w:rsidRPr="00234060">
        <w:rPr>
          <w:lang w:val="en-GB"/>
        </w:rPr>
        <w:t>7, ACFA reported that the</w:t>
      </w:r>
      <w:r w:rsidR="003E2AFD">
        <w:rPr>
          <w:lang w:val="en-GB"/>
        </w:rPr>
        <w:t xml:space="preserve"> annual</w:t>
      </w:r>
      <w:r w:rsidRPr="00234060">
        <w:rPr>
          <w:lang w:val="en-GB"/>
        </w:rPr>
        <w:t xml:space="preserve"> investment requirements would increase from $2.8</w:t>
      </w:r>
      <w:r w:rsidR="00A261F3">
        <w:rPr>
          <w:lang w:val="en-GB"/>
        </w:rPr>
        <w:t> billion</w:t>
      </w:r>
      <w:r w:rsidRPr="00234060">
        <w:rPr>
          <w:lang w:val="en-GB"/>
        </w:rPr>
        <w:t xml:space="preserve"> in</w:t>
      </w:r>
      <w:r w:rsidR="00A261F3">
        <w:rPr>
          <w:lang w:val="en-GB"/>
        </w:rPr>
        <w:t> 201</w:t>
      </w:r>
      <w:r w:rsidRPr="00234060">
        <w:rPr>
          <w:lang w:val="en-GB"/>
        </w:rPr>
        <w:t>6</w:t>
      </w:r>
      <w:r w:rsidR="00D8721E">
        <w:rPr>
          <w:lang w:val="en-GB"/>
        </w:rPr>
        <w:t>–1</w:t>
      </w:r>
      <w:r w:rsidRPr="00234060">
        <w:rPr>
          <w:lang w:val="en-GB"/>
        </w:rPr>
        <w:t>7 to around $4.</w:t>
      </w:r>
      <w:r w:rsidR="0056555D">
        <w:rPr>
          <w:lang w:val="en-GB"/>
        </w:rPr>
        <w:t>2</w:t>
      </w:r>
      <w:r w:rsidR="00A261F3">
        <w:rPr>
          <w:lang w:val="en-GB"/>
        </w:rPr>
        <w:t> billion</w:t>
      </w:r>
      <w:r w:rsidRPr="00234060">
        <w:rPr>
          <w:lang w:val="en-GB"/>
        </w:rPr>
        <w:t xml:space="preserve"> in</w:t>
      </w:r>
      <w:r w:rsidR="00A261F3">
        <w:rPr>
          <w:lang w:val="en-GB"/>
        </w:rPr>
        <w:t> 202</w:t>
      </w:r>
      <w:r w:rsidRPr="00234060">
        <w:rPr>
          <w:lang w:val="en-GB"/>
        </w:rPr>
        <w:t>6</w:t>
      </w:r>
      <w:r w:rsidR="00D8721E">
        <w:rPr>
          <w:lang w:val="en-GB"/>
        </w:rPr>
        <w:t>–2</w:t>
      </w:r>
      <w:r w:rsidRPr="00234060">
        <w:rPr>
          <w:lang w:val="en-GB"/>
        </w:rPr>
        <w:t>7. The results from the revised model are considerably higher for a number of reasons:</w:t>
      </w:r>
    </w:p>
    <w:p w:rsidR="00234060" w:rsidRPr="000673CA" w:rsidRDefault="00234060" w:rsidP="00B7720C">
      <w:pPr>
        <w:pStyle w:val="Bullet1"/>
        <w:rPr>
          <w:lang w:val="en-GB"/>
        </w:rPr>
      </w:pPr>
      <w:r w:rsidRPr="000673CA">
        <w:rPr>
          <w:lang w:val="en-GB"/>
        </w:rPr>
        <w:t>the model now includes annual upgrade costs, which are estimated to increase from $0.7</w:t>
      </w:r>
      <w:r w:rsidR="00A261F3">
        <w:rPr>
          <w:lang w:val="en-GB"/>
        </w:rPr>
        <w:t> billion</w:t>
      </w:r>
      <w:r w:rsidRPr="000673CA">
        <w:rPr>
          <w:lang w:val="en-GB"/>
        </w:rPr>
        <w:t xml:space="preserve"> in</w:t>
      </w:r>
      <w:r w:rsidR="00A261F3">
        <w:rPr>
          <w:lang w:val="en-GB"/>
        </w:rPr>
        <w:t> 201</w:t>
      </w:r>
      <w:r w:rsidRPr="000673CA">
        <w:rPr>
          <w:lang w:val="en-GB"/>
        </w:rPr>
        <w:t>7</w:t>
      </w:r>
      <w:r w:rsidR="00D8721E">
        <w:rPr>
          <w:lang w:val="en-GB"/>
        </w:rPr>
        <w:t>–1</w:t>
      </w:r>
      <w:r w:rsidRPr="000673CA">
        <w:rPr>
          <w:lang w:val="en-GB"/>
        </w:rPr>
        <w:t>8 to $1.</w:t>
      </w:r>
      <w:r w:rsidR="0056555D">
        <w:rPr>
          <w:lang w:val="en-GB"/>
        </w:rPr>
        <w:t>2</w:t>
      </w:r>
      <w:r w:rsidR="00A261F3">
        <w:rPr>
          <w:lang w:val="en-GB"/>
        </w:rPr>
        <w:t> billion</w:t>
      </w:r>
      <w:r w:rsidRPr="000673CA">
        <w:rPr>
          <w:lang w:val="en-GB"/>
        </w:rPr>
        <w:t xml:space="preserve"> by</w:t>
      </w:r>
      <w:r w:rsidR="00A261F3">
        <w:rPr>
          <w:lang w:val="en-GB"/>
        </w:rPr>
        <w:t> 202</w:t>
      </w:r>
      <w:r w:rsidRPr="000673CA">
        <w:rPr>
          <w:lang w:val="en-GB"/>
        </w:rPr>
        <w:t>6</w:t>
      </w:r>
      <w:r w:rsidR="00D8721E">
        <w:rPr>
          <w:lang w:val="en-GB"/>
        </w:rPr>
        <w:t>–2</w:t>
      </w:r>
      <w:r w:rsidRPr="000673CA">
        <w:rPr>
          <w:lang w:val="en-GB"/>
        </w:rPr>
        <w:t>7;</w:t>
      </w:r>
    </w:p>
    <w:p w:rsidR="00234060" w:rsidRPr="000673CA" w:rsidRDefault="00234060" w:rsidP="00B7720C">
      <w:pPr>
        <w:pStyle w:val="Bullet1"/>
        <w:rPr>
          <w:lang w:val="en-GB"/>
        </w:rPr>
      </w:pPr>
      <w:r w:rsidRPr="000673CA">
        <w:rPr>
          <w:lang w:val="en-GB"/>
        </w:rPr>
        <w:t>allowing for the lag in building times brings investment requirem</w:t>
      </w:r>
      <w:r w:rsidR="00BF154D">
        <w:rPr>
          <w:lang w:val="en-GB"/>
        </w:rPr>
        <w:t xml:space="preserve">ents for new places forward; </w:t>
      </w:r>
    </w:p>
    <w:p w:rsidR="00234060" w:rsidRPr="000673CA" w:rsidRDefault="00234060" w:rsidP="00B7720C">
      <w:pPr>
        <w:pStyle w:val="Bullet1"/>
        <w:rPr>
          <w:lang w:val="en-GB"/>
        </w:rPr>
      </w:pPr>
      <w:r w:rsidRPr="000673CA">
        <w:rPr>
          <w:lang w:val="en-GB"/>
        </w:rPr>
        <w:t>the average cost of a new place and a rebuilt place are approximately $77,000 and $33,000 higher than the assumptions in the old model, respectively; and</w:t>
      </w:r>
    </w:p>
    <w:p w:rsidR="00234060" w:rsidRPr="000673CA" w:rsidRDefault="00234060" w:rsidP="00B7720C">
      <w:pPr>
        <w:pStyle w:val="Bullet1"/>
        <w:rPr>
          <w:lang w:val="en-GB"/>
        </w:rPr>
      </w:pPr>
      <w:r w:rsidRPr="000673CA">
        <w:rPr>
          <w:lang w:val="en-GB"/>
        </w:rPr>
        <w:t>other differences</w:t>
      </w:r>
      <w:r w:rsidR="00696ED6">
        <w:rPr>
          <w:lang w:val="en-GB"/>
        </w:rPr>
        <w:t>,</w:t>
      </w:r>
      <w:r w:rsidRPr="000673CA">
        <w:rPr>
          <w:lang w:val="en-GB"/>
        </w:rPr>
        <w:t xml:space="preserve"> including a higher number of places and indexation</w:t>
      </w:r>
      <w:r w:rsidR="00696ED6">
        <w:rPr>
          <w:lang w:val="en-GB"/>
        </w:rPr>
        <w:t>, which</w:t>
      </w:r>
      <w:r w:rsidRPr="000673CA">
        <w:rPr>
          <w:lang w:val="en-GB"/>
        </w:rPr>
        <w:t xml:space="preserve"> increase the investment requirements over time – for example, land is indexed at approximately 4.4% per a</w:t>
      </w:r>
      <w:r w:rsidR="00BF154D">
        <w:rPr>
          <w:lang w:val="en-GB"/>
        </w:rPr>
        <w:t>nnum compared to 2.4% per annum in the previous calculations.</w:t>
      </w:r>
    </w:p>
    <w:p w:rsidR="00234060" w:rsidRPr="000673CA" w:rsidRDefault="00234060" w:rsidP="00B7720C">
      <w:pPr>
        <w:rPr>
          <w:lang w:val="en-GB"/>
        </w:rPr>
      </w:pPr>
      <w:r w:rsidRPr="000673CA">
        <w:rPr>
          <w:lang w:val="en-GB"/>
        </w:rPr>
        <w:t xml:space="preserve">This increase in investment </w:t>
      </w:r>
      <w:r w:rsidR="003E2AFD">
        <w:rPr>
          <w:lang w:val="en-GB"/>
        </w:rPr>
        <w:t>requirements will necessitate</w:t>
      </w:r>
      <w:r w:rsidRPr="000673CA">
        <w:rPr>
          <w:lang w:val="en-GB"/>
        </w:rPr>
        <w:t xml:space="preserve"> several inputs in order to be met, including: </w:t>
      </w:r>
    </w:p>
    <w:p w:rsidR="00234060" w:rsidRPr="000673CA" w:rsidRDefault="00234060" w:rsidP="00B7720C">
      <w:pPr>
        <w:pStyle w:val="Bullet1"/>
        <w:rPr>
          <w:lang w:eastAsia="en-US"/>
        </w:rPr>
      </w:pPr>
      <w:r w:rsidRPr="000673CA">
        <w:rPr>
          <w:lang w:eastAsia="en-US"/>
        </w:rPr>
        <w:t>continued subsidised operational funding from the Commonwealth on behalf of supported residents;</w:t>
      </w:r>
    </w:p>
    <w:p w:rsidR="00234060" w:rsidRPr="000673CA" w:rsidRDefault="00234060" w:rsidP="00B7720C">
      <w:pPr>
        <w:pStyle w:val="Bullet1"/>
        <w:rPr>
          <w:lang w:eastAsia="en-US"/>
        </w:rPr>
      </w:pPr>
      <w:r w:rsidRPr="000673CA">
        <w:rPr>
          <w:lang w:eastAsia="en-US"/>
        </w:rPr>
        <w:t>consumer contributions to operational funding;</w:t>
      </w:r>
    </w:p>
    <w:p w:rsidR="00234060" w:rsidRPr="000673CA" w:rsidRDefault="00234060" w:rsidP="00B7720C">
      <w:pPr>
        <w:pStyle w:val="Bullet1"/>
        <w:rPr>
          <w:lang w:eastAsia="en-US"/>
        </w:rPr>
      </w:pPr>
      <w:r w:rsidRPr="000673CA">
        <w:rPr>
          <w:lang w:eastAsia="en-US"/>
        </w:rPr>
        <w:t>capital financing from residents (in the form of refundable accommodation deposits), providers, investors and financiers and the Commonwealth;</w:t>
      </w:r>
    </w:p>
    <w:p w:rsidR="00234060" w:rsidRPr="000673CA" w:rsidRDefault="00234060" w:rsidP="00B7720C">
      <w:pPr>
        <w:pStyle w:val="Bullet1"/>
        <w:rPr>
          <w:lang w:eastAsia="en-US"/>
        </w:rPr>
      </w:pPr>
      <w:r w:rsidRPr="000673CA">
        <w:rPr>
          <w:lang w:eastAsia="en-US"/>
        </w:rPr>
        <w:lastRenderedPageBreak/>
        <w:t xml:space="preserve">industry wide access to detailed medium term demographic forecasts to ensure correct siting of future facilities; and </w:t>
      </w:r>
    </w:p>
    <w:p w:rsidR="00234060" w:rsidRPr="000673CA" w:rsidRDefault="00234060" w:rsidP="00B7720C">
      <w:pPr>
        <w:pStyle w:val="Bullet1"/>
        <w:rPr>
          <w:lang w:eastAsia="en-US"/>
        </w:rPr>
      </w:pPr>
      <w:r w:rsidRPr="000673CA">
        <w:rPr>
          <w:lang w:eastAsia="en-US"/>
        </w:rPr>
        <w:t>availability of greenfield sites for the construction of new aged care homes in the areas needed.</w:t>
      </w:r>
    </w:p>
    <w:p w:rsidR="00234060" w:rsidRPr="000673CA" w:rsidRDefault="00492BF8" w:rsidP="00B7720C">
      <w:pPr>
        <w:rPr>
          <w:lang w:val="en-GB"/>
        </w:rPr>
      </w:pPr>
      <w:r>
        <w:rPr>
          <w:lang w:val="en-GB"/>
        </w:rPr>
        <w:fldChar w:fldCharType="begin"/>
      </w:r>
      <w:r>
        <w:rPr>
          <w:lang w:val="en-GB"/>
        </w:rPr>
        <w:instrText xml:space="preserve"> REF _Ref524428768 \r \h </w:instrText>
      </w:r>
      <w:r>
        <w:rPr>
          <w:lang w:val="en-GB"/>
        </w:rPr>
      </w:r>
      <w:r>
        <w:rPr>
          <w:lang w:val="en-GB"/>
        </w:rPr>
        <w:fldChar w:fldCharType="separate"/>
      </w:r>
      <w:r>
        <w:rPr>
          <w:lang w:val="en-GB"/>
        </w:rPr>
        <w:t>Chart 10.8</w:t>
      </w:r>
      <w:r>
        <w:rPr>
          <w:lang w:val="en-GB"/>
        </w:rPr>
        <w:fldChar w:fldCharType="end"/>
      </w:r>
      <w:r>
        <w:rPr>
          <w:lang w:val="en-GB"/>
        </w:rPr>
        <w:t xml:space="preserve"> </w:t>
      </w:r>
      <w:r w:rsidR="00234060" w:rsidRPr="000673CA">
        <w:rPr>
          <w:lang w:val="en-GB"/>
        </w:rPr>
        <w:t>shows the investment needed over the next decade to construct the new aged care places required to cater for the impact of the baby boomer generation on the number of places generated under the provision ratio. Over the next decade, there is a steep ramp up from $4.7</w:t>
      </w:r>
      <w:r w:rsidR="00A261F3">
        <w:rPr>
          <w:lang w:val="en-GB"/>
        </w:rPr>
        <w:t> billion</w:t>
      </w:r>
      <w:r w:rsidR="00234060" w:rsidRPr="000673CA">
        <w:rPr>
          <w:lang w:val="en-GB"/>
        </w:rPr>
        <w:t xml:space="preserve"> needed in</w:t>
      </w:r>
      <w:r w:rsidR="00A261F3">
        <w:rPr>
          <w:lang w:val="en-GB"/>
        </w:rPr>
        <w:t> 201</w:t>
      </w:r>
      <w:r w:rsidR="00234060" w:rsidRPr="000673CA">
        <w:rPr>
          <w:lang w:val="en-GB"/>
        </w:rPr>
        <w:t>7</w:t>
      </w:r>
      <w:r w:rsidR="00D8721E">
        <w:rPr>
          <w:lang w:val="en-GB"/>
        </w:rPr>
        <w:t>–1</w:t>
      </w:r>
      <w:r w:rsidR="00234060" w:rsidRPr="000673CA">
        <w:rPr>
          <w:lang w:val="en-GB"/>
        </w:rPr>
        <w:t>8 to around $6.</w:t>
      </w:r>
      <w:r w:rsidR="0056555D">
        <w:rPr>
          <w:lang w:val="en-GB"/>
        </w:rPr>
        <w:t>2</w:t>
      </w:r>
      <w:r w:rsidR="00A261F3">
        <w:rPr>
          <w:lang w:val="en-GB"/>
        </w:rPr>
        <w:t> billion</w:t>
      </w:r>
      <w:r w:rsidR="00234060" w:rsidRPr="000673CA">
        <w:rPr>
          <w:lang w:val="en-GB"/>
        </w:rPr>
        <w:t xml:space="preserve"> in</w:t>
      </w:r>
      <w:r w:rsidR="00A261F3">
        <w:rPr>
          <w:lang w:val="en-GB"/>
        </w:rPr>
        <w:t> 202</w:t>
      </w:r>
      <w:r w:rsidR="00234060" w:rsidRPr="000673CA">
        <w:rPr>
          <w:lang w:val="en-GB"/>
        </w:rPr>
        <w:t>6</w:t>
      </w:r>
      <w:r w:rsidR="00D8721E">
        <w:rPr>
          <w:lang w:val="en-GB"/>
        </w:rPr>
        <w:t>–2</w:t>
      </w:r>
      <w:r w:rsidR="00234060" w:rsidRPr="000673CA">
        <w:rPr>
          <w:lang w:val="en-GB"/>
        </w:rPr>
        <w:t>7.</w:t>
      </w:r>
    </w:p>
    <w:p w:rsidR="00D8721E" w:rsidRDefault="00234060" w:rsidP="00B7720C">
      <w:pPr>
        <w:rPr>
          <w:lang w:val="en-GB"/>
        </w:rPr>
      </w:pPr>
      <w:r w:rsidRPr="000673CA">
        <w:rPr>
          <w:lang w:val="en-GB"/>
        </w:rPr>
        <w:t>The pattern in annual investment, including the slight contraction in</w:t>
      </w:r>
      <w:r w:rsidR="00A261F3">
        <w:rPr>
          <w:lang w:val="en-GB"/>
        </w:rPr>
        <w:t> 201</w:t>
      </w:r>
      <w:r w:rsidRPr="000673CA">
        <w:rPr>
          <w:lang w:val="en-GB"/>
        </w:rPr>
        <w:t>9, reflects the underlying growth in the 70 years and over population and most notably the large number of births in 1946.</w:t>
      </w:r>
    </w:p>
    <w:p w:rsidR="00B7720C" w:rsidRDefault="005E36C2" w:rsidP="00B7720C">
      <w:pPr>
        <w:pStyle w:val="ChartTitle"/>
      </w:pPr>
      <w:bookmarkStart w:id="919" w:name="_Ref450125362"/>
      <w:bookmarkStart w:id="920" w:name="_Ref524428768"/>
      <w:r w:rsidRPr="00596D01">
        <w:t>Future annual investment r</w:t>
      </w:r>
      <w:r w:rsidR="00384ECB" w:rsidRPr="00596D01">
        <w:t>equirement</w:t>
      </w:r>
      <w:bookmarkEnd w:id="919"/>
      <w:r w:rsidR="008C6459" w:rsidRPr="00596D01">
        <w:t>,</w:t>
      </w:r>
      <w:r w:rsidR="00A261F3" w:rsidRPr="00596D01">
        <w:t> 201</w:t>
      </w:r>
      <w:r w:rsidR="008C6459" w:rsidRPr="00596D01">
        <w:t>7</w:t>
      </w:r>
      <w:r w:rsidR="00D8721E" w:rsidRPr="00596D01">
        <w:t>–1</w:t>
      </w:r>
      <w:r w:rsidR="008C6459" w:rsidRPr="00596D01">
        <w:t>8 to</w:t>
      </w:r>
      <w:r w:rsidR="00A261F3" w:rsidRPr="00596D01">
        <w:t> 202</w:t>
      </w:r>
      <w:r w:rsidR="008C6459" w:rsidRPr="00596D01">
        <w:t>6</w:t>
      </w:r>
      <w:r w:rsidR="00D8721E" w:rsidRPr="00596D01">
        <w:t>–2</w:t>
      </w:r>
      <w:r w:rsidR="008C6459" w:rsidRPr="00596D01">
        <w:t>7</w:t>
      </w:r>
      <w:bookmarkEnd w:id="920"/>
      <w:r w:rsidR="008C6459" w:rsidRPr="00596D01">
        <w:t xml:space="preserve"> </w:t>
      </w:r>
    </w:p>
    <w:p w:rsidR="00D8721E" w:rsidRPr="00596D01" w:rsidRDefault="00755F00" w:rsidP="00B7720C">
      <w:r w:rsidRPr="00596D01">
        <w:rPr>
          <w:noProof/>
        </w:rPr>
        <w:drawing>
          <wp:inline distT="0" distB="0" distL="0" distR="0" wp14:anchorId="642A677E" wp14:editId="49D12DCE">
            <wp:extent cx="6120000" cy="3164248"/>
            <wp:effectExtent l="0" t="0" r="0" b="0"/>
            <wp:docPr id="274" name="Picture 274" descr="Chart 10.8 Future annual investment requirement, 2017–18 to 2026–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zc0004\AppData\Local\Microsoft\Windows\Temporary Internet Files\Content.Outlook\6DIYYC82\Chart_10.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000" cy="3164248"/>
                    </a:xfrm>
                    <a:prstGeom prst="rect">
                      <a:avLst/>
                    </a:prstGeom>
                    <a:noFill/>
                    <a:ln>
                      <a:noFill/>
                    </a:ln>
                  </pic:spPr>
                </pic:pic>
              </a:graphicData>
            </a:graphic>
          </wp:inline>
        </w:drawing>
      </w:r>
    </w:p>
    <w:p w:rsidR="000673CA" w:rsidRPr="00213292" w:rsidRDefault="000673CA" w:rsidP="00B7720C">
      <w:pPr>
        <w:rPr>
          <w:lang w:val="en-GB"/>
        </w:rPr>
      </w:pPr>
      <w:r w:rsidRPr="00213292">
        <w:rPr>
          <w:lang w:val="en-GB"/>
        </w:rPr>
        <w:t>The calculation of future annual investment requirements are predicated on achieving the current service</w:t>
      </w:r>
      <w:r w:rsidR="007F4959">
        <w:rPr>
          <w:lang w:val="en-GB"/>
        </w:rPr>
        <w:t xml:space="preserve"> target</w:t>
      </w:r>
      <w:r w:rsidRPr="00213292">
        <w:rPr>
          <w:lang w:val="en-GB"/>
        </w:rPr>
        <w:t xml:space="preserve"> provision</w:t>
      </w:r>
      <w:r w:rsidR="007F4959">
        <w:rPr>
          <w:lang w:val="en-GB"/>
        </w:rPr>
        <w:t xml:space="preserve"> ratios</w:t>
      </w:r>
      <w:r w:rsidRPr="00213292">
        <w:rPr>
          <w:lang w:val="en-GB"/>
        </w:rPr>
        <w:t xml:space="preserve"> in each year. </w:t>
      </w:r>
      <w:r w:rsidR="003E2AFD">
        <w:rPr>
          <w:lang w:val="en-GB"/>
        </w:rPr>
        <w:t>T</w:t>
      </w:r>
      <w:r w:rsidRPr="00213292">
        <w:rPr>
          <w:lang w:val="en-GB"/>
        </w:rPr>
        <w:t>he residential care planning targets apply at the national level only and there are many planning considerations that affect the relative supply of places in each location, such as local demand profiles and building costs. The investment requirements reported here for each state and territory are based on allocating places to each jurisdiction in a manner that would get that jurisdiction as close to the national target as possible while minimising variation in allocation amounts each year.</w:t>
      </w:r>
    </w:p>
    <w:p w:rsidR="000673CA" w:rsidRPr="00213292" w:rsidRDefault="000673CA" w:rsidP="00B7720C">
      <w:pPr>
        <w:rPr>
          <w:lang w:val="en-GB"/>
        </w:rPr>
      </w:pPr>
      <w:r w:rsidRPr="00213292">
        <w:rPr>
          <w:lang w:val="en-GB"/>
        </w:rPr>
        <w:t>The total estimated investment requirements for each state and territory over the next decade are broadly in line with the distribution of the older population. The notable exception to this is Western Australia which currently</w:t>
      </w:r>
      <w:r>
        <w:rPr>
          <w:lang w:val="en-GB"/>
        </w:rPr>
        <w:t xml:space="preserve"> </w:t>
      </w:r>
      <w:r w:rsidR="00172456">
        <w:rPr>
          <w:lang w:val="en-GB"/>
        </w:rPr>
        <w:t>has</w:t>
      </w:r>
      <w:r w:rsidR="00853876">
        <w:rPr>
          <w:lang w:val="en-GB"/>
        </w:rPr>
        <w:t xml:space="preserve"> 8</w:t>
      </w:r>
      <w:r w:rsidR="00A261F3">
        <w:rPr>
          <w:lang w:val="en-GB"/>
        </w:rPr>
        <w:t> per cent</w:t>
      </w:r>
      <w:r w:rsidRPr="00213292">
        <w:rPr>
          <w:lang w:val="en-GB"/>
        </w:rPr>
        <w:t xml:space="preserve"> of total places and 1</w:t>
      </w:r>
      <w:r w:rsidR="00341DAB">
        <w:rPr>
          <w:lang w:val="en-GB"/>
        </w:rPr>
        <w:t>2</w:t>
      </w:r>
      <w:r w:rsidR="00A261F3">
        <w:rPr>
          <w:lang w:val="en-GB"/>
        </w:rPr>
        <w:t> per cent</w:t>
      </w:r>
      <w:r w:rsidRPr="00213292">
        <w:rPr>
          <w:lang w:val="en-GB"/>
        </w:rPr>
        <w:t xml:space="preserve"> of the total investment requirement. The major reason for this anomaly is that Western Australia is currently relatively undersupplied compared</w:t>
      </w:r>
      <w:r w:rsidR="00696ED6">
        <w:rPr>
          <w:lang w:val="en-GB"/>
        </w:rPr>
        <w:t xml:space="preserve"> with</w:t>
      </w:r>
      <w:r w:rsidRPr="00213292">
        <w:rPr>
          <w:lang w:val="en-GB"/>
        </w:rPr>
        <w:t xml:space="preserve"> what the national target would dictate and is therefore projected to be allocated a disproportionately high number of places over the next ten years. In addition, the average cost of construction in Western Australia is higher than the national average.</w:t>
      </w:r>
    </w:p>
    <w:p w:rsidR="000673CA" w:rsidRPr="00213292" w:rsidRDefault="000673CA" w:rsidP="00B7720C">
      <w:pPr>
        <w:rPr>
          <w:lang w:val="en-GB"/>
        </w:rPr>
      </w:pPr>
      <w:r w:rsidRPr="00213292">
        <w:rPr>
          <w:lang w:val="en-GB"/>
        </w:rPr>
        <w:t>As noted in Chapter 5, the residential care planning targets are likely to over-estimate the places required to ensure sufficient provision levels during the short term. This is because the cohort that predominantly access residential care – the population aged 85 and over – is declining as a proportion of the 70 and over population on which the</w:t>
      </w:r>
      <w:r w:rsidR="007F4959">
        <w:rPr>
          <w:lang w:val="en-GB"/>
        </w:rPr>
        <w:t xml:space="preserve"> target provision ratios</w:t>
      </w:r>
      <w:r w:rsidRPr="00213292">
        <w:rPr>
          <w:lang w:val="en-GB"/>
        </w:rPr>
        <w:t xml:space="preserve"> are based.</w:t>
      </w:r>
    </w:p>
    <w:p w:rsidR="00D8721E" w:rsidRDefault="000673CA" w:rsidP="00B7720C">
      <w:pPr>
        <w:rPr>
          <w:lang w:val="en-GB"/>
        </w:rPr>
      </w:pPr>
      <w:r w:rsidRPr="00213292">
        <w:rPr>
          <w:lang w:val="en-GB"/>
        </w:rPr>
        <w:t xml:space="preserve">As at </w:t>
      </w:r>
      <w:r w:rsidR="00A261F3">
        <w:rPr>
          <w:lang w:val="en-GB"/>
        </w:rPr>
        <w:t>30 J</w:t>
      </w:r>
      <w:r w:rsidR="00ED43AB">
        <w:rPr>
          <w:lang w:val="en-GB"/>
        </w:rPr>
        <w:t>une</w:t>
      </w:r>
      <w:r w:rsidR="00A261F3">
        <w:rPr>
          <w:lang w:val="en-GB"/>
        </w:rPr>
        <w:t> 201</w:t>
      </w:r>
      <w:r w:rsidRPr="00213292">
        <w:rPr>
          <w:lang w:val="en-GB"/>
        </w:rPr>
        <w:t xml:space="preserve">7 there were 39,294 provisionally allocated mainstream residential care places, meaning that they have been allocated to aged care providers but not yet made operational due to the building time required to bring a place online. In addition to the relatively large stock of provisionally allocated places in the development pipeline, demand by providers for new places </w:t>
      </w:r>
      <w:r w:rsidR="007A0915">
        <w:rPr>
          <w:lang w:val="en-GB"/>
        </w:rPr>
        <w:t>was strong in the</w:t>
      </w:r>
      <w:r w:rsidR="00A261F3">
        <w:rPr>
          <w:lang w:val="en-GB"/>
        </w:rPr>
        <w:t> 201</w:t>
      </w:r>
      <w:r w:rsidR="007A0915">
        <w:rPr>
          <w:lang w:val="en-GB"/>
        </w:rPr>
        <w:t>6 ACAR</w:t>
      </w:r>
      <w:r w:rsidRPr="00213292">
        <w:rPr>
          <w:lang w:val="en-GB"/>
        </w:rPr>
        <w:t xml:space="preserve">, with 45,053 </w:t>
      </w:r>
      <w:r w:rsidRPr="00213292">
        <w:rPr>
          <w:lang w:val="en-GB"/>
        </w:rPr>
        <w:lastRenderedPageBreak/>
        <w:t>places sought by providers</w:t>
      </w:r>
      <w:r w:rsidR="007A0915">
        <w:rPr>
          <w:lang w:val="en-GB"/>
        </w:rPr>
        <w:t>,</w:t>
      </w:r>
      <w:r w:rsidRPr="00213292">
        <w:rPr>
          <w:lang w:val="en-GB"/>
        </w:rPr>
        <w:t xml:space="preserve"> (a 1</w:t>
      </w:r>
      <w:r w:rsidR="009C307B">
        <w:rPr>
          <w:lang w:val="en-GB"/>
        </w:rPr>
        <w:t>5</w:t>
      </w:r>
      <w:r w:rsidR="00A261F3">
        <w:rPr>
          <w:lang w:val="en-GB"/>
        </w:rPr>
        <w:t> per cent</w:t>
      </w:r>
      <w:r w:rsidRPr="00213292">
        <w:rPr>
          <w:lang w:val="en-GB"/>
        </w:rPr>
        <w:t xml:space="preserve"> increase on the</w:t>
      </w:r>
      <w:r w:rsidR="00A261F3">
        <w:rPr>
          <w:lang w:val="en-GB"/>
        </w:rPr>
        <w:t> 201</w:t>
      </w:r>
      <w:r w:rsidRPr="00213292">
        <w:rPr>
          <w:lang w:val="en-GB"/>
        </w:rPr>
        <w:t>5 ACAR) compared</w:t>
      </w:r>
      <w:r w:rsidRPr="00FB0EF1">
        <w:rPr>
          <w:lang w:val="en-GB"/>
        </w:rPr>
        <w:t xml:space="preserve"> </w:t>
      </w:r>
      <w:r w:rsidRPr="00213292">
        <w:rPr>
          <w:lang w:val="en-GB"/>
        </w:rPr>
        <w:t>with the 10,000 places advertised. The</w:t>
      </w:r>
      <w:r w:rsidR="00A261F3">
        <w:rPr>
          <w:lang w:val="en-GB"/>
        </w:rPr>
        <w:t> 201</w:t>
      </w:r>
      <w:r w:rsidRPr="00213292">
        <w:rPr>
          <w:lang w:val="en-GB"/>
        </w:rPr>
        <w:t>8</w:t>
      </w:r>
      <w:r w:rsidR="00D8721E">
        <w:rPr>
          <w:lang w:val="en-GB"/>
        </w:rPr>
        <w:t>–1</w:t>
      </w:r>
      <w:r w:rsidRPr="00213292">
        <w:rPr>
          <w:lang w:val="en-GB"/>
        </w:rPr>
        <w:t>9 ACAR</w:t>
      </w:r>
      <w:r w:rsidR="00696ED6">
        <w:rPr>
          <w:lang w:val="en-GB"/>
        </w:rPr>
        <w:t xml:space="preserve"> announced by the Government is seeking applications for </w:t>
      </w:r>
      <w:r w:rsidRPr="00213292">
        <w:rPr>
          <w:lang w:val="en-GB"/>
        </w:rPr>
        <w:t>13,500 new residential care places.</w:t>
      </w:r>
    </w:p>
    <w:p w:rsidR="00F667DB" w:rsidRPr="00596D01" w:rsidRDefault="00C72416" w:rsidP="0016704B">
      <w:pPr>
        <w:pStyle w:val="Heading3Numbered"/>
        <w:numPr>
          <w:ilvl w:val="2"/>
          <w:numId w:val="31"/>
        </w:numPr>
      </w:pPr>
      <w:bookmarkStart w:id="921" w:name="_Toc487702625"/>
      <w:bookmarkStart w:id="922" w:name="_Toc487702977"/>
      <w:bookmarkStart w:id="923" w:name="_Toc487703475"/>
      <w:bookmarkStart w:id="924" w:name="_Toc487703669"/>
      <w:bookmarkStart w:id="925" w:name="_Toc524424803"/>
      <w:r w:rsidRPr="00596D01">
        <w:t>Recent trends in investment in the residential care s</w:t>
      </w:r>
      <w:r w:rsidR="00F667DB" w:rsidRPr="00596D01">
        <w:t>ector</w:t>
      </w:r>
      <w:bookmarkEnd w:id="921"/>
      <w:bookmarkEnd w:id="922"/>
      <w:bookmarkEnd w:id="923"/>
      <w:bookmarkEnd w:id="924"/>
      <w:bookmarkEnd w:id="925"/>
      <w:r w:rsidR="00F667DB" w:rsidRPr="00596D01">
        <w:t xml:space="preserve"> </w:t>
      </w:r>
    </w:p>
    <w:p w:rsidR="002A5756" w:rsidRDefault="002A5756" w:rsidP="00B7720C">
      <w:r>
        <w:t>A</w:t>
      </w:r>
      <w:r w:rsidR="00C22E11">
        <w:t xml:space="preserve">CFA noted in its previous two annual reports that </w:t>
      </w:r>
      <w:r>
        <w:t xml:space="preserve">investment trends </w:t>
      </w:r>
      <w:r w:rsidR="00C22E11">
        <w:t xml:space="preserve">appear to have </w:t>
      </w:r>
      <w:r>
        <w:t xml:space="preserve">been improving since the </w:t>
      </w:r>
      <w:r w:rsidR="00EB039B">
        <w:t>1 July</w:t>
      </w:r>
      <w:r w:rsidR="00A261F3">
        <w:t> 201</w:t>
      </w:r>
      <w:r w:rsidR="00031ADB">
        <w:t>4</w:t>
      </w:r>
      <w:r>
        <w:t xml:space="preserve"> reforms.</w:t>
      </w:r>
      <w:r w:rsidR="00C22E11">
        <w:t xml:space="preserve"> In</w:t>
      </w:r>
      <w:r w:rsidR="00A261F3">
        <w:t> 201</w:t>
      </w:r>
      <w:r w:rsidR="00C22E11">
        <w:t>6</w:t>
      </w:r>
      <w:r w:rsidR="00D8721E">
        <w:t>–1</w:t>
      </w:r>
      <w:r w:rsidR="00C22E11">
        <w:t xml:space="preserve">7 </w:t>
      </w:r>
      <w:r w:rsidR="00313746">
        <w:t>these trends generally continued</w:t>
      </w:r>
      <w:r w:rsidR="00C22E11">
        <w:t xml:space="preserve"> with building work and building approvals improving significantly</w:t>
      </w:r>
      <w:r w:rsidR="00696ED6">
        <w:t>. H</w:t>
      </w:r>
      <w:r w:rsidR="00313746">
        <w:t>owever</w:t>
      </w:r>
      <w:r w:rsidR="00BD7969">
        <w:t>,</w:t>
      </w:r>
      <w:r w:rsidR="00313746">
        <w:t xml:space="preserve"> </w:t>
      </w:r>
      <w:r w:rsidR="00C22E11">
        <w:t xml:space="preserve">the proportion of providers reporting they are intending to build </w:t>
      </w:r>
      <w:r w:rsidR="00313746">
        <w:t>reported</w:t>
      </w:r>
      <w:r w:rsidR="00C22E11">
        <w:t xml:space="preserve"> a </w:t>
      </w:r>
      <w:r w:rsidR="00794DA6">
        <w:t xml:space="preserve">noticeable </w:t>
      </w:r>
      <w:r w:rsidR="00C22E11">
        <w:t>decline.</w:t>
      </w:r>
    </w:p>
    <w:p w:rsidR="00D8721E" w:rsidRDefault="00B21971" w:rsidP="00B7720C">
      <w:r w:rsidRPr="00B21971">
        <w:t>The</w:t>
      </w:r>
      <w:r w:rsidR="00A261F3">
        <w:t> 201</w:t>
      </w:r>
      <w:r w:rsidR="00C22E11">
        <w:t>7</w:t>
      </w:r>
      <w:r w:rsidRPr="00B21971">
        <w:t xml:space="preserve"> Survey of Aged Care Homes estimated that a total of</w:t>
      </w:r>
      <w:r w:rsidR="00C22E11">
        <w:t xml:space="preserve"> $2.</w:t>
      </w:r>
      <w:r w:rsidR="0056555D">
        <w:t>1</w:t>
      </w:r>
      <w:r w:rsidR="00A261F3">
        <w:t> billion</w:t>
      </w:r>
      <w:r w:rsidR="00C22E11">
        <w:t xml:space="preserve"> </w:t>
      </w:r>
      <w:r w:rsidRPr="00B21971">
        <w:t>in new building, refurbishment and upgrading work was completed during</w:t>
      </w:r>
      <w:r w:rsidR="00A261F3">
        <w:t> 201</w:t>
      </w:r>
      <w:r w:rsidR="00C22E11">
        <w:t>6</w:t>
      </w:r>
      <w:r w:rsidR="00D8721E">
        <w:t>–1</w:t>
      </w:r>
      <w:r w:rsidR="00C22E11">
        <w:t>7, up from $1.6</w:t>
      </w:r>
      <w:r w:rsidR="00A261F3">
        <w:t> billion</w:t>
      </w:r>
      <w:r w:rsidR="00C22E11">
        <w:t xml:space="preserve"> in</w:t>
      </w:r>
      <w:r w:rsidR="00A261F3">
        <w:t> 201</w:t>
      </w:r>
      <w:r w:rsidRPr="00B21971">
        <w:t>5</w:t>
      </w:r>
      <w:r w:rsidR="00D8721E">
        <w:t>–1</w:t>
      </w:r>
      <w:r w:rsidRPr="00B21971">
        <w:t>6. The amount of new building work in progress at the end of June</w:t>
      </w:r>
      <w:r w:rsidR="00A261F3">
        <w:t> 201</w:t>
      </w:r>
      <w:r w:rsidR="00C22E11">
        <w:t>7</w:t>
      </w:r>
      <w:r w:rsidRPr="00B21971">
        <w:t xml:space="preserve"> was estimated at $2.</w:t>
      </w:r>
      <w:r w:rsidR="00C22E11">
        <w:t>6</w:t>
      </w:r>
      <w:r w:rsidR="00A261F3">
        <w:t> billion</w:t>
      </w:r>
      <w:r w:rsidR="00D8721E">
        <w:t>.</w:t>
      </w:r>
    </w:p>
    <w:p w:rsidR="00B21971" w:rsidRPr="00B21971" w:rsidRDefault="00B21971" w:rsidP="00B7720C">
      <w:r w:rsidRPr="00B21971">
        <w:t xml:space="preserve">ACFA notes that the </w:t>
      </w:r>
      <w:r w:rsidR="005E3B56">
        <w:t>total</w:t>
      </w:r>
      <w:r w:rsidRPr="00B21971">
        <w:t xml:space="preserve"> </w:t>
      </w:r>
      <w:r w:rsidR="005E3B56">
        <w:t xml:space="preserve">completed work </w:t>
      </w:r>
      <w:r w:rsidR="00696ED6">
        <w:t>in</w:t>
      </w:r>
      <w:r w:rsidR="00A261F3">
        <w:t> 201</w:t>
      </w:r>
      <w:r w:rsidR="00696ED6">
        <w:t>6</w:t>
      </w:r>
      <w:r w:rsidR="00D8721E">
        <w:t>–1</w:t>
      </w:r>
      <w:r w:rsidR="00696ED6">
        <w:t xml:space="preserve">7 </w:t>
      </w:r>
      <w:r w:rsidRPr="00B21971">
        <w:t xml:space="preserve">was </w:t>
      </w:r>
      <w:r w:rsidR="003D2646">
        <w:t>$4.7</w:t>
      </w:r>
      <w:r w:rsidR="00A261F3">
        <w:t> billion</w:t>
      </w:r>
      <w:r w:rsidR="00586646">
        <w:t>, compared with</w:t>
      </w:r>
      <w:r w:rsidRPr="00B21971">
        <w:t xml:space="preserve"> </w:t>
      </w:r>
      <w:r w:rsidR="003D2646">
        <w:t>$4.5</w:t>
      </w:r>
      <w:r w:rsidR="00A261F3">
        <w:t> billion</w:t>
      </w:r>
      <w:r w:rsidR="00865EF9">
        <w:t xml:space="preserve"> in</w:t>
      </w:r>
      <w:r w:rsidR="00A261F3">
        <w:t> 201</w:t>
      </w:r>
      <w:r w:rsidR="003D2646">
        <w:t>5</w:t>
      </w:r>
      <w:r w:rsidR="00D8721E">
        <w:t>–1</w:t>
      </w:r>
      <w:r w:rsidR="003D2646">
        <w:t>6</w:t>
      </w:r>
      <w:r w:rsidR="00865EF9">
        <w:t xml:space="preserve"> (</w:t>
      </w:r>
      <w:r w:rsidR="00492BF8">
        <w:fldChar w:fldCharType="begin"/>
      </w:r>
      <w:r w:rsidR="00492BF8">
        <w:instrText xml:space="preserve"> REF _Ref524428777 \r \h </w:instrText>
      </w:r>
      <w:r w:rsidR="00492BF8">
        <w:fldChar w:fldCharType="separate"/>
      </w:r>
      <w:r w:rsidR="00492BF8">
        <w:t>Chart 10.9</w:t>
      </w:r>
      <w:r w:rsidR="00492BF8">
        <w:fldChar w:fldCharType="end"/>
      </w:r>
      <w:r w:rsidR="00865EF9">
        <w:t>).</w:t>
      </w:r>
    </w:p>
    <w:p w:rsidR="00D8721E" w:rsidRDefault="00B21971" w:rsidP="00B7720C">
      <w:pPr>
        <w:rPr>
          <w:lang w:val="en-GB"/>
        </w:rPr>
      </w:pPr>
      <w:r w:rsidRPr="00B8790F">
        <w:rPr>
          <w:lang w:val="en-GB"/>
        </w:rPr>
        <w:t xml:space="preserve">ACFA concludes that investors </w:t>
      </w:r>
      <w:r w:rsidR="00696ED6">
        <w:rPr>
          <w:lang w:val="en-GB"/>
        </w:rPr>
        <w:t xml:space="preserve">have responded </w:t>
      </w:r>
      <w:r w:rsidRPr="00B8790F">
        <w:rPr>
          <w:lang w:val="en-GB"/>
        </w:rPr>
        <w:t xml:space="preserve">positively to the </w:t>
      </w:r>
      <w:r w:rsidR="00EB039B">
        <w:rPr>
          <w:lang w:val="en-GB"/>
        </w:rPr>
        <w:t>1 July</w:t>
      </w:r>
      <w:r w:rsidR="00A261F3">
        <w:rPr>
          <w:lang w:val="en-GB"/>
        </w:rPr>
        <w:t> 201</w:t>
      </w:r>
      <w:r w:rsidR="00031ADB">
        <w:rPr>
          <w:lang w:val="en-GB"/>
        </w:rPr>
        <w:t>4</w:t>
      </w:r>
      <w:r w:rsidRPr="00B8790F">
        <w:rPr>
          <w:lang w:val="en-GB"/>
        </w:rPr>
        <w:t xml:space="preserve"> reforms and are showing interest in investments that leverage the ageing demographic</w:t>
      </w:r>
      <w:r w:rsidR="003D2646">
        <w:rPr>
          <w:lang w:val="en-GB"/>
        </w:rPr>
        <w:t>, although notes the drop in providers reporting building planning</w:t>
      </w:r>
      <w:r w:rsidR="00313746">
        <w:rPr>
          <w:lang w:val="en-GB"/>
        </w:rPr>
        <w:t xml:space="preserve"> in</w:t>
      </w:r>
      <w:r w:rsidR="00A261F3">
        <w:rPr>
          <w:lang w:val="en-GB"/>
        </w:rPr>
        <w:t> 201</w:t>
      </w:r>
      <w:r w:rsidR="00313746">
        <w:rPr>
          <w:lang w:val="en-GB"/>
        </w:rPr>
        <w:t>6</w:t>
      </w:r>
      <w:r w:rsidR="00D8721E">
        <w:rPr>
          <w:lang w:val="en-GB"/>
        </w:rPr>
        <w:t>–1</w:t>
      </w:r>
      <w:r w:rsidR="00313746">
        <w:rPr>
          <w:lang w:val="en-GB"/>
        </w:rPr>
        <w:t>7</w:t>
      </w:r>
      <w:r w:rsidRPr="00B8790F">
        <w:rPr>
          <w:lang w:val="en-GB"/>
        </w:rPr>
        <w:t>.</w:t>
      </w:r>
    </w:p>
    <w:p w:rsidR="003E658B" w:rsidRPr="00596D01" w:rsidRDefault="00F94AC2" w:rsidP="00B7720C">
      <w:pPr>
        <w:pStyle w:val="ChartTitle"/>
      </w:pPr>
      <w:bookmarkStart w:id="926" w:name="_Ref524428777"/>
      <w:r w:rsidRPr="00596D01">
        <w:t>Residential aged</w:t>
      </w:r>
      <w:r w:rsidR="00CB0C74" w:rsidRPr="00596D01">
        <w:t xml:space="preserve"> care building activity,</w:t>
      </w:r>
      <w:r w:rsidR="00A261F3" w:rsidRPr="00596D01">
        <w:t> 201</w:t>
      </w:r>
      <w:r w:rsidR="003D2646" w:rsidRPr="00596D01">
        <w:t>3</w:t>
      </w:r>
      <w:r w:rsidR="00D8721E" w:rsidRPr="00596D01">
        <w:t>–1</w:t>
      </w:r>
      <w:r w:rsidR="003D2646" w:rsidRPr="00596D01">
        <w:t>4 to</w:t>
      </w:r>
      <w:r w:rsidR="00A261F3" w:rsidRPr="00596D01">
        <w:t> 201</w:t>
      </w:r>
      <w:r w:rsidR="00CB0C74" w:rsidRPr="00596D01">
        <w:t>6</w:t>
      </w:r>
      <w:r w:rsidR="00D8721E" w:rsidRPr="00596D01">
        <w:t>–1</w:t>
      </w:r>
      <w:r w:rsidR="00CB0C74" w:rsidRPr="00596D01">
        <w:t>7</w:t>
      </w:r>
      <w:bookmarkEnd w:id="926"/>
    </w:p>
    <w:p w:rsidR="00D8721E" w:rsidRDefault="00DB6240" w:rsidP="00B7720C">
      <w:r>
        <w:rPr>
          <w:noProof/>
        </w:rPr>
        <w:drawing>
          <wp:inline distT="0" distB="0" distL="0" distR="0" wp14:anchorId="78D71A4A" wp14:editId="6F187CA5">
            <wp:extent cx="6120000" cy="1646177"/>
            <wp:effectExtent l="0" t="0" r="0" b="0"/>
            <wp:docPr id="29" name="Picture 29" descr="Chart 10.9 Residential aged care building activity, 2013–14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Chart_10.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000" cy="1646177"/>
                    </a:xfrm>
                    <a:prstGeom prst="rect">
                      <a:avLst/>
                    </a:prstGeom>
                    <a:noFill/>
                    <a:ln>
                      <a:noFill/>
                    </a:ln>
                  </pic:spPr>
                </pic:pic>
              </a:graphicData>
            </a:graphic>
          </wp:inline>
        </w:drawing>
      </w:r>
    </w:p>
    <w:p w:rsidR="0070529D" w:rsidRPr="00596D01" w:rsidRDefault="0070529D" w:rsidP="00B7720C">
      <w:pPr>
        <w:pStyle w:val="Heading3Numbered"/>
      </w:pPr>
      <w:bookmarkStart w:id="927" w:name="_Toc487702626"/>
      <w:bookmarkStart w:id="928" w:name="_Toc487702978"/>
      <w:bookmarkStart w:id="929" w:name="_Toc487703476"/>
      <w:bookmarkStart w:id="930" w:name="_Toc487703670"/>
      <w:bookmarkStart w:id="931" w:name="_Toc524424804"/>
      <w:r w:rsidRPr="00596D01">
        <w:t xml:space="preserve">Building and </w:t>
      </w:r>
      <w:r w:rsidR="00343454" w:rsidRPr="00596D01">
        <w:t>construction s</w:t>
      </w:r>
      <w:r w:rsidRPr="00596D01">
        <w:t>tatistics</w:t>
      </w:r>
      <w:bookmarkEnd w:id="927"/>
      <w:bookmarkEnd w:id="928"/>
      <w:bookmarkEnd w:id="929"/>
      <w:bookmarkEnd w:id="930"/>
      <w:bookmarkEnd w:id="931"/>
      <w:r w:rsidRPr="00596D01">
        <w:t xml:space="preserve"> </w:t>
      </w:r>
    </w:p>
    <w:p w:rsidR="00D8721E" w:rsidRDefault="00492BF8" w:rsidP="00B7720C">
      <w:r>
        <w:fldChar w:fldCharType="begin"/>
      </w:r>
      <w:r>
        <w:instrText xml:space="preserve"> REF _Ref524428784 \r \h </w:instrText>
      </w:r>
      <w:r>
        <w:fldChar w:fldCharType="separate"/>
      </w:r>
      <w:r>
        <w:t>Chart 10.10</w:t>
      </w:r>
      <w:r>
        <w:fldChar w:fldCharType="end"/>
      </w:r>
      <w:r>
        <w:t xml:space="preserve"> </w:t>
      </w:r>
      <w:r w:rsidR="00586646" w:rsidRPr="00E25952">
        <w:t>shows the proportion of homes planning to eith</w:t>
      </w:r>
      <w:r w:rsidR="00586646">
        <w:t>er rebuild or upgrade over the period</w:t>
      </w:r>
      <w:r w:rsidR="00A261F3">
        <w:t> 201</w:t>
      </w:r>
      <w:r w:rsidR="00586646">
        <w:t>3</w:t>
      </w:r>
      <w:r w:rsidR="00D8721E">
        <w:t>–1</w:t>
      </w:r>
      <w:r w:rsidR="00586646">
        <w:t>4 to</w:t>
      </w:r>
      <w:r w:rsidR="00A261F3">
        <w:t> 201</w:t>
      </w:r>
      <w:r w:rsidR="00C22E11">
        <w:t>6</w:t>
      </w:r>
      <w:r w:rsidR="00D8721E">
        <w:t>–1</w:t>
      </w:r>
      <w:r w:rsidR="00C22E11">
        <w:t>7</w:t>
      </w:r>
      <w:r w:rsidR="00586646" w:rsidRPr="00E25952">
        <w:t>.</w:t>
      </w:r>
      <w:r w:rsidR="00586646">
        <w:t xml:space="preserve"> The proport</w:t>
      </w:r>
      <w:r w:rsidR="00C45C4C">
        <w:t>ion</w:t>
      </w:r>
      <w:r w:rsidR="00C22E11">
        <w:t xml:space="preserve"> in</w:t>
      </w:r>
      <w:r w:rsidR="00A261F3">
        <w:t> 201</w:t>
      </w:r>
      <w:r w:rsidR="00C22E11">
        <w:t>6</w:t>
      </w:r>
      <w:r w:rsidR="00D8721E">
        <w:t>–1</w:t>
      </w:r>
      <w:r w:rsidR="00C22E11">
        <w:t xml:space="preserve">7 is </w:t>
      </w:r>
      <w:r w:rsidR="00794DA6">
        <w:t xml:space="preserve">significantly </w:t>
      </w:r>
      <w:r w:rsidR="00C22E11">
        <w:t xml:space="preserve">lower than in previous years. </w:t>
      </w:r>
      <w:r w:rsidR="00B717B5">
        <w:t>A</w:t>
      </w:r>
      <w:r w:rsidR="00C22E11">
        <w:t>CFA will monitor this to see if the trend continues</w:t>
      </w:r>
      <w:r w:rsidR="00586646">
        <w:t>.</w:t>
      </w:r>
    </w:p>
    <w:p w:rsidR="0088329E" w:rsidRPr="00596D01" w:rsidRDefault="00E069AC" w:rsidP="00B7720C">
      <w:pPr>
        <w:pStyle w:val="ChartTitle"/>
      </w:pPr>
      <w:bookmarkStart w:id="932" w:name="_Ref453183114"/>
      <w:bookmarkStart w:id="933" w:name="_Ref524428784"/>
      <w:r w:rsidRPr="00596D01">
        <w:t>Proportion of homes planning to eith</w:t>
      </w:r>
      <w:r w:rsidR="00297C47" w:rsidRPr="00596D01">
        <w:t>er upgrade or rebuild</w:t>
      </w:r>
      <w:r w:rsidR="00C22E11" w:rsidRPr="00596D01">
        <w:t>,</w:t>
      </w:r>
      <w:r w:rsidR="00A261F3" w:rsidRPr="00596D01">
        <w:t> 201</w:t>
      </w:r>
      <w:r w:rsidR="00C22E11" w:rsidRPr="00596D01">
        <w:t>3</w:t>
      </w:r>
      <w:r w:rsidR="00D8721E" w:rsidRPr="00596D01">
        <w:t>–1</w:t>
      </w:r>
      <w:r w:rsidR="00C22E11" w:rsidRPr="00596D01">
        <w:t>4 to</w:t>
      </w:r>
      <w:r w:rsidR="00A261F3" w:rsidRPr="00596D01">
        <w:t> 201</w:t>
      </w:r>
      <w:bookmarkEnd w:id="932"/>
      <w:r w:rsidR="00297C47" w:rsidRPr="00596D01">
        <w:t>6</w:t>
      </w:r>
      <w:r w:rsidR="00D8721E" w:rsidRPr="00596D01">
        <w:t>–1</w:t>
      </w:r>
      <w:r w:rsidR="00297C47" w:rsidRPr="00596D01">
        <w:t>7</w:t>
      </w:r>
      <w:bookmarkEnd w:id="933"/>
    </w:p>
    <w:p w:rsidR="00D8721E" w:rsidRDefault="004A6E82" w:rsidP="00B7720C">
      <w:pPr>
        <w:rPr>
          <w:noProof/>
        </w:rPr>
      </w:pPr>
      <w:r>
        <w:rPr>
          <w:noProof/>
        </w:rPr>
        <w:drawing>
          <wp:inline distT="0" distB="0" distL="0" distR="0" wp14:anchorId="1972B836" wp14:editId="6111A33E">
            <wp:extent cx="6120000" cy="1457885"/>
            <wp:effectExtent l="0" t="0" r="0" b="9525"/>
            <wp:docPr id="259" name="Picture 259" descr="Chart 10.10 Proportion of homes planning to either upgrade or rebuild, 2013–14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zc0004\AppData\Local\Microsoft\Windows\Temporary Internet Files\Content.Outlook\6DIYYC82\Chart_10.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000" cy="1457885"/>
                    </a:xfrm>
                    <a:prstGeom prst="rect">
                      <a:avLst/>
                    </a:prstGeom>
                    <a:noFill/>
                    <a:ln>
                      <a:noFill/>
                    </a:ln>
                  </pic:spPr>
                </pic:pic>
              </a:graphicData>
            </a:graphic>
          </wp:inline>
        </w:drawing>
      </w:r>
    </w:p>
    <w:p w:rsidR="00D8721E" w:rsidRDefault="009C74C6" w:rsidP="00B7720C">
      <w:pPr>
        <w:rPr>
          <w:lang w:val="en-GB"/>
        </w:rPr>
      </w:pPr>
      <w:r>
        <w:rPr>
          <w:lang w:val="en-GB"/>
        </w:rPr>
        <w:t>Notwithstanding the decline in planned building, upgrading and rebuilding work</w:t>
      </w:r>
      <w:r w:rsidR="00696ED6">
        <w:rPr>
          <w:lang w:val="en-GB"/>
        </w:rPr>
        <w:t xml:space="preserve"> reported in the Survey of Aged Care Homes</w:t>
      </w:r>
      <w:r>
        <w:rPr>
          <w:lang w:val="en-GB"/>
        </w:rPr>
        <w:t xml:space="preserve">, </w:t>
      </w:r>
      <w:r w:rsidRPr="0070529D">
        <w:rPr>
          <w:lang w:val="en-GB"/>
        </w:rPr>
        <w:t>building statistics data from the Australian Bureau of Statistics show</w:t>
      </w:r>
      <w:r w:rsidR="007A0915">
        <w:rPr>
          <w:lang w:val="en-GB"/>
        </w:rPr>
        <w:t>ed</w:t>
      </w:r>
      <w:r w:rsidRPr="0070529D">
        <w:rPr>
          <w:lang w:val="en-GB"/>
        </w:rPr>
        <w:t xml:space="preserve"> strong signs of </w:t>
      </w:r>
      <w:r>
        <w:rPr>
          <w:lang w:val="en-GB"/>
        </w:rPr>
        <w:t>building</w:t>
      </w:r>
      <w:r w:rsidRPr="0070529D">
        <w:rPr>
          <w:lang w:val="en-GB"/>
        </w:rPr>
        <w:t xml:space="preserve"> in the sector</w:t>
      </w:r>
      <w:r>
        <w:rPr>
          <w:lang w:val="en-GB"/>
        </w:rPr>
        <w:t xml:space="preserve"> in</w:t>
      </w:r>
      <w:r w:rsidR="00A261F3">
        <w:rPr>
          <w:lang w:val="en-GB"/>
        </w:rPr>
        <w:t> 201</w:t>
      </w:r>
      <w:r>
        <w:rPr>
          <w:lang w:val="en-GB"/>
        </w:rPr>
        <w:t>6</w:t>
      </w:r>
      <w:r w:rsidR="00D8721E">
        <w:rPr>
          <w:lang w:val="en-GB"/>
        </w:rPr>
        <w:t>–1</w:t>
      </w:r>
      <w:r>
        <w:rPr>
          <w:lang w:val="en-GB"/>
        </w:rPr>
        <w:t>7</w:t>
      </w:r>
      <w:r w:rsidRPr="0070529D">
        <w:rPr>
          <w:lang w:val="en-GB"/>
        </w:rPr>
        <w:t xml:space="preserve">. There were </w:t>
      </w:r>
      <w:r>
        <w:rPr>
          <w:lang w:val="en-GB"/>
        </w:rPr>
        <w:t xml:space="preserve">397 </w:t>
      </w:r>
      <w:r w:rsidRPr="0070529D">
        <w:rPr>
          <w:lang w:val="en-GB"/>
        </w:rPr>
        <w:t>building approvals for aged care homes in the 12 m</w:t>
      </w:r>
      <w:r>
        <w:rPr>
          <w:lang w:val="en-GB"/>
        </w:rPr>
        <w:t>onths up to the end of February</w:t>
      </w:r>
      <w:r w:rsidR="00A261F3">
        <w:rPr>
          <w:lang w:val="en-GB"/>
        </w:rPr>
        <w:t> 201</w:t>
      </w:r>
      <w:r>
        <w:rPr>
          <w:lang w:val="en-GB"/>
        </w:rPr>
        <w:t>8, compared with 395 for the same period up to February</w:t>
      </w:r>
      <w:r w:rsidR="00A261F3">
        <w:rPr>
          <w:lang w:val="en-GB"/>
        </w:rPr>
        <w:t> 201</w:t>
      </w:r>
      <w:r>
        <w:rPr>
          <w:lang w:val="en-GB"/>
        </w:rPr>
        <w:t>7 (</w:t>
      </w:r>
      <w:r w:rsidR="00492BF8">
        <w:rPr>
          <w:lang w:val="en-GB"/>
        </w:rPr>
        <w:fldChar w:fldCharType="begin"/>
      </w:r>
      <w:r w:rsidR="00492BF8">
        <w:rPr>
          <w:lang w:val="en-GB"/>
        </w:rPr>
        <w:instrText xml:space="preserve"> REF _Ref524428790 \r \h </w:instrText>
      </w:r>
      <w:r w:rsidR="00492BF8">
        <w:rPr>
          <w:lang w:val="en-GB"/>
        </w:rPr>
      </w:r>
      <w:r w:rsidR="00492BF8">
        <w:rPr>
          <w:lang w:val="en-GB"/>
        </w:rPr>
        <w:fldChar w:fldCharType="separate"/>
      </w:r>
      <w:r w:rsidR="00492BF8">
        <w:rPr>
          <w:lang w:val="en-GB"/>
        </w:rPr>
        <w:t>Chart 10.11</w:t>
      </w:r>
      <w:r w:rsidR="00492BF8">
        <w:rPr>
          <w:lang w:val="en-GB"/>
        </w:rPr>
        <w:fldChar w:fldCharType="end"/>
      </w:r>
      <w:r>
        <w:rPr>
          <w:lang w:val="en-GB"/>
        </w:rPr>
        <w:t>).</w:t>
      </w:r>
    </w:p>
    <w:p w:rsidR="0070529D" w:rsidRPr="00596D01" w:rsidRDefault="0070529D" w:rsidP="00B7720C">
      <w:pPr>
        <w:pStyle w:val="ChartTitle"/>
      </w:pPr>
      <w:bookmarkStart w:id="934" w:name="_Ref453178288"/>
      <w:bookmarkStart w:id="935" w:name="_Ref524428790"/>
      <w:r w:rsidRPr="00596D01">
        <w:lastRenderedPageBreak/>
        <w:t>Residential aged care building approvals</w:t>
      </w:r>
      <w:bookmarkEnd w:id="934"/>
      <w:r w:rsidR="00383E72" w:rsidRPr="00596D01">
        <w:t>,</w:t>
      </w:r>
      <w:r w:rsidR="00A261F3" w:rsidRPr="00596D01">
        <w:t> 201</w:t>
      </w:r>
      <w:r w:rsidR="00383E72" w:rsidRPr="00596D01">
        <w:t>2</w:t>
      </w:r>
      <w:r w:rsidR="00D8721E" w:rsidRPr="00596D01">
        <w:t>–1</w:t>
      </w:r>
      <w:r w:rsidR="00383E72" w:rsidRPr="00596D01">
        <w:t>3 to</w:t>
      </w:r>
      <w:r w:rsidR="00A261F3" w:rsidRPr="00596D01">
        <w:t> 201</w:t>
      </w:r>
      <w:r w:rsidR="00383E72" w:rsidRPr="00596D01">
        <w:t>7</w:t>
      </w:r>
      <w:r w:rsidR="00D8721E" w:rsidRPr="00596D01">
        <w:t>–1</w:t>
      </w:r>
      <w:r w:rsidR="00383E72" w:rsidRPr="00596D01">
        <w:t>8</w:t>
      </w:r>
      <w:bookmarkEnd w:id="935"/>
    </w:p>
    <w:p w:rsidR="00B34D47" w:rsidRDefault="004A6E82" w:rsidP="00B7720C">
      <w:r>
        <w:rPr>
          <w:noProof/>
        </w:rPr>
        <w:drawing>
          <wp:inline distT="0" distB="0" distL="0" distR="0" wp14:anchorId="7CB06121" wp14:editId="158B2680">
            <wp:extent cx="6120000" cy="2456327"/>
            <wp:effectExtent l="0" t="0" r="0" b="1270"/>
            <wp:docPr id="262" name="Picture 262" descr="Chart 10.11 Residential aged care building approvals, 2012–13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zc0004\AppData\Local\Microsoft\Windows\Temporary Internet Files\Content.Outlook\6DIYYC82\Chart_10.1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000" cy="2456327"/>
                    </a:xfrm>
                    <a:prstGeom prst="rect">
                      <a:avLst/>
                    </a:prstGeom>
                    <a:noFill/>
                    <a:ln>
                      <a:noFill/>
                    </a:ln>
                  </pic:spPr>
                </pic:pic>
              </a:graphicData>
            </a:graphic>
          </wp:inline>
        </w:drawing>
      </w:r>
    </w:p>
    <w:p w:rsidR="00D8721E" w:rsidRDefault="00B409D5" w:rsidP="00B7720C">
      <w:pPr>
        <w:pStyle w:val="SourceNotes"/>
      </w:pPr>
      <w:r w:rsidRPr="00B409D5">
        <w:t>Note: Dates are from March to February</w:t>
      </w:r>
    </w:p>
    <w:p w:rsidR="00D8721E" w:rsidRDefault="001F798A" w:rsidP="00B7720C">
      <w:r>
        <w:t>The va</w:t>
      </w:r>
      <w:r w:rsidR="00B8790F">
        <w:t xml:space="preserve">lue of building approvals has </w:t>
      </w:r>
      <w:r w:rsidR="009557AD">
        <w:t xml:space="preserve">increased </w:t>
      </w:r>
      <w:r w:rsidR="0031236B">
        <w:t>significantly</w:t>
      </w:r>
      <w:r w:rsidR="009557AD">
        <w:t xml:space="preserve"> in the 12 months up to February</w:t>
      </w:r>
      <w:r w:rsidR="00A261F3">
        <w:t> 201</w:t>
      </w:r>
      <w:r w:rsidR="009557AD">
        <w:t>8</w:t>
      </w:r>
      <w:r w:rsidR="00586646">
        <w:t>,</w:t>
      </w:r>
      <w:r>
        <w:t xml:space="preserve"> with average monthly total building approvals for aged care </w:t>
      </w:r>
      <w:r w:rsidR="00D871E6">
        <w:t>facilities</w:t>
      </w:r>
      <w:r w:rsidR="009557AD">
        <w:t xml:space="preserve"> being $23</w:t>
      </w:r>
      <w:r w:rsidR="00AB6911">
        <w:t>2</w:t>
      </w:r>
      <w:r w:rsidR="00A261F3">
        <w:t> million</w:t>
      </w:r>
      <w:r w:rsidR="009557AD">
        <w:t xml:space="preserve"> per month, </w:t>
      </w:r>
      <w:r>
        <w:t>compared with $1</w:t>
      </w:r>
      <w:r w:rsidR="009557AD">
        <w:t>4</w:t>
      </w:r>
      <w:r w:rsidR="00B97D56">
        <w:t>9</w:t>
      </w:r>
      <w:r w:rsidR="00A261F3">
        <w:t> million</w:t>
      </w:r>
      <w:r>
        <w:t xml:space="preserve"> (per m</w:t>
      </w:r>
      <w:r w:rsidR="0031236B">
        <w:t xml:space="preserve">onth) in the previous 12 months. The main driver of this increase is </w:t>
      </w:r>
      <w:r w:rsidR="00696ED6">
        <w:t xml:space="preserve">building </w:t>
      </w:r>
      <w:r w:rsidR="0031236B">
        <w:t>approvals of $2</w:t>
      </w:r>
      <w:r w:rsidR="00AB6911">
        <w:t>0</w:t>
      </w:r>
      <w:r w:rsidR="00A261F3">
        <w:t> million</w:t>
      </w:r>
      <w:r w:rsidR="0031236B">
        <w:t xml:space="preserve"> and over which increased from 31 to 58 in the 12 months to February</w:t>
      </w:r>
      <w:r w:rsidR="00A261F3">
        <w:t> 201</w:t>
      </w:r>
      <w:r w:rsidR="0031236B">
        <w:t>8</w:t>
      </w:r>
      <w:r w:rsidR="002F0EAD">
        <w:t xml:space="preserve">, as shown in </w:t>
      </w:r>
      <w:r w:rsidR="00492BF8">
        <w:fldChar w:fldCharType="begin"/>
      </w:r>
      <w:r w:rsidR="00492BF8">
        <w:instrText xml:space="preserve"> REF _Ref524428798 \r \h </w:instrText>
      </w:r>
      <w:r w:rsidR="00492BF8">
        <w:fldChar w:fldCharType="separate"/>
      </w:r>
      <w:r w:rsidR="00492BF8">
        <w:t>Chart 10.12</w:t>
      </w:r>
      <w:r w:rsidR="00492BF8">
        <w:fldChar w:fldCharType="end"/>
      </w:r>
      <w:r w:rsidR="0031236B">
        <w:t>.</w:t>
      </w:r>
    </w:p>
    <w:p w:rsidR="000501E6" w:rsidRPr="00596D01" w:rsidRDefault="000501E6" w:rsidP="00B7720C">
      <w:pPr>
        <w:pStyle w:val="ChartTitle"/>
      </w:pPr>
      <w:bookmarkStart w:id="936" w:name="_Ref453178302"/>
      <w:bookmarkStart w:id="937" w:name="_Ref524428798"/>
      <w:r w:rsidRPr="00596D01">
        <w:t>Number of building approvals</w:t>
      </w:r>
      <w:r w:rsidR="009557AD" w:rsidRPr="00596D01">
        <w:t>,</w:t>
      </w:r>
      <w:r w:rsidRPr="00596D01">
        <w:t xml:space="preserve"> by value of building work,</w:t>
      </w:r>
      <w:r w:rsidR="00A261F3" w:rsidRPr="00596D01">
        <w:t> 201</w:t>
      </w:r>
      <w:bookmarkEnd w:id="936"/>
      <w:r w:rsidR="0031236B" w:rsidRPr="00596D01">
        <w:t>3</w:t>
      </w:r>
      <w:r w:rsidR="00D8721E" w:rsidRPr="00596D01">
        <w:t>–1</w:t>
      </w:r>
      <w:r w:rsidR="0031236B" w:rsidRPr="00596D01">
        <w:t>4</w:t>
      </w:r>
      <w:r w:rsidR="009557AD" w:rsidRPr="00596D01">
        <w:t> </w:t>
      </w:r>
      <w:r w:rsidR="00383E72" w:rsidRPr="00596D01">
        <w:t>to</w:t>
      </w:r>
      <w:r w:rsidR="00A261F3" w:rsidRPr="00596D01">
        <w:t> 201</w:t>
      </w:r>
      <w:r w:rsidR="009557AD" w:rsidRPr="00596D01">
        <w:t>7</w:t>
      </w:r>
      <w:r w:rsidR="00D8721E" w:rsidRPr="00596D01">
        <w:t>–1</w:t>
      </w:r>
      <w:r w:rsidR="009557AD" w:rsidRPr="00596D01">
        <w:t>8</w:t>
      </w:r>
      <w:bookmarkEnd w:id="937"/>
    </w:p>
    <w:p w:rsidR="00D8721E" w:rsidRDefault="004A6E82" w:rsidP="00B7720C">
      <w:r>
        <w:rPr>
          <w:noProof/>
        </w:rPr>
        <w:drawing>
          <wp:inline distT="0" distB="0" distL="0" distR="0" wp14:anchorId="1650CB8D" wp14:editId="349DABE7">
            <wp:extent cx="6120000" cy="2751946"/>
            <wp:effectExtent l="0" t="0" r="0" b="0"/>
            <wp:docPr id="269" name="Picture 269" descr="Chart 10.12 Number of building approvals, by value of building work,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c0004\AppData\Local\Microsoft\Windows\Temporary Internet Files\Content.Outlook\6DIYYC82\Chart_10.1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000" cy="2751946"/>
                    </a:xfrm>
                    <a:prstGeom prst="rect">
                      <a:avLst/>
                    </a:prstGeom>
                    <a:noFill/>
                    <a:ln>
                      <a:noFill/>
                    </a:ln>
                  </pic:spPr>
                </pic:pic>
              </a:graphicData>
            </a:graphic>
          </wp:inline>
        </w:drawing>
      </w:r>
    </w:p>
    <w:p w:rsidR="00D740A1" w:rsidRDefault="00D740A1" w:rsidP="00B7720C">
      <w:pPr>
        <w:rPr>
          <w:lang w:val="en-GB"/>
        </w:rPr>
      </w:pPr>
      <w:r>
        <w:rPr>
          <w:lang w:val="en-GB"/>
        </w:rPr>
        <w:br w:type="page"/>
      </w:r>
    </w:p>
    <w:p w:rsidR="00BD7CEC" w:rsidRPr="00D740A1" w:rsidRDefault="00D740A1" w:rsidP="00B7720C">
      <w:pPr>
        <w:pStyle w:val="Heading1Numbered"/>
        <w:ind w:left="851" w:hanging="851"/>
      </w:pPr>
      <w:bookmarkStart w:id="938" w:name="_Toc524424805"/>
      <w:r w:rsidRPr="00D740A1">
        <w:lastRenderedPageBreak/>
        <w:t>Fu</w:t>
      </w:r>
      <w:r w:rsidR="006158B2">
        <w:t>nding and financing challenges in the residential care sector</w:t>
      </w:r>
      <w:bookmarkEnd w:id="938"/>
    </w:p>
    <w:p w:rsidR="00B7720C" w:rsidRPr="00596D01" w:rsidRDefault="00B7720C" w:rsidP="00B7720C">
      <w:pPr>
        <w:pStyle w:val="Boxed1Heading"/>
      </w:pPr>
      <w:r w:rsidRPr="00596D01">
        <w:t>This chapter provides an overview of the challenges and pressures facing residential aged care providers.</w:t>
      </w:r>
    </w:p>
    <w:p w:rsidR="00B7720C" w:rsidRPr="00596D01" w:rsidRDefault="00B7720C" w:rsidP="00B7720C">
      <w:pPr>
        <w:pStyle w:val="Boxed1Text"/>
        <w:rPr>
          <w:rStyle w:val="Strong"/>
        </w:rPr>
      </w:pPr>
      <w:r w:rsidRPr="00596D01">
        <w:rPr>
          <w:rStyle w:val="Strong"/>
        </w:rPr>
        <w:t>This chapter discusses:</w:t>
      </w:r>
    </w:p>
    <w:p w:rsidR="00B7720C" w:rsidRPr="00791D29" w:rsidRDefault="00B7720C" w:rsidP="00B7720C">
      <w:pPr>
        <w:pStyle w:val="Boxed1Bullet"/>
      </w:pPr>
      <w:r>
        <w:t>r</w:t>
      </w:r>
      <w:r w:rsidRPr="00791D29">
        <w:t>ecent financial results in a historical context</w:t>
      </w:r>
    </w:p>
    <w:p w:rsidR="00B7720C" w:rsidRPr="00791D29" w:rsidRDefault="00B7720C" w:rsidP="00B7720C">
      <w:pPr>
        <w:pStyle w:val="Boxed1Bullet"/>
      </w:pPr>
      <w:r w:rsidRPr="00791D29">
        <w:t xml:space="preserve">ACFI claims growth and indexation, including the views of the sector and </w:t>
      </w:r>
      <w:r>
        <w:t>G</w:t>
      </w:r>
      <w:r w:rsidRPr="00791D29">
        <w:t>overnment</w:t>
      </w:r>
    </w:p>
    <w:p w:rsidR="00B7720C" w:rsidRPr="00791D29" w:rsidRDefault="00B7720C" w:rsidP="00B7720C">
      <w:pPr>
        <w:pStyle w:val="Boxed1Bullet"/>
      </w:pPr>
      <w:r>
        <w:t>t</w:t>
      </w:r>
      <w:r w:rsidRPr="00791D29">
        <w:t>he importance of appropriate indexation for stability and confidence in the industry</w:t>
      </w:r>
    </w:p>
    <w:p w:rsidR="00B7720C" w:rsidRPr="00791D29" w:rsidRDefault="00B7720C" w:rsidP="00B7720C">
      <w:pPr>
        <w:pStyle w:val="Boxed1Bullet"/>
      </w:pPr>
      <w:r>
        <w:t>d</w:t>
      </w:r>
      <w:r w:rsidRPr="00791D29">
        <w:t>emographics and longer term investment</w:t>
      </w:r>
    </w:p>
    <w:p w:rsidR="00B7720C" w:rsidRDefault="00B7720C" w:rsidP="00B7720C">
      <w:pPr>
        <w:pStyle w:val="Boxed1Bullet"/>
      </w:pPr>
      <w:r>
        <w:t>t</w:t>
      </w:r>
      <w:r w:rsidRPr="00791D29">
        <w:t>he role of consumers in funding residential aged care</w:t>
      </w:r>
    </w:p>
    <w:p w:rsidR="00B7720C" w:rsidRPr="00596D01" w:rsidRDefault="00B7720C" w:rsidP="00B7720C">
      <w:pPr>
        <w:pStyle w:val="Boxed1Text"/>
        <w:rPr>
          <w:rStyle w:val="Strong"/>
        </w:rPr>
      </w:pPr>
      <w:r w:rsidRPr="00596D01">
        <w:rPr>
          <w:rStyle w:val="Strong"/>
        </w:rPr>
        <w:t>ACFA Notes:</w:t>
      </w:r>
    </w:p>
    <w:p w:rsidR="00B7720C" w:rsidRPr="00791D29" w:rsidRDefault="00B7720C" w:rsidP="00B7720C">
      <w:pPr>
        <w:pStyle w:val="Boxed1Bullet"/>
      </w:pPr>
      <w:r w:rsidRPr="00791D29">
        <w:t>The importance of a funding tool and assessment arrangements that accurately and objectively assess the funding needs of residents</w:t>
      </w:r>
      <w:r>
        <w:t>;</w:t>
      </w:r>
    </w:p>
    <w:p w:rsidR="00B7720C" w:rsidRPr="00791D29" w:rsidRDefault="00B7720C" w:rsidP="00B7720C">
      <w:pPr>
        <w:pStyle w:val="Boxed1Bullet"/>
      </w:pPr>
      <w:r>
        <w:t>t</w:t>
      </w:r>
      <w:r w:rsidRPr="00791D29">
        <w:t>he desirability of considering indexation settings alongside the review of residential aged care funding options</w:t>
      </w:r>
      <w:r>
        <w:t>; and</w:t>
      </w:r>
    </w:p>
    <w:p w:rsidR="00B7720C" w:rsidRPr="00CC50D2" w:rsidRDefault="00B7720C" w:rsidP="00B7720C">
      <w:pPr>
        <w:pStyle w:val="Boxed1Bullet"/>
      </w:pPr>
      <w:r>
        <w:t>w</w:t>
      </w:r>
      <w:r w:rsidRPr="00791D29">
        <w:t>hile it can be challenging to balance higher contributions with protections for consumers, changes to the basic daily fee and appropriately charged additional service fees could have a significant impact on the financial viability and sustainability of providers</w:t>
      </w:r>
      <w:r>
        <w:t>.</w:t>
      </w:r>
    </w:p>
    <w:p w:rsidR="00973AC0" w:rsidRPr="00596D01" w:rsidRDefault="00973AC0" w:rsidP="00B7720C">
      <w:pPr>
        <w:pStyle w:val="Heading2Numbered"/>
      </w:pPr>
      <w:bookmarkStart w:id="939" w:name="_Toc524424806"/>
      <w:r w:rsidRPr="00596D01">
        <w:t>Introduction</w:t>
      </w:r>
      <w:bookmarkEnd w:id="939"/>
    </w:p>
    <w:p w:rsidR="00CC50D2" w:rsidRPr="0053165B" w:rsidRDefault="00CC50D2" w:rsidP="00B7720C">
      <w:r w:rsidRPr="0053165B">
        <w:t>Detailed analysis of the financial results of the residential care</w:t>
      </w:r>
      <w:r>
        <w:t xml:space="preserve"> sector is contained in </w:t>
      </w:r>
      <w:r w:rsidRPr="00CA3C5A">
        <w:t>Chapter 9, including analysis by provider type, size and location. This chapter provides</w:t>
      </w:r>
      <w:r>
        <w:t xml:space="preserve"> ACFA’s observations </w:t>
      </w:r>
      <w:r w:rsidRPr="0053165B">
        <w:t>on the funding and financing issues and challenges facing the sector.</w:t>
      </w:r>
    </w:p>
    <w:p w:rsidR="00D8721E" w:rsidRDefault="00CC50D2" w:rsidP="00B7720C">
      <w:r w:rsidRPr="0053165B">
        <w:t>To deliver the care that aged consumers need and desire into the future, it is critical that the residential aged care sector is financially viable, stable, efficient, effective, responsive and sustainable</w:t>
      </w:r>
      <w:r w:rsidR="00D8721E">
        <w:t>.</w:t>
      </w:r>
    </w:p>
    <w:p w:rsidR="00CC50D2" w:rsidRPr="0053165B" w:rsidRDefault="00CC50D2" w:rsidP="00B7720C">
      <w:r w:rsidRPr="0053165B">
        <w:t xml:space="preserve">All stakeholders – Government, providers, consumers and the aged care workforce – have key roles in contributing to this objective. Against the background of the developments in the funding and financing of the aged care sector canvassed in Chapters 7, 9 and 10, </w:t>
      </w:r>
      <w:r>
        <w:t xml:space="preserve">in this chapter </w:t>
      </w:r>
      <w:r w:rsidRPr="0053165B">
        <w:t>ACFA highlight</w:t>
      </w:r>
      <w:r>
        <w:t>s</w:t>
      </w:r>
      <w:r w:rsidRPr="0053165B">
        <w:t xml:space="preserve"> some of the specific challenges confronting stakeholders. In summary, these include:</w:t>
      </w:r>
    </w:p>
    <w:p w:rsidR="00CC50D2" w:rsidRPr="0053165B" w:rsidRDefault="00CC50D2" w:rsidP="00B7720C">
      <w:r w:rsidRPr="00B7720C">
        <w:rPr>
          <w:rStyle w:val="Strong"/>
        </w:rPr>
        <w:t>For Government</w:t>
      </w:r>
      <w:r w:rsidRPr="0053165B">
        <w:t xml:space="preserve"> – there is a need for a more stable, more contemporary, more efficient and more effective funding tool and system which provide</w:t>
      </w:r>
      <w:r>
        <w:t>s</w:t>
      </w:r>
      <w:r w:rsidRPr="0053165B">
        <w:t xml:space="preserve"> greater financial stability to both the residential aged care sector and the Government. The Government also has the continuing challenge of ensuring ongoing equity of access for all consumers</w:t>
      </w:r>
      <w:r>
        <w:t xml:space="preserve"> </w:t>
      </w:r>
      <w:r w:rsidRPr="0053165B">
        <w:t>and that its funding arrangements do not incentivise outmoded or inefficient</w:t>
      </w:r>
      <w:r>
        <w:t xml:space="preserve"> care</w:t>
      </w:r>
      <w:r w:rsidRPr="0053165B">
        <w:t xml:space="preserve"> practices and use of resources.</w:t>
      </w:r>
    </w:p>
    <w:p w:rsidR="00CC50D2" w:rsidRPr="0053165B" w:rsidRDefault="00CC50D2" w:rsidP="00B7720C">
      <w:r w:rsidRPr="00B7720C">
        <w:rPr>
          <w:rStyle w:val="Strong"/>
        </w:rPr>
        <w:t>For providers</w:t>
      </w:r>
      <w:r w:rsidRPr="0053165B">
        <w:t xml:space="preserve"> – there is an increasing need to look at their internal operations to ensure they are delivering quality care in the most efficient and effective way. The changes taking place in the sector as it moves towards a more consumer driven and market based system will continue to challenge traditional business and workforce models. Providers will need to be increasingly responsive and flexible. Under the current funding system there are very diverse financial outcomes, with the top quartile of providers in terms of profit continuing to achieve significantly better results than the lowest quartile. This very wide variation in financial </w:t>
      </w:r>
      <w:r w:rsidRPr="0053165B">
        <w:lastRenderedPageBreak/>
        <w:t>performance across the sector suggests there is scope for many providers to pursue greater efficiencies and improve their results.</w:t>
      </w:r>
    </w:p>
    <w:p w:rsidR="00CC50D2" w:rsidRPr="0053165B" w:rsidRDefault="00CC50D2" w:rsidP="00B7720C">
      <w:r w:rsidRPr="00B7720C">
        <w:rPr>
          <w:rStyle w:val="Strong"/>
        </w:rPr>
        <w:t>For consumers</w:t>
      </w:r>
      <w:r w:rsidRPr="0053165B">
        <w:t xml:space="preserve"> – there is a need for wider recognition that sustainable aged care funding arrangements will require those consumers who can afford to do so making a greater financial contribution towards their everyday living expenses and care</w:t>
      </w:r>
      <w:r>
        <w:t xml:space="preserve"> costs, </w:t>
      </w:r>
      <w:r w:rsidRPr="0053165B">
        <w:t>complemented by greater choice of higher quality services.</w:t>
      </w:r>
    </w:p>
    <w:p w:rsidR="00D8721E" w:rsidRDefault="00CC50D2" w:rsidP="00B7720C">
      <w:r w:rsidRPr="0053165B">
        <w:t>Before examining these issues in more detail</w:t>
      </w:r>
      <w:r>
        <w:t>,</w:t>
      </w:r>
      <w:r w:rsidRPr="0053165B">
        <w:t xml:space="preserve"> it is useful to highlight the key financial metrics of the sector.</w:t>
      </w:r>
    </w:p>
    <w:p w:rsidR="002909B1" w:rsidRPr="00596D01" w:rsidRDefault="002909B1" w:rsidP="00B7720C">
      <w:pPr>
        <w:pStyle w:val="Heading2Numbered"/>
      </w:pPr>
      <w:bookmarkStart w:id="940" w:name="_Toc524424807"/>
      <w:r w:rsidRPr="00596D01">
        <w:t>Residential care – revenue, expenses and balance sheets</w:t>
      </w:r>
      <w:bookmarkEnd w:id="940"/>
    </w:p>
    <w:p w:rsidR="00D8721E" w:rsidRDefault="00CC50D2" w:rsidP="00B7720C">
      <w:pPr>
        <w:rPr>
          <w:lang w:val="en-GB"/>
        </w:rPr>
      </w:pPr>
      <w:r w:rsidRPr="00CC50D2">
        <w:rPr>
          <w:lang w:val="en-GB"/>
        </w:rPr>
        <w:t>The following section provides a broad overview of some of the main financial aspects of the sector in</w:t>
      </w:r>
      <w:r w:rsidR="00A261F3">
        <w:rPr>
          <w:lang w:val="en-GB"/>
        </w:rPr>
        <w:t> 201</w:t>
      </w:r>
      <w:r w:rsidRPr="00CC50D2">
        <w:rPr>
          <w:lang w:val="en-GB"/>
        </w:rPr>
        <w:t>6</w:t>
      </w:r>
      <w:r w:rsidR="00D8721E">
        <w:rPr>
          <w:lang w:val="en-GB"/>
        </w:rPr>
        <w:t>–1</w:t>
      </w:r>
      <w:r w:rsidRPr="00CC50D2">
        <w:rPr>
          <w:lang w:val="en-GB"/>
        </w:rPr>
        <w:t>7, though as noted in Chapters 7 and 9</w:t>
      </w:r>
      <w:r w:rsidR="0014387D">
        <w:rPr>
          <w:lang w:val="en-GB"/>
        </w:rPr>
        <w:t>,</w:t>
      </w:r>
      <w:r w:rsidRPr="00CC50D2">
        <w:rPr>
          <w:lang w:val="en-GB"/>
        </w:rPr>
        <w:t xml:space="preserve"> there is a wide variation across providers in the sector.</w:t>
      </w:r>
    </w:p>
    <w:p w:rsidR="002909B1" w:rsidRPr="00596D01" w:rsidRDefault="002909B1" w:rsidP="00B7720C">
      <w:pPr>
        <w:pStyle w:val="Heading3Numbered"/>
      </w:pPr>
      <w:bookmarkStart w:id="941" w:name="_Toc524424808"/>
      <w:r w:rsidRPr="00596D01">
        <w:t>Revenue and Expenses</w:t>
      </w:r>
      <w:bookmarkEnd w:id="941"/>
    </w:p>
    <w:p w:rsidR="00CC50D2" w:rsidRPr="00CC50D2" w:rsidRDefault="00CC50D2" w:rsidP="00B7720C">
      <w:pPr>
        <w:rPr>
          <w:lang w:val="en-GB"/>
        </w:rPr>
      </w:pPr>
      <w:r w:rsidRPr="00CC50D2">
        <w:rPr>
          <w:lang w:val="en-GB"/>
        </w:rPr>
        <w:t xml:space="preserve">As shown in </w:t>
      </w:r>
      <w:r w:rsidR="00492BF8">
        <w:rPr>
          <w:lang w:val="en-GB"/>
        </w:rPr>
        <w:fldChar w:fldCharType="begin"/>
      </w:r>
      <w:r w:rsidR="00492BF8">
        <w:rPr>
          <w:lang w:val="en-GB"/>
        </w:rPr>
        <w:instrText xml:space="preserve"> REF _Ref524429796 \r \h </w:instrText>
      </w:r>
      <w:r w:rsidR="00492BF8">
        <w:rPr>
          <w:lang w:val="en-GB"/>
        </w:rPr>
      </w:r>
      <w:r w:rsidR="00492BF8">
        <w:rPr>
          <w:lang w:val="en-GB"/>
        </w:rPr>
        <w:fldChar w:fldCharType="separate"/>
      </w:r>
      <w:r w:rsidR="00492BF8">
        <w:rPr>
          <w:lang w:val="en-GB"/>
        </w:rPr>
        <w:t>Table 11.1</w:t>
      </w:r>
      <w:r w:rsidR="00492BF8">
        <w:rPr>
          <w:lang w:val="en-GB"/>
        </w:rPr>
        <w:fldChar w:fldCharType="end"/>
      </w:r>
      <w:r w:rsidRPr="00CC50D2">
        <w:rPr>
          <w:lang w:val="en-GB"/>
        </w:rPr>
        <w:t>, care related funding under</w:t>
      </w:r>
      <w:r w:rsidR="0014387D">
        <w:rPr>
          <w:lang w:val="en-GB"/>
        </w:rPr>
        <w:t xml:space="preserve"> the Aged Care Funding Instrument</w:t>
      </w:r>
      <w:r w:rsidRPr="00CC50D2">
        <w:rPr>
          <w:lang w:val="en-GB"/>
        </w:rPr>
        <w:t xml:space="preserve"> </w:t>
      </w:r>
      <w:r w:rsidR="0014387D">
        <w:rPr>
          <w:lang w:val="en-GB"/>
        </w:rPr>
        <w:t>(</w:t>
      </w:r>
      <w:r w:rsidRPr="00CC50D2">
        <w:rPr>
          <w:lang w:val="en-GB"/>
        </w:rPr>
        <w:t>ACFI</w:t>
      </w:r>
      <w:r w:rsidR="0014387D">
        <w:rPr>
          <w:lang w:val="en-GB"/>
        </w:rPr>
        <w:t>)</w:t>
      </w:r>
      <w:r w:rsidRPr="00CC50D2">
        <w:rPr>
          <w:lang w:val="en-GB"/>
        </w:rPr>
        <w:t xml:space="preserve"> from Government</w:t>
      </w:r>
      <w:r w:rsidR="0014387D">
        <w:rPr>
          <w:lang w:val="en-GB"/>
        </w:rPr>
        <w:t>,</w:t>
      </w:r>
      <w:r w:rsidRPr="00CC50D2">
        <w:rPr>
          <w:lang w:val="en-GB"/>
        </w:rPr>
        <w:t xml:space="preserve"> is the dominant revenue source for residential aged care providers, accounting for 60.5</w:t>
      </w:r>
      <w:r w:rsidR="00A261F3">
        <w:rPr>
          <w:lang w:val="en-GB"/>
        </w:rPr>
        <w:t> per cent</w:t>
      </w:r>
      <w:r w:rsidRPr="00CC50D2">
        <w:rPr>
          <w:lang w:val="en-GB"/>
        </w:rPr>
        <w:t xml:space="preserve"> of revenue in</w:t>
      </w:r>
      <w:r w:rsidR="00A261F3">
        <w:rPr>
          <w:lang w:val="en-GB"/>
        </w:rPr>
        <w:t> 201</w:t>
      </w:r>
      <w:r w:rsidRPr="00CC50D2">
        <w:rPr>
          <w:lang w:val="en-GB"/>
        </w:rPr>
        <w:t>6</w:t>
      </w:r>
      <w:r w:rsidR="00D8721E">
        <w:rPr>
          <w:lang w:val="en-GB"/>
        </w:rPr>
        <w:t>–1</w:t>
      </w:r>
      <w:r w:rsidRPr="00CC50D2">
        <w:rPr>
          <w:lang w:val="en-GB"/>
        </w:rPr>
        <w:t xml:space="preserve">7. The next main source is the </w:t>
      </w:r>
      <w:r w:rsidR="0014387D">
        <w:rPr>
          <w:lang w:val="en-GB"/>
        </w:rPr>
        <w:t>b</w:t>
      </w:r>
      <w:r w:rsidRPr="00CC50D2">
        <w:rPr>
          <w:lang w:val="en-GB"/>
        </w:rPr>
        <w:t xml:space="preserve">asic </w:t>
      </w:r>
      <w:r w:rsidR="0014387D">
        <w:rPr>
          <w:lang w:val="en-GB"/>
        </w:rPr>
        <w:t>d</w:t>
      </w:r>
      <w:r w:rsidRPr="00CC50D2">
        <w:rPr>
          <w:lang w:val="en-GB"/>
        </w:rPr>
        <w:t xml:space="preserve">aily </w:t>
      </w:r>
      <w:r w:rsidR="0014387D">
        <w:rPr>
          <w:lang w:val="en-GB"/>
        </w:rPr>
        <w:t>f</w:t>
      </w:r>
      <w:r w:rsidRPr="00CC50D2">
        <w:rPr>
          <w:lang w:val="en-GB"/>
        </w:rPr>
        <w:t>ee paid by residents for living expenses (18</w:t>
      </w:r>
      <w:r w:rsidR="00A261F3">
        <w:rPr>
          <w:lang w:val="en-GB"/>
        </w:rPr>
        <w:t> per cent</w:t>
      </w:r>
      <w:r w:rsidRPr="00CC50D2">
        <w:rPr>
          <w:lang w:val="en-GB"/>
        </w:rPr>
        <w:t>), followed by the Government accommodation supplement for supported residents (5</w:t>
      </w:r>
      <w:r w:rsidR="00A261F3">
        <w:rPr>
          <w:lang w:val="en-GB"/>
        </w:rPr>
        <w:t> per cent</w:t>
      </w:r>
      <w:r w:rsidRPr="00CC50D2">
        <w:rPr>
          <w:lang w:val="en-GB"/>
        </w:rPr>
        <w:t>) and daily accommodation payments from residents (4</w:t>
      </w:r>
      <w:r w:rsidR="00A261F3">
        <w:rPr>
          <w:lang w:val="en-GB"/>
        </w:rPr>
        <w:t> per cent</w:t>
      </w:r>
      <w:r w:rsidRPr="00CC50D2">
        <w:rPr>
          <w:lang w:val="en-GB"/>
        </w:rPr>
        <w:t>). Other revenue sources are relatively minor in comparison.</w:t>
      </w:r>
    </w:p>
    <w:p w:rsidR="00CC50D2" w:rsidRPr="00CC50D2" w:rsidRDefault="00CC50D2" w:rsidP="00B7720C">
      <w:pPr>
        <w:rPr>
          <w:lang w:val="en-GB"/>
        </w:rPr>
      </w:pPr>
      <w:r w:rsidRPr="00CC50D2">
        <w:rPr>
          <w:lang w:val="en-GB"/>
        </w:rPr>
        <w:t>Overall the Government provides approximately 68</w:t>
      </w:r>
      <w:r w:rsidR="00A261F3">
        <w:rPr>
          <w:lang w:val="en-GB"/>
        </w:rPr>
        <w:t> per cent</w:t>
      </w:r>
      <w:r w:rsidRPr="00CC50D2">
        <w:rPr>
          <w:lang w:val="en-GB"/>
        </w:rPr>
        <w:t xml:space="preserve"> (based on</w:t>
      </w:r>
      <w:r w:rsidR="00A261F3">
        <w:rPr>
          <w:lang w:val="en-GB"/>
        </w:rPr>
        <w:t> 201</w:t>
      </w:r>
      <w:r w:rsidRPr="00CC50D2">
        <w:rPr>
          <w:lang w:val="en-GB"/>
        </w:rPr>
        <w:t>6</w:t>
      </w:r>
      <w:r w:rsidR="00D8721E">
        <w:rPr>
          <w:lang w:val="en-GB"/>
        </w:rPr>
        <w:t>–1</w:t>
      </w:r>
      <w:r w:rsidRPr="00CC50D2">
        <w:rPr>
          <w:lang w:val="en-GB"/>
        </w:rPr>
        <w:t>7 data) of the revenue of providers, consumers 26</w:t>
      </w:r>
      <w:r w:rsidR="00A261F3">
        <w:rPr>
          <w:lang w:val="en-GB"/>
        </w:rPr>
        <w:t> per cent</w:t>
      </w:r>
      <w:r w:rsidRPr="00CC50D2">
        <w:rPr>
          <w:lang w:val="en-GB"/>
        </w:rPr>
        <w:t xml:space="preserve"> and other income the remainder.</w:t>
      </w:r>
    </w:p>
    <w:p w:rsidR="00D8721E" w:rsidRDefault="00CC50D2" w:rsidP="00B7720C">
      <w:pPr>
        <w:rPr>
          <w:lang w:val="en-GB"/>
        </w:rPr>
      </w:pPr>
      <w:r w:rsidRPr="00CC50D2">
        <w:rPr>
          <w:lang w:val="en-GB"/>
        </w:rPr>
        <w:t>Expenses (</w:t>
      </w:r>
      <w:r w:rsidR="00492BF8">
        <w:rPr>
          <w:lang w:val="en-GB"/>
        </w:rPr>
        <w:fldChar w:fldCharType="begin"/>
      </w:r>
      <w:r w:rsidR="00492BF8">
        <w:rPr>
          <w:lang w:val="en-GB"/>
        </w:rPr>
        <w:instrText xml:space="preserve"> REF _Ref524429805 \r \h </w:instrText>
      </w:r>
      <w:r w:rsidR="00492BF8">
        <w:rPr>
          <w:lang w:val="en-GB"/>
        </w:rPr>
      </w:r>
      <w:r w:rsidR="00492BF8">
        <w:rPr>
          <w:lang w:val="en-GB"/>
        </w:rPr>
        <w:fldChar w:fldCharType="separate"/>
      </w:r>
      <w:r w:rsidR="00492BF8">
        <w:rPr>
          <w:lang w:val="en-GB"/>
        </w:rPr>
        <w:t>Table 11.2</w:t>
      </w:r>
      <w:r w:rsidR="00492BF8">
        <w:rPr>
          <w:lang w:val="en-GB"/>
        </w:rPr>
        <w:fldChar w:fldCharType="end"/>
      </w:r>
      <w:r w:rsidRPr="00CC50D2">
        <w:rPr>
          <w:lang w:val="en-GB"/>
        </w:rPr>
        <w:t>) are dominated by wages at 67.5</w:t>
      </w:r>
      <w:r w:rsidR="00A261F3">
        <w:rPr>
          <w:lang w:val="en-GB"/>
        </w:rPr>
        <w:t> per cent</w:t>
      </w:r>
      <w:r w:rsidRPr="00CC50D2">
        <w:rPr>
          <w:lang w:val="en-GB"/>
        </w:rPr>
        <w:t xml:space="preserve">, followed by other operational expense categories of; accommodation (rent, repairs </w:t>
      </w:r>
      <w:r>
        <w:rPr>
          <w:lang w:val="en-GB"/>
        </w:rPr>
        <w:t>and</w:t>
      </w:r>
      <w:r w:rsidRPr="00CC50D2">
        <w:rPr>
          <w:lang w:val="en-GB"/>
        </w:rPr>
        <w:t xml:space="preserve"> maintenance, rates, utilities etc) at 7.6</w:t>
      </w:r>
      <w:r w:rsidR="00A261F3">
        <w:rPr>
          <w:lang w:val="en-GB"/>
        </w:rPr>
        <w:t> per cent</w:t>
      </w:r>
      <w:r w:rsidRPr="00CC50D2">
        <w:rPr>
          <w:lang w:val="en-GB"/>
        </w:rPr>
        <w:t>, hotel expenses (contracted hotel service, catering, cleaning, laundry etc) at 6.9</w:t>
      </w:r>
      <w:r w:rsidR="00A261F3">
        <w:rPr>
          <w:lang w:val="en-GB"/>
        </w:rPr>
        <w:t> per cent</w:t>
      </w:r>
      <w:r w:rsidRPr="00CC50D2">
        <w:rPr>
          <w:lang w:val="en-GB"/>
        </w:rPr>
        <w:t>, depreciation at 5.3</w:t>
      </w:r>
      <w:r w:rsidR="00A261F3">
        <w:rPr>
          <w:lang w:val="en-GB"/>
        </w:rPr>
        <w:t> per cent</w:t>
      </w:r>
      <w:r w:rsidRPr="00CC50D2">
        <w:rPr>
          <w:lang w:val="en-GB"/>
        </w:rPr>
        <w:t>, administration expenses at 3.6</w:t>
      </w:r>
      <w:r w:rsidR="00A261F3">
        <w:rPr>
          <w:lang w:val="en-GB"/>
        </w:rPr>
        <w:t> per cent</w:t>
      </w:r>
      <w:r w:rsidRPr="00CC50D2">
        <w:rPr>
          <w:lang w:val="en-GB"/>
        </w:rPr>
        <w:t>, care expenses (medication, oxygen, mobility equipment, treatment and procedures, recreational activities etc) at 3.2</w:t>
      </w:r>
      <w:r w:rsidR="00A261F3">
        <w:rPr>
          <w:lang w:val="en-GB"/>
        </w:rPr>
        <w:t> per cent</w:t>
      </w:r>
      <w:r w:rsidRPr="00CC50D2">
        <w:rPr>
          <w:lang w:val="en-GB"/>
        </w:rPr>
        <w:t>, management fees at 2.9</w:t>
      </w:r>
      <w:r w:rsidR="00A261F3">
        <w:rPr>
          <w:lang w:val="en-GB"/>
        </w:rPr>
        <w:t> per cent</w:t>
      </w:r>
      <w:r w:rsidRPr="00CC50D2">
        <w:rPr>
          <w:lang w:val="en-GB"/>
        </w:rPr>
        <w:t>, and all other expenses at 2</w:t>
      </w:r>
      <w:r w:rsidR="00A261F3">
        <w:rPr>
          <w:lang w:val="en-GB"/>
        </w:rPr>
        <w:t> per cent</w:t>
      </w:r>
      <w:r w:rsidR="00D8721E">
        <w:rPr>
          <w:lang w:val="en-GB"/>
        </w:rPr>
        <w:t>.</w:t>
      </w:r>
    </w:p>
    <w:p w:rsidR="00CC50D2" w:rsidRPr="00596D01" w:rsidRDefault="00CC50D2" w:rsidP="00B7720C">
      <w:pPr>
        <w:pStyle w:val="TableTitle"/>
      </w:pPr>
      <w:bookmarkStart w:id="942" w:name="_Ref524429796"/>
      <w:r w:rsidRPr="00596D01">
        <w:t>Revenue sources, residential care providers,</w:t>
      </w:r>
      <w:r w:rsidR="00A261F3" w:rsidRPr="00596D01">
        <w:t> 201</w:t>
      </w:r>
      <w:r w:rsidRPr="00596D01">
        <w:t>6</w:t>
      </w:r>
      <w:r w:rsidR="00D8721E" w:rsidRPr="00596D01">
        <w:t>–1</w:t>
      </w:r>
      <w:r w:rsidRPr="00596D01">
        <w:t>7</w:t>
      </w:r>
      <w:bookmarkEnd w:id="94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906"/>
        <w:gridCol w:w="1893"/>
        <w:gridCol w:w="2829"/>
      </w:tblGrid>
      <w:tr w:rsidR="00CC50D2" w:rsidRPr="00CC50D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548" w:type="pct"/>
          </w:tcPr>
          <w:p w:rsidR="00CC50D2" w:rsidRPr="003F6121" w:rsidRDefault="00CC50D2" w:rsidP="00B7720C">
            <w:pPr>
              <w:rPr>
                <w:rFonts w:ascii="Segoe UI" w:hAnsi="Segoe UI" w:cs="Segoe UI"/>
              </w:rPr>
            </w:pPr>
            <w:r w:rsidRPr="00596D01">
              <w:t>Revenue source</w:t>
            </w:r>
          </w:p>
        </w:tc>
        <w:tc>
          <w:tcPr>
            <w:tcW w:w="983" w:type="pct"/>
          </w:tcPr>
          <w:p w:rsidR="00CC50D2" w:rsidRPr="00CC50D2" w:rsidRDefault="00CC50D2" w:rsidP="00281398">
            <w:pPr>
              <w:jc w:val="right"/>
              <w:rPr>
                <w:rFonts w:ascii="Segoe UI" w:hAnsi="Segoe UI" w:cs="Segoe UI"/>
              </w:rPr>
            </w:pPr>
            <w:r w:rsidRPr="00596D01">
              <w:t>$m</w:t>
            </w:r>
          </w:p>
        </w:tc>
        <w:tc>
          <w:tcPr>
            <w:tcW w:w="1469" w:type="pct"/>
          </w:tcPr>
          <w:p w:rsidR="00CC50D2" w:rsidRPr="00596D01" w:rsidRDefault="00CC50D2" w:rsidP="00281398">
            <w:pPr>
              <w:jc w:val="right"/>
            </w:pPr>
            <w:r w:rsidRPr="00596D01">
              <w:t>Proportion of total revenue</w:t>
            </w:r>
          </w:p>
        </w:tc>
      </w:tr>
      <w:tr w:rsidR="00CC50D2" w:rsidRPr="00563663" w:rsidTr="00C67407">
        <w:trPr>
          <w:trHeight w:val="113"/>
        </w:trPr>
        <w:tc>
          <w:tcPr>
            <w:tcW w:w="2548" w:type="pct"/>
            <w:shd w:val="clear" w:color="auto" w:fill="E8E8E8" w:themeFill="background2"/>
          </w:tcPr>
          <w:p w:rsidR="00CC50D2" w:rsidRPr="00CC50D2" w:rsidRDefault="00CC50D2" w:rsidP="00B7720C">
            <w:pPr>
              <w:rPr>
                <w:rFonts w:ascii="Segoe UI" w:hAnsi="Segoe UI" w:cs="Segoe UI"/>
                <w:color w:val="000000"/>
              </w:rPr>
            </w:pPr>
            <w:r w:rsidRPr="00596D01">
              <w:rPr>
                <w:rStyle w:val="Strong"/>
              </w:rPr>
              <w:t>Government</w:t>
            </w:r>
          </w:p>
        </w:tc>
        <w:tc>
          <w:tcPr>
            <w:tcW w:w="983" w:type="pct"/>
            <w:shd w:val="clear" w:color="auto" w:fill="E8E8E8" w:themeFill="background2"/>
          </w:tcPr>
          <w:p w:rsidR="00CC50D2" w:rsidRPr="003F6121" w:rsidRDefault="00CC50D2" w:rsidP="00281398">
            <w:pPr>
              <w:jc w:val="right"/>
              <w:rPr>
                <w:rFonts w:ascii="Segoe UI" w:hAnsi="Segoe UI" w:cs="Segoe UI"/>
              </w:rPr>
            </w:pPr>
          </w:p>
        </w:tc>
        <w:tc>
          <w:tcPr>
            <w:tcW w:w="1469" w:type="pct"/>
            <w:shd w:val="clear" w:color="auto" w:fill="E8E8E8" w:themeFill="background2"/>
          </w:tcPr>
          <w:p w:rsidR="00CC50D2" w:rsidRPr="00596D01" w:rsidRDefault="00CC50D2" w:rsidP="00281398">
            <w:pPr>
              <w:jc w:val="right"/>
              <w:rPr>
                <w:rStyle w:val="Strong"/>
              </w:rPr>
            </w:pP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CC50D2">
              <w:rPr>
                <w:rFonts w:ascii="Segoe UI" w:hAnsi="Segoe UI" w:cs="Segoe UI"/>
                <w:color w:val="000000"/>
              </w:rPr>
              <w:t>Basic care subsidy (ACFI)</w:t>
            </w:r>
          </w:p>
        </w:tc>
        <w:tc>
          <w:tcPr>
            <w:tcW w:w="983" w:type="pct"/>
          </w:tcPr>
          <w:p w:rsidR="00CC50D2" w:rsidRPr="00596D01" w:rsidRDefault="00CC50D2" w:rsidP="00281398">
            <w:pPr>
              <w:jc w:val="right"/>
              <w:rPr>
                <w:rStyle w:val="Strong"/>
              </w:rPr>
            </w:pPr>
            <w:r w:rsidRPr="00CC50D2">
              <w:rPr>
                <w:rFonts w:ascii="Segoe UI" w:hAnsi="Segoe UI" w:cs="Segoe UI"/>
                <w:color w:val="000000"/>
              </w:rPr>
              <w:t>$10,741.7</w:t>
            </w:r>
          </w:p>
        </w:tc>
        <w:tc>
          <w:tcPr>
            <w:tcW w:w="1469" w:type="pct"/>
          </w:tcPr>
          <w:p w:rsidR="00CC50D2" w:rsidRPr="00596D01" w:rsidRDefault="00CC50D2" w:rsidP="00281398">
            <w:pPr>
              <w:jc w:val="right"/>
              <w:rPr>
                <w:rStyle w:val="Strong"/>
              </w:rPr>
            </w:pPr>
            <w:r w:rsidRPr="00CC50D2">
              <w:rPr>
                <w:rFonts w:ascii="Segoe UI" w:hAnsi="Segoe UI" w:cs="Segoe UI"/>
                <w:color w:val="000000"/>
              </w:rPr>
              <w:t>60.5%</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CC50D2">
              <w:rPr>
                <w:rFonts w:ascii="Segoe UI" w:hAnsi="Segoe UI" w:cs="Segoe UI"/>
                <w:color w:val="000000"/>
              </w:rPr>
              <w:t>Respite subsidy</w:t>
            </w:r>
          </w:p>
        </w:tc>
        <w:tc>
          <w:tcPr>
            <w:tcW w:w="983" w:type="pct"/>
          </w:tcPr>
          <w:p w:rsidR="00CC50D2" w:rsidRPr="00596D01" w:rsidRDefault="00CC50D2" w:rsidP="00281398">
            <w:pPr>
              <w:jc w:val="right"/>
              <w:rPr>
                <w:rStyle w:val="Strong"/>
              </w:rPr>
            </w:pPr>
            <w:r w:rsidRPr="00CC50D2">
              <w:rPr>
                <w:rFonts w:ascii="Segoe UI" w:hAnsi="Segoe UI" w:cs="Segoe UI"/>
                <w:color w:val="000000"/>
              </w:rPr>
              <w:t>$301.4</w:t>
            </w:r>
          </w:p>
        </w:tc>
        <w:tc>
          <w:tcPr>
            <w:tcW w:w="1469" w:type="pct"/>
          </w:tcPr>
          <w:p w:rsidR="00CC50D2" w:rsidRPr="00596D01" w:rsidRDefault="00CC50D2" w:rsidP="00281398">
            <w:pPr>
              <w:jc w:val="right"/>
              <w:rPr>
                <w:rStyle w:val="Strong"/>
              </w:rPr>
            </w:pPr>
            <w:r w:rsidRPr="00CC50D2">
              <w:rPr>
                <w:rFonts w:ascii="Segoe UI" w:hAnsi="Segoe UI" w:cs="Segoe UI"/>
                <w:color w:val="000000"/>
              </w:rPr>
              <w:t>1.7%</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CC50D2">
              <w:rPr>
                <w:rFonts w:ascii="Segoe UI" w:hAnsi="Segoe UI" w:cs="Segoe UI"/>
                <w:color w:val="000000"/>
              </w:rPr>
              <w:t>Other care and accommodation supplements</w:t>
            </w:r>
          </w:p>
        </w:tc>
        <w:tc>
          <w:tcPr>
            <w:tcW w:w="983" w:type="pct"/>
          </w:tcPr>
          <w:p w:rsidR="00CC50D2" w:rsidRPr="00596D01" w:rsidRDefault="00CC50D2" w:rsidP="00281398">
            <w:pPr>
              <w:jc w:val="right"/>
              <w:rPr>
                <w:rStyle w:val="Strong"/>
              </w:rPr>
            </w:pPr>
            <w:r w:rsidRPr="00CC50D2">
              <w:rPr>
                <w:rFonts w:ascii="Segoe UI" w:hAnsi="Segoe UI" w:cs="Segoe UI"/>
                <w:color w:val="000000"/>
              </w:rPr>
              <w:t>$89.3</w:t>
            </w:r>
          </w:p>
        </w:tc>
        <w:tc>
          <w:tcPr>
            <w:tcW w:w="1469" w:type="pct"/>
          </w:tcPr>
          <w:p w:rsidR="00CC50D2" w:rsidRPr="00596D01" w:rsidRDefault="00CC50D2" w:rsidP="00281398">
            <w:pPr>
              <w:jc w:val="right"/>
              <w:rPr>
                <w:rStyle w:val="Strong"/>
              </w:rPr>
            </w:pPr>
            <w:r w:rsidRPr="00CC50D2">
              <w:rPr>
                <w:rFonts w:ascii="Segoe UI" w:hAnsi="Segoe UI" w:cs="Segoe UI"/>
                <w:color w:val="000000"/>
              </w:rPr>
              <w:t>0.5%</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CC50D2">
              <w:rPr>
                <w:rFonts w:ascii="Segoe UI" w:hAnsi="Segoe UI" w:cs="Segoe UI"/>
                <w:color w:val="000000"/>
              </w:rPr>
              <w:t>Accommodation supplements</w:t>
            </w:r>
          </w:p>
        </w:tc>
        <w:tc>
          <w:tcPr>
            <w:tcW w:w="983" w:type="pct"/>
          </w:tcPr>
          <w:p w:rsidR="00CC50D2" w:rsidRPr="00596D01" w:rsidRDefault="00CC50D2" w:rsidP="00281398">
            <w:pPr>
              <w:jc w:val="right"/>
              <w:rPr>
                <w:rStyle w:val="Strong"/>
              </w:rPr>
            </w:pPr>
            <w:r w:rsidRPr="00CC50D2">
              <w:rPr>
                <w:rFonts w:ascii="Segoe UI" w:hAnsi="Segoe UI" w:cs="Segoe UI"/>
                <w:color w:val="000000"/>
              </w:rPr>
              <w:t>$929.7</w:t>
            </w:r>
          </w:p>
        </w:tc>
        <w:tc>
          <w:tcPr>
            <w:tcW w:w="1469" w:type="pct"/>
          </w:tcPr>
          <w:p w:rsidR="00CC50D2" w:rsidRPr="00596D01" w:rsidRDefault="00CC50D2" w:rsidP="00281398">
            <w:pPr>
              <w:jc w:val="right"/>
              <w:rPr>
                <w:rStyle w:val="Strong"/>
              </w:rPr>
            </w:pPr>
            <w:r w:rsidRPr="00CC50D2">
              <w:rPr>
                <w:rFonts w:ascii="Segoe UI" w:hAnsi="Segoe UI" w:cs="Segoe UI"/>
                <w:color w:val="000000"/>
              </w:rPr>
              <w:t>5.2%</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CC50D2">
              <w:rPr>
                <w:rFonts w:ascii="Segoe UI" w:hAnsi="Segoe UI" w:cs="Segoe UI"/>
                <w:color w:val="000000"/>
              </w:rPr>
              <w:t>Capital grants</w:t>
            </w:r>
          </w:p>
        </w:tc>
        <w:tc>
          <w:tcPr>
            <w:tcW w:w="983" w:type="pct"/>
          </w:tcPr>
          <w:p w:rsidR="00CC50D2" w:rsidRPr="00596D01" w:rsidRDefault="00CC50D2" w:rsidP="00281398">
            <w:pPr>
              <w:jc w:val="right"/>
              <w:rPr>
                <w:rStyle w:val="Strong"/>
              </w:rPr>
            </w:pPr>
            <w:r w:rsidRPr="00CC50D2">
              <w:rPr>
                <w:rFonts w:ascii="Segoe UI" w:hAnsi="Segoe UI" w:cs="Segoe UI"/>
                <w:color w:val="000000"/>
              </w:rPr>
              <w:t>$61.7</w:t>
            </w:r>
          </w:p>
        </w:tc>
        <w:tc>
          <w:tcPr>
            <w:tcW w:w="1469" w:type="pct"/>
          </w:tcPr>
          <w:p w:rsidR="00CC50D2" w:rsidRPr="00596D01" w:rsidRDefault="00CC50D2" w:rsidP="00281398">
            <w:pPr>
              <w:jc w:val="right"/>
              <w:rPr>
                <w:rStyle w:val="Strong"/>
              </w:rPr>
            </w:pPr>
            <w:r w:rsidRPr="00CC50D2">
              <w:rPr>
                <w:rFonts w:ascii="Segoe UI" w:hAnsi="Segoe UI" w:cs="Segoe UI"/>
                <w:color w:val="000000"/>
              </w:rPr>
              <w:t>0.3%</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596D01">
              <w:rPr>
                <w:rStyle w:val="Strong"/>
              </w:rPr>
              <w:t>Total Government revenue</w:t>
            </w:r>
          </w:p>
        </w:tc>
        <w:tc>
          <w:tcPr>
            <w:tcW w:w="983" w:type="pct"/>
          </w:tcPr>
          <w:p w:rsidR="00CC50D2" w:rsidRPr="00CC50D2" w:rsidRDefault="00CC50D2" w:rsidP="00281398">
            <w:pPr>
              <w:jc w:val="right"/>
              <w:rPr>
                <w:rFonts w:ascii="Segoe UI" w:hAnsi="Segoe UI" w:cs="Segoe UI"/>
              </w:rPr>
            </w:pPr>
            <w:r w:rsidRPr="00596D01">
              <w:rPr>
                <w:rStyle w:val="Strong"/>
              </w:rPr>
              <w:t>$12,123.8</w:t>
            </w:r>
          </w:p>
        </w:tc>
        <w:tc>
          <w:tcPr>
            <w:tcW w:w="1469" w:type="pct"/>
          </w:tcPr>
          <w:p w:rsidR="00CC50D2" w:rsidRPr="00596D01" w:rsidRDefault="00CC50D2" w:rsidP="00281398">
            <w:pPr>
              <w:jc w:val="right"/>
              <w:rPr>
                <w:rStyle w:val="Strong"/>
              </w:rPr>
            </w:pPr>
            <w:r w:rsidRPr="00596D01">
              <w:rPr>
                <w:rStyle w:val="Strong"/>
              </w:rPr>
              <w:t>68.3%</w:t>
            </w:r>
          </w:p>
        </w:tc>
      </w:tr>
      <w:tr w:rsidR="00CC50D2" w:rsidRPr="00CC50D2" w:rsidTr="00C67407">
        <w:trPr>
          <w:trHeight w:val="113"/>
        </w:trPr>
        <w:tc>
          <w:tcPr>
            <w:tcW w:w="2548" w:type="pct"/>
            <w:shd w:val="clear" w:color="auto" w:fill="E8E8E8" w:themeFill="background2"/>
          </w:tcPr>
          <w:p w:rsidR="00CC50D2" w:rsidRPr="00CC50D2" w:rsidRDefault="00CC50D2" w:rsidP="00281398">
            <w:pPr>
              <w:keepNext/>
              <w:rPr>
                <w:rFonts w:ascii="Segoe UI" w:hAnsi="Segoe UI" w:cs="Segoe UI"/>
                <w:color w:val="000000"/>
              </w:rPr>
            </w:pPr>
            <w:r w:rsidRPr="00596D01">
              <w:rPr>
                <w:rStyle w:val="Strong"/>
              </w:rPr>
              <w:t>Consumer</w:t>
            </w:r>
          </w:p>
        </w:tc>
        <w:tc>
          <w:tcPr>
            <w:tcW w:w="983" w:type="pct"/>
            <w:shd w:val="clear" w:color="auto" w:fill="E8E8E8" w:themeFill="background2"/>
          </w:tcPr>
          <w:p w:rsidR="00CC50D2" w:rsidRPr="00CC50D2" w:rsidRDefault="00CC50D2" w:rsidP="00281398">
            <w:pPr>
              <w:jc w:val="right"/>
              <w:rPr>
                <w:rFonts w:ascii="Segoe UI" w:hAnsi="Segoe UI" w:cs="Segoe UI"/>
                <w:color w:val="000000"/>
                <w:u w:val="single"/>
              </w:rPr>
            </w:pPr>
          </w:p>
        </w:tc>
        <w:tc>
          <w:tcPr>
            <w:tcW w:w="1469" w:type="pct"/>
            <w:shd w:val="clear" w:color="auto" w:fill="E8E8E8" w:themeFill="background2"/>
          </w:tcPr>
          <w:p w:rsidR="00CC50D2" w:rsidRPr="00596D01" w:rsidRDefault="00CC50D2" w:rsidP="00281398">
            <w:pPr>
              <w:jc w:val="right"/>
              <w:rPr>
                <w:rStyle w:val="Strong"/>
              </w:rPr>
            </w:pP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Basic daily fee</w:t>
            </w:r>
          </w:p>
        </w:tc>
        <w:tc>
          <w:tcPr>
            <w:tcW w:w="983" w:type="pct"/>
          </w:tcPr>
          <w:p w:rsidR="00CC50D2" w:rsidRPr="00596D01" w:rsidRDefault="00CC50D2" w:rsidP="00281398">
            <w:pPr>
              <w:jc w:val="right"/>
              <w:rPr>
                <w:rStyle w:val="Strong"/>
              </w:rPr>
            </w:pPr>
            <w:r w:rsidRPr="00CC50D2">
              <w:rPr>
                <w:rFonts w:ascii="Segoe UI" w:hAnsi="Segoe UI" w:cs="Segoe UI"/>
                <w:color w:val="000000"/>
              </w:rPr>
              <w:t>$3,186.7</w:t>
            </w:r>
          </w:p>
        </w:tc>
        <w:tc>
          <w:tcPr>
            <w:tcW w:w="1469" w:type="pct"/>
          </w:tcPr>
          <w:p w:rsidR="00CC50D2" w:rsidRPr="00596D01" w:rsidRDefault="00CC50D2" w:rsidP="00281398">
            <w:pPr>
              <w:jc w:val="right"/>
              <w:rPr>
                <w:rStyle w:val="Strong"/>
              </w:rPr>
            </w:pPr>
            <w:r w:rsidRPr="00CC50D2">
              <w:rPr>
                <w:rFonts w:ascii="Segoe UI" w:hAnsi="Segoe UI" w:cs="Segoe UI"/>
                <w:color w:val="000000"/>
              </w:rPr>
              <w:t>17.9%</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Means tested care fees</w:t>
            </w:r>
          </w:p>
        </w:tc>
        <w:tc>
          <w:tcPr>
            <w:tcW w:w="983" w:type="pct"/>
          </w:tcPr>
          <w:p w:rsidR="00CC50D2" w:rsidRPr="00596D01" w:rsidRDefault="00CC50D2" w:rsidP="00281398">
            <w:pPr>
              <w:jc w:val="right"/>
              <w:rPr>
                <w:rStyle w:val="Strong"/>
              </w:rPr>
            </w:pPr>
            <w:r w:rsidRPr="00CC50D2">
              <w:rPr>
                <w:rFonts w:ascii="Segoe UI" w:hAnsi="Segoe UI" w:cs="Segoe UI"/>
                <w:color w:val="000000"/>
              </w:rPr>
              <w:t>$468.9</w:t>
            </w:r>
          </w:p>
        </w:tc>
        <w:tc>
          <w:tcPr>
            <w:tcW w:w="1469" w:type="pct"/>
          </w:tcPr>
          <w:p w:rsidR="00CC50D2" w:rsidRPr="00596D01" w:rsidRDefault="00CC50D2" w:rsidP="00281398">
            <w:pPr>
              <w:jc w:val="right"/>
              <w:rPr>
                <w:rStyle w:val="Strong"/>
              </w:rPr>
            </w:pPr>
            <w:r w:rsidRPr="00CC50D2">
              <w:rPr>
                <w:rFonts w:ascii="Segoe UI" w:hAnsi="Segoe UI" w:cs="Segoe UI"/>
                <w:color w:val="000000"/>
              </w:rPr>
              <w:t>2.6%</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lastRenderedPageBreak/>
              <w:t>Resident care fees – other</w:t>
            </w:r>
            <w:r w:rsidR="002C6887">
              <w:rPr>
                <w:rStyle w:val="FootnoteReference"/>
                <w:rFonts w:cs="Segoe UI"/>
                <w:color w:val="000000"/>
              </w:rPr>
              <w:footnoteReference w:id="50"/>
            </w:r>
          </w:p>
        </w:tc>
        <w:tc>
          <w:tcPr>
            <w:tcW w:w="983" w:type="pct"/>
          </w:tcPr>
          <w:p w:rsidR="00CC50D2" w:rsidRPr="00596D01" w:rsidRDefault="00CC50D2" w:rsidP="00281398">
            <w:pPr>
              <w:jc w:val="right"/>
              <w:rPr>
                <w:rStyle w:val="Strong"/>
              </w:rPr>
            </w:pPr>
            <w:r w:rsidRPr="00CC50D2">
              <w:rPr>
                <w:rFonts w:ascii="Segoe UI" w:hAnsi="Segoe UI" w:cs="Segoe UI"/>
                <w:color w:val="000000"/>
              </w:rPr>
              <w:t>$61.2</w:t>
            </w:r>
          </w:p>
        </w:tc>
        <w:tc>
          <w:tcPr>
            <w:tcW w:w="1469" w:type="pct"/>
          </w:tcPr>
          <w:p w:rsidR="00CC50D2" w:rsidRPr="00596D01" w:rsidRDefault="00CC50D2" w:rsidP="00281398">
            <w:pPr>
              <w:jc w:val="right"/>
              <w:rPr>
                <w:rStyle w:val="Strong"/>
              </w:rPr>
            </w:pPr>
            <w:r w:rsidRPr="00CC50D2">
              <w:rPr>
                <w:rFonts w:ascii="Segoe UI" w:hAnsi="Segoe UI" w:cs="Segoe UI"/>
                <w:color w:val="000000"/>
              </w:rPr>
              <w:t>0.3%</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Accommodation payments</w:t>
            </w:r>
          </w:p>
        </w:tc>
        <w:tc>
          <w:tcPr>
            <w:tcW w:w="983" w:type="pct"/>
          </w:tcPr>
          <w:p w:rsidR="00CC50D2" w:rsidRPr="00596D01" w:rsidRDefault="00CC50D2" w:rsidP="00281398">
            <w:pPr>
              <w:jc w:val="right"/>
              <w:rPr>
                <w:rStyle w:val="Strong"/>
              </w:rPr>
            </w:pPr>
            <w:r w:rsidRPr="00CC50D2">
              <w:rPr>
                <w:rFonts w:ascii="Segoe UI" w:hAnsi="Segoe UI" w:cs="Segoe UI"/>
                <w:color w:val="000000"/>
              </w:rPr>
              <w:t>$778.4</w:t>
            </w:r>
          </w:p>
        </w:tc>
        <w:tc>
          <w:tcPr>
            <w:tcW w:w="1469" w:type="pct"/>
          </w:tcPr>
          <w:p w:rsidR="00CC50D2" w:rsidRPr="00596D01" w:rsidRDefault="00CC50D2" w:rsidP="00281398">
            <w:pPr>
              <w:jc w:val="right"/>
              <w:rPr>
                <w:rStyle w:val="Strong"/>
              </w:rPr>
            </w:pPr>
            <w:r w:rsidRPr="00CC50D2">
              <w:rPr>
                <w:rFonts w:ascii="Segoe UI" w:hAnsi="Segoe UI" w:cs="Segoe UI"/>
                <w:color w:val="000000"/>
              </w:rPr>
              <w:t>4.4%</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 xml:space="preserve">Extra services fee </w:t>
            </w:r>
          </w:p>
        </w:tc>
        <w:tc>
          <w:tcPr>
            <w:tcW w:w="983" w:type="pct"/>
          </w:tcPr>
          <w:p w:rsidR="00CC50D2" w:rsidRPr="00596D01" w:rsidRDefault="00CC50D2" w:rsidP="00281398">
            <w:pPr>
              <w:jc w:val="right"/>
              <w:rPr>
                <w:rStyle w:val="Strong"/>
              </w:rPr>
            </w:pPr>
            <w:r w:rsidRPr="00CC50D2">
              <w:rPr>
                <w:rFonts w:ascii="Segoe UI" w:hAnsi="Segoe UI" w:cs="Segoe UI"/>
                <w:color w:val="000000"/>
              </w:rPr>
              <w:t>$157.5</w:t>
            </w:r>
          </w:p>
        </w:tc>
        <w:tc>
          <w:tcPr>
            <w:tcW w:w="1469" w:type="pct"/>
          </w:tcPr>
          <w:p w:rsidR="00CC50D2" w:rsidRPr="00596D01" w:rsidRDefault="00CC50D2" w:rsidP="00281398">
            <w:pPr>
              <w:jc w:val="right"/>
              <w:rPr>
                <w:rStyle w:val="Strong"/>
              </w:rPr>
            </w:pPr>
            <w:r w:rsidRPr="00CC50D2">
              <w:rPr>
                <w:rFonts w:ascii="Segoe UI" w:hAnsi="Segoe UI" w:cs="Segoe UI"/>
                <w:color w:val="000000"/>
              </w:rPr>
              <w:t>0.9%</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596D01">
              <w:rPr>
                <w:rStyle w:val="Strong"/>
              </w:rPr>
              <w:t>Total resident revenue</w:t>
            </w:r>
          </w:p>
        </w:tc>
        <w:tc>
          <w:tcPr>
            <w:tcW w:w="983" w:type="pct"/>
          </w:tcPr>
          <w:p w:rsidR="00CC50D2" w:rsidRPr="00CC50D2" w:rsidRDefault="00CC50D2" w:rsidP="00281398">
            <w:pPr>
              <w:jc w:val="right"/>
              <w:rPr>
                <w:rFonts w:ascii="Segoe UI" w:hAnsi="Segoe UI" w:cs="Segoe UI"/>
                <w:color w:val="000000"/>
              </w:rPr>
            </w:pPr>
            <w:r w:rsidRPr="00596D01">
              <w:rPr>
                <w:rStyle w:val="Strong"/>
              </w:rPr>
              <w:t>$4,652.7</w:t>
            </w:r>
          </w:p>
        </w:tc>
        <w:tc>
          <w:tcPr>
            <w:tcW w:w="1469" w:type="pct"/>
          </w:tcPr>
          <w:p w:rsidR="00CC50D2" w:rsidRPr="00596D01" w:rsidRDefault="00CC50D2" w:rsidP="00281398">
            <w:pPr>
              <w:jc w:val="right"/>
              <w:rPr>
                <w:rStyle w:val="Strong"/>
              </w:rPr>
            </w:pPr>
            <w:r w:rsidRPr="00596D01">
              <w:rPr>
                <w:rStyle w:val="Strong"/>
              </w:rPr>
              <w:t>26.2%</w:t>
            </w:r>
          </w:p>
        </w:tc>
      </w:tr>
      <w:tr w:rsidR="00CC50D2" w:rsidRPr="00CC50D2" w:rsidTr="00C67407">
        <w:trPr>
          <w:trHeight w:val="113"/>
        </w:trPr>
        <w:tc>
          <w:tcPr>
            <w:tcW w:w="2548" w:type="pct"/>
            <w:shd w:val="clear" w:color="auto" w:fill="E8E8E8" w:themeFill="background2"/>
          </w:tcPr>
          <w:p w:rsidR="00CC50D2" w:rsidRPr="00CC50D2" w:rsidRDefault="00CC50D2" w:rsidP="00B7720C">
            <w:pPr>
              <w:rPr>
                <w:rFonts w:ascii="Segoe UI" w:hAnsi="Segoe UI" w:cs="Segoe UI"/>
                <w:color w:val="000000"/>
              </w:rPr>
            </w:pPr>
            <w:r w:rsidRPr="00596D01">
              <w:rPr>
                <w:rStyle w:val="Strong"/>
              </w:rPr>
              <w:t>Other</w:t>
            </w:r>
          </w:p>
        </w:tc>
        <w:tc>
          <w:tcPr>
            <w:tcW w:w="983" w:type="pct"/>
            <w:shd w:val="clear" w:color="auto" w:fill="E8E8E8" w:themeFill="background2"/>
          </w:tcPr>
          <w:p w:rsidR="00CC50D2" w:rsidRPr="00CC50D2" w:rsidRDefault="00CC50D2" w:rsidP="00281398">
            <w:pPr>
              <w:jc w:val="right"/>
              <w:rPr>
                <w:rFonts w:ascii="Segoe UI" w:hAnsi="Segoe UI" w:cs="Segoe UI"/>
                <w:color w:val="000000"/>
              </w:rPr>
            </w:pPr>
            <w:r w:rsidRPr="00596D01">
              <w:rPr>
                <w:rStyle w:val="Strong"/>
              </w:rPr>
              <w:t> </w:t>
            </w:r>
          </w:p>
        </w:tc>
        <w:tc>
          <w:tcPr>
            <w:tcW w:w="1469" w:type="pct"/>
            <w:shd w:val="clear" w:color="auto" w:fill="E8E8E8" w:themeFill="background2"/>
          </w:tcPr>
          <w:p w:rsidR="00CC50D2" w:rsidRPr="00596D01" w:rsidRDefault="00CC50D2" w:rsidP="00281398">
            <w:pPr>
              <w:jc w:val="right"/>
              <w:rPr>
                <w:rStyle w:val="Strong"/>
              </w:rPr>
            </w:pPr>
            <w:r w:rsidRPr="00596D01">
              <w:rPr>
                <w:rStyle w:val="Strong"/>
              </w:rPr>
              <w:t> </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Interest</w:t>
            </w:r>
          </w:p>
        </w:tc>
        <w:tc>
          <w:tcPr>
            <w:tcW w:w="983" w:type="pct"/>
          </w:tcPr>
          <w:p w:rsidR="00CC50D2" w:rsidRPr="00596D01" w:rsidRDefault="00CC50D2" w:rsidP="00281398">
            <w:pPr>
              <w:jc w:val="right"/>
              <w:rPr>
                <w:rStyle w:val="Strong"/>
              </w:rPr>
            </w:pPr>
            <w:r w:rsidRPr="00CC50D2">
              <w:rPr>
                <w:rFonts w:ascii="Segoe UI" w:hAnsi="Segoe UI" w:cs="Segoe UI"/>
                <w:color w:val="000000"/>
              </w:rPr>
              <w:t>$313.8</w:t>
            </w:r>
          </w:p>
        </w:tc>
        <w:tc>
          <w:tcPr>
            <w:tcW w:w="1469" w:type="pct"/>
          </w:tcPr>
          <w:p w:rsidR="00CC50D2" w:rsidRPr="00596D01" w:rsidRDefault="00CC50D2" w:rsidP="00281398">
            <w:pPr>
              <w:jc w:val="right"/>
              <w:rPr>
                <w:rStyle w:val="Strong"/>
              </w:rPr>
            </w:pPr>
            <w:r w:rsidRPr="00CC50D2">
              <w:rPr>
                <w:rFonts w:ascii="Segoe UI" w:hAnsi="Segoe UI" w:cs="Segoe UI"/>
                <w:color w:val="000000"/>
              </w:rPr>
              <w:t>1.8%</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Donations and fundraising</w:t>
            </w:r>
          </w:p>
        </w:tc>
        <w:tc>
          <w:tcPr>
            <w:tcW w:w="983" w:type="pct"/>
          </w:tcPr>
          <w:p w:rsidR="00CC50D2" w:rsidRPr="00596D01" w:rsidRDefault="00CC50D2" w:rsidP="00281398">
            <w:pPr>
              <w:jc w:val="right"/>
              <w:rPr>
                <w:rStyle w:val="Strong"/>
              </w:rPr>
            </w:pPr>
            <w:r w:rsidRPr="00CC50D2">
              <w:rPr>
                <w:rFonts w:ascii="Segoe UI" w:hAnsi="Segoe UI" w:cs="Segoe UI"/>
                <w:color w:val="000000"/>
              </w:rPr>
              <w:t>$32.3</w:t>
            </w:r>
          </w:p>
        </w:tc>
        <w:tc>
          <w:tcPr>
            <w:tcW w:w="1469" w:type="pct"/>
          </w:tcPr>
          <w:p w:rsidR="00CC50D2" w:rsidRPr="00596D01" w:rsidRDefault="00CC50D2" w:rsidP="00281398">
            <w:pPr>
              <w:jc w:val="right"/>
              <w:rPr>
                <w:rStyle w:val="Strong"/>
              </w:rPr>
            </w:pPr>
            <w:r w:rsidRPr="00CC50D2">
              <w:rPr>
                <w:rFonts w:ascii="Segoe UI" w:hAnsi="Segoe UI" w:cs="Segoe UI"/>
                <w:color w:val="000000"/>
              </w:rPr>
              <w:t>0.2%</w:t>
            </w:r>
          </w:p>
        </w:tc>
      </w:tr>
      <w:tr w:rsidR="00CC50D2" w:rsidRPr="00CC50D2" w:rsidTr="00C67407">
        <w:trPr>
          <w:trHeight w:val="113"/>
        </w:trPr>
        <w:tc>
          <w:tcPr>
            <w:tcW w:w="2548" w:type="pct"/>
          </w:tcPr>
          <w:p w:rsidR="00CC50D2" w:rsidRPr="00596D01" w:rsidRDefault="00CC50D2" w:rsidP="00B7720C">
            <w:pPr>
              <w:rPr>
                <w:rStyle w:val="Strong"/>
              </w:rPr>
            </w:pPr>
            <w:r w:rsidRPr="00CC50D2">
              <w:rPr>
                <w:rFonts w:ascii="Segoe UI" w:hAnsi="Segoe UI" w:cs="Segoe UI"/>
                <w:color w:val="000000"/>
              </w:rPr>
              <w:t xml:space="preserve">Other </w:t>
            </w:r>
          </w:p>
        </w:tc>
        <w:tc>
          <w:tcPr>
            <w:tcW w:w="983" w:type="pct"/>
          </w:tcPr>
          <w:p w:rsidR="00CC50D2" w:rsidRPr="00596D01" w:rsidRDefault="00CC50D2" w:rsidP="00281398">
            <w:pPr>
              <w:jc w:val="right"/>
              <w:rPr>
                <w:rStyle w:val="Strong"/>
              </w:rPr>
            </w:pPr>
            <w:r w:rsidRPr="00CC50D2">
              <w:rPr>
                <w:rFonts w:ascii="Segoe UI" w:hAnsi="Segoe UI" w:cs="Segoe UI"/>
                <w:color w:val="000000"/>
              </w:rPr>
              <w:t>$634.0</w:t>
            </w:r>
          </w:p>
        </w:tc>
        <w:tc>
          <w:tcPr>
            <w:tcW w:w="1469" w:type="pct"/>
          </w:tcPr>
          <w:p w:rsidR="00CC50D2" w:rsidRPr="00596D01" w:rsidRDefault="00CC50D2" w:rsidP="00281398">
            <w:pPr>
              <w:jc w:val="right"/>
              <w:rPr>
                <w:rStyle w:val="Strong"/>
              </w:rPr>
            </w:pPr>
            <w:r w:rsidRPr="00CC50D2">
              <w:rPr>
                <w:rFonts w:ascii="Segoe UI" w:hAnsi="Segoe UI" w:cs="Segoe UI"/>
                <w:color w:val="000000"/>
              </w:rPr>
              <w:t>3.6%</w:t>
            </w:r>
          </w:p>
        </w:tc>
      </w:tr>
      <w:tr w:rsidR="00CC50D2" w:rsidRPr="00CC50D2" w:rsidTr="00C67407">
        <w:trPr>
          <w:trHeight w:val="113"/>
        </w:trPr>
        <w:tc>
          <w:tcPr>
            <w:tcW w:w="2548" w:type="pct"/>
          </w:tcPr>
          <w:p w:rsidR="00CC50D2" w:rsidRPr="00CC50D2" w:rsidRDefault="00CC50D2" w:rsidP="00B7720C">
            <w:pPr>
              <w:rPr>
                <w:rFonts w:ascii="Segoe UI" w:hAnsi="Segoe UI" w:cs="Segoe UI"/>
                <w:color w:val="000000"/>
              </w:rPr>
            </w:pPr>
            <w:r w:rsidRPr="00596D01">
              <w:rPr>
                <w:rStyle w:val="Strong"/>
              </w:rPr>
              <w:t>Total other revenue</w:t>
            </w:r>
          </w:p>
        </w:tc>
        <w:tc>
          <w:tcPr>
            <w:tcW w:w="983" w:type="pct"/>
          </w:tcPr>
          <w:p w:rsidR="00CC50D2" w:rsidRPr="00CC50D2" w:rsidRDefault="00CC50D2" w:rsidP="00281398">
            <w:pPr>
              <w:jc w:val="right"/>
              <w:rPr>
                <w:rFonts w:ascii="Segoe UI" w:hAnsi="Segoe UI" w:cs="Segoe UI"/>
                <w:color w:val="000000"/>
              </w:rPr>
            </w:pPr>
            <w:r w:rsidRPr="00596D01">
              <w:rPr>
                <w:rStyle w:val="Strong"/>
              </w:rPr>
              <w:t>$980.1</w:t>
            </w:r>
          </w:p>
        </w:tc>
        <w:tc>
          <w:tcPr>
            <w:tcW w:w="1469" w:type="pct"/>
          </w:tcPr>
          <w:p w:rsidR="00CC50D2" w:rsidRPr="00596D01" w:rsidRDefault="00CC50D2" w:rsidP="00281398">
            <w:pPr>
              <w:jc w:val="right"/>
              <w:rPr>
                <w:rStyle w:val="Strong"/>
              </w:rPr>
            </w:pPr>
            <w:r w:rsidRPr="00596D01">
              <w:rPr>
                <w:rStyle w:val="Strong"/>
              </w:rPr>
              <w:t>5.5%</w:t>
            </w:r>
          </w:p>
        </w:tc>
      </w:tr>
      <w:tr w:rsidR="00CC50D2" w:rsidRPr="00CC50D2" w:rsidTr="00C67407">
        <w:trPr>
          <w:trHeight w:val="113"/>
        </w:trPr>
        <w:tc>
          <w:tcPr>
            <w:tcW w:w="2548" w:type="pct"/>
            <w:shd w:val="clear" w:color="auto" w:fill="E8E8E8" w:themeFill="background2"/>
          </w:tcPr>
          <w:p w:rsidR="00CC50D2" w:rsidRPr="00CC50D2" w:rsidRDefault="00CC50D2" w:rsidP="00B7720C">
            <w:pPr>
              <w:rPr>
                <w:rFonts w:ascii="Segoe UI" w:hAnsi="Segoe UI" w:cs="Segoe UI"/>
                <w:color w:val="000000"/>
              </w:rPr>
            </w:pPr>
            <w:r w:rsidRPr="00596D01">
              <w:rPr>
                <w:rStyle w:val="Strong"/>
              </w:rPr>
              <w:t>Total revenue</w:t>
            </w:r>
          </w:p>
        </w:tc>
        <w:tc>
          <w:tcPr>
            <w:tcW w:w="983" w:type="pct"/>
            <w:shd w:val="clear" w:color="auto" w:fill="E8E8E8" w:themeFill="background2"/>
          </w:tcPr>
          <w:p w:rsidR="00CC50D2" w:rsidRPr="00CC50D2" w:rsidRDefault="00CC50D2" w:rsidP="00281398">
            <w:pPr>
              <w:jc w:val="right"/>
              <w:rPr>
                <w:rFonts w:ascii="Segoe UI" w:hAnsi="Segoe UI" w:cs="Segoe UI"/>
                <w:color w:val="000000"/>
              </w:rPr>
            </w:pPr>
            <w:r w:rsidRPr="00596D01">
              <w:rPr>
                <w:rStyle w:val="Strong"/>
              </w:rPr>
              <w:t>$17,756.5</w:t>
            </w:r>
          </w:p>
        </w:tc>
        <w:tc>
          <w:tcPr>
            <w:tcW w:w="1469" w:type="pct"/>
            <w:shd w:val="clear" w:color="auto" w:fill="E8E8E8" w:themeFill="background2"/>
          </w:tcPr>
          <w:p w:rsidR="00CC50D2" w:rsidRPr="00596D01" w:rsidRDefault="00CC50D2" w:rsidP="00281398">
            <w:pPr>
              <w:jc w:val="right"/>
              <w:rPr>
                <w:rStyle w:val="Strong"/>
              </w:rPr>
            </w:pPr>
            <w:r w:rsidRPr="00596D01">
              <w:rPr>
                <w:rStyle w:val="Strong"/>
              </w:rPr>
              <w:t>100.0%</w:t>
            </w:r>
          </w:p>
        </w:tc>
      </w:tr>
    </w:tbl>
    <w:p w:rsidR="00CC50D2" w:rsidRPr="00596D01" w:rsidRDefault="00CC50D2" w:rsidP="00281398">
      <w:pPr>
        <w:pStyle w:val="TableTitle"/>
      </w:pPr>
      <w:bookmarkStart w:id="943" w:name="_Ref524429805"/>
      <w:r w:rsidRPr="00596D01">
        <w:t>Expense items, residential care providers,</w:t>
      </w:r>
      <w:r w:rsidR="00A261F3" w:rsidRPr="00596D01">
        <w:t> 201</w:t>
      </w:r>
      <w:r w:rsidRPr="00596D01">
        <w:t>6</w:t>
      </w:r>
      <w:r w:rsidR="00D8721E" w:rsidRPr="00596D01">
        <w:t>–1</w:t>
      </w:r>
      <w:r w:rsidRPr="00596D01">
        <w:t>7</w:t>
      </w:r>
      <w:bookmarkEnd w:id="943"/>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906"/>
        <w:gridCol w:w="1893"/>
        <w:gridCol w:w="2829"/>
      </w:tblGrid>
      <w:tr w:rsidR="00CC50D2"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548" w:type="pct"/>
            <w:hideMark/>
          </w:tcPr>
          <w:p w:rsidR="00CC50D2" w:rsidRDefault="00CC50D2" w:rsidP="00303CD5">
            <w:pPr>
              <w:spacing w:before="60"/>
              <w:rPr>
                <w:rFonts w:ascii="Segoe UI" w:hAnsi="Segoe UI" w:cs="Segoe UI"/>
                <w:color w:val="FFFFFF"/>
              </w:rPr>
            </w:pPr>
            <w:r w:rsidRPr="00596D01">
              <w:t>Expense item</w:t>
            </w:r>
          </w:p>
        </w:tc>
        <w:tc>
          <w:tcPr>
            <w:tcW w:w="983" w:type="pct"/>
            <w:hideMark/>
          </w:tcPr>
          <w:p w:rsidR="00CC50D2" w:rsidRDefault="00CC50D2" w:rsidP="00303CD5">
            <w:pPr>
              <w:spacing w:before="60"/>
              <w:jc w:val="right"/>
              <w:rPr>
                <w:rFonts w:ascii="Segoe UI" w:hAnsi="Segoe UI" w:cs="Segoe UI"/>
                <w:color w:val="FFFFFF"/>
              </w:rPr>
            </w:pPr>
            <w:r w:rsidRPr="00596D01">
              <w:t>$m</w:t>
            </w:r>
          </w:p>
        </w:tc>
        <w:tc>
          <w:tcPr>
            <w:tcW w:w="1469" w:type="pct"/>
            <w:hideMark/>
          </w:tcPr>
          <w:p w:rsidR="00CC50D2" w:rsidRPr="00596D01" w:rsidRDefault="00CC50D2" w:rsidP="00303CD5">
            <w:pPr>
              <w:spacing w:before="60"/>
              <w:jc w:val="right"/>
            </w:pPr>
            <w:r w:rsidRPr="00596D01">
              <w:t>Proportion of total expenses</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Wages and labour costs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$11,299.6</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67.5%</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Management fees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$492.5</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2.9%</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Care expenses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536.1</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3.2%</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Accommodation expenses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$1,267.8</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7.6%</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Hotel expenses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$1,157.9</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6.9%</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Administration expenses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$594.0</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3.6%</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Depreciation and amortisation</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$895.3</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5.3%</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Interest</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$171.1</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1.0%</w:t>
            </w:r>
          </w:p>
        </w:tc>
      </w:tr>
      <w:tr w:rsidR="00CC50D2" w:rsidTr="00303CD5">
        <w:trPr>
          <w:trHeight w:val="113"/>
        </w:trPr>
        <w:tc>
          <w:tcPr>
            <w:tcW w:w="2548" w:type="pct"/>
            <w:hideMark/>
          </w:tcPr>
          <w:p w:rsidR="00CC50D2" w:rsidRDefault="00CC50D2" w:rsidP="00303CD5">
            <w:pPr>
              <w:spacing w:before="60"/>
              <w:rPr>
                <w:rFonts w:ascii="Segoe UI" w:hAnsi="Segoe UI" w:cs="Segoe UI"/>
                <w:color w:val="000000"/>
              </w:rPr>
            </w:pPr>
            <w:r>
              <w:rPr>
                <w:rFonts w:ascii="Segoe UI" w:hAnsi="Segoe UI" w:cs="Segoe UI"/>
                <w:color w:val="000000"/>
              </w:rPr>
              <w:t>Other expenses</w:t>
            </w:r>
          </w:p>
        </w:tc>
        <w:tc>
          <w:tcPr>
            <w:tcW w:w="983"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$336.6</w:t>
            </w:r>
          </w:p>
        </w:tc>
        <w:tc>
          <w:tcPr>
            <w:tcW w:w="1469" w:type="pct"/>
            <w:hideMark/>
          </w:tcPr>
          <w:p w:rsidR="00CC50D2" w:rsidRDefault="00CC50D2" w:rsidP="00303CD5">
            <w:pPr>
              <w:spacing w:before="60"/>
              <w:jc w:val="right"/>
              <w:rPr>
                <w:rFonts w:ascii="Segoe UI" w:hAnsi="Segoe UI" w:cs="Segoe UI"/>
                <w:color w:val="000000"/>
              </w:rPr>
            </w:pPr>
            <w:r>
              <w:rPr>
                <w:rFonts w:ascii="Segoe UI" w:hAnsi="Segoe UI" w:cs="Segoe UI"/>
                <w:color w:val="000000"/>
              </w:rPr>
              <w:t>2.0%</w:t>
            </w:r>
          </w:p>
        </w:tc>
      </w:tr>
      <w:tr w:rsidR="00CC50D2" w:rsidTr="00303CD5">
        <w:trPr>
          <w:trHeight w:val="113"/>
        </w:trPr>
        <w:tc>
          <w:tcPr>
            <w:tcW w:w="2548" w:type="pct"/>
            <w:shd w:val="clear" w:color="auto" w:fill="E8E8E8" w:themeFill="background2"/>
            <w:hideMark/>
          </w:tcPr>
          <w:p w:rsidR="00CC50D2" w:rsidRDefault="00CC50D2" w:rsidP="00303CD5">
            <w:pPr>
              <w:spacing w:before="60"/>
              <w:rPr>
                <w:rFonts w:ascii="Segoe UI" w:hAnsi="Segoe UI" w:cs="Segoe UI"/>
                <w:b/>
                <w:bCs/>
                <w:color w:val="000000"/>
              </w:rPr>
            </w:pPr>
            <w:r w:rsidRPr="00596D01">
              <w:rPr>
                <w:rStyle w:val="Strong"/>
              </w:rPr>
              <w:t>Total expenses</w:t>
            </w:r>
          </w:p>
        </w:tc>
        <w:tc>
          <w:tcPr>
            <w:tcW w:w="983" w:type="pct"/>
            <w:shd w:val="clear" w:color="auto" w:fill="E8E8E8" w:themeFill="background2"/>
            <w:hideMark/>
          </w:tcPr>
          <w:p w:rsidR="00CC50D2" w:rsidRDefault="00CC50D2" w:rsidP="00303CD5">
            <w:pPr>
              <w:spacing w:before="60"/>
              <w:jc w:val="right"/>
              <w:rPr>
                <w:rFonts w:ascii="Segoe UI" w:hAnsi="Segoe UI" w:cs="Segoe UI"/>
                <w:b/>
                <w:bCs/>
                <w:color w:val="000000"/>
              </w:rPr>
            </w:pPr>
            <w:r w:rsidRPr="00596D01">
              <w:rPr>
                <w:rStyle w:val="Strong"/>
              </w:rPr>
              <w:t>$16,750.9</w:t>
            </w:r>
          </w:p>
        </w:tc>
        <w:tc>
          <w:tcPr>
            <w:tcW w:w="1469" w:type="pct"/>
            <w:shd w:val="clear" w:color="auto" w:fill="E8E8E8" w:themeFill="background2"/>
            <w:hideMark/>
          </w:tcPr>
          <w:p w:rsidR="00CC50D2" w:rsidRPr="00596D01" w:rsidRDefault="00CC50D2" w:rsidP="00303CD5">
            <w:pPr>
              <w:spacing w:before="60"/>
              <w:jc w:val="right"/>
              <w:rPr>
                <w:rStyle w:val="Strong"/>
              </w:rPr>
            </w:pPr>
            <w:r w:rsidRPr="00596D01">
              <w:rPr>
                <w:rStyle w:val="Strong"/>
              </w:rPr>
              <w:t>100.0%</w:t>
            </w:r>
          </w:p>
        </w:tc>
      </w:tr>
    </w:tbl>
    <w:p w:rsidR="002909B1" w:rsidRPr="00596D01" w:rsidRDefault="002909B1" w:rsidP="00281398">
      <w:pPr>
        <w:pStyle w:val="Heading3Numbered"/>
      </w:pPr>
      <w:bookmarkStart w:id="944" w:name="_Toc524424809"/>
      <w:r w:rsidRPr="00596D01">
        <w:t>The Balance Sheet</w:t>
      </w:r>
      <w:bookmarkEnd w:id="944"/>
      <w:r w:rsidRPr="00596D01">
        <w:t xml:space="preserve"> </w:t>
      </w:r>
    </w:p>
    <w:p w:rsidR="00D8721E" w:rsidRDefault="000D5ADB" w:rsidP="00281398">
      <w:pPr>
        <w:rPr>
          <w:lang w:val="en-GB"/>
        </w:rPr>
      </w:pPr>
      <w:r w:rsidRPr="000D5ADB">
        <w:rPr>
          <w:lang w:val="en-GB"/>
        </w:rPr>
        <w:t xml:space="preserve">The aggregate balance sheet for residential care providers as at </w:t>
      </w:r>
      <w:r w:rsidR="00A261F3">
        <w:rPr>
          <w:lang w:val="en-GB"/>
        </w:rPr>
        <w:t>30 J</w:t>
      </w:r>
      <w:r w:rsidRPr="000D5ADB">
        <w:rPr>
          <w:lang w:val="en-GB"/>
        </w:rPr>
        <w:t>une</w:t>
      </w:r>
      <w:r w:rsidR="00A261F3">
        <w:rPr>
          <w:lang w:val="en-GB"/>
        </w:rPr>
        <w:t> 201</w:t>
      </w:r>
      <w:r w:rsidRPr="000D5ADB">
        <w:rPr>
          <w:lang w:val="en-GB"/>
        </w:rPr>
        <w:t>7 (</w:t>
      </w:r>
      <w:r w:rsidR="00492BF8">
        <w:rPr>
          <w:lang w:val="en-GB"/>
        </w:rPr>
        <w:fldChar w:fldCharType="begin"/>
      </w:r>
      <w:r w:rsidR="00492BF8">
        <w:rPr>
          <w:lang w:val="en-GB"/>
        </w:rPr>
        <w:instrText xml:space="preserve"> REF _Ref524429812 \r \h </w:instrText>
      </w:r>
      <w:r w:rsidR="00492BF8">
        <w:rPr>
          <w:lang w:val="en-GB"/>
        </w:rPr>
      </w:r>
      <w:r w:rsidR="00492BF8">
        <w:rPr>
          <w:lang w:val="en-GB"/>
        </w:rPr>
        <w:fldChar w:fldCharType="separate"/>
      </w:r>
      <w:r w:rsidR="00492BF8">
        <w:rPr>
          <w:lang w:val="en-GB"/>
        </w:rPr>
        <w:t>Table 11.3</w:t>
      </w:r>
      <w:r w:rsidR="00492BF8">
        <w:rPr>
          <w:lang w:val="en-GB"/>
        </w:rPr>
        <w:fldChar w:fldCharType="end"/>
      </w:r>
      <w:r w:rsidRPr="000D5ADB">
        <w:rPr>
          <w:lang w:val="en-GB"/>
        </w:rPr>
        <w:t>) highlights the significant role that RADs play in the capital financing of the sector, funding 55</w:t>
      </w:r>
      <w:r w:rsidR="00A261F3">
        <w:rPr>
          <w:lang w:val="en-GB"/>
        </w:rPr>
        <w:t> per cent</w:t>
      </w:r>
      <w:r w:rsidRPr="000D5ADB">
        <w:rPr>
          <w:lang w:val="en-GB"/>
        </w:rPr>
        <w:t xml:space="preserve"> of the value of total </w:t>
      </w:r>
      <w:r w:rsidRPr="000D5ADB">
        <w:rPr>
          <w:lang w:val="en-GB"/>
        </w:rPr>
        <w:lastRenderedPageBreak/>
        <w:t>sector assets and representing approximately two thirds of total sector liabilities. However as noted in Chapter</w:t>
      </w:r>
      <w:r>
        <w:rPr>
          <w:lang w:val="en-GB"/>
        </w:rPr>
        <w:t> </w:t>
      </w:r>
      <w:r w:rsidRPr="000D5ADB">
        <w:rPr>
          <w:lang w:val="en-GB"/>
        </w:rPr>
        <w:t>10</w:t>
      </w:r>
      <w:r w:rsidR="008F6DC0">
        <w:rPr>
          <w:lang w:val="en-GB"/>
        </w:rPr>
        <w:t>,</w:t>
      </w:r>
      <w:r w:rsidRPr="000D5ADB">
        <w:rPr>
          <w:lang w:val="en-GB"/>
        </w:rPr>
        <w:t xml:space="preserve"> there are significant variations in the composition of the balance sheet across providers.</w:t>
      </w:r>
    </w:p>
    <w:p w:rsidR="000D5ADB" w:rsidRPr="00596D01" w:rsidRDefault="000D5ADB" w:rsidP="00281398">
      <w:pPr>
        <w:pStyle w:val="TableTitle"/>
        <w:rPr>
          <w:rStyle w:val="Strong"/>
        </w:rPr>
      </w:pPr>
      <w:bookmarkStart w:id="945" w:name="_Ref524429812"/>
      <w:r w:rsidRPr="00596D01">
        <w:t>Balance sheet, residential care providers,</w:t>
      </w:r>
      <w:r w:rsidR="00A261F3" w:rsidRPr="00596D01">
        <w:t> 201</w:t>
      </w:r>
      <w:r w:rsidRPr="00596D01">
        <w:t>6</w:t>
      </w:r>
      <w:r w:rsidR="00D8721E" w:rsidRPr="00596D01">
        <w:t>–1</w:t>
      </w:r>
      <w:r w:rsidRPr="00596D01">
        <w:t>7</w:t>
      </w:r>
      <w:bookmarkEnd w:id="945"/>
      <w:r w:rsidRPr="00596D01">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460"/>
        <w:gridCol w:w="3168"/>
      </w:tblGrid>
      <w:tr w:rsidR="000D5ADB" w:rsidRPr="000D5ADB"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355" w:type="pct"/>
          </w:tcPr>
          <w:p w:rsidR="000D5ADB" w:rsidRPr="000D5ADB" w:rsidRDefault="000D5ADB" w:rsidP="00281398">
            <w:pPr>
              <w:rPr>
                <w:rFonts w:ascii="Segoe UI" w:hAnsi="Segoe UI" w:cs="Segoe UI"/>
              </w:rPr>
            </w:pPr>
            <w:r w:rsidRPr="00596D01">
              <w:t>Balance sheet item</w:t>
            </w:r>
          </w:p>
        </w:tc>
        <w:tc>
          <w:tcPr>
            <w:tcW w:w="1645" w:type="pct"/>
          </w:tcPr>
          <w:p w:rsidR="000D5ADB" w:rsidRPr="00596D01" w:rsidRDefault="000D5ADB" w:rsidP="00281398">
            <w:pPr>
              <w:jc w:val="right"/>
            </w:pPr>
            <w:r w:rsidRPr="00596D01">
              <w:t>$b</w:t>
            </w:r>
          </w:p>
        </w:tc>
      </w:tr>
      <w:tr w:rsidR="000D5ADB" w:rsidRPr="00091CA9" w:rsidTr="00281398">
        <w:trPr>
          <w:trHeight w:val="113"/>
        </w:trPr>
        <w:tc>
          <w:tcPr>
            <w:tcW w:w="3355" w:type="pct"/>
            <w:shd w:val="clear" w:color="auto" w:fill="E8E8E8" w:themeFill="background2"/>
          </w:tcPr>
          <w:p w:rsidR="000D5ADB" w:rsidRPr="00596D01" w:rsidRDefault="000D5ADB" w:rsidP="00281398">
            <w:pPr>
              <w:rPr>
                <w:rStyle w:val="Strong"/>
              </w:rPr>
            </w:pPr>
            <w:r w:rsidRPr="00596D01">
              <w:rPr>
                <w:rStyle w:val="Strong"/>
              </w:rPr>
              <w:t>Assets</w:t>
            </w:r>
          </w:p>
        </w:tc>
        <w:tc>
          <w:tcPr>
            <w:tcW w:w="1645" w:type="pct"/>
            <w:shd w:val="clear" w:color="auto" w:fill="E8E8E8" w:themeFill="background2"/>
          </w:tcPr>
          <w:p w:rsidR="000D5ADB" w:rsidRPr="000D5ADB" w:rsidRDefault="000D5ADB" w:rsidP="00281398">
            <w:pPr>
              <w:jc w:val="right"/>
              <w:rPr>
                <w:rFonts w:ascii="Segoe UI" w:hAnsi="Segoe UI" w:cs="Segoe UI"/>
                <w:color w:val="000000"/>
              </w:rPr>
            </w:pP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Current assets (including cash)</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$13.1</w:t>
            </w: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Fixed assets (including property, plant &amp; equipment)</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$23.0</w:t>
            </w: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Other non-current assets</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$3.4</w:t>
            </w: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Intangibles</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$5.5</w:t>
            </w:r>
          </w:p>
        </w:tc>
      </w:tr>
      <w:tr w:rsidR="000D5ADB" w:rsidRPr="00760B95" w:rsidTr="00281398">
        <w:trPr>
          <w:trHeight w:val="113"/>
        </w:trPr>
        <w:tc>
          <w:tcPr>
            <w:tcW w:w="3355" w:type="pct"/>
          </w:tcPr>
          <w:p w:rsidR="000D5ADB" w:rsidRPr="000D5ADB" w:rsidRDefault="000D5ADB" w:rsidP="00281398">
            <w:pPr>
              <w:rPr>
                <w:rFonts w:ascii="Segoe UI" w:hAnsi="Segoe UI" w:cs="Segoe UI"/>
                <w:b/>
                <w:color w:val="000000"/>
              </w:rPr>
            </w:pPr>
            <w:r w:rsidRPr="00596D01">
              <w:rPr>
                <w:rStyle w:val="Strong"/>
              </w:rPr>
              <w:t>Total assets</w:t>
            </w:r>
          </w:p>
        </w:tc>
        <w:tc>
          <w:tcPr>
            <w:tcW w:w="1645" w:type="pct"/>
          </w:tcPr>
          <w:p w:rsidR="000D5ADB" w:rsidRPr="00596D01" w:rsidRDefault="000D5ADB" w:rsidP="00281398">
            <w:pPr>
              <w:jc w:val="right"/>
              <w:rPr>
                <w:rStyle w:val="Strong"/>
              </w:rPr>
            </w:pPr>
            <w:r w:rsidRPr="00596D01">
              <w:rPr>
                <w:rStyle w:val="Strong"/>
              </w:rPr>
              <w:t>$45.0</w:t>
            </w:r>
          </w:p>
        </w:tc>
      </w:tr>
      <w:tr w:rsidR="000D5ADB" w:rsidRPr="00091CA9" w:rsidTr="00281398">
        <w:trPr>
          <w:trHeight w:val="113"/>
        </w:trPr>
        <w:tc>
          <w:tcPr>
            <w:tcW w:w="3355" w:type="pct"/>
            <w:shd w:val="clear" w:color="auto" w:fill="E8E8E8" w:themeFill="background2"/>
          </w:tcPr>
          <w:p w:rsidR="000D5ADB" w:rsidRPr="000D5ADB" w:rsidRDefault="000D5ADB" w:rsidP="00281398">
            <w:pPr>
              <w:rPr>
                <w:rFonts w:ascii="Segoe UI" w:hAnsi="Segoe UI" w:cs="Segoe UI"/>
                <w:color w:val="000000"/>
              </w:rPr>
            </w:pPr>
            <w:r w:rsidRPr="00596D01">
              <w:rPr>
                <w:rStyle w:val="Strong"/>
              </w:rPr>
              <w:t>Liabilities</w:t>
            </w:r>
          </w:p>
        </w:tc>
        <w:tc>
          <w:tcPr>
            <w:tcW w:w="1645" w:type="pct"/>
            <w:shd w:val="clear" w:color="auto" w:fill="E8E8E8" w:themeFill="background2"/>
          </w:tcPr>
          <w:p w:rsidR="000D5ADB" w:rsidRPr="000D5ADB" w:rsidRDefault="000D5ADB" w:rsidP="00281398">
            <w:pPr>
              <w:jc w:val="right"/>
              <w:rPr>
                <w:rFonts w:ascii="Segoe UI" w:hAnsi="Segoe UI" w:cs="Segoe UI"/>
                <w:color w:val="000000"/>
              </w:rPr>
            </w:pP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Refundable accommodation deposits</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$24.7</w:t>
            </w:r>
          </w:p>
        </w:tc>
      </w:tr>
      <w:tr w:rsidR="000D5ADB" w:rsidRPr="00091CA9" w:rsidTr="00281398">
        <w:trPr>
          <w:trHeight w:val="113"/>
        </w:trPr>
        <w:tc>
          <w:tcPr>
            <w:tcW w:w="3355" w:type="pct"/>
          </w:tcPr>
          <w:p w:rsidR="000D5ADB" w:rsidRPr="000D5ADB" w:rsidRDefault="000D5ADB" w:rsidP="00281398">
            <w:pPr>
              <w:rPr>
                <w:rFonts w:ascii="Segoe UI" w:hAnsi="Segoe UI" w:cs="Segoe UI"/>
                <w:color w:val="000000"/>
              </w:rPr>
            </w:pPr>
            <w:r w:rsidRPr="000D5ADB">
              <w:rPr>
                <w:rFonts w:ascii="Segoe UI" w:hAnsi="Segoe UI" w:cs="Segoe UI"/>
                <w:color w:val="000000"/>
              </w:rPr>
              <w:t>Other liabilities</w:t>
            </w:r>
          </w:p>
        </w:tc>
        <w:tc>
          <w:tcPr>
            <w:tcW w:w="1645" w:type="pct"/>
          </w:tcPr>
          <w:p w:rsidR="000D5ADB" w:rsidRPr="000D5ADB" w:rsidRDefault="000D5ADB" w:rsidP="00281398">
            <w:pPr>
              <w:jc w:val="right"/>
              <w:rPr>
                <w:rFonts w:ascii="Segoe UI" w:hAnsi="Segoe UI" w:cs="Segoe UI"/>
                <w:color w:val="000000"/>
              </w:rPr>
            </w:pPr>
            <w:r w:rsidRPr="000D5ADB">
              <w:rPr>
                <w:rFonts w:ascii="Segoe UI" w:hAnsi="Segoe UI" w:cs="Segoe UI"/>
                <w:color w:val="000000"/>
              </w:rPr>
              <w:t>$9.0</w:t>
            </w:r>
          </w:p>
        </w:tc>
      </w:tr>
      <w:tr w:rsidR="000D5ADB" w:rsidRPr="00767ACA" w:rsidTr="00281398">
        <w:trPr>
          <w:trHeight w:val="113"/>
        </w:trPr>
        <w:tc>
          <w:tcPr>
            <w:tcW w:w="3355" w:type="pct"/>
          </w:tcPr>
          <w:p w:rsidR="000D5ADB" w:rsidRPr="000D5ADB" w:rsidRDefault="000D5ADB" w:rsidP="00281398">
            <w:pPr>
              <w:rPr>
                <w:rFonts w:ascii="Segoe UI" w:hAnsi="Segoe UI" w:cs="Segoe UI"/>
                <w:b/>
                <w:color w:val="000000"/>
              </w:rPr>
            </w:pPr>
            <w:r w:rsidRPr="00596D01">
              <w:rPr>
                <w:rStyle w:val="Strong"/>
              </w:rPr>
              <w:t>Total liabilities</w:t>
            </w:r>
          </w:p>
        </w:tc>
        <w:tc>
          <w:tcPr>
            <w:tcW w:w="1645" w:type="pct"/>
          </w:tcPr>
          <w:p w:rsidR="000D5ADB" w:rsidRPr="00596D01" w:rsidRDefault="000D5ADB" w:rsidP="00281398">
            <w:pPr>
              <w:jc w:val="right"/>
              <w:rPr>
                <w:rStyle w:val="Strong"/>
              </w:rPr>
            </w:pPr>
            <w:r w:rsidRPr="00596D01">
              <w:rPr>
                <w:rStyle w:val="Strong"/>
              </w:rPr>
              <w:t>$33.7</w:t>
            </w:r>
          </w:p>
        </w:tc>
      </w:tr>
      <w:tr w:rsidR="000D5ADB" w:rsidRPr="00091CA9" w:rsidTr="00281398">
        <w:trPr>
          <w:trHeight w:val="113"/>
        </w:trPr>
        <w:tc>
          <w:tcPr>
            <w:tcW w:w="3355" w:type="pct"/>
            <w:shd w:val="clear" w:color="auto" w:fill="E8E8E8" w:themeFill="background2"/>
          </w:tcPr>
          <w:p w:rsidR="000D5ADB" w:rsidRPr="000D5ADB" w:rsidRDefault="000D5ADB" w:rsidP="00281398">
            <w:pPr>
              <w:rPr>
                <w:rFonts w:ascii="Segoe UI" w:hAnsi="Segoe UI" w:cs="Segoe UI"/>
                <w:color w:val="000000"/>
              </w:rPr>
            </w:pPr>
            <w:r w:rsidRPr="00596D01">
              <w:rPr>
                <w:rStyle w:val="Strong"/>
              </w:rPr>
              <w:t>Net worth/equity</w:t>
            </w:r>
          </w:p>
        </w:tc>
        <w:tc>
          <w:tcPr>
            <w:tcW w:w="1645" w:type="pct"/>
            <w:shd w:val="clear" w:color="auto" w:fill="E8E8E8" w:themeFill="background2"/>
          </w:tcPr>
          <w:p w:rsidR="000D5ADB" w:rsidRPr="00596D01" w:rsidRDefault="000D5ADB" w:rsidP="00281398">
            <w:pPr>
              <w:jc w:val="right"/>
              <w:rPr>
                <w:rStyle w:val="Strong"/>
              </w:rPr>
            </w:pPr>
            <w:r w:rsidRPr="00596D01">
              <w:rPr>
                <w:rStyle w:val="Strong"/>
              </w:rPr>
              <w:t>$11.3</w:t>
            </w:r>
          </w:p>
        </w:tc>
      </w:tr>
    </w:tbl>
    <w:p w:rsidR="002909B1" w:rsidRPr="00596D01" w:rsidRDefault="002909B1" w:rsidP="00281398">
      <w:pPr>
        <w:pStyle w:val="Heading2Numbered"/>
      </w:pPr>
      <w:bookmarkStart w:id="946" w:name="_Toc524424810"/>
      <w:r w:rsidRPr="00596D01">
        <w:t>Financial results – a longer term context</w:t>
      </w:r>
      <w:bookmarkEnd w:id="946"/>
    </w:p>
    <w:p w:rsidR="00D8721E" w:rsidRDefault="001054DD" w:rsidP="00281398">
      <w:pPr>
        <w:rPr>
          <w:lang w:val="en-GB"/>
        </w:rPr>
      </w:pPr>
      <w:r w:rsidRPr="001054DD">
        <w:rPr>
          <w:lang w:val="en-GB"/>
        </w:rPr>
        <w:t xml:space="preserve">As noted in Chapter 9, the results from </w:t>
      </w:r>
      <w:proofErr w:type="spellStart"/>
      <w:r w:rsidRPr="001054DD">
        <w:rPr>
          <w:lang w:val="en-GB"/>
        </w:rPr>
        <w:t>StewartBrown’s</w:t>
      </w:r>
      <w:proofErr w:type="spellEnd"/>
      <w:r w:rsidRPr="001054DD">
        <w:rPr>
          <w:lang w:val="en-GB"/>
        </w:rPr>
        <w:t xml:space="preserve"> Aged Care Financial Performance Survey for the nine months to March</w:t>
      </w:r>
      <w:r w:rsidR="00A261F3">
        <w:rPr>
          <w:lang w:val="en-GB"/>
        </w:rPr>
        <w:t> 201</w:t>
      </w:r>
      <w:r w:rsidRPr="001054DD">
        <w:rPr>
          <w:lang w:val="en-GB"/>
        </w:rPr>
        <w:t>8 indicated that there was a noticeable decline in the financial performance of residential aged care facilities</w:t>
      </w:r>
      <w:r>
        <w:rPr>
          <w:rStyle w:val="FootnoteReference"/>
          <w:rFonts w:cs="Segoe UI"/>
          <w:color w:val="313131"/>
          <w:lang w:val="en-GB"/>
        </w:rPr>
        <w:footnoteReference w:id="51"/>
      </w:r>
      <w:r w:rsidRPr="001054DD">
        <w:rPr>
          <w:lang w:val="en-GB"/>
        </w:rPr>
        <w:t xml:space="preserve"> over the course of</w:t>
      </w:r>
      <w:r w:rsidR="00A261F3">
        <w:rPr>
          <w:lang w:val="en-GB"/>
        </w:rPr>
        <w:t> 201</w:t>
      </w:r>
      <w:r w:rsidRPr="001054DD">
        <w:rPr>
          <w:lang w:val="en-GB"/>
        </w:rPr>
        <w:t>7</w:t>
      </w:r>
      <w:r w:rsidR="00D8721E">
        <w:rPr>
          <w:lang w:val="en-GB"/>
        </w:rPr>
        <w:t>–1</w:t>
      </w:r>
      <w:r w:rsidRPr="001054DD">
        <w:rPr>
          <w:lang w:val="en-GB"/>
        </w:rPr>
        <w:t xml:space="preserve">8. This was attributed by </w:t>
      </w:r>
      <w:proofErr w:type="spellStart"/>
      <w:r w:rsidRPr="001054DD">
        <w:rPr>
          <w:lang w:val="en-GB"/>
        </w:rPr>
        <w:t>StewartBrown</w:t>
      </w:r>
      <w:proofErr w:type="spellEnd"/>
      <w:r w:rsidRPr="001054DD">
        <w:rPr>
          <w:lang w:val="en-GB"/>
        </w:rPr>
        <w:t xml:space="preserve"> to cost pressures (mainly wages) growing faster than revenue. This is not surprising in a year in which ACFI indexation was paused and the impacts of changes to</w:t>
      </w:r>
      <w:r w:rsidRPr="009E26A4">
        <w:rPr>
          <w:lang w:val="en-GB"/>
        </w:rPr>
        <w:t xml:space="preserve"> the</w:t>
      </w:r>
      <w:r>
        <w:t xml:space="preserve"> </w:t>
      </w:r>
      <w:r w:rsidRPr="001054DD">
        <w:rPr>
          <w:lang w:val="en-GB"/>
        </w:rPr>
        <w:t>ACFI tool have dampened growth in the value of claims (given ACFI revenue is 60</w:t>
      </w:r>
      <w:r w:rsidR="00A261F3">
        <w:rPr>
          <w:lang w:val="en-GB"/>
        </w:rPr>
        <w:t> per cent</w:t>
      </w:r>
      <w:r w:rsidRPr="001054DD">
        <w:rPr>
          <w:lang w:val="en-GB"/>
        </w:rPr>
        <w:t xml:space="preserve"> of provider revenue)</w:t>
      </w:r>
      <w:r w:rsidR="00D8721E">
        <w:rPr>
          <w:lang w:val="en-GB"/>
        </w:rPr>
        <w:t>.</w:t>
      </w:r>
    </w:p>
    <w:p w:rsidR="00D8721E" w:rsidRDefault="001054DD" w:rsidP="00281398">
      <w:pPr>
        <w:rPr>
          <w:lang w:val="en-GB"/>
        </w:rPr>
      </w:pPr>
      <w:r w:rsidRPr="001054DD">
        <w:rPr>
          <w:lang w:val="en-GB"/>
        </w:rPr>
        <w:t>While monitoring year to year financial results is important, it is also informative to take a longer term view of financial performance in order to gain a better appreciation of the possible implications of recent developments and to identify any underlying issues that may need to be addressed to ensure a viable and sustainable system.</w:t>
      </w:r>
    </w:p>
    <w:p w:rsidR="002909B1" w:rsidRPr="00596D01" w:rsidRDefault="002909B1" w:rsidP="00281398">
      <w:pPr>
        <w:pStyle w:val="Heading3Numbered"/>
      </w:pPr>
      <w:bookmarkStart w:id="947" w:name="_Toc524424811"/>
      <w:r w:rsidRPr="00596D01">
        <w:t>Results over the past decade</w:t>
      </w:r>
      <w:bookmarkEnd w:id="947"/>
    </w:p>
    <w:p w:rsidR="00D8721E" w:rsidRDefault="00A222AC" w:rsidP="00281398">
      <w:pPr>
        <w:rPr>
          <w:lang w:val="en-GB"/>
        </w:rPr>
      </w:pPr>
      <w:r w:rsidRPr="00A222AC">
        <w:rPr>
          <w:lang w:val="en-GB"/>
        </w:rPr>
        <w:t xml:space="preserve">As highlighted in </w:t>
      </w:r>
      <w:r w:rsidR="00492BF8">
        <w:rPr>
          <w:lang w:val="en-GB"/>
        </w:rPr>
        <w:fldChar w:fldCharType="begin"/>
      </w:r>
      <w:r w:rsidR="00492BF8">
        <w:rPr>
          <w:lang w:val="en-GB"/>
        </w:rPr>
        <w:instrText xml:space="preserve"> REF _Ref524428808 \r \h </w:instrText>
      </w:r>
      <w:r w:rsidR="00492BF8">
        <w:rPr>
          <w:lang w:val="en-GB"/>
        </w:rPr>
      </w:r>
      <w:r w:rsidR="00492BF8">
        <w:rPr>
          <w:lang w:val="en-GB"/>
        </w:rPr>
        <w:fldChar w:fldCharType="separate"/>
      </w:r>
      <w:r w:rsidR="00492BF8">
        <w:rPr>
          <w:lang w:val="en-GB"/>
        </w:rPr>
        <w:t>Chart 11.1</w:t>
      </w:r>
      <w:r w:rsidR="00492BF8">
        <w:rPr>
          <w:lang w:val="en-GB"/>
        </w:rPr>
        <w:fldChar w:fldCharType="end"/>
      </w:r>
      <w:r w:rsidRPr="00A222AC">
        <w:rPr>
          <w:lang w:val="en-GB"/>
        </w:rPr>
        <w:t>, the overall financial results of residential aged care providers have varied over time, with an improved performance in some years followed by a lower performance in others. For example while, as noted previously, the overall financial results of the sector have weakened in</w:t>
      </w:r>
      <w:r w:rsidR="00A261F3">
        <w:rPr>
          <w:lang w:val="en-GB"/>
        </w:rPr>
        <w:t> 201</w:t>
      </w:r>
      <w:r w:rsidRPr="00A222AC">
        <w:rPr>
          <w:lang w:val="en-GB"/>
        </w:rPr>
        <w:t>7</w:t>
      </w:r>
      <w:r w:rsidR="00D8721E">
        <w:rPr>
          <w:lang w:val="en-GB"/>
        </w:rPr>
        <w:t>–1</w:t>
      </w:r>
      <w:r w:rsidRPr="00A222AC">
        <w:rPr>
          <w:lang w:val="en-GB"/>
        </w:rPr>
        <w:t xml:space="preserve">8, they had improved in preceding years. </w:t>
      </w:r>
      <w:proofErr w:type="spellStart"/>
      <w:r w:rsidRPr="00A222AC">
        <w:rPr>
          <w:lang w:val="en-GB"/>
        </w:rPr>
        <w:t>StewartBrown’s</w:t>
      </w:r>
      <w:proofErr w:type="spellEnd"/>
      <w:r w:rsidRPr="00A222AC">
        <w:rPr>
          <w:lang w:val="en-GB"/>
        </w:rPr>
        <w:t xml:space="preserve"> analysis has attributed the pause in ACFI indexation as a major contributing factor for the decline in financial performance in</w:t>
      </w:r>
      <w:r w:rsidR="00A261F3">
        <w:rPr>
          <w:lang w:val="en-GB"/>
        </w:rPr>
        <w:t> 201</w:t>
      </w:r>
      <w:r w:rsidRPr="00A222AC">
        <w:rPr>
          <w:lang w:val="en-GB"/>
        </w:rPr>
        <w:t>7</w:t>
      </w:r>
      <w:r w:rsidR="00D8721E">
        <w:rPr>
          <w:lang w:val="en-GB"/>
        </w:rPr>
        <w:t>–1</w:t>
      </w:r>
      <w:r w:rsidRPr="00A222AC">
        <w:rPr>
          <w:lang w:val="en-GB"/>
        </w:rPr>
        <w:t>8</w:t>
      </w:r>
      <w:r w:rsidR="00D8721E">
        <w:rPr>
          <w:lang w:val="en-GB"/>
        </w:rPr>
        <w:t>.</w:t>
      </w:r>
    </w:p>
    <w:p w:rsidR="00A222AC" w:rsidRPr="00A222AC" w:rsidRDefault="00A222AC" w:rsidP="00281398">
      <w:pPr>
        <w:rPr>
          <w:lang w:val="en-GB"/>
        </w:rPr>
      </w:pPr>
      <w:r w:rsidRPr="00A222AC">
        <w:rPr>
          <w:lang w:val="en-GB"/>
        </w:rPr>
        <w:lastRenderedPageBreak/>
        <w:t>The decline in the sector’s financial performance in</w:t>
      </w:r>
      <w:r w:rsidR="00A261F3">
        <w:rPr>
          <w:lang w:val="en-GB"/>
        </w:rPr>
        <w:t> 201</w:t>
      </w:r>
      <w:r w:rsidRPr="00A222AC">
        <w:rPr>
          <w:lang w:val="en-GB"/>
        </w:rPr>
        <w:t>7</w:t>
      </w:r>
      <w:r w:rsidR="00D8721E">
        <w:rPr>
          <w:lang w:val="en-GB"/>
        </w:rPr>
        <w:t>–1</w:t>
      </w:r>
      <w:r w:rsidRPr="00A222AC">
        <w:rPr>
          <w:lang w:val="en-GB"/>
        </w:rPr>
        <w:t>8 follows a pause in ACFI indexation and adjustments to the ACFI tool, and mirrors the decline in the sector’s financial results following a similar pause in ACFI indexation and adjustments to the ACFI tool in</w:t>
      </w:r>
      <w:r w:rsidR="00A261F3">
        <w:rPr>
          <w:lang w:val="en-GB"/>
        </w:rPr>
        <w:t> 201</w:t>
      </w:r>
      <w:r w:rsidRPr="00A222AC">
        <w:rPr>
          <w:lang w:val="en-GB"/>
        </w:rPr>
        <w:t>2</w:t>
      </w:r>
      <w:r w:rsidR="00D8721E">
        <w:rPr>
          <w:lang w:val="en-GB"/>
        </w:rPr>
        <w:t>–1</w:t>
      </w:r>
      <w:r w:rsidRPr="00A222AC">
        <w:rPr>
          <w:lang w:val="en-GB"/>
        </w:rPr>
        <w:t>3. Both occasions were a response by the Government to growth in ACFI funding it considered could not be justified by growth in resident frailty alone, but rather involved some level of over claiming by providers.</w:t>
      </w:r>
    </w:p>
    <w:p w:rsidR="00D8721E" w:rsidRDefault="00A222AC" w:rsidP="00281398">
      <w:pPr>
        <w:rPr>
          <w:lang w:val="en-GB"/>
        </w:rPr>
      </w:pPr>
      <w:r w:rsidRPr="00A222AC">
        <w:rPr>
          <w:lang w:val="en-GB"/>
        </w:rPr>
        <w:t>The financial performance of the sector recovered after the</w:t>
      </w:r>
      <w:r w:rsidR="00A261F3">
        <w:rPr>
          <w:lang w:val="en-GB"/>
        </w:rPr>
        <w:t> 201</w:t>
      </w:r>
      <w:r w:rsidRPr="00A222AC">
        <w:rPr>
          <w:lang w:val="en-GB"/>
        </w:rPr>
        <w:t>2</w:t>
      </w:r>
      <w:r w:rsidR="00D8721E">
        <w:rPr>
          <w:lang w:val="en-GB"/>
        </w:rPr>
        <w:t>–1</w:t>
      </w:r>
      <w:r w:rsidRPr="00A222AC">
        <w:rPr>
          <w:lang w:val="en-GB"/>
        </w:rPr>
        <w:t>3 indexation pause was lifted, though this was helped by revenue friendly reforms resulting from the Living Longer Living Better package, including the 2.4</w:t>
      </w:r>
      <w:r w:rsidR="00A261F3">
        <w:rPr>
          <w:lang w:val="en-GB"/>
        </w:rPr>
        <w:t> per cent</w:t>
      </w:r>
      <w:r w:rsidRPr="00A222AC">
        <w:rPr>
          <w:lang w:val="en-GB"/>
        </w:rPr>
        <w:t xml:space="preserve"> real increase in ACFI prices as a result of the Workforce Supplement being rolled into the basic subsidy</w:t>
      </w:r>
      <w:r w:rsidR="00D8721E">
        <w:rPr>
          <w:lang w:val="en-GB"/>
        </w:rPr>
        <w:t>.</w:t>
      </w:r>
    </w:p>
    <w:p w:rsidR="00D8721E" w:rsidRPr="00596D01" w:rsidRDefault="00EE678B" w:rsidP="00281398">
      <w:pPr>
        <w:pStyle w:val="ChartTitle"/>
      </w:pPr>
      <w:bookmarkStart w:id="948" w:name="_Ref524428808"/>
      <w:r w:rsidRPr="00596D01">
        <w:t>EBITDA and NPBT per resident per annum, residential car</w:t>
      </w:r>
      <w:r w:rsidR="00AF11FB" w:rsidRPr="00596D01">
        <w:t>e providers,</w:t>
      </w:r>
      <w:r w:rsidR="00281398">
        <w:br/>
      </w:r>
      <w:r w:rsidR="00A261F3" w:rsidRPr="00596D01">
        <w:t>200</w:t>
      </w:r>
      <w:r w:rsidR="00AF11FB" w:rsidRPr="00596D01">
        <w:t>9</w:t>
      </w:r>
      <w:r w:rsidR="00D8721E" w:rsidRPr="00596D01">
        <w:t>–1</w:t>
      </w:r>
      <w:r w:rsidR="00AF11FB" w:rsidRPr="00596D01">
        <w:t>0 to</w:t>
      </w:r>
      <w:r w:rsidR="00A261F3" w:rsidRPr="00596D01">
        <w:t> 201</w:t>
      </w:r>
      <w:r w:rsidR="00AF11FB" w:rsidRPr="00596D01">
        <w:t>6</w:t>
      </w:r>
      <w:r w:rsidR="00D8721E" w:rsidRPr="00596D01">
        <w:t>–1</w:t>
      </w:r>
      <w:r w:rsidR="00AF11FB" w:rsidRPr="00596D01">
        <w:t>7</w:t>
      </w:r>
      <w:bookmarkEnd w:id="948"/>
    </w:p>
    <w:p w:rsidR="00D8721E" w:rsidRPr="00596D01" w:rsidRDefault="002D6FD9" w:rsidP="00281398">
      <w:r w:rsidRPr="00596D01">
        <w:rPr>
          <w:noProof/>
        </w:rPr>
        <w:drawing>
          <wp:inline distT="0" distB="0" distL="0" distR="0" wp14:anchorId="1FD881EE" wp14:editId="4FFD461A">
            <wp:extent cx="6120000" cy="2941657"/>
            <wp:effectExtent l="0" t="0" r="0" b="0"/>
            <wp:docPr id="285" name="Picture 285" descr="Chart 11.1 EBITDA and NPBT per resident per annum, residential care providers, 2009–10 to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zc0004\AppData\Local\Microsoft\Windows\Temporary Internet Files\Content.Outlook\6DIYYC82\Chart_X.X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000" cy="2941657"/>
                    </a:xfrm>
                    <a:prstGeom prst="rect">
                      <a:avLst/>
                    </a:prstGeom>
                    <a:noFill/>
                    <a:ln>
                      <a:noFill/>
                    </a:ln>
                  </pic:spPr>
                </pic:pic>
              </a:graphicData>
            </a:graphic>
          </wp:inline>
        </w:drawing>
      </w:r>
    </w:p>
    <w:p w:rsidR="002909B1" w:rsidRPr="00596D01" w:rsidRDefault="002909B1" w:rsidP="00281398">
      <w:pPr>
        <w:pStyle w:val="Heading3Numbered"/>
      </w:pPr>
      <w:bookmarkStart w:id="949" w:name="_Toc524424812"/>
      <w:r w:rsidRPr="00596D01">
        <w:t>ACFI claims growth and indexation</w:t>
      </w:r>
      <w:bookmarkEnd w:id="949"/>
    </w:p>
    <w:p w:rsidR="00AF11FB" w:rsidRPr="00AF11FB" w:rsidRDefault="00AF11FB" w:rsidP="00281398">
      <w:pPr>
        <w:rPr>
          <w:lang w:val="en-GB"/>
        </w:rPr>
      </w:pPr>
      <w:r w:rsidRPr="00AF11FB">
        <w:rPr>
          <w:lang w:val="en-GB"/>
        </w:rPr>
        <w:t xml:space="preserve">ACFA has undertaken an historical analysis of growth in ACFI subsidies and compared this to changes in cost indices. This is shown in </w:t>
      </w:r>
      <w:r w:rsidR="00492BF8">
        <w:rPr>
          <w:lang w:val="en-GB"/>
        </w:rPr>
        <w:fldChar w:fldCharType="begin"/>
      </w:r>
      <w:r w:rsidR="00492BF8">
        <w:rPr>
          <w:lang w:val="en-GB"/>
        </w:rPr>
        <w:instrText xml:space="preserve"> REF _Ref524429823 \r \h </w:instrText>
      </w:r>
      <w:r w:rsidR="00492BF8">
        <w:rPr>
          <w:lang w:val="en-GB"/>
        </w:rPr>
      </w:r>
      <w:r w:rsidR="00492BF8">
        <w:rPr>
          <w:lang w:val="en-GB"/>
        </w:rPr>
        <w:fldChar w:fldCharType="separate"/>
      </w:r>
      <w:r w:rsidR="00492BF8">
        <w:rPr>
          <w:lang w:val="en-GB"/>
        </w:rPr>
        <w:t>Table 11.4</w:t>
      </w:r>
      <w:r w:rsidR="00492BF8">
        <w:rPr>
          <w:lang w:val="en-GB"/>
        </w:rPr>
        <w:fldChar w:fldCharType="end"/>
      </w:r>
      <w:r w:rsidR="00492BF8">
        <w:rPr>
          <w:lang w:val="en-GB"/>
        </w:rPr>
        <w:t xml:space="preserve"> </w:t>
      </w:r>
      <w:r w:rsidR="002B75D8">
        <w:rPr>
          <w:lang w:val="en-GB"/>
        </w:rPr>
        <w:t xml:space="preserve">and </w:t>
      </w:r>
      <w:r w:rsidR="00492BF8">
        <w:rPr>
          <w:lang w:val="en-GB"/>
        </w:rPr>
        <w:fldChar w:fldCharType="begin"/>
      </w:r>
      <w:r w:rsidR="00492BF8">
        <w:rPr>
          <w:lang w:val="en-GB"/>
        </w:rPr>
        <w:instrText xml:space="preserve"> REF _Ref524428816 \r \h </w:instrText>
      </w:r>
      <w:r w:rsidR="00492BF8">
        <w:rPr>
          <w:lang w:val="en-GB"/>
        </w:rPr>
      </w:r>
      <w:r w:rsidR="00492BF8">
        <w:rPr>
          <w:lang w:val="en-GB"/>
        </w:rPr>
        <w:fldChar w:fldCharType="separate"/>
      </w:r>
      <w:r w:rsidR="00492BF8">
        <w:rPr>
          <w:lang w:val="en-GB"/>
        </w:rPr>
        <w:t>Chart 11.2</w:t>
      </w:r>
      <w:r w:rsidR="00492BF8">
        <w:rPr>
          <w:lang w:val="en-GB"/>
        </w:rPr>
        <w:fldChar w:fldCharType="end"/>
      </w:r>
      <w:r w:rsidRPr="00AF11FB">
        <w:rPr>
          <w:lang w:val="en-GB"/>
        </w:rPr>
        <w:t>. A key finding of the analysis is that the indexation applied to ACFI subsidies (Column 4) has been noticeably lower than growth in a range of cost price indices. Wages (which account for 68</w:t>
      </w:r>
      <w:r w:rsidR="00A261F3">
        <w:rPr>
          <w:lang w:val="en-GB"/>
        </w:rPr>
        <w:t> per cent</w:t>
      </w:r>
      <w:r w:rsidRPr="00AF11FB">
        <w:rPr>
          <w:lang w:val="en-GB"/>
        </w:rPr>
        <w:t xml:space="preserve"> of total costs) have grown approximately twice as fast as ACFI prices.</w:t>
      </w:r>
    </w:p>
    <w:p w:rsidR="00D8721E" w:rsidRDefault="00AF11FB" w:rsidP="00281398">
      <w:pPr>
        <w:rPr>
          <w:lang w:val="en-GB"/>
        </w:rPr>
      </w:pPr>
      <w:r w:rsidRPr="00AF11FB">
        <w:rPr>
          <w:lang w:val="en-GB"/>
        </w:rPr>
        <w:t>However, overall, the actual average amount of ACFI subsidy paid to providers per resident per day (Column 5) has grown at nearly three times as much as wage and price increases. This level of growth reflects claiming behaviour under the ACFI by providers</w:t>
      </w:r>
      <w:r w:rsidR="00D8721E">
        <w:rPr>
          <w:lang w:val="en-GB"/>
        </w:rPr>
        <w:t>.</w:t>
      </w:r>
    </w:p>
    <w:bookmarkStart w:id="950" w:name="_Ref524429823"/>
    <w:p w:rsidR="000C0E54" w:rsidRPr="00596D01" w:rsidRDefault="00281398" w:rsidP="00281398">
      <w:pPr>
        <w:pStyle w:val="TableTitle"/>
      </w:pPr>
      <w:r>
        <w:rPr>
          <w:rFonts w:ascii="Segoe UI" w:hAnsi="Segoe UI" w:cs="Segoe UI"/>
          <w:noProof/>
          <w:color w:val="000000"/>
        </w:rPr>
        <w:lastRenderedPageBreak/>
        <mc:AlternateContent>
          <mc:Choice Requires="wps">
            <w:drawing>
              <wp:anchor distT="0" distB="0" distL="114300" distR="114300" simplePos="0" relativeHeight="251664384" behindDoc="0" locked="0" layoutInCell="1" allowOverlap="1" wp14:anchorId="7A4FE75A" wp14:editId="666B63D9">
                <wp:simplePos x="0" y="0"/>
                <wp:positionH relativeFrom="column">
                  <wp:posOffset>4135245</wp:posOffset>
                </wp:positionH>
                <wp:positionV relativeFrom="paragraph">
                  <wp:posOffset>4199640</wp:posOffset>
                </wp:positionV>
                <wp:extent cx="488950" cy="488950"/>
                <wp:effectExtent l="0" t="0" r="25400" b="25400"/>
                <wp:wrapNone/>
                <wp:docPr id="691" name="Oval 691"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488950" cy="488950"/>
                        </a:xfrm>
                        <a:prstGeom prst="ellipse">
                          <a:avLst/>
                        </a:prstGeom>
                        <a:noFill/>
                        <a:ln w="1905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59B7E4" id="Oval 691" o:spid="_x0000_s1026" alt="&quot;&quot;" style="position:absolute;margin-left:325.6pt;margin-top:330.7pt;width:38.5pt;height:3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" filled="f" strokecolor="#007eb1 [3206]" strokeweight="1.5pt"/>
            </w:pict>
          </mc:Fallback>
        </mc:AlternateContent>
      </w:r>
      <w:r>
        <w:rPr>
          <w:rFonts w:ascii="Segoe UI" w:hAnsi="Segoe UI" w:cs="Segoe UI"/>
          <w:noProof/>
          <w:color w:val="000000"/>
        </w:rPr>
        <mc:AlternateContent>
          <mc:Choice Requires="wps">
            <w:drawing>
              <wp:anchor distT="0" distB="0" distL="114300" distR="114300" simplePos="0" relativeHeight="251665408" behindDoc="0" locked="0" layoutInCell="1" allowOverlap="1">
                <wp:simplePos x="0" y="0"/>
                <wp:positionH relativeFrom="column">
                  <wp:posOffset>4560248</wp:posOffset>
                </wp:positionH>
                <wp:positionV relativeFrom="paragraph">
                  <wp:posOffset>3684485</wp:posOffset>
                </wp:positionV>
                <wp:extent cx="1068070" cy="605155"/>
                <wp:effectExtent l="38100" t="0" r="17780" b="61595"/>
                <wp:wrapNone/>
                <wp:docPr id="692" name="Straight Arrow Connector 692"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1068070" cy="605155"/>
                        </a:xfrm>
                        <a:prstGeom prst="straightConnector1">
                          <a:avLst/>
                        </a:prstGeom>
                        <a:ln w="19050">
                          <a:solidFill>
                            <a:schemeClr val="accent3"/>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27E788" id="_x0000_t32" coordsize="21600,21600" o:spt="32" o:oned="t" path="m,l21600,21600e" filled="f">
                <v:path arrowok="t" fillok="f" o:connecttype="none"/>
                <o:lock v:ext="edit" shapetype="t"/>
              </v:shapetype>
              <v:shape id="Straight Arrow Connector 692" o:spid="_x0000_s1026" type="#_x0000_t32" alt="&quot;&quot;" style="position:absolute;margin-left:359.05pt;margin-top:290.1pt;width:84.1pt;height:47.6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" strokecolor="#007eb1 [3206]" strokeweight="1.5pt">
                <v:stroke endarrow="open"/>
              </v:shape>
            </w:pict>
          </mc:Fallback>
        </mc:AlternateContent>
      </w:r>
      <w:r>
        <w:rPr>
          <w:rFonts w:ascii="Segoe UI" w:hAnsi="Segoe UI" w:cs="Segoe UI"/>
          <w:noProof/>
          <w:color w:val="000000"/>
        </w:rPr>
        <mc:AlternateContent>
          <mc:Choice Requires="wps">
            <w:drawing>
              <wp:anchor distT="0" distB="0" distL="114300" distR="114300" simplePos="0" relativeHeight="251661312" behindDoc="0" locked="0" layoutInCell="1" allowOverlap="1" wp14:anchorId="10A5B65C" wp14:editId="4051A96F">
                <wp:simplePos x="0" y="0"/>
                <wp:positionH relativeFrom="column">
                  <wp:posOffset>5629195</wp:posOffset>
                </wp:positionH>
                <wp:positionV relativeFrom="paragraph">
                  <wp:posOffset>3220845</wp:posOffset>
                </wp:positionV>
                <wp:extent cx="669290" cy="772160"/>
                <wp:effectExtent l="0" t="0" r="16510" b="27940"/>
                <wp:wrapNone/>
                <wp:docPr id="31" name="Oval 31"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69290" cy="772160"/>
                        </a:xfrm>
                        <a:prstGeom prst="ellipse">
                          <a:avLst/>
                        </a:prstGeom>
                        <a:noFill/>
                        <a:ln w="1905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23816" id="Oval 31" o:spid="_x0000_s1026" alt="&quot;&quot;" style="position:absolute;margin-left:443.25pt;margin-top:253.6pt;width:52.7pt;height:6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" filled="f" strokecolor="#007eb1 [3206]" strokeweight="1.5pt"/>
            </w:pict>
          </mc:Fallback>
        </mc:AlternateContent>
      </w:r>
      <w:r>
        <w:rPr>
          <w:rFonts w:ascii="Segoe UI" w:hAnsi="Segoe UI" w:cs="Segoe UI"/>
          <w:noProof/>
          <w:color w:val="000000"/>
        </w:rPr>
        <mc:AlternateContent>
          <mc:Choice Requires="wps">
            <w:drawing>
              <wp:anchor distT="0" distB="0" distL="114300" distR="114300" simplePos="0" relativeHeight="251662336" behindDoc="0" locked="0" layoutInCell="1" allowOverlap="1">
                <wp:simplePos x="0" y="0"/>
                <wp:positionH relativeFrom="column">
                  <wp:posOffset>4135245</wp:posOffset>
                </wp:positionH>
                <wp:positionV relativeFrom="paragraph">
                  <wp:posOffset>2460992</wp:posOffset>
                </wp:positionV>
                <wp:extent cx="488950" cy="488950"/>
                <wp:effectExtent l="0" t="0" r="25400" b="25400"/>
                <wp:wrapNone/>
                <wp:docPr id="682" name="Oval 682"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488950" cy="488950"/>
                        </a:xfrm>
                        <a:prstGeom prst="ellipse">
                          <a:avLst/>
                        </a:prstGeom>
                        <a:noFill/>
                        <a:ln w="1905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2E57B4" id="Oval 682" o:spid="_x0000_s1026" alt="&quot;&quot;" style="position:absolute;margin-left:325.6pt;margin-top:193.8pt;width:38.5pt;height:3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" filled="f" strokecolor="#007eb1 [3206]" strokeweight="1.5pt"/>
            </w:pict>
          </mc:Fallback>
        </mc:AlternateContent>
      </w:r>
      <w:r>
        <w:rPr>
          <w:rFonts w:ascii="Segoe UI" w:hAnsi="Segoe UI" w:cs="Segoe UI"/>
          <w:noProof/>
          <w:color w:val="000000"/>
        </w:rPr>
        <mc:AlternateContent>
          <mc:Choice Requires="wps">
            <w:drawing>
              <wp:anchor distT="0" distB="0" distL="114300" distR="114300" simplePos="0" relativeHeight="251667456" behindDoc="0" locked="0" layoutInCell="1" allowOverlap="1" wp14:anchorId="19DDC697" wp14:editId="6C1852AA">
                <wp:simplePos x="0" y="0"/>
                <wp:positionH relativeFrom="column">
                  <wp:posOffset>4560248</wp:posOffset>
                </wp:positionH>
                <wp:positionV relativeFrom="paragraph">
                  <wp:posOffset>1971595</wp:posOffset>
                </wp:positionV>
                <wp:extent cx="939800" cy="514985"/>
                <wp:effectExtent l="38100" t="0" r="31750" b="56515"/>
                <wp:wrapNone/>
                <wp:docPr id="698" name="Straight Arrow Connector 698"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939800" cy="514985"/>
                        </a:xfrm>
                        <a:prstGeom prst="straightConnector1">
                          <a:avLst/>
                        </a:prstGeom>
                        <a:ln w="19050">
                          <a:solidFill>
                            <a:schemeClr val="accent3"/>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67579E" id="Straight Arrow Connector 698" o:spid="_x0000_s1026" type="#_x0000_t32" alt="&quot;&quot;" style="position:absolute;margin-left:359.05pt;margin-top:155.25pt;width:74pt;height:40.5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" strokecolor="#007eb1 [3206]" strokeweight="1.5pt">
                <v:stroke endarrow="open"/>
              </v:shape>
            </w:pict>
          </mc:Fallback>
        </mc:AlternateContent>
      </w:r>
      <w:r>
        <w:rPr>
          <w:rFonts w:ascii="Segoe UI" w:hAnsi="Segoe UI" w:cs="Segoe UI"/>
          <w:noProof/>
          <w:color w:val="000000"/>
        </w:rPr>
        <mc:AlternateContent>
          <mc:Choice Requires="wps">
            <w:drawing>
              <wp:anchor distT="0" distB="0" distL="114300" distR="114300" simplePos="0" relativeHeight="251659264" behindDoc="0" locked="0" layoutInCell="1" allowOverlap="1">
                <wp:simplePos x="0" y="0"/>
                <wp:positionH relativeFrom="column">
                  <wp:posOffset>5474648</wp:posOffset>
                </wp:positionH>
                <wp:positionV relativeFrom="paragraph">
                  <wp:posOffset>1044316</wp:posOffset>
                </wp:positionV>
                <wp:extent cx="927100" cy="1519555"/>
                <wp:effectExtent l="0" t="0" r="25400" b="23495"/>
                <wp:wrapNone/>
                <wp:docPr id="30" name="Oval 30" descr="&quo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27100" cy="1519555"/>
                        </a:xfrm>
                        <a:prstGeom prst="ellipse">
                          <a:avLst/>
                        </a:prstGeom>
                        <a:noFill/>
                        <a:ln w="1905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051EA2" id="Oval 30" o:spid="_x0000_s1026" alt="&quot;&quot;" style="position:absolute;margin-left:431.05pt;margin-top:82.25pt;width:73pt;height:119.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" filled="f" strokecolor="#007eb1 [3206]" strokeweight="1.5pt"/>
            </w:pict>
          </mc:Fallback>
        </mc:AlternateContent>
      </w:r>
      <w:r w:rsidR="000C0E54" w:rsidRPr="00596D01">
        <w:t>Annual change in selected indexes, wages, and payment rates,</w:t>
      </w:r>
      <w:r w:rsidR="00A261F3" w:rsidRPr="00596D01">
        <w:t> 200</w:t>
      </w:r>
      <w:r w:rsidR="000C0E54" w:rsidRPr="00596D01">
        <w:t>8</w:t>
      </w:r>
      <w:r w:rsidR="00D8721E" w:rsidRPr="00596D01">
        <w:t>–0</w:t>
      </w:r>
      <w:r w:rsidR="000C0E54" w:rsidRPr="00596D01">
        <w:t>9 to</w:t>
      </w:r>
      <w:r w:rsidR="00A261F3" w:rsidRPr="00596D01">
        <w:t> 201</w:t>
      </w:r>
      <w:r w:rsidR="000C0E54" w:rsidRPr="00596D01">
        <w:t>7</w:t>
      </w:r>
      <w:r w:rsidR="00D8721E" w:rsidRPr="00596D01">
        <w:t>–1</w:t>
      </w:r>
      <w:r w:rsidR="000C0E54" w:rsidRPr="00596D01">
        <w:t>8</w:t>
      </w:r>
      <w:bookmarkEnd w:id="950"/>
      <w:r w:rsidR="000C0E54" w:rsidRPr="00596D01">
        <w:t xml:space="preserve"> </w:t>
      </w:r>
    </w:p>
    <w:tbl>
      <w:tblPr>
        <w:tblStyle w:val="DefaultTable1"/>
        <w:tblW w:w="5000" w:type="pct"/>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292"/>
        <w:gridCol w:w="1223"/>
        <w:gridCol w:w="1223"/>
        <w:gridCol w:w="1223"/>
        <w:gridCol w:w="1223"/>
        <w:gridCol w:w="1223"/>
        <w:gridCol w:w="1221"/>
      </w:tblGrid>
      <w:tr w:rsidR="00281398" w:rsidRPr="005153E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191" w:type="pct"/>
          </w:tcPr>
          <w:p w:rsidR="000C0E54" w:rsidRPr="005153E0" w:rsidRDefault="000C0E54" w:rsidP="007039E3">
            <w:pPr>
              <w:keepNext/>
              <w:rPr>
                <w:rFonts w:ascii="Segoe UI" w:hAnsi="Segoe UI" w:cs="Segoe UI"/>
              </w:rPr>
            </w:pPr>
          </w:p>
        </w:tc>
        <w:tc>
          <w:tcPr>
            <w:tcW w:w="635" w:type="pct"/>
          </w:tcPr>
          <w:p w:rsidR="000C0E54" w:rsidRPr="005153E0" w:rsidRDefault="000C0E54" w:rsidP="00281398">
            <w:pPr>
              <w:keepNext/>
              <w:jc w:val="right"/>
              <w:rPr>
                <w:rFonts w:ascii="Segoe UI" w:hAnsi="Segoe UI" w:cs="Segoe UI"/>
              </w:rPr>
            </w:pPr>
            <w:r w:rsidRPr="00596D01">
              <w:t>CPI (change between March quarters)</w:t>
            </w:r>
          </w:p>
        </w:tc>
        <w:tc>
          <w:tcPr>
            <w:tcW w:w="635" w:type="pct"/>
          </w:tcPr>
          <w:p w:rsidR="000C0E54" w:rsidRPr="005153E0" w:rsidRDefault="000C0E54" w:rsidP="00281398">
            <w:pPr>
              <w:keepNext/>
              <w:jc w:val="right"/>
              <w:rPr>
                <w:rFonts w:ascii="Segoe UI" w:hAnsi="Segoe UI" w:cs="Segoe UI"/>
              </w:rPr>
            </w:pPr>
            <w:r w:rsidRPr="00596D01">
              <w:t>WPI (Health Care and Social Assistance)</w:t>
            </w:r>
          </w:p>
        </w:tc>
        <w:tc>
          <w:tcPr>
            <w:tcW w:w="635" w:type="pct"/>
          </w:tcPr>
          <w:p w:rsidR="000C0E54" w:rsidRPr="005153E0" w:rsidRDefault="000C0E54" w:rsidP="00281398">
            <w:pPr>
              <w:keepNext/>
              <w:jc w:val="right"/>
              <w:rPr>
                <w:rFonts w:ascii="Segoe UI" w:hAnsi="Segoe UI" w:cs="Segoe UI"/>
              </w:rPr>
            </w:pPr>
            <w:r w:rsidRPr="00596D01">
              <w:t>Age Care Award</w:t>
            </w:r>
            <w:r w:rsidR="00A261F3" w:rsidRPr="00596D01">
              <w:t> 201</w:t>
            </w:r>
            <w:r w:rsidRPr="00596D01">
              <w:t>01</w:t>
            </w:r>
          </w:p>
        </w:tc>
        <w:tc>
          <w:tcPr>
            <w:tcW w:w="635" w:type="pct"/>
          </w:tcPr>
          <w:p w:rsidR="000C0E54" w:rsidRPr="005153E0" w:rsidRDefault="000C0E54" w:rsidP="00281398">
            <w:pPr>
              <w:keepNext/>
              <w:jc w:val="right"/>
              <w:rPr>
                <w:rFonts w:ascii="Segoe UI" w:hAnsi="Segoe UI" w:cs="Segoe UI"/>
              </w:rPr>
            </w:pPr>
            <w:r w:rsidRPr="00596D01">
              <w:t>ACFI</w:t>
            </w:r>
            <w:r w:rsidR="00D8721E" w:rsidRPr="00596D01">
              <w:t xml:space="preserve"> </w:t>
            </w:r>
            <w:r w:rsidRPr="00596D01">
              <w:t>subsidy</w:t>
            </w:r>
            <w:r w:rsidR="00281398">
              <w:t xml:space="preserve"> </w:t>
            </w:r>
            <w:r w:rsidRPr="00596D01">
              <w:t>rates</w:t>
            </w:r>
          </w:p>
        </w:tc>
        <w:tc>
          <w:tcPr>
            <w:tcW w:w="635" w:type="pct"/>
          </w:tcPr>
          <w:p w:rsidR="000C0E54" w:rsidRPr="005153E0" w:rsidRDefault="000C0E54" w:rsidP="00281398">
            <w:pPr>
              <w:keepNext/>
              <w:jc w:val="right"/>
              <w:rPr>
                <w:rFonts w:ascii="Segoe UI" w:hAnsi="Segoe UI" w:cs="Segoe UI"/>
              </w:rPr>
            </w:pPr>
            <w:r w:rsidRPr="00596D01">
              <w:t>Average ACFI payment per resident</w:t>
            </w:r>
          </w:p>
        </w:tc>
        <w:tc>
          <w:tcPr>
            <w:tcW w:w="635" w:type="pct"/>
          </w:tcPr>
          <w:p w:rsidR="000C0E54" w:rsidRPr="00596D01" w:rsidRDefault="000C0E54" w:rsidP="00281398">
            <w:pPr>
              <w:keepNext/>
              <w:jc w:val="right"/>
            </w:pPr>
            <w:r w:rsidRPr="00596D01">
              <w:t>ACFI growth per resident above indexation</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2008</w:t>
            </w:r>
            <w:r w:rsidR="00D8721E">
              <w:rPr>
                <w:rFonts w:ascii="Segoe UI" w:hAnsi="Segoe UI" w:cs="Segoe UI"/>
                <w:color w:val="000000"/>
              </w:rPr>
              <w:t>–0</w:t>
            </w:r>
            <w:r w:rsidRPr="005153E0">
              <w:rPr>
                <w:rFonts w:ascii="Segoe UI" w:hAnsi="Segoe UI" w:cs="Segoe UI"/>
                <w:color w:val="000000"/>
              </w:rPr>
              <w:t>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2.4%</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4.1%</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7.4%</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5.6%</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2009</w:t>
            </w:r>
            <w:r w:rsidR="00D8721E">
              <w:rPr>
                <w:rFonts w:ascii="Segoe UI" w:hAnsi="Segoe UI" w:cs="Segoe UI"/>
                <w:color w:val="000000"/>
              </w:rPr>
              <w:t>–1</w:t>
            </w:r>
            <w:r w:rsidRPr="005153E0">
              <w:rPr>
                <w:rFonts w:ascii="Segoe UI" w:hAnsi="Segoe UI" w:cs="Segoe UI"/>
                <w:color w:val="000000"/>
              </w:rPr>
              <w:t>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3.8%</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7.7%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5.9%</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2010</w:t>
            </w:r>
            <w:r w:rsidR="00D8721E">
              <w:rPr>
                <w:rFonts w:ascii="Segoe UI" w:hAnsi="Segoe UI" w:cs="Segoe UI"/>
                <w:color w:val="000000"/>
              </w:rPr>
              <w:t>–1</w:t>
            </w:r>
            <w:r w:rsidRPr="005153E0">
              <w:rPr>
                <w:rFonts w:ascii="Segoe UI" w:hAnsi="Segoe UI" w:cs="Segoe UI"/>
                <w:color w:val="000000"/>
              </w:rPr>
              <w:t>1</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3.4%</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1.8%</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10.0%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8.1%</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2011</w:t>
            </w:r>
            <w:r w:rsidR="00D8721E">
              <w:rPr>
                <w:rFonts w:ascii="Segoe UI" w:hAnsi="Segoe UI" w:cs="Segoe UI"/>
                <w:color w:val="000000"/>
              </w:rPr>
              <w:t>–1</w:t>
            </w:r>
            <w:r w:rsidRPr="005153E0">
              <w:rPr>
                <w:rFonts w:ascii="Segoe UI" w:hAnsi="Segoe UI" w:cs="Segoe UI"/>
                <w:color w:val="000000"/>
              </w:rPr>
              <w:t>2</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9.3%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7.3%</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2012</w:t>
            </w:r>
            <w:r w:rsidR="00D8721E">
              <w:rPr>
                <w:rFonts w:ascii="Segoe UI" w:hAnsi="Segoe UI" w:cs="Segoe UI"/>
                <w:color w:val="000000"/>
              </w:rPr>
              <w:t>–1</w:t>
            </w:r>
            <w:r w:rsidRPr="005153E0">
              <w:rPr>
                <w:rFonts w:ascii="Segoe UI" w:hAnsi="Segoe UI" w:cs="Segoe UI"/>
                <w:color w:val="000000"/>
              </w:rPr>
              <w:t>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2.5%</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0.0%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3.7%</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2013</w:t>
            </w:r>
            <w:r w:rsidR="00D8721E">
              <w:rPr>
                <w:rFonts w:ascii="Segoe UI" w:hAnsi="Segoe UI" w:cs="Segoe UI"/>
                <w:color w:val="000000"/>
              </w:rPr>
              <w:t>–1</w:t>
            </w:r>
            <w:r w:rsidRPr="005153E0">
              <w:rPr>
                <w:rFonts w:ascii="Segoe UI" w:hAnsi="Segoe UI" w:cs="Segoe UI"/>
                <w:color w:val="000000"/>
              </w:rPr>
              <w:t>4</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4.6%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2.8%</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2014</w:t>
            </w:r>
            <w:r w:rsidR="00D8721E">
              <w:rPr>
                <w:rFonts w:ascii="Segoe UI" w:hAnsi="Segoe UI" w:cs="Segoe UI"/>
                <w:color w:val="000000"/>
              </w:rPr>
              <w:t>–1</w:t>
            </w:r>
            <w:r w:rsidRPr="005153E0">
              <w:rPr>
                <w:rFonts w:ascii="Segoe UI" w:hAnsi="Segoe UI" w:cs="Segoe UI"/>
                <w:color w:val="000000"/>
              </w:rPr>
              <w:t>5</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2.5%</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4.3%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9.8%</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5.2%</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2015</w:t>
            </w:r>
            <w:r w:rsidR="00D8721E">
              <w:rPr>
                <w:rFonts w:ascii="Segoe UI" w:hAnsi="Segoe UI" w:cs="Segoe UI"/>
                <w:color w:val="000000"/>
              </w:rPr>
              <w:t>–1</w:t>
            </w:r>
            <w:r w:rsidRPr="005153E0">
              <w:rPr>
                <w:rFonts w:ascii="Segoe UI" w:hAnsi="Segoe UI" w:cs="Segoe UI"/>
                <w:color w:val="000000"/>
              </w:rPr>
              <w:t>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2.6%</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2.4%</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6.9%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5.5%</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2016</w:t>
            </w:r>
            <w:r w:rsidR="00D8721E">
              <w:rPr>
                <w:rFonts w:ascii="Segoe UI" w:hAnsi="Segoe UI" w:cs="Segoe UI"/>
                <w:color w:val="000000"/>
              </w:rPr>
              <w:t>–1</w:t>
            </w:r>
            <w:r w:rsidRPr="005153E0">
              <w:rPr>
                <w:rFonts w:ascii="Segoe UI" w:hAnsi="Segoe UI" w:cs="Segoe UI"/>
                <w:color w:val="000000"/>
              </w:rPr>
              <w:t>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2.1%</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3.3%</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1.5%</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2.1%</w:t>
            </w:r>
          </w:p>
        </w:tc>
      </w:tr>
      <w:tr w:rsidR="00281398" w:rsidTr="00281398">
        <w:trPr>
          <w:trHeight w:val="113"/>
        </w:trPr>
        <w:tc>
          <w:tcPr>
            <w:tcW w:w="1191" w:type="pct"/>
          </w:tcPr>
          <w:p w:rsidR="000C0E54" w:rsidRPr="005153E0" w:rsidRDefault="000C0E54" w:rsidP="007039E3">
            <w:pPr>
              <w:keepNext/>
              <w:rPr>
                <w:rFonts w:ascii="Segoe UI" w:hAnsi="Segoe UI" w:cs="Segoe UI"/>
                <w:color w:val="000000"/>
              </w:rPr>
            </w:pPr>
            <w:r w:rsidRPr="005153E0">
              <w:rPr>
                <w:rFonts w:ascii="Segoe UI" w:hAnsi="Segoe UI" w:cs="Segoe UI"/>
                <w:color w:val="000000"/>
              </w:rPr>
              <w:t>2017</w:t>
            </w:r>
            <w:r w:rsidR="00D8721E">
              <w:rPr>
                <w:rFonts w:ascii="Segoe UI" w:hAnsi="Segoe UI" w:cs="Segoe UI"/>
                <w:color w:val="000000"/>
              </w:rPr>
              <w:t>–1</w:t>
            </w:r>
            <w:r w:rsidRPr="005153E0">
              <w:rPr>
                <w:rFonts w:ascii="Segoe UI" w:hAnsi="Segoe UI" w:cs="Segoe UI"/>
                <w:color w:val="000000"/>
              </w:rPr>
              <w:t>8</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1.9%</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3.5%</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0.0%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N/A</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N/A</w:t>
            </w:r>
          </w:p>
        </w:tc>
      </w:tr>
      <w:tr w:rsidR="00281398" w:rsidTr="00281398">
        <w:trPr>
          <w:trHeight w:val="113"/>
        </w:trPr>
        <w:tc>
          <w:tcPr>
            <w:tcW w:w="1191" w:type="pct"/>
          </w:tcPr>
          <w:p w:rsidR="000C0E54" w:rsidRPr="00596D01" w:rsidRDefault="000C0E54" w:rsidP="007039E3">
            <w:pPr>
              <w:keepNext/>
              <w:rPr>
                <w:rStyle w:val="Emphasis"/>
              </w:rPr>
            </w:pPr>
            <w:r w:rsidRPr="00596D01">
              <w:rPr>
                <w:rStyle w:val="Emphasis"/>
              </w:rPr>
              <w:t>Average annual change</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2.2%</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3.1%</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3.0%</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1.6%</w:t>
            </w:r>
          </w:p>
        </w:tc>
        <w:tc>
          <w:tcPr>
            <w:tcW w:w="635" w:type="pct"/>
          </w:tcPr>
          <w:p w:rsidR="000C0E54" w:rsidRPr="005153E0" w:rsidRDefault="000C0E54" w:rsidP="00281398">
            <w:pPr>
              <w:jc w:val="right"/>
              <w:rPr>
                <w:rFonts w:ascii="Segoe UI" w:hAnsi="Segoe UI" w:cs="Segoe UI"/>
              </w:rPr>
            </w:pPr>
            <w:r w:rsidRPr="005153E0">
              <w:rPr>
                <w:rFonts w:ascii="Segoe UI" w:hAnsi="Segoe UI" w:cs="Segoe UI"/>
              </w:rPr>
              <w:t>7.0%</w:t>
            </w:r>
          </w:p>
        </w:tc>
        <w:tc>
          <w:tcPr>
            <w:tcW w:w="635" w:type="pct"/>
          </w:tcPr>
          <w:p w:rsidR="000C0E54" w:rsidRPr="005153E0" w:rsidRDefault="000C0E54" w:rsidP="00281398">
            <w:pPr>
              <w:jc w:val="right"/>
              <w:rPr>
                <w:rFonts w:ascii="Segoe UI" w:hAnsi="Segoe UI" w:cs="Segoe UI"/>
              </w:rPr>
            </w:pPr>
            <w:r w:rsidRPr="005153E0">
              <w:rPr>
                <w:rFonts w:ascii="Segoe UI" w:hAnsi="Segoe UI" w:cs="Segoe UI"/>
              </w:rPr>
              <w:t>5.1%</w:t>
            </w:r>
          </w:p>
        </w:tc>
      </w:tr>
      <w:tr w:rsidR="00281398" w:rsidTr="00281398">
        <w:trPr>
          <w:trHeight w:val="113"/>
        </w:trPr>
        <w:tc>
          <w:tcPr>
            <w:tcW w:w="1191" w:type="pct"/>
          </w:tcPr>
          <w:p w:rsidR="000C0E54" w:rsidRPr="00596D01" w:rsidRDefault="000C0E54" w:rsidP="007039E3">
            <w:pPr>
              <w:keepNext/>
              <w:rPr>
                <w:rStyle w:val="Emphasis"/>
              </w:rPr>
            </w:pPr>
            <w:r w:rsidRPr="00596D01">
              <w:rPr>
                <w:rStyle w:val="Emphasis"/>
              </w:rPr>
              <w:t>Cumulative change</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24.7%</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35.2%</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_</w:t>
            </w:r>
          </w:p>
        </w:tc>
        <w:tc>
          <w:tcPr>
            <w:tcW w:w="635" w:type="pct"/>
          </w:tcPr>
          <w:p w:rsidR="000C0E54" w:rsidRPr="005153E0" w:rsidRDefault="000C0E54" w:rsidP="00281398">
            <w:pPr>
              <w:keepNext/>
              <w:jc w:val="right"/>
              <w:rPr>
                <w:rFonts w:ascii="Segoe UI" w:hAnsi="Segoe UI" w:cs="Segoe UI"/>
                <w:color w:val="000000"/>
              </w:rPr>
            </w:pPr>
            <w:r w:rsidRPr="005153E0">
              <w:rPr>
                <w:rFonts w:ascii="Segoe UI" w:hAnsi="Segoe UI" w:cs="Segoe UI"/>
                <w:color w:val="000000"/>
              </w:rPr>
              <w:t>17.1%</w:t>
            </w:r>
          </w:p>
        </w:tc>
        <w:tc>
          <w:tcPr>
            <w:tcW w:w="635" w:type="pct"/>
          </w:tcPr>
          <w:p w:rsidR="000C0E54" w:rsidRPr="005153E0" w:rsidRDefault="000C0E54" w:rsidP="00281398">
            <w:pPr>
              <w:jc w:val="right"/>
              <w:rPr>
                <w:rFonts w:ascii="Segoe UI" w:hAnsi="Segoe UI" w:cs="Segoe UI"/>
              </w:rPr>
            </w:pPr>
            <w:r w:rsidRPr="005153E0">
              <w:rPr>
                <w:rFonts w:ascii="Segoe UI" w:hAnsi="Segoe UI" w:cs="Segoe UI"/>
              </w:rPr>
              <w:t>83.4%</w:t>
            </w:r>
          </w:p>
        </w:tc>
        <w:tc>
          <w:tcPr>
            <w:tcW w:w="635" w:type="pct"/>
          </w:tcPr>
          <w:p w:rsidR="000C0E54" w:rsidRPr="005153E0" w:rsidRDefault="000C0E54" w:rsidP="00281398">
            <w:pPr>
              <w:jc w:val="right"/>
              <w:rPr>
                <w:rFonts w:ascii="Segoe UI" w:hAnsi="Segoe UI" w:cs="Segoe UI"/>
              </w:rPr>
            </w:pPr>
            <w:r w:rsidRPr="005153E0">
              <w:rPr>
                <w:rFonts w:ascii="Segoe UI" w:hAnsi="Segoe UI" w:cs="Segoe UI"/>
              </w:rPr>
              <w:t>56.7%</w:t>
            </w:r>
          </w:p>
        </w:tc>
      </w:tr>
    </w:tbl>
    <w:p w:rsidR="00281398" w:rsidRDefault="00281398" w:rsidP="00281398">
      <w:pPr>
        <w:pStyle w:val="SourceNotesHeading"/>
      </w:pPr>
      <w:r>
        <w:t>Notes</w:t>
      </w:r>
    </w:p>
    <w:p w:rsidR="00154957" w:rsidRPr="00C42B7D" w:rsidRDefault="00154957" w:rsidP="0016704B">
      <w:pPr>
        <w:pStyle w:val="SourceNotesNumbered"/>
        <w:numPr>
          <w:ilvl w:val="0"/>
          <w:numId w:val="32"/>
        </w:numPr>
      </w:pPr>
      <w:r w:rsidRPr="00C42B7D">
        <w:t>The Aged Care Award was not in effect in</w:t>
      </w:r>
      <w:r w:rsidR="00A261F3">
        <w:t> 200</w:t>
      </w:r>
      <w:r w:rsidRPr="00C42B7D">
        <w:t>8</w:t>
      </w:r>
      <w:r w:rsidR="00D8721E">
        <w:t>–0</w:t>
      </w:r>
      <w:r w:rsidRPr="00C42B7D">
        <w:t>9 so growth can only be calculated over the period</w:t>
      </w:r>
      <w:r w:rsidR="00A261F3">
        <w:t> 200</w:t>
      </w:r>
      <w:r w:rsidRPr="00C42B7D">
        <w:t>9</w:t>
      </w:r>
      <w:r w:rsidR="00D8721E">
        <w:t>–1</w:t>
      </w:r>
      <w:r w:rsidRPr="00C42B7D">
        <w:t>0 to</w:t>
      </w:r>
      <w:r w:rsidR="00A261F3">
        <w:t> 201</w:t>
      </w:r>
      <w:r w:rsidRPr="00C42B7D">
        <w:t>7</w:t>
      </w:r>
      <w:r w:rsidR="00D8721E">
        <w:t>–1</w:t>
      </w:r>
      <w:r w:rsidRPr="00C42B7D">
        <w:t>8</w:t>
      </w:r>
    </w:p>
    <w:p w:rsidR="00154957" w:rsidRPr="00C42B7D" w:rsidRDefault="00154957" w:rsidP="00281398">
      <w:pPr>
        <w:pStyle w:val="SourceNotesNumbered"/>
      </w:pPr>
      <w:r w:rsidRPr="00C42B7D">
        <w:t>ACFI subsidy rates have been adjusted to account for the Conditional Adjustment Payment that was rolled into ACFI subsidy rates in</w:t>
      </w:r>
      <w:r w:rsidR="00A261F3">
        <w:t> 201</w:t>
      </w:r>
      <w:r w:rsidRPr="00C42B7D">
        <w:t>4</w:t>
      </w:r>
      <w:r w:rsidR="00D8721E">
        <w:t>–1</w:t>
      </w:r>
      <w:r w:rsidRPr="00C42B7D">
        <w:t>5</w:t>
      </w:r>
    </w:p>
    <w:p w:rsidR="00154957" w:rsidRPr="00C42B7D" w:rsidRDefault="00154957" w:rsidP="00281398">
      <w:pPr>
        <w:pStyle w:val="SourceNotesNumbered"/>
      </w:pPr>
      <w:r w:rsidRPr="00C42B7D">
        <w:t xml:space="preserve">Average ACFI payment per resident includes all basic subsidy payments </w:t>
      </w:r>
    </w:p>
    <w:p w:rsidR="00154957" w:rsidRPr="00C42B7D" w:rsidRDefault="00154957" w:rsidP="00281398">
      <w:pPr>
        <w:pStyle w:val="SourceNotesNumbered"/>
      </w:pPr>
      <w:r w:rsidRPr="00C42B7D">
        <w:t>The change to subsidies in</w:t>
      </w:r>
      <w:r w:rsidR="00A261F3">
        <w:t> 201</w:t>
      </w:r>
      <w:r w:rsidRPr="00C42B7D">
        <w:t>6</w:t>
      </w:r>
      <w:r w:rsidR="00D8721E">
        <w:t>–1</w:t>
      </w:r>
      <w:r w:rsidRPr="00C42B7D">
        <w:t>7 did not apply across all domains of the ACFI – the CHC domain only received half indexation</w:t>
      </w:r>
    </w:p>
    <w:p w:rsidR="00154957" w:rsidRPr="00C42B7D" w:rsidRDefault="00154957" w:rsidP="00281398">
      <w:pPr>
        <w:pStyle w:val="SourceNotesNumbered"/>
        <w:rPr>
          <w:color w:val="FF0000"/>
        </w:rPr>
      </w:pPr>
      <w:r w:rsidRPr="00C42B7D">
        <w:t>Average ACFI payments per resident for</w:t>
      </w:r>
      <w:r w:rsidR="00A261F3">
        <w:t> 201</w:t>
      </w:r>
      <w:r w:rsidRPr="00C42B7D">
        <w:t>7</w:t>
      </w:r>
      <w:r w:rsidR="00D8721E">
        <w:t>–1</w:t>
      </w:r>
      <w:r w:rsidRPr="00C42B7D">
        <w:t>8 are not available at the time of publication. The latest ACFI monitoring report is for March</w:t>
      </w:r>
      <w:r w:rsidR="00A261F3">
        <w:t> 201</w:t>
      </w:r>
      <w:r w:rsidRPr="00C42B7D">
        <w:t>8 and shows growth for the period 1 July</w:t>
      </w:r>
      <w:r w:rsidR="00A261F3">
        <w:t> 201</w:t>
      </w:r>
      <w:r w:rsidR="00541C19">
        <w:t>7 to March</w:t>
      </w:r>
      <w:r w:rsidR="00A261F3">
        <w:t> 201</w:t>
      </w:r>
      <w:r w:rsidR="00541C19">
        <w:t>8 of negative 0.2</w:t>
      </w:r>
      <w:r w:rsidRPr="00C42B7D">
        <w:t>%, compared with growth from 1 July</w:t>
      </w:r>
      <w:r w:rsidR="00A261F3">
        <w:t> 201</w:t>
      </w:r>
      <w:r w:rsidRPr="00C42B7D">
        <w:t>6 to March</w:t>
      </w:r>
      <w:r w:rsidR="00A261F3">
        <w:t> 201</w:t>
      </w:r>
      <w:r w:rsidRPr="00C42B7D">
        <w:t xml:space="preserve">7. </w:t>
      </w:r>
      <w:r w:rsidR="00492BF8">
        <w:fldChar w:fldCharType="begin"/>
      </w:r>
      <w:r w:rsidR="00492BF8">
        <w:instrText xml:space="preserve"> REF _Ref524428575 \r \h </w:instrText>
      </w:r>
      <w:r w:rsidR="00492BF8">
        <w:fldChar w:fldCharType="separate"/>
      </w:r>
      <w:r w:rsidR="00492BF8">
        <w:t>Chart 9.9</w:t>
      </w:r>
      <w:r w:rsidR="00492BF8">
        <w:fldChar w:fldCharType="end"/>
      </w:r>
      <w:r w:rsidR="00492BF8">
        <w:t xml:space="preserve"> </w:t>
      </w:r>
      <w:r w:rsidRPr="00C42B7D">
        <w:t xml:space="preserve">in section </w:t>
      </w:r>
      <w:r w:rsidR="00492BF8">
        <w:fldChar w:fldCharType="begin"/>
      </w:r>
      <w:r w:rsidR="00492BF8">
        <w:instrText xml:space="preserve"> REF _Ref524427807 \r \h </w:instrText>
      </w:r>
      <w:r w:rsidR="00492BF8">
        <w:fldChar w:fldCharType="separate"/>
      </w:r>
      <w:r w:rsidR="00492BF8">
        <w:t>9.2</w:t>
      </w:r>
      <w:r w:rsidR="00492BF8">
        <w:fldChar w:fldCharType="end"/>
      </w:r>
      <w:r w:rsidRPr="00C42B7D">
        <w:t xml:space="preserve"> provides more detailed tracking of ACFI growth rates.</w:t>
      </w:r>
    </w:p>
    <w:p w:rsidR="00D8721E" w:rsidRDefault="00154957" w:rsidP="00281398">
      <w:pPr>
        <w:pStyle w:val="SourceNotesNumbered"/>
      </w:pPr>
      <w:r w:rsidRPr="00C42B7D">
        <w:t>The average annual and cumulative change in ACFI payments are calculated to the end of</w:t>
      </w:r>
      <w:r w:rsidR="00A261F3">
        <w:t> 201</w:t>
      </w:r>
      <w:r w:rsidRPr="00C42B7D">
        <w:t>6</w:t>
      </w:r>
      <w:r w:rsidR="00D8721E">
        <w:t>–1</w:t>
      </w:r>
      <w:r w:rsidRPr="00C42B7D">
        <w:t>7.</w:t>
      </w:r>
    </w:p>
    <w:p w:rsidR="00AF11FB" w:rsidRPr="00596D01" w:rsidRDefault="00AF11FB" w:rsidP="007B653B">
      <w:pPr>
        <w:pStyle w:val="ChartTitle"/>
      </w:pPr>
      <w:bookmarkStart w:id="951" w:name="_Ref524428816"/>
      <w:r w:rsidRPr="00596D01">
        <w:lastRenderedPageBreak/>
        <w:t>Cumulative change in aged care subsidies and costs,</w:t>
      </w:r>
      <w:r w:rsidR="00A261F3" w:rsidRPr="00596D01">
        <w:t> 200</w:t>
      </w:r>
      <w:r w:rsidRPr="00596D01">
        <w:t>8</w:t>
      </w:r>
      <w:r w:rsidR="00D8721E" w:rsidRPr="00596D01">
        <w:t>–0</w:t>
      </w:r>
      <w:r w:rsidRPr="00596D01">
        <w:t>9 to</w:t>
      </w:r>
      <w:r w:rsidR="00A261F3" w:rsidRPr="00596D01">
        <w:t> 201</w:t>
      </w:r>
      <w:r w:rsidRPr="00596D01">
        <w:t>6</w:t>
      </w:r>
      <w:r w:rsidR="00D8721E" w:rsidRPr="00596D01">
        <w:t>–1</w:t>
      </w:r>
      <w:r w:rsidRPr="00596D01">
        <w:t>7</w:t>
      </w:r>
      <w:bookmarkEnd w:id="951"/>
    </w:p>
    <w:p w:rsidR="00D8721E" w:rsidRDefault="005C6085" w:rsidP="007B653B">
      <w:r>
        <w:rPr>
          <w:noProof/>
        </w:rPr>
        <w:drawing>
          <wp:inline distT="0" distB="0" distL="0" distR="0" wp14:anchorId="69128231" wp14:editId="061978AE">
            <wp:extent cx="6120000" cy="3244423"/>
            <wp:effectExtent l="0" t="0" r="0" b="0"/>
            <wp:docPr id="684" name="Picture 684" descr="Chart 11.2 Cumulative change in aged care subsidies and costs, 2008–09 to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Chart_X.X9 (3).jp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120000" cy="3244423"/>
                    </a:xfrm>
                    <a:prstGeom prst="rect">
                      <a:avLst/>
                    </a:prstGeom>
                    <a:noFill/>
                    <a:ln>
                      <a:noFill/>
                    </a:ln>
                  </pic:spPr>
                </pic:pic>
              </a:graphicData>
            </a:graphic>
          </wp:inline>
        </w:drawing>
      </w:r>
    </w:p>
    <w:p w:rsidR="00AF11FB" w:rsidRPr="00AF11FB" w:rsidRDefault="00AF11FB" w:rsidP="007B653B">
      <w:pPr>
        <w:rPr>
          <w:lang w:val="en-GB"/>
        </w:rPr>
      </w:pPr>
      <w:r w:rsidRPr="00AF11FB">
        <w:rPr>
          <w:lang w:val="en-GB"/>
        </w:rPr>
        <w:t>Providers and the Government have differing views about the legitimacy of the increases in claims.</w:t>
      </w:r>
    </w:p>
    <w:p w:rsidR="00D8721E" w:rsidRDefault="00AF11FB" w:rsidP="007B653B">
      <w:pPr>
        <w:rPr>
          <w:lang w:val="en-GB"/>
        </w:rPr>
      </w:pPr>
      <w:r w:rsidRPr="00AF11FB">
        <w:rPr>
          <w:lang w:val="en-GB"/>
        </w:rPr>
        <w:t>Providers have argued that the growth in ACFI payments per resident per day above indexation (Column 6), which they point out are subject to an audit program, has reflected a continuing increase in the acuity/frailty of residents. The Government has maintained that while it accepts and builds into its estimates an allowance for increasing frailty, the rate of growth of ACFI claims at times cannot be explained by pure growth in frailty, which would be expected to increase gradually over time. Accordingly, in</w:t>
      </w:r>
      <w:r w:rsidR="00A261F3">
        <w:rPr>
          <w:lang w:val="en-GB"/>
        </w:rPr>
        <w:t> 201</w:t>
      </w:r>
      <w:r w:rsidRPr="00AF11FB">
        <w:rPr>
          <w:lang w:val="en-GB"/>
        </w:rPr>
        <w:t>2</w:t>
      </w:r>
      <w:r w:rsidR="00D8721E">
        <w:rPr>
          <w:lang w:val="en-GB"/>
        </w:rPr>
        <w:t>–1</w:t>
      </w:r>
      <w:r w:rsidRPr="00AF11FB">
        <w:rPr>
          <w:lang w:val="en-GB"/>
        </w:rPr>
        <w:t>3 and again in</w:t>
      </w:r>
      <w:r w:rsidR="00A261F3">
        <w:rPr>
          <w:lang w:val="en-GB"/>
        </w:rPr>
        <w:t> 201</w:t>
      </w:r>
      <w:r w:rsidRPr="00AF11FB">
        <w:rPr>
          <w:lang w:val="en-GB"/>
        </w:rPr>
        <w:t>7</w:t>
      </w:r>
      <w:r w:rsidR="00D8721E">
        <w:rPr>
          <w:lang w:val="en-GB"/>
        </w:rPr>
        <w:t>–1</w:t>
      </w:r>
      <w:r w:rsidRPr="00AF11FB">
        <w:rPr>
          <w:lang w:val="en-GB"/>
        </w:rPr>
        <w:t>8, the Government introduced measures to slow overall growth in funding by adjusting the ACFI tool and pausing indexation</w:t>
      </w:r>
      <w:r w:rsidR="00D8721E">
        <w:rPr>
          <w:lang w:val="en-GB"/>
        </w:rPr>
        <w:t>.</w:t>
      </w:r>
    </w:p>
    <w:p w:rsidR="00AF11FB" w:rsidRPr="00AF11FB" w:rsidRDefault="00AF11FB" w:rsidP="007B653B">
      <w:pPr>
        <w:rPr>
          <w:lang w:val="en-GB"/>
        </w:rPr>
      </w:pPr>
      <w:r w:rsidRPr="00AF11FB">
        <w:rPr>
          <w:lang w:val="en-GB"/>
        </w:rPr>
        <w:t>This variability in funding is not beneficial for Government in the management of its outlays, nor the financial management and operations of the sector, and nor does it provide the stability favoured by investors.</w:t>
      </w:r>
    </w:p>
    <w:p w:rsidR="00AF11FB" w:rsidRPr="00AF11FB" w:rsidRDefault="00AF11FB" w:rsidP="007B653B">
      <w:pPr>
        <w:rPr>
          <w:lang w:val="en-GB"/>
        </w:rPr>
      </w:pPr>
      <w:r w:rsidRPr="00AF11FB">
        <w:rPr>
          <w:lang w:val="en-GB"/>
        </w:rPr>
        <w:t>The current ACFI arrangements cannot satisfactorily resolve the extent to which resident’s care needs have been increasing over time compared with the extent to which providers have maximised the potential to use the ACFI tool to increase revenue growth (including as a response to low indexation).</w:t>
      </w:r>
    </w:p>
    <w:p w:rsidR="00D8721E" w:rsidRDefault="00AF11FB" w:rsidP="007B653B">
      <w:pPr>
        <w:rPr>
          <w:lang w:val="en-GB"/>
        </w:rPr>
      </w:pPr>
      <w:r w:rsidRPr="00AF11FB">
        <w:rPr>
          <w:lang w:val="en-GB"/>
        </w:rPr>
        <w:t>ACFA considers the current ACFI tool may also suffer from no longer being contemporary (such as incentivising certain, sometimes outdated, types and modes of care delivery), it could</w:t>
      </w:r>
      <w:r w:rsidR="00D8721E">
        <w:rPr>
          <w:lang w:val="en-GB"/>
        </w:rPr>
        <w:t xml:space="preserve"> </w:t>
      </w:r>
      <w:r w:rsidRPr="00AF11FB">
        <w:rPr>
          <w:lang w:val="en-GB"/>
        </w:rPr>
        <w:t>encourage inefficiencies (through providers focusing limited resources on ACFI claiming) and appears to lack stability (with a history of cycles of high growth followed by low or no growth as higher than expected provider claiming leads to Government taking measures to reduce funding growth rates back to estimated levels)</w:t>
      </w:r>
      <w:r w:rsidR="00D8721E">
        <w:rPr>
          <w:lang w:val="en-GB"/>
        </w:rPr>
        <w:t>.</w:t>
      </w:r>
    </w:p>
    <w:p w:rsidR="00D8721E" w:rsidRDefault="00AF11FB" w:rsidP="007B653B">
      <w:pPr>
        <w:rPr>
          <w:lang w:val="en-GB"/>
        </w:rPr>
      </w:pPr>
      <w:r w:rsidRPr="00AF11FB">
        <w:rPr>
          <w:lang w:val="en-GB"/>
        </w:rPr>
        <w:t>ACFA therefore supports the Government’s review of alternative residential care funding</w:t>
      </w:r>
      <w:r>
        <w:t xml:space="preserve"> </w:t>
      </w:r>
      <w:r w:rsidRPr="00AF11FB">
        <w:rPr>
          <w:lang w:val="en-GB"/>
        </w:rPr>
        <w:t>arrangements and the Resource Utilisation and Classification Study currently being undertaken to help inform consideration of funding reform options</w:t>
      </w:r>
      <w:r w:rsidR="00D8721E">
        <w:rPr>
          <w:lang w:val="en-GB"/>
        </w:rPr>
        <w:t>.</w:t>
      </w:r>
    </w:p>
    <w:p w:rsidR="00AF11FB" w:rsidRPr="00AF11FB" w:rsidRDefault="00AF11FB" w:rsidP="007B653B">
      <w:pPr>
        <w:rPr>
          <w:lang w:val="en-GB"/>
        </w:rPr>
      </w:pPr>
      <w:r w:rsidRPr="00AF11FB">
        <w:rPr>
          <w:lang w:val="en-GB"/>
        </w:rPr>
        <w:t>ACFA considers that a key element of any reform package should be a tool that accurately and objectively assesses the funding needs of residents.</w:t>
      </w:r>
    </w:p>
    <w:p w:rsidR="00AF11FB" w:rsidRPr="00AF11FB" w:rsidRDefault="00AF11FB" w:rsidP="007B653B">
      <w:pPr>
        <w:rPr>
          <w:lang w:val="en-GB"/>
        </w:rPr>
      </w:pPr>
      <w:r w:rsidRPr="00AF11FB">
        <w:rPr>
          <w:lang w:val="en-GB"/>
        </w:rPr>
        <w:t>A more efficient Government funding system would allow provider assessment resources to be devoted to assessment for care planning purposes. A more contemporary system would support delivery of the right types of care. A more stable system would provide greater certainty on funding levels for government, providers and investors, establishing a system that encourages investment in the sector to meet future demographic challenges as demand for aged care grows.</w:t>
      </w:r>
    </w:p>
    <w:p w:rsidR="002909B1" w:rsidRPr="00596D01" w:rsidRDefault="002909B1" w:rsidP="007B653B"/>
    <w:p w:rsidR="007B653B" w:rsidRPr="004F37D3" w:rsidRDefault="007B653B" w:rsidP="007B653B">
      <w:pPr>
        <w:pStyle w:val="Boxed2Heading"/>
      </w:pPr>
      <w:r w:rsidRPr="004F37D3">
        <w:lastRenderedPageBreak/>
        <w:t>Growth in ACFI expenditure reflects three key drivers:</w:t>
      </w:r>
    </w:p>
    <w:p w:rsidR="007B653B" w:rsidRDefault="007B653B" w:rsidP="007B653B">
      <w:pPr>
        <w:pStyle w:val="Boxed2Text"/>
        <w:rPr>
          <w:rFonts w:ascii="Segoe UI" w:hAnsi="Segoe UI" w:cs="Segoe UI"/>
          <w:sz w:val="22"/>
          <w:szCs w:val="22"/>
          <w:u w:val="single"/>
        </w:rPr>
      </w:pPr>
      <w:r w:rsidRPr="00596D01">
        <w:rPr>
          <w:rStyle w:val="Strong"/>
        </w:rPr>
        <w:t>Change in volume (numbers of residents in care)</w:t>
      </w:r>
      <w:r>
        <w:rPr>
          <w:rFonts w:ascii="Segoe UI" w:hAnsi="Segoe UI" w:cs="Segoe UI"/>
          <w:sz w:val="22"/>
          <w:szCs w:val="22"/>
          <w:u w:val="single"/>
        </w:rPr>
        <w:t>.</w:t>
      </w:r>
    </w:p>
    <w:p w:rsidR="007B653B" w:rsidRPr="004F37D3" w:rsidRDefault="007B653B" w:rsidP="007B653B">
      <w:pPr>
        <w:pStyle w:val="Boxed2Text"/>
      </w:pPr>
      <w:r w:rsidRPr="004F37D3">
        <w:t xml:space="preserve">This is driven over the longer term by demographics and the increasing numbers of aged in the population. Shorter-medium term changes are reflected in changing occupancy levels and building development rates / places coming online. ACFI expenditure is demand driven to the extent that it is based on the assessed needs of individual residents (though the Government controls overall expenditure by limiting the supply of aged care services through population based target provision ratios. </w:t>
      </w:r>
    </w:p>
    <w:p w:rsidR="007B653B" w:rsidRPr="00596D01" w:rsidRDefault="007B653B" w:rsidP="007B653B">
      <w:pPr>
        <w:pStyle w:val="Boxed2Text"/>
        <w:rPr>
          <w:rStyle w:val="Strong"/>
        </w:rPr>
      </w:pPr>
      <w:r w:rsidRPr="00596D01">
        <w:rPr>
          <w:rStyle w:val="Strong"/>
        </w:rPr>
        <w:t>Change in price paid under the funding tool.</w:t>
      </w:r>
    </w:p>
    <w:p w:rsidR="007B653B" w:rsidRPr="004F37D3" w:rsidRDefault="007B653B" w:rsidP="007B653B">
      <w:pPr>
        <w:pStyle w:val="Boxed2Text"/>
      </w:pPr>
      <w:r w:rsidRPr="004F37D3">
        <w:t>The ACFI, administered by providers, determines the price paid to providers per resident. The Government also allows for some element of frailty growth in its estimates.</w:t>
      </w:r>
    </w:p>
    <w:p w:rsidR="007B653B" w:rsidRDefault="007B653B" w:rsidP="007B653B">
      <w:pPr>
        <w:pStyle w:val="Boxed2Text"/>
      </w:pPr>
      <w:r w:rsidRPr="00596D01">
        <w:rPr>
          <w:rStyle w:val="Strong"/>
        </w:rPr>
        <w:t>Change in price from indexation of subsidy rates</w:t>
      </w:r>
      <w:r>
        <w:t>.</w:t>
      </w:r>
    </w:p>
    <w:p w:rsidR="007B653B" w:rsidRPr="004F37D3" w:rsidRDefault="007B653B" w:rsidP="007B653B">
      <w:pPr>
        <w:pStyle w:val="Boxed2Text"/>
      </w:pPr>
      <w:r w:rsidRPr="004F37D3">
        <w:t>Indexation is applied to subsidy rates to ensure rates move in line with the direction of changes to key cost drivers in the sector, though indexation is not designed to fully match cost changes as discussed further below.</w:t>
      </w:r>
    </w:p>
    <w:p w:rsidR="0026457D" w:rsidRPr="00596D01" w:rsidRDefault="0026457D" w:rsidP="007B653B">
      <w:pPr>
        <w:pStyle w:val="Heading3Numbered"/>
      </w:pPr>
      <w:bookmarkStart w:id="952" w:name="_Toc524424813"/>
      <w:r w:rsidRPr="00596D01">
        <w:t>Indexation</w:t>
      </w:r>
      <w:bookmarkEnd w:id="952"/>
    </w:p>
    <w:p w:rsidR="009948D0" w:rsidRPr="009948D0" w:rsidRDefault="009948D0" w:rsidP="007B653B">
      <w:pPr>
        <w:rPr>
          <w:lang w:val="en-GB"/>
        </w:rPr>
      </w:pPr>
      <w:r w:rsidRPr="009948D0">
        <w:rPr>
          <w:lang w:val="en-GB"/>
        </w:rPr>
        <w:t>As noted earlier, indexation is intended to ensure the Government contribution towards care costs grows in a manner which is reflective of cost pressures on the sector. ACFA considers the rate of growth in funding needs to move with cost growth but does not need to match cost growth, in recognition that the sector would be expected to pursue productivity improvements in the same way as other sectors of the economy operating in a competitive environment. This was recognised in the Productivity Commission’s “Caring for Older Australians Report” where it commented as follows:</w:t>
      </w:r>
    </w:p>
    <w:p w:rsidR="009948D0" w:rsidRPr="00596D01" w:rsidRDefault="009948D0" w:rsidP="007B653B">
      <w:pPr>
        <w:pStyle w:val="NormalIndent5mm"/>
        <w:rPr>
          <w:rStyle w:val="Emphasis"/>
        </w:rPr>
      </w:pPr>
      <w:r w:rsidRPr="00596D01">
        <w:rPr>
          <w:rStyle w:val="Emphasis"/>
        </w:rPr>
        <w:t>“A major concern of participants to this inquiry was the appropriateness of indexation arrangements for determining the cost of care and accommodation on which government subsidies are based. The Commission considered indexation arrangements as part of its 1999 inquiry into nursing home subsidies and found that, with other sources of income for providers largely tied, inadequate increases in subsidies after allowing for efficiency improvements would, in one way or another, compromise the delivery of quality care. While not putting forward a view on the most appropriate indexation methodology, it recommended that: Basic subsidy rates should be adjusted annually according to indices which clearly reflect the changes in the average cost of the standardised input mix, less a discount to reflect changes in productivity. (PC 1999, p. 97)”</w:t>
      </w:r>
    </w:p>
    <w:p w:rsidR="009948D0" w:rsidRPr="009948D0" w:rsidRDefault="009948D0" w:rsidP="007B653B">
      <w:pPr>
        <w:rPr>
          <w:lang w:val="en-GB"/>
        </w:rPr>
      </w:pPr>
      <w:r w:rsidRPr="009948D0">
        <w:rPr>
          <w:lang w:val="en-GB"/>
        </w:rPr>
        <w:t>This approach recognises the importance of both ensuring care prices accurately reflect the cost pressures faced by the aged care industry and providing an incentive for providers to look for ways to improve their productivity. ACFA supports this general principle.</w:t>
      </w:r>
    </w:p>
    <w:p w:rsidR="009948D0" w:rsidRPr="009948D0" w:rsidRDefault="009948D0" w:rsidP="007B653B">
      <w:pPr>
        <w:rPr>
          <w:lang w:val="en-GB"/>
        </w:rPr>
      </w:pPr>
      <w:r w:rsidRPr="009948D0">
        <w:rPr>
          <w:lang w:val="en-GB"/>
        </w:rPr>
        <w:t>The index applied to the basic care subsidy for residential care is Wage Cost Index 9 (WCI</w:t>
      </w:r>
      <w:r w:rsidR="00D8721E">
        <w:rPr>
          <w:lang w:val="en-GB"/>
        </w:rPr>
        <w:t>–9</w:t>
      </w:r>
      <w:r w:rsidRPr="009948D0">
        <w:rPr>
          <w:lang w:val="en-GB"/>
        </w:rPr>
        <w:t>), which is a composite index constructed by the Department of Finance that comprises a wage cost component (weighted at 75</w:t>
      </w:r>
      <w:r w:rsidR="00A261F3">
        <w:rPr>
          <w:lang w:val="en-GB"/>
        </w:rPr>
        <w:t> per cent</w:t>
      </w:r>
      <w:r w:rsidRPr="009948D0">
        <w:rPr>
          <w:lang w:val="en-GB"/>
        </w:rPr>
        <w:t>) and a non-wage cost component (weighted at 25</w:t>
      </w:r>
      <w:r w:rsidR="00A261F3">
        <w:rPr>
          <w:lang w:val="en-GB"/>
        </w:rPr>
        <w:t> per cent</w:t>
      </w:r>
      <w:r w:rsidRPr="009948D0">
        <w:rPr>
          <w:lang w:val="en-GB"/>
        </w:rPr>
        <w:t>). For all Wage Cost Indexes the value of the wage cost component is based on the dollar increase in the national minimum wage (as determined annually by the Fair Work Commission) expressed as a percentage of the latest available estimate of average weekly ordinary time earnings (AWOTE) published by the Australian Bureau of Statistics as at November of each year. The value of the non-wage cost component of WCI</w:t>
      </w:r>
      <w:r w:rsidR="00D8721E">
        <w:rPr>
          <w:lang w:val="en-GB"/>
        </w:rPr>
        <w:t>–9</w:t>
      </w:r>
      <w:r w:rsidRPr="009948D0">
        <w:rPr>
          <w:lang w:val="en-GB"/>
        </w:rPr>
        <w:t xml:space="preserve"> is based on changes in the Consumer Price Index between March quarters each year.</w:t>
      </w:r>
    </w:p>
    <w:p w:rsidR="009948D0" w:rsidRPr="009948D0" w:rsidRDefault="009948D0" w:rsidP="007B653B">
      <w:pPr>
        <w:rPr>
          <w:lang w:val="en-GB"/>
        </w:rPr>
      </w:pPr>
      <w:r w:rsidRPr="009948D0">
        <w:rPr>
          <w:lang w:val="en-GB"/>
        </w:rPr>
        <w:t>As the wage component is determined by expressing the growth in minimum wages as a percentage of AWOTE (which is more than double minimum wages) this works to in effect apply a discount to the actual growth in minimum wages. In line with the approach raised in the Productivity Commission report, a discount can be seen to reflect expectations of improvements in productivity/efficiency in the provider sector.</w:t>
      </w:r>
    </w:p>
    <w:p w:rsidR="00D8721E" w:rsidRDefault="009948D0" w:rsidP="007B653B">
      <w:pPr>
        <w:rPr>
          <w:lang w:val="en-GB"/>
        </w:rPr>
      </w:pPr>
      <w:r w:rsidRPr="009948D0">
        <w:rPr>
          <w:lang w:val="en-GB"/>
        </w:rPr>
        <w:lastRenderedPageBreak/>
        <w:t>ACFA also notes that the ability for the sector to gain revenue growth through changes to ACFI claiming behaviour may be diminishing. At the end of the first full year of ACFI in</w:t>
      </w:r>
      <w:r w:rsidR="00A261F3">
        <w:rPr>
          <w:lang w:val="en-GB"/>
        </w:rPr>
        <w:t> 200</w:t>
      </w:r>
      <w:r w:rsidRPr="009948D0">
        <w:rPr>
          <w:lang w:val="en-GB"/>
        </w:rPr>
        <w:t>8</w:t>
      </w:r>
      <w:r w:rsidR="00D8721E">
        <w:rPr>
          <w:lang w:val="en-GB"/>
        </w:rPr>
        <w:t>–0</w:t>
      </w:r>
      <w:r w:rsidRPr="009948D0">
        <w:rPr>
          <w:lang w:val="en-GB"/>
        </w:rPr>
        <w:t>9, around 7</w:t>
      </w:r>
      <w:r w:rsidR="00A261F3">
        <w:rPr>
          <w:lang w:val="en-GB"/>
        </w:rPr>
        <w:t> per cent</w:t>
      </w:r>
      <w:r w:rsidRPr="009948D0">
        <w:rPr>
          <w:lang w:val="en-GB"/>
        </w:rPr>
        <w:t xml:space="preserve"> of residents with an ACFI classification were in a High-High-High classification. This has grown significantly, with 31</w:t>
      </w:r>
      <w:r w:rsidR="00A261F3">
        <w:rPr>
          <w:lang w:val="en-GB"/>
        </w:rPr>
        <w:t> per cent</w:t>
      </w:r>
      <w:r w:rsidRPr="009948D0">
        <w:rPr>
          <w:lang w:val="en-GB"/>
        </w:rPr>
        <w:t xml:space="preserve"> of residents currently having the highest rating. As the scope for further increases in provider revenue through changes in ACFI claiming behaviour is reduced, this will put further pressure on the need for indexation arrangements to adequately reflect the growth in costs (while providing incentives for providers to increase productivity). </w:t>
      </w:r>
      <w:r w:rsidR="00492BF8">
        <w:rPr>
          <w:lang w:val="en-GB"/>
        </w:rPr>
        <w:fldChar w:fldCharType="begin"/>
      </w:r>
      <w:r w:rsidR="00492BF8">
        <w:rPr>
          <w:lang w:val="en-GB"/>
        </w:rPr>
        <w:instrText xml:space="preserve"> REF _Ref524429835 \r \h </w:instrText>
      </w:r>
      <w:r w:rsidR="00492BF8">
        <w:rPr>
          <w:lang w:val="en-GB"/>
        </w:rPr>
      </w:r>
      <w:r w:rsidR="00492BF8">
        <w:rPr>
          <w:lang w:val="en-GB"/>
        </w:rPr>
        <w:fldChar w:fldCharType="separate"/>
      </w:r>
      <w:r w:rsidR="00492BF8">
        <w:rPr>
          <w:lang w:val="en-GB"/>
        </w:rPr>
        <w:t>Table 11.5</w:t>
      </w:r>
      <w:r w:rsidR="00492BF8">
        <w:rPr>
          <w:lang w:val="en-GB"/>
        </w:rPr>
        <w:fldChar w:fldCharType="end"/>
      </w:r>
      <w:r w:rsidR="00492BF8">
        <w:rPr>
          <w:lang w:val="en-GB"/>
        </w:rPr>
        <w:t xml:space="preserve"> </w:t>
      </w:r>
      <w:r w:rsidRPr="009948D0">
        <w:rPr>
          <w:lang w:val="en-GB"/>
        </w:rPr>
        <w:t>shows the changes in the proportion of residents classified at each ACFI domain level at the end of each year since</w:t>
      </w:r>
      <w:r w:rsidR="00A261F3">
        <w:rPr>
          <w:lang w:val="en-GB"/>
        </w:rPr>
        <w:t> 201</w:t>
      </w:r>
      <w:r w:rsidRPr="009948D0">
        <w:rPr>
          <w:lang w:val="en-GB"/>
        </w:rPr>
        <w:t>2</w:t>
      </w:r>
      <w:r w:rsidR="00D8721E">
        <w:rPr>
          <w:lang w:val="en-GB"/>
        </w:rPr>
        <w:t>–1</w:t>
      </w:r>
      <w:r w:rsidRPr="009948D0">
        <w:rPr>
          <w:lang w:val="en-GB"/>
        </w:rPr>
        <w:t>3</w:t>
      </w:r>
      <w:r w:rsidR="00D8721E">
        <w:rPr>
          <w:lang w:val="en-GB"/>
        </w:rPr>
        <w:t>.</w:t>
      </w:r>
    </w:p>
    <w:p w:rsidR="000B6234" w:rsidRPr="00C67407" w:rsidRDefault="000B6234" w:rsidP="008A6952">
      <w:pPr>
        <w:pStyle w:val="TableTitle"/>
      </w:pPr>
      <w:bookmarkStart w:id="953" w:name="_Ref524429835"/>
      <w:r w:rsidRPr="00C67407">
        <w:rPr>
          <w:bCs/>
        </w:rPr>
        <w:t>Proportion</w:t>
      </w:r>
      <w:r w:rsidRPr="00C67407">
        <w:t xml:space="preserve"> of residents by ACFI domain classification, 20</w:t>
      </w:r>
      <w:r w:rsidR="00DC771B" w:rsidRPr="00C67407">
        <w:t>12</w:t>
      </w:r>
      <w:r w:rsidR="00D8721E" w:rsidRPr="00C67407">
        <w:t>–1</w:t>
      </w:r>
      <w:r w:rsidR="00DC771B" w:rsidRPr="00C67407">
        <w:t>3</w:t>
      </w:r>
      <w:r w:rsidR="00E442C3" w:rsidRPr="00C67407">
        <w:t> </w:t>
      </w:r>
      <w:r w:rsidRPr="00C67407">
        <w:t>to</w:t>
      </w:r>
      <w:r w:rsidR="00A261F3" w:rsidRPr="00C67407">
        <w:t> 201</w:t>
      </w:r>
      <w:r w:rsidRPr="00C67407">
        <w:t>7</w:t>
      </w:r>
      <w:r w:rsidR="00D8721E" w:rsidRPr="00C67407">
        <w:t>–1</w:t>
      </w:r>
      <w:r w:rsidRPr="00C67407">
        <w:t>8</w:t>
      </w:r>
      <w:bookmarkEnd w:id="953"/>
      <w:r w:rsidRPr="00C67407">
        <w:t xml:space="preserve"> </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372"/>
        <w:gridCol w:w="1375"/>
        <w:gridCol w:w="1375"/>
        <w:gridCol w:w="1377"/>
        <w:gridCol w:w="1377"/>
        <w:gridCol w:w="1377"/>
        <w:gridCol w:w="1375"/>
      </w:tblGrid>
      <w:tr w:rsidR="000B6234"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713" w:type="pct"/>
          </w:tcPr>
          <w:p w:rsidR="000B6234" w:rsidRDefault="000B6234" w:rsidP="007B653B"/>
        </w:tc>
        <w:tc>
          <w:tcPr>
            <w:tcW w:w="714" w:type="pct"/>
          </w:tcPr>
          <w:p w:rsidR="000B6234" w:rsidRPr="007F4D43" w:rsidRDefault="000B6234" w:rsidP="007B653B">
            <w:pPr>
              <w:jc w:val="right"/>
              <w:rPr>
                <w:rFonts w:ascii="Segoe UI" w:hAnsi="Segoe UI" w:cs="Segoe UI"/>
                <w:bCs w:val="0"/>
                <w:sz w:val="22"/>
                <w:szCs w:val="22"/>
              </w:rPr>
            </w:pPr>
            <w:r w:rsidRPr="00596D01">
              <w:t>2012</w:t>
            </w:r>
            <w:r w:rsidR="00D8721E" w:rsidRPr="00596D01">
              <w:t>–1</w:t>
            </w:r>
            <w:r w:rsidRPr="00596D01">
              <w:t>3</w:t>
            </w:r>
          </w:p>
        </w:tc>
        <w:tc>
          <w:tcPr>
            <w:tcW w:w="714" w:type="pct"/>
          </w:tcPr>
          <w:p w:rsidR="000B6234" w:rsidRPr="007F4D43" w:rsidRDefault="000B6234" w:rsidP="007B653B">
            <w:pPr>
              <w:jc w:val="right"/>
              <w:rPr>
                <w:rFonts w:ascii="Segoe UI" w:hAnsi="Segoe UI" w:cs="Segoe UI"/>
                <w:bCs w:val="0"/>
                <w:sz w:val="22"/>
                <w:szCs w:val="22"/>
              </w:rPr>
            </w:pPr>
            <w:r w:rsidRPr="00596D01">
              <w:t>2013</w:t>
            </w:r>
            <w:r w:rsidR="00D8721E" w:rsidRPr="00596D01">
              <w:t>–1</w:t>
            </w:r>
            <w:r w:rsidRPr="00596D01">
              <w:t>4</w:t>
            </w:r>
          </w:p>
        </w:tc>
        <w:tc>
          <w:tcPr>
            <w:tcW w:w="715" w:type="pct"/>
          </w:tcPr>
          <w:p w:rsidR="000B6234" w:rsidRPr="007F4D43" w:rsidRDefault="000B6234" w:rsidP="007B653B">
            <w:pPr>
              <w:jc w:val="right"/>
              <w:rPr>
                <w:rFonts w:ascii="Segoe UI" w:hAnsi="Segoe UI" w:cs="Segoe UI"/>
                <w:bCs w:val="0"/>
                <w:sz w:val="22"/>
                <w:szCs w:val="22"/>
              </w:rPr>
            </w:pPr>
            <w:r w:rsidRPr="00596D01">
              <w:t>2014</w:t>
            </w:r>
            <w:r w:rsidR="00D8721E" w:rsidRPr="00596D01">
              <w:t>–1</w:t>
            </w:r>
            <w:r w:rsidRPr="00596D01">
              <w:t>5</w:t>
            </w:r>
          </w:p>
        </w:tc>
        <w:tc>
          <w:tcPr>
            <w:tcW w:w="715" w:type="pct"/>
          </w:tcPr>
          <w:p w:rsidR="000B6234" w:rsidRPr="007F4D43" w:rsidRDefault="000B6234" w:rsidP="007B653B">
            <w:pPr>
              <w:jc w:val="right"/>
              <w:rPr>
                <w:rFonts w:ascii="Segoe UI" w:hAnsi="Segoe UI" w:cs="Segoe UI"/>
                <w:bCs w:val="0"/>
                <w:sz w:val="22"/>
                <w:szCs w:val="22"/>
              </w:rPr>
            </w:pPr>
            <w:r w:rsidRPr="00596D01">
              <w:t>2015</w:t>
            </w:r>
            <w:r w:rsidR="00D8721E" w:rsidRPr="00596D01">
              <w:t>–1</w:t>
            </w:r>
            <w:r w:rsidRPr="00596D01">
              <w:t>6</w:t>
            </w:r>
          </w:p>
        </w:tc>
        <w:tc>
          <w:tcPr>
            <w:tcW w:w="715" w:type="pct"/>
          </w:tcPr>
          <w:p w:rsidR="000B6234" w:rsidRPr="007F4D43" w:rsidRDefault="000B6234" w:rsidP="007B653B">
            <w:pPr>
              <w:jc w:val="right"/>
              <w:rPr>
                <w:rFonts w:ascii="Segoe UI" w:hAnsi="Segoe UI" w:cs="Segoe UI"/>
                <w:bCs w:val="0"/>
                <w:sz w:val="22"/>
                <w:szCs w:val="22"/>
              </w:rPr>
            </w:pPr>
            <w:r w:rsidRPr="00596D01">
              <w:t>2016</w:t>
            </w:r>
            <w:r w:rsidR="00D8721E" w:rsidRPr="00596D01">
              <w:t>–1</w:t>
            </w:r>
            <w:r w:rsidRPr="00596D01">
              <w:t>7</w:t>
            </w:r>
          </w:p>
        </w:tc>
        <w:tc>
          <w:tcPr>
            <w:tcW w:w="715" w:type="pct"/>
          </w:tcPr>
          <w:p w:rsidR="000B6234" w:rsidRPr="00596D01" w:rsidRDefault="000B6234" w:rsidP="007B653B">
            <w:pPr>
              <w:jc w:val="right"/>
            </w:pPr>
            <w:r w:rsidRPr="00596D01">
              <w:t>2017</w:t>
            </w:r>
            <w:r w:rsidR="00D8721E" w:rsidRPr="00596D01">
              <w:t>–1</w:t>
            </w:r>
            <w:r w:rsidRPr="00596D01">
              <w:t>8</w:t>
            </w:r>
          </w:p>
        </w:tc>
      </w:tr>
      <w:tr w:rsidR="000B6234" w:rsidTr="007B653B">
        <w:trPr>
          <w:trHeight w:val="113"/>
        </w:trPr>
        <w:tc>
          <w:tcPr>
            <w:tcW w:w="713" w:type="pct"/>
            <w:shd w:val="clear" w:color="auto" w:fill="E8E8E8" w:themeFill="background2"/>
          </w:tcPr>
          <w:p w:rsidR="000B6234" w:rsidRPr="00596D01" w:rsidRDefault="000B6234" w:rsidP="007B653B">
            <w:pPr>
              <w:rPr>
                <w:rStyle w:val="Strong"/>
              </w:rPr>
            </w:pPr>
            <w:r w:rsidRPr="00596D01">
              <w:rPr>
                <w:rStyle w:val="Strong"/>
              </w:rPr>
              <w:t>ADL</w:t>
            </w: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High</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45.1</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47.1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51.3</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56.0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56.4</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58.9</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Medium</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30.2</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30.5</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30.4</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29.6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30.1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29.6</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Low</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22.7</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20.9</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17.2</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13.7</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12.9</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11.0</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Nil</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2.1</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0.7</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0.6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0.5</w:t>
            </w:r>
          </w:p>
        </w:tc>
      </w:tr>
      <w:tr w:rsidR="000B6234" w:rsidTr="007B653B">
        <w:trPr>
          <w:trHeight w:val="113"/>
        </w:trPr>
        <w:tc>
          <w:tcPr>
            <w:tcW w:w="713" w:type="pct"/>
            <w:shd w:val="clear" w:color="auto" w:fill="E8E8E8" w:themeFill="background2"/>
          </w:tcPr>
          <w:p w:rsidR="000B6234" w:rsidRPr="00596D01" w:rsidRDefault="000B6234" w:rsidP="007B653B">
            <w:pPr>
              <w:rPr>
                <w:rStyle w:val="Strong"/>
              </w:rPr>
            </w:pPr>
            <w:r w:rsidRPr="00596D01">
              <w:rPr>
                <w:rStyle w:val="Strong"/>
              </w:rPr>
              <w:t>BEH</w:t>
            </w: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High</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54.2</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55.3</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59.4</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62.7</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62.6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64.2</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Medium</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23.3</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22.8</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22.6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21.8</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22.1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21.8</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Low</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15.5</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15.3</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12.6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11.1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11.0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10.2</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Nil</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7.0</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6.5</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5.5</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4.4</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4.3</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3.8</w:t>
            </w:r>
          </w:p>
        </w:tc>
      </w:tr>
      <w:tr w:rsidR="000B6234" w:rsidTr="007B653B">
        <w:trPr>
          <w:trHeight w:val="113"/>
        </w:trPr>
        <w:tc>
          <w:tcPr>
            <w:tcW w:w="713" w:type="pct"/>
            <w:shd w:val="clear" w:color="auto" w:fill="E8E8E8" w:themeFill="background2"/>
          </w:tcPr>
          <w:p w:rsidR="000B6234" w:rsidRPr="00596D01" w:rsidRDefault="000B6234" w:rsidP="007B653B">
            <w:pPr>
              <w:rPr>
                <w:rStyle w:val="Strong"/>
              </w:rPr>
            </w:pPr>
            <w:r w:rsidRPr="00596D01">
              <w:rPr>
                <w:rStyle w:val="Strong"/>
              </w:rPr>
              <w:t>CHC</w:t>
            </w: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4"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c>
          <w:tcPr>
            <w:tcW w:w="715" w:type="pct"/>
            <w:shd w:val="clear" w:color="auto" w:fill="E8E8E8" w:themeFill="background2"/>
          </w:tcPr>
          <w:p w:rsidR="000B6234" w:rsidRPr="0008141E" w:rsidRDefault="000B6234" w:rsidP="007B653B">
            <w:pPr>
              <w:jc w:val="right"/>
              <w:rPr>
                <w:rFonts w:ascii="Segoe UI" w:hAnsi="Segoe UI" w:cs="Segoe UI"/>
                <w:sz w:val="22"/>
                <w:szCs w:val="22"/>
              </w:rPr>
            </w:pP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High</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35.6</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41.6</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51.8</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61.0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54.8</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53.5</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Medium</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29.8</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28.2</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26.0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23.1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28.2</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29.7</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Low</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27.2</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24.1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18.0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13.0</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15.2</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15.9</w:t>
            </w:r>
          </w:p>
        </w:tc>
      </w:tr>
      <w:tr w:rsidR="000B6234" w:rsidTr="007B653B">
        <w:trPr>
          <w:trHeight w:val="113"/>
        </w:trPr>
        <w:tc>
          <w:tcPr>
            <w:tcW w:w="713" w:type="pct"/>
          </w:tcPr>
          <w:p w:rsidR="000B6234" w:rsidRPr="0008141E" w:rsidRDefault="000B6234" w:rsidP="007B653B">
            <w:pPr>
              <w:rPr>
                <w:rFonts w:ascii="Segoe UI" w:hAnsi="Segoe UI" w:cs="Segoe UI"/>
                <w:color w:val="000000"/>
                <w:sz w:val="22"/>
                <w:szCs w:val="22"/>
              </w:rPr>
            </w:pPr>
            <w:r w:rsidRPr="0008141E">
              <w:rPr>
                <w:rFonts w:ascii="Segoe UI" w:hAnsi="Segoe UI" w:cs="Segoe UI"/>
                <w:color w:val="000000"/>
                <w:sz w:val="22"/>
                <w:szCs w:val="22"/>
              </w:rPr>
              <w:t>Nil</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7.5</w:t>
            </w:r>
          </w:p>
        </w:tc>
        <w:tc>
          <w:tcPr>
            <w:tcW w:w="714"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6.1</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4.2</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2.9</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1.8</w:t>
            </w:r>
          </w:p>
        </w:tc>
        <w:tc>
          <w:tcPr>
            <w:tcW w:w="715" w:type="pct"/>
          </w:tcPr>
          <w:p w:rsidR="000B6234" w:rsidRPr="0008141E" w:rsidRDefault="000B6234" w:rsidP="007B653B">
            <w:pPr>
              <w:jc w:val="right"/>
              <w:rPr>
                <w:rFonts w:ascii="Segoe UI" w:hAnsi="Segoe UI" w:cs="Segoe UI"/>
                <w:color w:val="000000"/>
                <w:sz w:val="22"/>
                <w:szCs w:val="22"/>
              </w:rPr>
            </w:pPr>
            <w:r w:rsidRPr="0008141E">
              <w:rPr>
                <w:rFonts w:ascii="Segoe UI" w:hAnsi="Segoe UI" w:cs="Segoe UI"/>
                <w:color w:val="000000"/>
                <w:sz w:val="22"/>
                <w:szCs w:val="22"/>
              </w:rPr>
              <w:t>0.9</w:t>
            </w:r>
          </w:p>
        </w:tc>
      </w:tr>
    </w:tbl>
    <w:p w:rsidR="0026457D" w:rsidRPr="00596D01" w:rsidRDefault="0026457D" w:rsidP="007B653B">
      <w:pPr>
        <w:pStyle w:val="Heading3Numbered"/>
      </w:pPr>
      <w:bookmarkStart w:id="954" w:name="_Toc524424814"/>
      <w:r w:rsidRPr="00596D01">
        <w:t>Implication – the importance of appropriate indexation</w:t>
      </w:r>
      <w:bookmarkEnd w:id="954"/>
      <w:r w:rsidRPr="00596D01">
        <w:t xml:space="preserve"> </w:t>
      </w:r>
    </w:p>
    <w:p w:rsidR="000B6234" w:rsidRPr="000B6234" w:rsidRDefault="000B6234" w:rsidP="007B653B">
      <w:pPr>
        <w:rPr>
          <w:lang w:val="en-GB"/>
        </w:rPr>
      </w:pPr>
      <w:r w:rsidRPr="000B6234">
        <w:rPr>
          <w:lang w:val="en-GB"/>
        </w:rPr>
        <w:t>The above analysis highlights that indexation and claiming by providers under the ACFI tool may be linked. ACFA observes that it is possible that if the rate of indexation is not adequately keeping pace with cost pressures, providers may be incentivised to strive for every opportunity to maximise their ACFI claims to compensate. This then contributes to volatility in care funding and an inefficient cycle of growth followed by measures to constrain growth.</w:t>
      </w:r>
    </w:p>
    <w:p w:rsidR="00D8721E" w:rsidRDefault="000B6234" w:rsidP="007B653B">
      <w:pPr>
        <w:rPr>
          <w:lang w:val="en-GB"/>
        </w:rPr>
      </w:pPr>
      <w:r w:rsidRPr="000B6234">
        <w:rPr>
          <w:lang w:val="en-GB"/>
        </w:rPr>
        <w:lastRenderedPageBreak/>
        <w:t>Given these possible linkages, ACFA considers it would be timely for the Government to consider the issue of indexation settings at the same time as it is reviewing the funding tool.</w:t>
      </w:r>
    </w:p>
    <w:p w:rsidR="0026457D" w:rsidRPr="00596D01" w:rsidRDefault="0026457D" w:rsidP="007B653B">
      <w:pPr>
        <w:pStyle w:val="Heading2Numbered"/>
      </w:pPr>
      <w:bookmarkStart w:id="955" w:name="_Toc524424815"/>
      <w:r w:rsidRPr="00596D01">
        <w:t>The long term demographic pressures and the capital investment challenge</w:t>
      </w:r>
      <w:bookmarkEnd w:id="955"/>
    </w:p>
    <w:p w:rsidR="00D8721E" w:rsidRDefault="002A11A8" w:rsidP="007B653B">
      <w:pPr>
        <w:rPr>
          <w:lang w:val="en-GB"/>
        </w:rPr>
      </w:pPr>
      <w:r w:rsidRPr="002A11A8">
        <w:rPr>
          <w:lang w:val="en-GB"/>
        </w:rPr>
        <w:t>The ageing of the population will see a marked increase in the number of older Australians likely to need residential care. The proportion of people aged 85 and over, the common age for entry to residential care, is projected to grow to nearly 5</w:t>
      </w:r>
      <w:r w:rsidR="00A261F3">
        <w:rPr>
          <w:lang w:val="en-GB"/>
        </w:rPr>
        <w:t> per cent</w:t>
      </w:r>
      <w:r w:rsidRPr="002A11A8">
        <w:rPr>
          <w:lang w:val="en-GB"/>
        </w:rPr>
        <w:t xml:space="preserve"> of the population by 2055, compared with just over 2</w:t>
      </w:r>
      <w:r w:rsidR="00A261F3">
        <w:rPr>
          <w:lang w:val="en-GB"/>
        </w:rPr>
        <w:t> per cent</w:t>
      </w:r>
      <w:r w:rsidRPr="002A11A8">
        <w:rPr>
          <w:lang w:val="en-GB"/>
        </w:rPr>
        <w:t xml:space="preserve"> today. The Intergenerational report by the Department of the Treasury noted that Australian Government expenditure on aged care is projected to nearly double as a share of the economy, from almost 1</w:t>
      </w:r>
      <w:r w:rsidR="00A261F3">
        <w:rPr>
          <w:lang w:val="en-GB"/>
        </w:rPr>
        <w:t> per cent</w:t>
      </w:r>
      <w:r w:rsidRPr="002A11A8">
        <w:rPr>
          <w:lang w:val="en-GB"/>
        </w:rPr>
        <w:t xml:space="preserve"> currently to around 1.7</w:t>
      </w:r>
      <w:r w:rsidR="00A261F3">
        <w:rPr>
          <w:lang w:val="en-GB"/>
        </w:rPr>
        <w:t> per cent</w:t>
      </w:r>
      <w:r w:rsidRPr="002A11A8">
        <w:rPr>
          <w:lang w:val="en-GB"/>
        </w:rPr>
        <w:t xml:space="preserve"> of GDP by 2055</w:t>
      </w:r>
      <w:r>
        <w:rPr>
          <w:rStyle w:val="FootnoteReference"/>
          <w:rFonts w:cs="Segoe UI"/>
          <w:color w:val="313131"/>
          <w:lang w:val="en-GB"/>
        </w:rPr>
        <w:footnoteReference w:id="52"/>
      </w:r>
      <w:r w:rsidR="00D8721E">
        <w:rPr>
          <w:lang w:val="en-GB"/>
        </w:rPr>
        <w:t>.</w:t>
      </w:r>
    </w:p>
    <w:p w:rsidR="00D8721E" w:rsidRDefault="002A11A8" w:rsidP="007B653B">
      <w:pPr>
        <w:rPr>
          <w:lang w:val="en-GB"/>
        </w:rPr>
      </w:pPr>
      <w:r w:rsidRPr="002A11A8">
        <w:rPr>
          <w:lang w:val="en-GB"/>
        </w:rPr>
        <w:t>The significant demographic shift will increase financial pressures for Government. While this shift is not immediate, it will build over the next decade as the ‘baby boom’ cohort of the population approach 85 years old</w:t>
      </w:r>
      <w:r w:rsidR="00D8721E">
        <w:rPr>
          <w:lang w:val="en-GB"/>
        </w:rPr>
        <w:t>.</w:t>
      </w:r>
    </w:p>
    <w:p w:rsidR="00D8721E" w:rsidRDefault="002A11A8" w:rsidP="007B653B">
      <w:pPr>
        <w:rPr>
          <w:lang w:val="en-GB"/>
        </w:rPr>
      </w:pPr>
      <w:r w:rsidRPr="002A11A8">
        <w:rPr>
          <w:lang w:val="en-GB"/>
        </w:rPr>
        <w:t xml:space="preserve">In response to these demographic pressures, the </w:t>
      </w:r>
      <w:r w:rsidRPr="00596D01">
        <w:rPr>
          <w:rStyle w:val="Emphasis"/>
        </w:rPr>
        <w:t>Legislated Review of Aged Care</w:t>
      </w:r>
      <w:r w:rsidR="00A261F3" w:rsidRPr="00596D01">
        <w:rPr>
          <w:rStyle w:val="Emphasis"/>
        </w:rPr>
        <w:t> 201</w:t>
      </w:r>
      <w:r w:rsidRPr="00596D01">
        <w:rPr>
          <w:rStyle w:val="Emphasis"/>
        </w:rPr>
        <w:t>7</w:t>
      </w:r>
      <w:r w:rsidRPr="002A11A8">
        <w:rPr>
          <w:lang w:val="en-GB"/>
        </w:rPr>
        <w:t xml:space="preserve"> recommended changing the aged care planning ratio after</w:t>
      </w:r>
      <w:r w:rsidR="00A261F3">
        <w:rPr>
          <w:lang w:val="en-GB"/>
        </w:rPr>
        <w:t> 202</w:t>
      </w:r>
      <w:r w:rsidRPr="002A11A8">
        <w:rPr>
          <w:lang w:val="en-GB"/>
        </w:rPr>
        <w:t>2 to reflect numbers of consumers over age 75 rather than age 70, with this to be done in a way which would increase the number of places over time. Further, the Legislated Review estimated this could come at a cost to Government of around $</w:t>
      </w:r>
      <w:r w:rsidR="0056555D">
        <w:rPr>
          <w:lang w:val="en-GB"/>
        </w:rPr>
        <w:t>2</w:t>
      </w:r>
      <w:r w:rsidR="00A261F3">
        <w:rPr>
          <w:lang w:val="en-GB"/>
        </w:rPr>
        <w:t> billion</w:t>
      </w:r>
      <w:r w:rsidRPr="002A11A8">
        <w:rPr>
          <w:lang w:val="en-GB"/>
        </w:rPr>
        <w:t xml:space="preserve"> per annum by 2031</w:t>
      </w:r>
      <w:r w:rsidR="00D8721E">
        <w:rPr>
          <w:lang w:val="en-GB"/>
        </w:rPr>
        <w:t>.</w:t>
      </w:r>
    </w:p>
    <w:p w:rsidR="00D8721E" w:rsidRDefault="002A11A8" w:rsidP="007B653B">
      <w:pPr>
        <w:rPr>
          <w:color w:val="000000"/>
        </w:rPr>
      </w:pPr>
      <w:r w:rsidRPr="00494504">
        <w:rPr>
          <w:lang w:val="en-GB"/>
        </w:rPr>
        <w:t xml:space="preserve">While demand is expected to continue to shift to home care as a result of the reforms, the number of people needing residential care is expected to also continue to grow due to the absolute increase in the number of older people. </w:t>
      </w:r>
      <w:r w:rsidR="00144F58">
        <w:rPr>
          <w:lang w:val="en-GB"/>
        </w:rPr>
        <w:t xml:space="preserve">Capital investment and renewal is also important for supporting continued operations for providers. </w:t>
      </w:r>
      <w:r w:rsidRPr="00494504">
        <w:rPr>
          <w:lang w:val="en-GB"/>
        </w:rPr>
        <w:t>This brings into focus the need for ongoing capital investment in the sector to build new stock and regenerate older stock in a manner that meets the demands and expectations of consumers</w:t>
      </w:r>
      <w:r w:rsidR="00144F58">
        <w:rPr>
          <w:lang w:val="en-GB"/>
        </w:rPr>
        <w:t xml:space="preserve"> and supports providers</w:t>
      </w:r>
      <w:r w:rsidRPr="00494504">
        <w:rPr>
          <w:lang w:val="en-GB"/>
        </w:rPr>
        <w:t>. The</w:t>
      </w:r>
      <w:r>
        <w:t xml:space="preserve"> </w:t>
      </w:r>
      <w:r w:rsidRPr="00596D01">
        <w:rPr>
          <w:rStyle w:val="Emphasis"/>
        </w:rPr>
        <w:t>Legislated Review of Aged Care</w:t>
      </w:r>
      <w:r w:rsidR="00A261F3" w:rsidRPr="00596D01">
        <w:rPr>
          <w:rStyle w:val="Emphasis"/>
        </w:rPr>
        <w:t> 201</w:t>
      </w:r>
      <w:r w:rsidRPr="00596D01">
        <w:rPr>
          <w:rStyle w:val="Emphasis"/>
        </w:rPr>
        <w:t>7</w:t>
      </w:r>
      <w:r w:rsidRPr="0045449A">
        <w:t xml:space="preserve"> </w:t>
      </w:r>
      <w:r w:rsidRPr="00494504">
        <w:rPr>
          <w:lang w:val="en-GB"/>
        </w:rPr>
        <w:t>noted</w:t>
      </w:r>
      <w:r>
        <w:rPr>
          <w:color w:val="FF0000"/>
        </w:rPr>
        <w:t xml:space="preserve"> </w:t>
      </w:r>
      <w:r w:rsidRPr="00596D01">
        <w:rPr>
          <w:rStyle w:val="Emphasis"/>
        </w:rPr>
        <w:t>“While there is considerable uncertainty about the exact levels of demand, the long-term need for more aged care resulting from demographic changes is certain and will need to be addressed by government”.</w:t>
      </w:r>
    </w:p>
    <w:p w:rsidR="0026457D" w:rsidRPr="00596D01" w:rsidRDefault="0026457D" w:rsidP="007B653B">
      <w:pPr>
        <w:pStyle w:val="Heading3Numbered"/>
      </w:pPr>
      <w:bookmarkStart w:id="956" w:name="_Toc524424816"/>
      <w:r w:rsidRPr="00596D01">
        <w:t>Recent history and reforms</w:t>
      </w:r>
      <w:bookmarkEnd w:id="956"/>
      <w:r w:rsidRPr="00596D01">
        <w:t xml:space="preserve"> </w:t>
      </w:r>
    </w:p>
    <w:p w:rsidR="00D8721E" w:rsidRDefault="00494504" w:rsidP="007B653B">
      <w:pPr>
        <w:rPr>
          <w:lang w:val="en-GB"/>
        </w:rPr>
      </w:pPr>
      <w:r w:rsidRPr="00494504">
        <w:rPr>
          <w:lang w:val="en-GB"/>
        </w:rPr>
        <w:t>Prior to the Living Longer Living Better reforms, concerns had been expressed in the sector about whether pricing regulations for accommodation payments (e.g. the capped daily accommodation charge for non-supported residents in high care and the low level of the accommodation supplement for supported residents) would support the investment needed to meet future demand for residential aged care. The decline in applications for places under the ACARs underlined this concern</w:t>
      </w:r>
      <w:r w:rsidR="00D8721E">
        <w:rPr>
          <w:lang w:val="en-GB"/>
        </w:rPr>
        <w:t>.</w:t>
      </w:r>
    </w:p>
    <w:p w:rsidR="00494504" w:rsidRPr="00494504" w:rsidRDefault="00494504" w:rsidP="007B653B">
      <w:pPr>
        <w:rPr>
          <w:lang w:val="en-GB"/>
        </w:rPr>
      </w:pPr>
      <w:r w:rsidRPr="00494504">
        <w:rPr>
          <w:lang w:val="en-GB"/>
        </w:rPr>
        <w:t>The</w:t>
      </w:r>
      <w:r w:rsidR="00A261F3">
        <w:rPr>
          <w:lang w:val="en-GB"/>
        </w:rPr>
        <w:t> 201</w:t>
      </w:r>
      <w:r w:rsidRPr="00494504">
        <w:rPr>
          <w:lang w:val="en-GB"/>
        </w:rPr>
        <w:t>4 reforms, which extended market-based lump sum deposits and daily payments for accommodation for all new residents and introduced the higher accommodation supplement for newly built and significantly refurbished facilities and increases in subsidies through the rolling in of the workforce supplement to general subsidies – have had a positive impact on investor sentiment. The lump sum pool has grown from $15.6</w:t>
      </w:r>
      <w:r w:rsidR="00A261F3">
        <w:rPr>
          <w:lang w:val="en-GB"/>
        </w:rPr>
        <w:t> billion</w:t>
      </w:r>
      <w:r w:rsidRPr="00494504">
        <w:rPr>
          <w:lang w:val="en-GB"/>
        </w:rPr>
        <w:t xml:space="preserve"> when the reforms began in July</w:t>
      </w:r>
      <w:r w:rsidR="00A261F3">
        <w:rPr>
          <w:lang w:val="en-GB"/>
        </w:rPr>
        <w:t> 201</w:t>
      </w:r>
      <w:r w:rsidRPr="00494504">
        <w:rPr>
          <w:lang w:val="en-GB"/>
        </w:rPr>
        <w:t>4 to almost $25</w:t>
      </w:r>
      <w:r w:rsidR="00A261F3">
        <w:rPr>
          <w:lang w:val="en-GB"/>
        </w:rPr>
        <w:t> billion</w:t>
      </w:r>
      <w:r w:rsidRPr="00494504">
        <w:rPr>
          <w:lang w:val="en-GB"/>
        </w:rPr>
        <w:t xml:space="preserve"> at </w:t>
      </w:r>
      <w:r w:rsidR="00A261F3">
        <w:rPr>
          <w:lang w:val="en-GB"/>
        </w:rPr>
        <w:t>30 J</w:t>
      </w:r>
      <w:r w:rsidRPr="00494504">
        <w:rPr>
          <w:lang w:val="en-GB"/>
        </w:rPr>
        <w:t>une</w:t>
      </w:r>
      <w:r w:rsidR="00A261F3">
        <w:rPr>
          <w:lang w:val="en-GB"/>
        </w:rPr>
        <w:t> 201</w:t>
      </w:r>
      <w:r w:rsidRPr="00494504">
        <w:rPr>
          <w:lang w:val="en-GB"/>
        </w:rPr>
        <w:t>7. The improved investor sentiment was evident in the record level of applications for places in the ACAR rounds following the reforms.</w:t>
      </w:r>
    </w:p>
    <w:p w:rsidR="00D8721E" w:rsidRDefault="00494504" w:rsidP="007B653B">
      <w:pPr>
        <w:rPr>
          <w:lang w:val="en-GB"/>
        </w:rPr>
      </w:pPr>
      <w:r w:rsidRPr="00494504">
        <w:rPr>
          <w:lang w:val="en-GB"/>
        </w:rPr>
        <w:t>High growth in ACFI payments per resident per day, as well as the increase in ACFI prices as a result of the Workforce Supplement, also promoted a more positive sentiment in the sector.</w:t>
      </w:r>
    </w:p>
    <w:p w:rsidR="0026457D" w:rsidRPr="00596D01" w:rsidRDefault="0026457D" w:rsidP="007B653B">
      <w:pPr>
        <w:pStyle w:val="Heading3Numbered"/>
      </w:pPr>
      <w:bookmarkStart w:id="957" w:name="_Toc524424817"/>
      <w:r w:rsidRPr="00596D01">
        <w:t>Current issues and looking forward</w:t>
      </w:r>
      <w:bookmarkEnd w:id="957"/>
    </w:p>
    <w:p w:rsidR="00D8721E" w:rsidRDefault="00494504" w:rsidP="007B653B">
      <w:pPr>
        <w:rPr>
          <w:lang w:val="en-GB"/>
        </w:rPr>
      </w:pPr>
      <w:r w:rsidRPr="00494504">
        <w:rPr>
          <w:lang w:val="en-GB"/>
        </w:rPr>
        <w:t>Analysis of building approvals and building work is contained in Chapter 10. Data shows that while investment trends have been improving since the 1 July</w:t>
      </w:r>
      <w:r w:rsidR="00A261F3">
        <w:rPr>
          <w:lang w:val="en-GB"/>
        </w:rPr>
        <w:t> 201</w:t>
      </w:r>
      <w:r w:rsidRPr="00494504">
        <w:rPr>
          <w:lang w:val="en-GB"/>
        </w:rPr>
        <w:t>4 reforms, the proportion of providers reporting they are intending to build has declined noticeably. Those intending to rebuild decreased from 4.5</w:t>
      </w:r>
      <w:r w:rsidR="00A261F3">
        <w:rPr>
          <w:lang w:val="en-GB"/>
        </w:rPr>
        <w:t> per cent</w:t>
      </w:r>
      <w:r w:rsidRPr="00494504">
        <w:rPr>
          <w:lang w:val="en-GB"/>
        </w:rPr>
        <w:t xml:space="preserve"> </w:t>
      </w:r>
      <w:r w:rsidRPr="00494504">
        <w:rPr>
          <w:lang w:val="en-GB"/>
        </w:rPr>
        <w:lastRenderedPageBreak/>
        <w:t>in</w:t>
      </w:r>
      <w:r w:rsidR="00A261F3">
        <w:rPr>
          <w:lang w:val="en-GB"/>
        </w:rPr>
        <w:t> 201</w:t>
      </w:r>
      <w:r w:rsidRPr="00494504">
        <w:rPr>
          <w:lang w:val="en-GB"/>
        </w:rPr>
        <w:t>5</w:t>
      </w:r>
      <w:r w:rsidR="00D8721E">
        <w:rPr>
          <w:lang w:val="en-GB"/>
        </w:rPr>
        <w:t>–1</w:t>
      </w:r>
      <w:r w:rsidRPr="00494504">
        <w:rPr>
          <w:lang w:val="en-GB"/>
        </w:rPr>
        <w:t>6 to 2</w:t>
      </w:r>
      <w:r w:rsidR="00A261F3">
        <w:rPr>
          <w:lang w:val="en-GB"/>
        </w:rPr>
        <w:t> per cent</w:t>
      </w:r>
      <w:r w:rsidRPr="00494504">
        <w:rPr>
          <w:lang w:val="en-GB"/>
        </w:rPr>
        <w:t xml:space="preserve"> in</w:t>
      </w:r>
      <w:r w:rsidR="00A261F3">
        <w:rPr>
          <w:lang w:val="en-GB"/>
        </w:rPr>
        <w:t> 201</w:t>
      </w:r>
      <w:r w:rsidRPr="00494504">
        <w:rPr>
          <w:lang w:val="en-GB"/>
        </w:rPr>
        <w:t>6</w:t>
      </w:r>
      <w:r w:rsidR="00D8721E">
        <w:rPr>
          <w:lang w:val="en-GB"/>
        </w:rPr>
        <w:t>–1</w:t>
      </w:r>
      <w:r w:rsidRPr="00494504">
        <w:rPr>
          <w:lang w:val="en-GB"/>
        </w:rPr>
        <w:t>7, and those intending to upgrade decreased to 9</w:t>
      </w:r>
      <w:r w:rsidR="00A261F3">
        <w:rPr>
          <w:lang w:val="en-GB"/>
        </w:rPr>
        <w:t> per cent</w:t>
      </w:r>
      <w:r w:rsidRPr="00494504">
        <w:rPr>
          <w:lang w:val="en-GB"/>
        </w:rPr>
        <w:t xml:space="preserve"> from 14</w:t>
      </w:r>
      <w:r w:rsidR="00A261F3">
        <w:rPr>
          <w:lang w:val="en-GB"/>
        </w:rPr>
        <w:t> per cent</w:t>
      </w:r>
      <w:r w:rsidR="00D8721E">
        <w:rPr>
          <w:lang w:val="en-GB"/>
        </w:rPr>
        <w:t>.</w:t>
      </w:r>
    </w:p>
    <w:p w:rsidR="00D8721E" w:rsidRDefault="00494504" w:rsidP="007B653B">
      <w:pPr>
        <w:rPr>
          <w:lang w:val="en-GB"/>
        </w:rPr>
      </w:pPr>
      <w:r w:rsidRPr="00494504">
        <w:rPr>
          <w:lang w:val="en-GB"/>
        </w:rPr>
        <w:t>ACFA is aware anecdotally that investor sentiment has shifted</w:t>
      </w:r>
      <w:r w:rsidR="00144F58">
        <w:rPr>
          <w:lang w:val="en-GB"/>
        </w:rPr>
        <w:t xml:space="preserve"> somewhat</w:t>
      </w:r>
      <w:r w:rsidRPr="00494504">
        <w:rPr>
          <w:lang w:val="en-GB"/>
        </w:rPr>
        <w:t xml:space="preserve"> and some providers are putting investment projects on hold and not proceeding with work previously planned</w:t>
      </w:r>
      <w:r w:rsidR="00144F58">
        <w:rPr>
          <w:lang w:val="en-GB"/>
        </w:rPr>
        <w:t xml:space="preserve"> while they assess the future direction of the market and reforms</w:t>
      </w:r>
      <w:r w:rsidR="00D8721E">
        <w:rPr>
          <w:lang w:val="en-GB"/>
        </w:rPr>
        <w:t>.</w:t>
      </w:r>
    </w:p>
    <w:p w:rsidR="00494504" w:rsidRPr="00494504" w:rsidRDefault="00494504" w:rsidP="007B653B">
      <w:pPr>
        <w:rPr>
          <w:lang w:val="en-GB"/>
        </w:rPr>
      </w:pPr>
      <w:r w:rsidRPr="00494504">
        <w:rPr>
          <w:lang w:val="en-GB"/>
        </w:rPr>
        <w:t>The shift in sentiment likely reflects the impact of a deterioration in financial results over the past 12 months and uncertainty over future developments. The more marginal projects in terms of either business or financing risk are likely to be delayed or abandoned first, and this may have implications for investment in rural and remote areas where profitability is generally lower. ACFA notes, however, that the Government has announced an additional $10</w:t>
      </w:r>
      <w:r w:rsidR="00AB6911">
        <w:rPr>
          <w:lang w:val="en-GB"/>
        </w:rPr>
        <w:t>0</w:t>
      </w:r>
      <w:r w:rsidR="00A261F3">
        <w:rPr>
          <w:lang w:val="en-GB"/>
        </w:rPr>
        <w:t> million</w:t>
      </w:r>
      <w:r w:rsidRPr="00494504">
        <w:rPr>
          <w:lang w:val="en-GB"/>
        </w:rPr>
        <w:t xml:space="preserve"> in capital grants for new and refurbished facilities in rural and remote areas.</w:t>
      </w:r>
    </w:p>
    <w:p w:rsidR="00D8721E" w:rsidRDefault="00494504" w:rsidP="007B653B">
      <w:pPr>
        <w:rPr>
          <w:lang w:val="en-GB"/>
        </w:rPr>
      </w:pPr>
      <w:r w:rsidRPr="00494504">
        <w:rPr>
          <w:lang w:val="en-GB"/>
        </w:rPr>
        <w:t>Another factor influencing the outlook for investment in the sector is that the growth in the pool of RADs held by providers since the Living Longer Living Better reforms has slowed</w:t>
      </w:r>
      <w:r w:rsidR="00D8721E">
        <w:rPr>
          <w:lang w:val="en-GB"/>
        </w:rPr>
        <w:t>.</w:t>
      </w:r>
    </w:p>
    <w:p w:rsidR="00494504" w:rsidRPr="00494504" w:rsidRDefault="00494504" w:rsidP="007B653B">
      <w:pPr>
        <w:rPr>
          <w:lang w:val="en-GB"/>
        </w:rPr>
      </w:pPr>
      <w:r w:rsidRPr="00494504">
        <w:rPr>
          <w:lang w:val="en-GB"/>
        </w:rPr>
        <w:t>In the years immediately following the reforms, the pool of RADs grew because the option to pay by lump sum deposit was extended to all new residents (partially supported and non-supported) and no longer limited to just low care residents. While the pool of lump sums could continue to grow along with any growth in the number of non-supported residents (to date non-supported residents have been more likely to choose to pay by lump sum), this largely depends on future consumers’ choice of payment method. The rate of growth may be slowed if the emerging trend towards more consumers electing to pay DAPs over RADs continues.</w:t>
      </w:r>
    </w:p>
    <w:p w:rsidR="00D8721E" w:rsidRDefault="00494504" w:rsidP="007B653B">
      <w:pPr>
        <w:rPr>
          <w:lang w:val="en-GB"/>
        </w:rPr>
      </w:pPr>
      <w:r w:rsidRPr="00494504">
        <w:rPr>
          <w:lang w:val="en-GB"/>
        </w:rPr>
        <w:t>Two other factors may dilute the rate of growth. First, new RAD paying residents are now more likely to be replacing existing RAD paying residents, whereas in the years immediately following the reforms the ratio of new RAD payers to lump sum refunds was much higher (largely due as pre</w:t>
      </w:r>
      <w:r w:rsidR="00A261F3">
        <w:rPr>
          <w:lang w:val="en-GB"/>
        </w:rPr>
        <w:t> 201</w:t>
      </w:r>
      <w:r w:rsidRPr="00494504">
        <w:rPr>
          <w:lang w:val="en-GB"/>
        </w:rPr>
        <w:t>4 residents who hadn’t paid a lump sum being replaced with post</w:t>
      </w:r>
      <w:r w:rsidR="00A261F3">
        <w:rPr>
          <w:lang w:val="en-GB"/>
        </w:rPr>
        <w:t> 201</w:t>
      </w:r>
      <w:r w:rsidRPr="00494504">
        <w:rPr>
          <w:lang w:val="en-GB"/>
        </w:rPr>
        <w:t>4 residents who were more often paying a lump sum</w:t>
      </w:r>
      <w:r w:rsidR="00D8721E">
        <w:rPr>
          <w:lang w:val="en-GB"/>
        </w:rPr>
        <w:t xml:space="preserve"> – </w:t>
      </w:r>
      <w:r w:rsidRPr="00494504">
        <w:rPr>
          <w:lang w:val="en-GB"/>
        </w:rPr>
        <w:t>subject to their choice of payment method). Second, the rate of growth will slow if residential occupancy rates continue to fall in response to the expansion of home care packages. These factors could present a particular challenge for those providers that currently rely heavily on RADs, and who may need to transition to alternative sources of finance</w:t>
      </w:r>
      <w:r w:rsidR="00D8721E">
        <w:rPr>
          <w:lang w:val="en-GB"/>
        </w:rPr>
        <w:t>.</w:t>
      </w:r>
    </w:p>
    <w:p w:rsidR="00D8721E" w:rsidRDefault="00494504" w:rsidP="007B653B">
      <w:pPr>
        <w:rPr>
          <w:lang w:val="en-GB"/>
        </w:rPr>
      </w:pPr>
      <w:r w:rsidRPr="00494504">
        <w:rPr>
          <w:lang w:val="en-GB"/>
        </w:rPr>
        <w:t xml:space="preserve">ACFA has updated its estimates on the investment needed in the sector to support expected growing demand. This analysis is at Section </w:t>
      </w:r>
      <w:r w:rsidR="00492BF8">
        <w:rPr>
          <w:lang w:val="en-GB"/>
        </w:rPr>
        <w:fldChar w:fldCharType="begin"/>
      </w:r>
      <w:r w:rsidR="00492BF8">
        <w:rPr>
          <w:lang w:val="en-GB"/>
        </w:rPr>
        <w:instrText xml:space="preserve"> REF _Ref524427820 \r \h </w:instrText>
      </w:r>
      <w:r w:rsidR="00492BF8">
        <w:rPr>
          <w:lang w:val="en-GB"/>
        </w:rPr>
      </w:r>
      <w:r w:rsidR="00492BF8">
        <w:rPr>
          <w:lang w:val="en-GB"/>
        </w:rPr>
        <w:fldChar w:fldCharType="separate"/>
      </w:r>
      <w:r w:rsidR="00492BF8">
        <w:rPr>
          <w:lang w:val="en-GB"/>
        </w:rPr>
        <w:t>10.4</w:t>
      </w:r>
      <w:r w:rsidR="00492BF8">
        <w:rPr>
          <w:lang w:val="en-GB"/>
        </w:rPr>
        <w:fldChar w:fldCharType="end"/>
      </w:r>
      <w:r w:rsidRPr="00494504">
        <w:rPr>
          <w:lang w:val="en-GB"/>
        </w:rPr>
        <w:t xml:space="preserve"> in Chapter </w:t>
      </w:r>
      <w:r w:rsidR="00492BF8">
        <w:rPr>
          <w:lang w:val="en-GB"/>
        </w:rPr>
        <w:fldChar w:fldCharType="begin"/>
      </w:r>
      <w:r w:rsidR="00492BF8">
        <w:rPr>
          <w:lang w:val="en-GB"/>
        </w:rPr>
        <w:instrText xml:space="preserve"> REF _Ref524427831 \r \h </w:instrText>
      </w:r>
      <w:r w:rsidR="00492BF8">
        <w:rPr>
          <w:lang w:val="en-GB"/>
        </w:rPr>
      </w:r>
      <w:r w:rsidR="00492BF8">
        <w:rPr>
          <w:lang w:val="en-GB"/>
        </w:rPr>
        <w:fldChar w:fldCharType="separate"/>
      </w:r>
      <w:r w:rsidR="00492BF8">
        <w:rPr>
          <w:lang w:val="en-GB"/>
        </w:rPr>
        <w:t>10</w:t>
      </w:r>
      <w:r w:rsidR="00492BF8">
        <w:rPr>
          <w:lang w:val="en-GB"/>
        </w:rPr>
        <w:fldChar w:fldCharType="end"/>
      </w:r>
      <w:r w:rsidR="00D8721E">
        <w:rPr>
          <w:lang w:val="en-GB"/>
        </w:rPr>
        <w:t>.</w:t>
      </w:r>
    </w:p>
    <w:p w:rsidR="00D8721E" w:rsidRDefault="00494504" w:rsidP="007B653B">
      <w:pPr>
        <w:rPr>
          <w:lang w:val="en-GB"/>
        </w:rPr>
      </w:pPr>
      <w:r w:rsidRPr="00494504">
        <w:rPr>
          <w:lang w:val="en-GB"/>
        </w:rPr>
        <w:t>ACFA considers that close attention needs to be given to the factors impacting on the outlook for investment in the aged care residential sector.</w:t>
      </w:r>
    </w:p>
    <w:p w:rsidR="0026457D" w:rsidRPr="00596D01" w:rsidRDefault="0026457D" w:rsidP="007B653B">
      <w:pPr>
        <w:pStyle w:val="Heading2Numbered"/>
      </w:pPr>
      <w:bookmarkStart w:id="958" w:name="_Toc524424818"/>
      <w:r w:rsidRPr="00596D01">
        <w:t>The challenge for providers</w:t>
      </w:r>
      <w:bookmarkEnd w:id="958"/>
    </w:p>
    <w:p w:rsidR="00743114" w:rsidRPr="00743114" w:rsidRDefault="00743114" w:rsidP="007B653B">
      <w:pPr>
        <w:rPr>
          <w:lang w:val="en-GB"/>
        </w:rPr>
      </w:pPr>
      <w:r w:rsidRPr="00743114">
        <w:rPr>
          <w:lang w:val="en-GB"/>
        </w:rPr>
        <w:t>The challenge for providers is to ensure they are operating efficiently and effectively and driving productivity improvements. This will be increasingly important if the Government proceeds with proposals recommended by the Legislated Review of Aged Care</w:t>
      </w:r>
      <w:r w:rsidR="00A261F3">
        <w:rPr>
          <w:lang w:val="en-GB"/>
        </w:rPr>
        <w:t> 201</w:t>
      </w:r>
      <w:r w:rsidRPr="00743114">
        <w:rPr>
          <w:lang w:val="en-GB"/>
        </w:rPr>
        <w:t>7 to deregulate supply controls and move towards a more consumer directed and competitive aged care sector.</w:t>
      </w:r>
      <w:r w:rsidR="00144F58">
        <w:rPr>
          <w:lang w:val="en-GB"/>
        </w:rPr>
        <w:t xml:space="preserve"> Providers will also need to consider if their business models and approaches of the past are the most efficient and effective for the market that may develop into the future.</w:t>
      </w:r>
    </w:p>
    <w:p w:rsidR="00D8721E" w:rsidRDefault="00743114" w:rsidP="007B653B">
      <w:pPr>
        <w:rPr>
          <w:lang w:val="en-GB"/>
        </w:rPr>
      </w:pPr>
      <w:r w:rsidRPr="00743114">
        <w:rPr>
          <w:lang w:val="en-GB"/>
        </w:rPr>
        <w:t xml:space="preserve">The very wide diversity in the financial performance of providers has been highlighted in this report. There are providers, irrespective of size, ownership type and location, who are achieving good financial results under current funding arrangements, notwithstanding the recent ACFI changes (see analysis in Section </w:t>
      </w:r>
      <w:r w:rsidR="00492BF8">
        <w:rPr>
          <w:lang w:val="en-GB"/>
        </w:rPr>
        <w:fldChar w:fldCharType="begin"/>
      </w:r>
      <w:r w:rsidR="00492BF8">
        <w:rPr>
          <w:lang w:val="en-GB"/>
        </w:rPr>
        <w:instrText xml:space="preserve"> REF _Ref524427844 \r \h </w:instrText>
      </w:r>
      <w:r w:rsidR="00492BF8">
        <w:rPr>
          <w:lang w:val="en-GB"/>
        </w:rPr>
      </w:r>
      <w:r w:rsidR="00492BF8">
        <w:rPr>
          <w:lang w:val="en-GB"/>
        </w:rPr>
        <w:fldChar w:fldCharType="separate"/>
      </w:r>
      <w:r w:rsidR="00492BF8">
        <w:rPr>
          <w:lang w:val="en-GB"/>
        </w:rPr>
        <w:t>9.3.3</w:t>
      </w:r>
      <w:r w:rsidR="00492BF8">
        <w:rPr>
          <w:lang w:val="en-GB"/>
        </w:rPr>
        <w:fldChar w:fldCharType="end"/>
      </w:r>
      <w:r w:rsidRPr="00743114">
        <w:rPr>
          <w:lang w:val="en-GB"/>
        </w:rPr>
        <w:t xml:space="preserve"> where the top 25</w:t>
      </w:r>
      <w:r w:rsidR="00A261F3">
        <w:rPr>
          <w:lang w:val="en-GB"/>
        </w:rPr>
        <w:t> per cent</w:t>
      </w:r>
      <w:r w:rsidRPr="00743114">
        <w:rPr>
          <w:lang w:val="en-GB"/>
        </w:rPr>
        <w:t xml:space="preserve"> of providers are achieving average EBITDA per resident per annum of $24,751 compared with the average of $11,481 for the whole sector). While a range of factors would be affecting the individual performance of providers, including in particular the demands facing providers operating in rural and remote areas the magnitude of the variance in financial results suggests there is scope for many providers to improve their operations and performance. </w:t>
      </w:r>
      <w:r w:rsidR="00492BF8">
        <w:rPr>
          <w:lang w:val="en-GB"/>
        </w:rPr>
        <w:fldChar w:fldCharType="begin"/>
      </w:r>
      <w:r w:rsidR="00492BF8">
        <w:rPr>
          <w:lang w:val="en-GB"/>
        </w:rPr>
        <w:instrText xml:space="preserve"> REF _Ref524428865 \r \h </w:instrText>
      </w:r>
      <w:r w:rsidR="00492BF8">
        <w:rPr>
          <w:lang w:val="en-GB"/>
        </w:rPr>
      </w:r>
      <w:r w:rsidR="00492BF8">
        <w:rPr>
          <w:lang w:val="en-GB"/>
        </w:rPr>
        <w:fldChar w:fldCharType="separate"/>
      </w:r>
      <w:r w:rsidR="00492BF8">
        <w:rPr>
          <w:lang w:val="en-GB"/>
        </w:rPr>
        <w:t>Chart 11.3</w:t>
      </w:r>
      <w:r w:rsidR="00492BF8">
        <w:rPr>
          <w:lang w:val="en-GB"/>
        </w:rPr>
        <w:fldChar w:fldCharType="end"/>
      </w:r>
      <w:r w:rsidR="00492BF8">
        <w:rPr>
          <w:lang w:val="en-GB"/>
        </w:rPr>
        <w:t xml:space="preserve"> </w:t>
      </w:r>
      <w:r w:rsidRPr="00743114">
        <w:rPr>
          <w:lang w:val="en-GB"/>
        </w:rPr>
        <w:t>shows EBITDA per resident per annum in</w:t>
      </w:r>
      <w:r w:rsidR="00A261F3">
        <w:rPr>
          <w:lang w:val="en-GB"/>
        </w:rPr>
        <w:t> 201</w:t>
      </w:r>
      <w:r w:rsidRPr="00743114">
        <w:rPr>
          <w:lang w:val="en-GB"/>
        </w:rPr>
        <w:t>6</w:t>
      </w:r>
      <w:r w:rsidR="00D8721E">
        <w:rPr>
          <w:lang w:val="en-GB"/>
        </w:rPr>
        <w:t>–1</w:t>
      </w:r>
      <w:r w:rsidRPr="00743114">
        <w:rPr>
          <w:lang w:val="en-GB"/>
        </w:rPr>
        <w:t>6 and</w:t>
      </w:r>
      <w:r w:rsidR="00A261F3">
        <w:rPr>
          <w:lang w:val="en-GB"/>
        </w:rPr>
        <w:t> 201</w:t>
      </w:r>
      <w:r w:rsidRPr="00743114">
        <w:rPr>
          <w:lang w:val="en-GB"/>
        </w:rPr>
        <w:t>6</w:t>
      </w:r>
      <w:r w:rsidR="00D8721E">
        <w:rPr>
          <w:lang w:val="en-GB"/>
        </w:rPr>
        <w:t>–1</w:t>
      </w:r>
      <w:r w:rsidRPr="00743114">
        <w:rPr>
          <w:lang w:val="en-GB"/>
        </w:rPr>
        <w:t>7 by quartile</w:t>
      </w:r>
      <w:r w:rsidR="00D8721E">
        <w:rPr>
          <w:lang w:val="en-GB"/>
        </w:rPr>
        <w:t>.</w:t>
      </w:r>
    </w:p>
    <w:p w:rsidR="00743114" w:rsidRPr="00596D01" w:rsidRDefault="00743114" w:rsidP="007B653B">
      <w:pPr>
        <w:pStyle w:val="ChartTitle"/>
      </w:pPr>
      <w:bookmarkStart w:id="959" w:name="_Ref524428865"/>
      <w:r w:rsidRPr="00596D01">
        <w:lastRenderedPageBreak/>
        <w:t>Comparative EBITDA per resident per annum,</w:t>
      </w:r>
      <w:r w:rsidR="00A261F3" w:rsidRPr="00596D01">
        <w:t> 201</w:t>
      </w:r>
      <w:r w:rsidRPr="00596D01">
        <w:t>5</w:t>
      </w:r>
      <w:r w:rsidR="00D8721E" w:rsidRPr="00596D01">
        <w:t>–1</w:t>
      </w:r>
      <w:r w:rsidRPr="00596D01">
        <w:t>6 and</w:t>
      </w:r>
      <w:r w:rsidR="00A261F3" w:rsidRPr="00596D01">
        <w:t> 201</w:t>
      </w:r>
      <w:r w:rsidRPr="00596D01">
        <w:t>6</w:t>
      </w:r>
      <w:r w:rsidR="00D8721E" w:rsidRPr="00596D01">
        <w:t>–1</w:t>
      </w:r>
      <w:r w:rsidRPr="00596D01">
        <w:t>7</w:t>
      </w:r>
      <w:bookmarkEnd w:id="959"/>
      <w:r w:rsidRPr="00596D01">
        <w:t xml:space="preserve"> </w:t>
      </w:r>
    </w:p>
    <w:p w:rsidR="00743114" w:rsidRPr="00351A81" w:rsidRDefault="00743114" w:rsidP="007B653B">
      <w:r>
        <w:rPr>
          <w:noProof/>
        </w:rPr>
        <w:drawing>
          <wp:inline distT="0" distB="0" distL="0" distR="0" wp14:anchorId="1A376DC0" wp14:editId="5B7A1D9D">
            <wp:extent cx="6120000" cy="2259692"/>
            <wp:effectExtent l="0" t="0" r="0" b="7620"/>
            <wp:docPr id="43" name="Picture 43" descr="Chart 11.3 Comparative EBITDA per resident per annum, 2015–16 and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Chart_9.7 (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000" cy="2259692"/>
                    </a:xfrm>
                    <a:prstGeom prst="rect">
                      <a:avLst/>
                    </a:prstGeom>
                    <a:noFill/>
                    <a:ln>
                      <a:noFill/>
                    </a:ln>
                  </pic:spPr>
                </pic:pic>
              </a:graphicData>
            </a:graphic>
          </wp:inline>
        </w:drawing>
      </w:r>
    </w:p>
    <w:p w:rsidR="00743114" w:rsidRPr="00743114" w:rsidRDefault="00743114" w:rsidP="007B653B">
      <w:pPr>
        <w:rPr>
          <w:lang w:val="en-GB"/>
        </w:rPr>
      </w:pPr>
      <w:r w:rsidRPr="00743114">
        <w:rPr>
          <w:lang w:val="en-GB"/>
        </w:rPr>
        <w:t>The solution to achieving a financially viable and sustainable sector does not depend solely on more Government funding. There is a role for providers to ensure they are operating in the most efficient and effective manner by having appropriate financial management and workforce policies and strong governance structures in place that deliver efficient and effective quality outcomes for residents as well as viable business and financial outcomes.</w:t>
      </w:r>
    </w:p>
    <w:p w:rsidR="00D8721E" w:rsidRDefault="00743114" w:rsidP="007B653B">
      <w:pPr>
        <w:rPr>
          <w:lang w:val="en-GB"/>
        </w:rPr>
      </w:pPr>
      <w:r w:rsidRPr="00743114">
        <w:rPr>
          <w:lang w:val="en-GB"/>
        </w:rPr>
        <w:t>ACFA suggests that greater attention should be given to the factors that will encourage and facilitate improved performance, management and governance arrangements in the aged care residential sector. ACFA notes that the peak groups who represent the sector have a role to play in this regard, as does Government in terms of creating a more market-based and competitive sector. This would involve more consumer choice and appropriate deregulation</w:t>
      </w:r>
      <w:r w:rsidR="00D8721E">
        <w:rPr>
          <w:lang w:val="en-GB"/>
        </w:rPr>
        <w:t>.</w:t>
      </w:r>
    </w:p>
    <w:p w:rsidR="0026457D" w:rsidRPr="00596D01" w:rsidRDefault="0026457D" w:rsidP="007B653B">
      <w:pPr>
        <w:pStyle w:val="Heading2Numbered"/>
      </w:pPr>
      <w:bookmarkStart w:id="960" w:name="_Toc524424819"/>
      <w:r w:rsidRPr="00596D01">
        <w:t>The role of consumers</w:t>
      </w:r>
      <w:bookmarkEnd w:id="960"/>
    </w:p>
    <w:p w:rsidR="00872F91" w:rsidRPr="00872F91" w:rsidRDefault="00872F91" w:rsidP="007B653B">
      <w:pPr>
        <w:rPr>
          <w:lang w:val="en-GB"/>
        </w:rPr>
      </w:pPr>
      <w:r w:rsidRPr="00872F91">
        <w:rPr>
          <w:lang w:val="en-GB"/>
        </w:rPr>
        <w:t xml:space="preserve">A number of reviews and reports (Productivity Commission, </w:t>
      </w:r>
      <w:r w:rsidRPr="00596D01">
        <w:rPr>
          <w:rStyle w:val="Emphasis"/>
        </w:rPr>
        <w:t>Legislated Review of Aged Care</w:t>
      </w:r>
      <w:r w:rsidR="00A261F3" w:rsidRPr="00596D01">
        <w:rPr>
          <w:rStyle w:val="Emphasis"/>
        </w:rPr>
        <w:t> 201</w:t>
      </w:r>
      <w:r w:rsidRPr="00596D01">
        <w:rPr>
          <w:rStyle w:val="Emphasis"/>
        </w:rPr>
        <w:t>7</w:t>
      </w:r>
      <w:r w:rsidRPr="00872F91">
        <w:rPr>
          <w:lang w:val="en-GB"/>
        </w:rPr>
        <w:t>, Aged Care Sector Committee Roadmap) have highlighted that aged care consumers who can afford to do so should contribute to the cost of their care, and that this should be a focus of future reforms. These reports have also argued that increased contributions should be accompanied by greater consumer choice and control of aged care services.</w:t>
      </w:r>
    </w:p>
    <w:p w:rsidR="00D8721E" w:rsidRDefault="00872F91" w:rsidP="007B653B">
      <w:pPr>
        <w:rPr>
          <w:lang w:val="en-GB"/>
        </w:rPr>
      </w:pPr>
      <w:r w:rsidRPr="00872F91">
        <w:rPr>
          <w:lang w:val="en-GB"/>
        </w:rPr>
        <w:t>While Government care subsidies provide the main revenue source for residential care providers, and can be expected to continue to do so, consumer fees are a significant part of provider revenue, making up 26</w:t>
      </w:r>
      <w:r w:rsidR="00A261F3">
        <w:rPr>
          <w:lang w:val="en-GB"/>
        </w:rPr>
        <w:t> per cent</w:t>
      </w:r>
      <w:r w:rsidRPr="00872F91">
        <w:rPr>
          <w:lang w:val="en-GB"/>
        </w:rPr>
        <w:t xml:space="preserve"> of total revenue)</w:t>
      </w:r>
      <w:r w:rsidR="00D8721E">
        <w:rPr>
          <w:lang w:val="en-GB"/>
        </w:rPr>
        <w:t>.</w:t>
      </w:r>
    </w:p>
    <w:p w:rsidR="00872F91" w:rsidRPr="00872F91" w:rsidRDefault="00872F91" w:rsidP="007B653B">
      <w:pPr>
        <w:rPr>
          <w:lang w:val="en-GB"/>
        </w:rPr>
      </w:pPr>
      <w:r w:rsidRPr="00872F91">
        <w:rPr>
          <w:lang w:val="en-GB"/>
        </w:rPr>
        <w:t>The appropriate level and types of fees that providers can charge is an important consideration in looking at the long term viability and sustainability of the residential aged care sector. The expansion of the scope of the Pension Loan Scheme announced in the</w:t>
      </w:r>
      <w:r w:rsidR="00A261F3">
        <w:rPr>
          <w:lang w:val="en-GB"/>
        </w:rPr>
        <w:t> 201</w:t>
      </w:r>
      <w:r w:rsidRPr="00872F91">
        <w:rPr>
          <w:lang w:val="en-GB"/>
        </w:rPr>
        <w:t>8</w:t>
      </w:r>
      <w:r w:rsidR="00D8721E">
        <w:rPr>
          <w:lang w:val="en-GB"/>
        </w:rPr>
        <w:t>–1</w:t>
      </w:r>
      <w:r w:rsidRPr="00872F91">
        <w:rPr>
          <w:lang w:val="en-GB"/>
        </w:rPr>
        <w:t>9 Budget is also a relevant consideration.</w:t>
      </w:r>
    </w:p>
    <w:p w:rsidR="00D8721E" w:rsidRDefault="00872F91" w:rsidP="007B653B">
      <w:pPr>
        <w:rPr>
          <w:lang w:val="en-GB"/>
        </w:rPr>
      </w:pPr>
      <w:r w:rsidRPr="00872F91">
        <w:rPr>
          <w:lang w:val="en-GB"/>
        </w:rPr>
        <w:t>It is also noteworthy that care fee policies in residential care should not be considered in isolation of care fee policy for home care packages</w:t>
      </w:r>
      <w:r w:rsidR="00D8721E">
        <w:rPr>
          <w:lang w:val="en-GB"/>
        </w:rPr>
        <w:t>.</w:t>
      </w:r>
    </w:p>
    <w:p w:rsidR="0026457D" w:rsidRPr="00596D01" w:rsidRDefault="0026457D" w:rsidP="007B653B">
      <w:pPr>
        <w:pStyle w:val="Heading3Numbered"/>
      </w:pPr>
      <w:bookmarkStart w:id="961" w:name="_Toc524424820"/>
      <w:r w:rsidRPr="00596D01">
        <w:t>Means tested care fees</w:t>
      </w:r>
      <w:bookmarkEnd w:id="961"/>
    </w:p>
    <w:p w:rsidR="00D8721E" w:rsidRDefault="00872F91" w:rsidP="007B653B">
      <w:pPr>
        <w:rPr>
          <w:lang w:val="en-GB"/>
        </w:rPr>
      </w:pPr>
      <w:r w:rsidRPr="00872F91">
        <w:rPr>
          <w:lang w:val="en-GB"/>
        </w:rPr>
        <w:t xml:space="preserve">The </w:t>
      </w:r>
      <w:r w:rsidRPr="00596D01">
        <w:rPr>
          <w:rStyle w:val="Emphasis"/>
        </w:rPr>
        <w:t>Legislated Review of Aged Care</w:t>
      </w:r>
      <w:r w:rsidR="00A261F3" w:rsidRPr="00596D01">
        <w:rPr>
          <w:rStyle w:val="Emphasis"/>
        </w:rPr>
        <w:t> 201</w:t>
      </w:r>
      <w:r w:rsidRPr="00596D01">
        <w:rPr>
          <w:rStyle w:val="Emphasis"/>
        </w:rPr>
        <w:t>7</w:t>
      </w:r>
      <w:r w:rsidRPr="00872F91">
        <w:rPr>
          <w:lang w:val="en-GB"/>
        </w:rPr>
        <w:t xml:space="preserve"> noted that while changes made to means tested fees in</w:t>
      </w:r>
      <w:r w:rsidR="00A261F3">
        <w:rPr>
          <w:lang w:val="en-GB"/>
        </w:rPr>
        <w:t> 201</w:t>
      </w:r>
      <w:r w:rsidRPr="00872F91">
        <w:rPr>
          <w:lang w:val="en-GB"/>
        </w:rPr>
        <w:t>4 have seen an increase in the contributions from consumers, the increase has been modest. The review recommended stronger means testing arrangements which would reduce pressure on Government expenditure (as Government subsidies are reduced by the means tested care fees paid by residents). ACFA notes the Government ruled out recommendations of the review for the inclusion of the full value of the former home in the means test when there is no protected person living in it and for the removal of the annual and lifetime caps on care fees.</w:t>
      </w:r>
    </w:p>
    <w:p w:rsidR="0026457D" w:rsidRPr="00596D01" w:rsidRDefault="0026457D" w:rsidP="007B653B">
      <w:pPr>
        <w:pStyle w:val="Heading3Numbered"/>
      </w:pPr>
      <w:bookmarkStart w:id="962" w:name="_Toc524424821"/>
      <w:r w:rsidRPr="00596D01">
        <w:lastRenderedPageBreak/>
        <w:t>Basic daily fee</w:t>
      </w:r>
      <w:bookmarkEnd w:id="962"/>
    </w:p>
    <w:p w:rsidR="00D8721E" w:rsidRDefault="00872F91" w:rsidP="007B653B">
      <w:pPr>
        <w:rPr>
          <w:lang w:val="en-GB"/>
        </w:rPr>
      </w:pPr>
      <w:r w:rsidRPr="00596D01">
        <w:rPr>
          <w:rStyle w:val="Emphasis"/>
        </w:rPr>
        <w:t>The Legislated Review of Aged Care</w:t>
      </w:r>
      <w:r w:rsidR="00A261F3" w:rsidRPr="00596D01">
        <w:rPr>
          <w:rStyle w:val="Emphasis"/>
        </w:rPr>
        <w:t> 201</w:t>
      </w:r>
      <w:r w:rsidRPr="00596D01">
        <w:rPr>
          <w:rStyle w:val="Emphasis"/>
        </w:rPr>
        <w:t>7</w:t>
      </w:r>
      <w:r w:rsidRPr="00872F91">
        <w:rPr>
          <w:lang w:val="en-GB"/>
        </w:rPr>
        <w:t xml:space="preserve"> recommended an increase in the basic daily fee for non-low means residents, which could provide a substantial increase in revenue flow for the sector</w:t>
      </w:r>
      <w:r w:rsidR="00D8721E">
        <w:rPr>
          <w:lang w:val="en-GB"/>
        </w:rPr>
        <w:t>.</w:t>
      </w:r>
    </w:p>
    <w:p w:rsidR="00872F91" w:rsidRPr="00872F91" w:rsidRDefault="00872F91" w:rsidP="007B653B">
      <w:pPr>
        <w:rPr>
          <w:lang w:val="en-GB"/>
        </w:rPr>
      </w:pPr>
      <w:r w:rsidRPr="00872F91">
        <w:rPr>
          <w:lang w:val="en-GB"/>
        </w:rPr>
        <w:t xml:space="preserve">The basic daily fee is already a significant source of revenue for providers, representing </w:t>
      </w:r>
      <w:r w:rsidR="00FE6782">
        <w:rPr>
          <w:lang w:val="en-GB"/>
        </w:rPr>
        <w:t xml:space="preserve">almost </w:t>
      </w:r>
      <w:r w:rsidRPr="00872F91">
        <w:rPr>
          <w:lang w:val="en-GB"/>
        </w:rPr>
        <w:t>19</w:t>
      </w:r>
      <w:r w:rsidR="00A261F3">
        <w:rPr>
          <w:lang w:val="en-GB"/>
        </w:rPr>
        <w:t> per cent</w:t>
      </w:r>
      <w:r w:rsidRPr="00872F91">
        <w:rPr>
          <w:lang w:val="en-GB"/>
        </w:rPr>
        <w:t xml:space="preserve"> ($3.</w:t>
      </w:r>
      <w:r w:rsidR="0056555D">
        <w:rPr>
          <w:lang w:val="en-GB"/>
        </w:rPr>
        <w:t>2</w:t>
      </w:r>
      <w:r w:rsidR="00A261F3">
        <w:rPr>
          <w:lang w:val="en-GB"/>
        </w:rPr>
        <w:t> billion</w:t>
      </w:r>
      <w:r w:rsidRPr="00872F91">
        <w:rPr>
          <w:lang w:val="en-GB"/>
        </w:rPr>
        <w:t>) of total provider revenue in</w:t>
      </w:r>
      <w:r w:rsidR="00A261F3">
        <w:rPr>
          <w:lang w:val="en-GB"/>
        </w:rPr>
        <w:t> 201</w:t>
      </w:r>
      <w:r w:rsidRPr="00872F91">
        <w:rPr>
          <w:lang w:val="en-GB"/>
        </w:rPr>
        <w:t>6</w:t>
      </w:r>
      <w:r w:rsidR="00D8721E">
        <w:rPr>
          <w:lang w:val="en-GB"/>
        </w:rPr>
        <w:t>–1</w:t>
      </w:r>
      <w:r w:rsidRPr="00872F91">
        <w:rPr>
          <w:lang w:val="en-GB"/>
        </w:rPr>
        <w:t xml:space="preserve">7, with all fees going directly to provider revenue (there is no offset to Government subsidies as is the case for means tested fees). However, analysis by </w:t>
      </w:r>
      <w:proofErr w:type="spellStart"/>
      <w:r w:rsidRPr="00872F91">
        <w:rPr>
          <w:lang w:val="en-GB"/>
        </w:rPr>
        <w:t>StewartBrown</w:t>
      </w:r>
      <w:proofErr w:type="spellEnd"/>
      <w:r w:rsidRPr="00872F91">
        <w:rPr>
          <w:lang w:val="en-GB"/>
        </w:rPr>
        <w:t xml:space="preserve"> suggests that the cost of providing the services that the basic daily fee is expected to cover (hotel services such as food, linen, utilities etc) are closer to $75 per day than the maximum $50 currently able to be charged.</w:t>
      </w:r>
    </w:p>
    <w:p w:rsidR="00D8721E" w:rsidRDefault="00872F91" w:rsidP="007B653B">
      <w:pPr>
        <w:rPr>
          <w:lang w:val="en-GB"/>
        </w:rPr>
      </w:pPr>
      <w:r w:rsidRPr="00596D01">
        <w:rPr>
          <w:rStyle w:val="Emphasis"/>
        </w:rPr>
        <w:t>The Legislated Review of Aged Care</w:t>
      </w:r>
      <w:r w:rsidR="00A261F3" w:rsidRPr="00596D01">
        <w:rPr>
          <w:rStyle w:val="Emphasis"/>
        </w:rPr>
        <w:t> 201</w:t>
      </w:r>
      <w:r w:rsidRPr="00596D01">
        <w:rPr>
          <w:rStyle w:val="Emphasis"/>
        </w:rPr>
        <w:t>7</w:t>
      </w:r>
      <w:r w:rsidRPr="00872F91">
        <w:rPr>
          <w:lang w:val="en-GB"/>
        </w:rPr>
        <w:t xml:space="preserve"> recommended that providers be allowed to charge a higher basic daily fee to non-low means residents, with amounts over $100 to be approved by the Aged Care Pricing Commissioner. An increase in the basic daily fee to $100 would increase the annual revenue for a 100 bed facility with 50</w:t>
      </w:r>
      <w:r w:rsidR="00A261F3">
        <w:rPr>
          <w:lang w:val="en-GB"/>
        </w:rPr>
        <w:t> per cent</w:t>
      </w:r>
      <w:r w:rsidRPr="00872F91">
        <w:rPr>
          <w:lang w:val="en-GB"/>
        </w:rPr>
        <w:t xml:space="preserve"> low means residents by nearly $</w:t>
      </w:r>
      <w:r w:rsidR="00AB6911">
        <w:rPr>
          <w:lang w:val="en-GB"/>
        </w:rPr>
        <w:t>1</w:t>
      </w:r>
      <w:r w:rsidR="00A261F3">
        <w:rPr>
          <w:lang w:val="en-GB"/>
        </w:rPr>
        <w:t> million</w:t>
      </w:r>
      <w:r w:rsidRPr="00872F91">
        <w:rPr>
          <w:lang w:val="en-GB"/>
        </w:rPr>
        <w:t xml:space="preserve"> per annum. An increase to $75 would increase revenue by nearly $500,000 per annum for the same facility</w:t>
      </w:r>
      <w:r w:rsidR="00D8721E">
        <w:rPr>
          <w:lang w:val="en-GB"/>
        </w:rPr>
        <w:t>.</w:t>
      </w:r>
    </w:p>
    <w:p w:rsidR="00D8721E" w:rsidRDefault="00872F91" w:rsidP="007B653B">
      <w:pPr>
        <w:rPr>
          <w:lang w:val="en-GB"/>
        </w:rPr>
      </w:pPr>
      <w:r w:rsidRPr="00872F91">
        <w:rPr>
          <w:lang w:val="en-GB"/>
        </w:rPr>
        <w:t>The Government has not yet responded to this recommendation. ACFA notes that while any changes to fee arrangements would need to be carefully considered and take account of provider and consumer views, an increase in the basic daily fee charged to non-low means tested residents could have a significant impact on the financial viability and sustainability of providers</w:t>
      </w:r>
      <w:r w:rsidR="00D8721E">
        <w:rPr>
          <w:lang w:val="en-GB"/>
        </w:rPr>
        <w:t>.</w:t>
      </w:r>
    </w:p>
    <w:p w:rsidR="0026457D" w:rsidRPr="00596D01" w:rsidRDefault="0026457D" w:rsidP="007B653B">
      <w:pPr>
        <w:pStyle w:val="Heading3Numbered"/>
      </w:pPr>
      <w:bookmarkStart w:id="963" w:name="_Toc524424822"/>
      <w:r w:rsidRPr="00596D01">
        <w:t>Additional service fees</w:t>
      </w:r>
      <w:bookmarkEnd w:id="963"/>
    </w:p>
    <w:p w:rsidR="00D8721E" w:rsidRDefault="00020EE1" w:rsidP="007B653B">
      <w:pPr>
        <w:rPr>
          <w:lang w:val="en-GB"/>
        </w:rPr>
      </w:pPr>
      <w:r w:rsidRPr="00020EE1">
        <w:rPr>
          <w:lang w:val="en-GB"/>
        </w:rPr>
        <w:t>Additional service fees are fees that providers may charge for certain ‘additional’ services that are over and above those required to be provided under aged care legislation</w:t>
      </w:r>
      <w:r w:rsidR="00D8721E">
        <w:rPr>
          <w:lang w:val="en-GB"/>
        </w:rPr>
        <w:t>.</w:t>
      </w:r>
    </w:p>
    <w:p w:rsidR="00020EE1" w:rsidRPr="00020EE1" w:rsidRDefault="00020EE1" w:rsidP="007B653B">
      <w:pPr>
        <w:rPr>
          <w:lang w:val="en-GB"/>
        </w:rPr>
      </w:pPr>
      <w:r w:rsidRPr="00020EE1">
        <w:rPr>
          <w:lang w:val="en-GB"/>
        </w:rPr>
        <w:t>A number of providers and commentators have focused on the role of additional service fees as a potential source of increased revenue for providers. ACFA notes there is currently no data available regarding additional services fees charged by providers.</w:t>
      </w:r>
    </w:p>
    <w:p w:rsidR="00020EE1" w:rsidRPr="00020EE1" w:rsidRDefault="00020EE1" w:rsidP="007B653B">
      <w:pPr>
        <w:rPr>
          <w:lang w:val="en-GB"/>
        </w:rPr>
      </w:pPr>
      <w:r w:rsidRPr="00020EE1">
        <w:rPr>
          <w:lang w:val="en-GB"/>
        </w:rPr>
        <w:t>In March</w:t>
      </w:r>
      <w:r w:rsidR="00A261F3">
        <w:rPr>
          <w:lang w:val="en-GB"/>
        </w:rPr>
        <w:t> 201</w:t>
      </w:r>
      <w:r w:rsidRPr="00020EE1">
        <w:rPr>
          <w:lang w:val="en-GB"/>
        </w:rPr>
        <w:t>8 the Federal Court ruled that ‘asset replacement’ type charges are not permitted to be charged under aged care legislation. This confirmed the Department’s view that additional fees are only permitted for additional services that provide some clear benefit to the resident, and that providers can continue to offer additional services fees on this basis only.</w:t>
      </w:r>
    </w:p>
    <w:p w:rsidR="00020EE1" w:rsidRPr="00020EE1" w:rsidRDefault="00020EE1" w:rsidP="007B653B">
      <w:pPr>
        <w:rPr>
          <w:lang w:val="en-GB"/>
        </w:rPr>
      </w:pPr>
      <w:r w:rsidRPr="00020EE1">
        <w:rPr>
          <w:lang w:val="en-GB"/>
        </w:rPr>
        <w:t>ACFA recognises and supports the need for appropriate regulation of these fees.</w:t>
      </w:r>
    </w:p>
    <w:p w:rsidR="00020EE1" w:rsidRPr="00020EE1" w:rsidRDefault="00020EE1" w:rsidP="007B653B">
      <w:pPr>
        <w:rPr>
          <w:lang w:val="en-GB"/>
        </w:rPr>
      </w:pPr>
      <w:r w:rsidRPr="00020EE1">
        <w:rPr>
          <w:lang w:val="en-GB"/>
        </w:rPr>
        <w:t>ACFA also recognises that appropriately charged additional services fees have a place to play in supporting provider viability and allowing providers increased flexibility to innovate and adapt their service offering to meet consumer demands.</w:t>
      </w:r>
    </w:p>
    <w:p w:rsidR="00D8721E" w:rsidRDefault="00020EE1" w:rsidP="007B653B">
      <w:pPr>
        <w:rPr>
          <w:lang w:val="en-GB"/>
        </w:rPr>
      </w:pPr>
      <w:r w:rsidRPr="00020EE1">
        <w:rPr>
          <w:lang w:val="en-GB"/>
        </w:rPr>
        <w:t>The challenge for Government is to find the appropriate balance between allowing providers to charge appropriate additional service fees while ensuring there are adequate protections for consumers.</w:t>
      </w:r>
    </w:p>
    <w:p w:rsidR="0026457D" w:rsidRPr="00596D01" w:rsidRDefault="0026457D" w:rsidP="007B653B">
      <w:pPr>
        <w:pStyle w:val="Heading2Numbered"/>
      </w:pPr>
      <w:bookmarkStart w:id="964" w:name="_Toc524424823"/>
      <w:r w:rsidRPr="00596D01">
        <w:t>Other reform initiatives</w:t>
      </w:r>
      <w:bookmarkEnd w:id="964"/>
    </w:p>
    <w:p w:rsidR="002C298E" w:rsidRPr="002C298E" w:rsidRDefault="002C298E" w:rsidP="007B653B">
      <w:pPr>
        <w:rPr>
          <w:lang w:val="en-GB"/>
        </w:rPr>
      </w:pPr>
      <w:r w:rsidRPr="002C298E">
        <w:rPr>
          <w:lang w:val="en-GB"/>
        </w:rPr>
        <w:t>There is a strong focus on ensuring that the sector provides quality care and recent Government reforms signal a clear intention to strengthen the regulatory framework around quality. This is welcome and appropriate, but will likely bring some added financial pressure on providers as they respond to the increased regulatory and consumer expectations for high quality care.</w:t>
      </w:r>
    </w:p>
    <w:p w:rsidR="002C298E" w:rsidRPr="002C298E" w:rsidRDefault="002C298E" w:rsidP="007B653B">
      <w:pPr>
        <w:rPr>
          <w:lang w:val="en-GB"/>
        </w:rPr>
      </w:pPr>
      <w:r w:rsidRPr="002C298E">
        <w:rPr>
          <w:lang w:val="en-GB"/>
        </w:rPr>
        <w:t>Other reforms are also likely to have an impact. Along with the expansion of home care services, the Government is examining the potential impacts from further deregulation by removing the ACAR for residential care. A more competitive and deregulated market is likely to ultimately be beneficial but the transition will need to be carefully managed</w:t>
      </w:r>
      <w:r w:rsidR="00144F58">
        <w:rPr>
          <w:lang w:val="en-GB"/>
        </w:rPr>
        <w:t xml:space="preserve"> and further consolidation of the sector can be expected</w:t>
      </w:r>
      <w:r w:rsidRPr="002C298E">
        <w:rPr>
          <w:lang w:val="en-GB"/>
        </w:rPr>
        <w:t xml:space="preserve">. Similarly strengthening prudential standards is appropriate to protect consumers but impacts on the sector will need to be carefully considered. Ensuring an appropriately skilled workforce is also critical to meeting the care needs of residents but also presents cost challenges for the sector as it competes with other sectors for </w:t>
      </w:r>
      <w:r w:rsidRPr="002C298E">
        <w:rPr>
          <w:lang w:val="en-GB"/>
        </w:rPr>
        <w:lastRenderedPageBreak/>
        <w:t>quality staff. ACFA notes that the recommendations from the Aged Care Workforce Strategy Taskforce will be an important component in the pursuit of a viable and sustainable aged care sector.</w:t>
      </w:r>
    </w:p>
    <w:p w:rsidR="00D8721E" w:rsidRDefault="002C298E" w:rsidP="007B653B">
      <w:pPr>
        <w:rPr>
          <w:lang w:val="en-GB"/>
        </w:rPr>
      </w:pPr>
      <w:r w:rsidRPr="002C298E">
        <w:rPr>
          <w:lang w:val="en-GB"/>
        </w:rPr>
        <w:t>The analysis outlined in this chapter highlights the range of complex and inter-linked issues affecting the funding and financing of the residential aged care sector. Such issues as the development of a new funding tool, indexation, fees and charges, capital investment, workforce challenges, expansion of home care services and transitioning to increased consumer choice and control need to be considered together and recognise the roles and responsibilities of all stakeholders.</w:t>
      </w:r>
    </w:p>
    <w:p w:rsidR="00D8721E" w:rsidRDefault="00674329" w:rsidP="007B653B">
      <w:pPr>
        <w:pStyle w:val="Heading1"/>
      </w:pPr>
      <w:bookmarkStart w:id="965" w:name="_Toc524424824"/>
      <w:r w:rsidRPr="00A324F1">
        <w:lastRenderedPageBreak/>
        <w:t>Appendices</w:t>
      </w:r>
      <w:bookmarkEnd w:id="965"/>
    </w:p>
    <w:p w:rsidR="00DB20DB" w:rsidRPr="006C33D4" w:rsidRDefault="00DB20DB" w:rsidP="00FE3413">
      <w:pPr>
        <w:pStyle w:val="AppendixNumbered"/>
      </w:pPr>
      <w:bookmarkStart w:id="966" w:name="_Home_and_community"/>
      <w:bookmarkStart w:id="967" w:name="_Ref421221009"/>
      <w:bookmarkStart w:id="968" w:name="_Ref421221206"/>
      <w:bookmarkStart w:id="969" w:name="_Toc457549936"/>
      <w:bookmarkStart w:id="970" w:name="_Toc421197724"/>
      <w:bookmarkStart w:id="971" w:name="_Toc524424825"/>
      <w:bookmarkEnd w:id="403"/>
      <w:bookmarkEnd w:id="966"/>
      <w:r w:rsidRPr="00557C8E">
        <w:lastRenderedPageBreak/>
        <w:t xml:space="preserve">ACFA </w:t>
      </w:r>
      <w:r w:rsidRPr="00FE3413">
        <w:t>Membership</w:t>
      </w:r>
      <w:bookmarkEnd w:id="967"/>
      <w:bookmarkEnd w:id="968"/>
      <w:bookmarkEnd w:id="969"/>
      <w:bookmarkEnd w:id="970"/>
      <w:bookmarkEnd w:id="971"/>
    </w:p>
    <w:tbl>
      <w:tblPr>
        <w:tblStyle w:val="DefaultTable1"/>
        <w:tblW w:w="5000" w:type="pct"/>
        <w:tblLook w:val="0620" w:firstRow="1" w:lastRow="0" w:firstColumn="0" w:lastColumn="0" w:noHBand="1" w:noVBand="1"/>
        <w:tblCaption w:val="Table A.1: ACFA members"/>
        <w:tblDescription w:val="This table lists the ACFA members by position and their organisation"/>
      </w:tblPr>
      <w:tblGrid>
        <w:gridCol w:w="1962"/>
        <w:gridCol w:w="2852"/>
        <w:gridCol w:w="4814"/>
      </w:tblGrid>
      <w:tr w:rsidR="009C2EC0" w:rsidRPr="009C5F13" w:rsidTr="00303CD5">
        <w:trPr>
          <w:cnfStyle w:val="100000000000" w:firstRow="1" w:lastRow="0" w:firstColumn="0" w:lastColumn="0" w:oddVBand="0" w:evenVBand="0" w:oddHBand="0" w:evenHBand="0" w:firstRowFirstColumn="0" w:firstRowLastColumn="0" w:lastRowFirstColumn="0" w:lastRowLastColumn="0"/>
          <w:tblHeader/>
        </w:trPr>
        <w:tc>
          <w:tcPr>
            <w:tcW w:w="1019" w:type="pct"/>
          </w:tcPr>
          <w:p w:rsidR="009C2EC0" w:rsidRPr="009C5F13" w:rsidRDefault="009C2EC0" w:rsidP="007B653B">
            <w:r w:rsidRPr="00596D01">
              <w:t>ACFA position</w:t>
            </w:r>
          </w:p>
        </w:tc>
        <w:tc>
          <w:tcPr>
            <w:tcW w:w="1481" w:type="pct"/>
          </w:tcPr>
          <w:p w:rsidR="009C2EC0" w:rsidRPr="009C5F13" w:rsidRDefault="009C2EC0" w:rsidP="007B653B">
            <w:r w:rsidRPr="00596D01">
              <w:t>Name</w:t>
            </w:r>
          </w:p>
        </w:tc>
        <w:tc>
          <w:tcPr>
            <w:tcW w:w="2500" w:type="pct"/>
          </w:tcPr>
          <w:p w:rsidR="009C2EC0" w:rsidRPr="00596D01" w:rsidRDefault="009C2EC0" w:rsidP="007B653B">
            <w:r w:rsidRPr="00596D01">
              <w:t>Organisation</w:t>
            </w:r>
          </w:p>
        </w:tc>
      </w:tr>
      <w:tr w:rsidR="007B653B" w:rsidRPr="009C5F13" w:rsidTr="007B653B">
        <w:tc>
          <w:tcPr>
            <w:tcW w:w="5000" w:type="pct"/>
            <w:gridSpan w:val="3"/>
            <w:shd w:val="clear" w:color="auto" w:fill="E8E8E8" w:themeFill="background2"/>
          </w:tcPr>
          <w:p w:rsidR="007B653B" w:rsidRPr="00596D01" w:rsidRDefault="007B653B" w:rsidP="007B653B">
            <w:r w:rsidRPr="00596D01">
              <w:rPr>
                <w:rStyle w:val="Strong"/>
              </w:rPr>
              <w:t>Members</w:t>
            </w:r>
          </w:p>
        </w:tc>
      </w:tr>
      <w:tr w:rsidR="009C2EC0" w:rsidRPr="009C5F13" w:rsidTr="007B653B">
        <w:tc>
          <w:tcPr>
            <w:tcW w:w="1019" w:type="pct"/>
          </w:tcPr>
          <w:p w:rsidR="009C2EC0" w:rsidRPr="009C5F13" w:rsidRDefault="009C2EC0" w:rsidP="007B653B">
            <w:r w:rsidRPr="009C5F13">
              <w:t>Chairman</w:t>
            </w:r>
          </w:p>
        </w:tc>
        <w:tc>
          <w:tcPr>
            <w:tcW w:w="1481" w:type="pct"/>
          </w:tcPr>
          <w:p w:rsidR="009C2EC0" w:rsidRPr="009C5F13" w:rsidRDefault="00A261F3" w:rsidP="007B653B">
            <w:r>
              <w:t>Mr </w:t>
            </w:r>
            <w:r w:rsidR="00F00FD7" w:rsidRPr="00F50F3D">
              <w:t xml:space="preserve">Mike Callaghan </w:t>
            </w:r>
            <w:r w:rsidR="0031236B">
              <w:t>(Commenced 1 May</w:t>
            </w:r>
            <w:r>
              <w:t> 201</w:t>
            </w:r>
            <w:r w:rsidR="0031236B">
              <w:t>8)</w:t>
            </w:r>
          </w:p>
        </w:tc>
        <w:tc>
          <w:tcPr>
            <w:tcW w:w="2500" w:type="pct"/>
          </w:tcPr>
          <w:p w:rsidR="009C2EC0" w:rsidRPr="009C5F13" w:rsidRDefault="009C2EC0" w:rsidP="007B653B">
            <w:r>
              <w:t>Non-Executive Director, Business Advisor</w:t>
            </w:r>
          </w:p>
        </w:tc>
      </w:tr>
      <w:tr w:rsidR="009C2EC0" w:rsidRPr="009C5F13" w:rsidTr="007B653B">
        <w:tc>
          <w:tcPr>
            <w:tcW w:w="1019" w:type="pct"/>
          </w:tcPr>
          <w:p w:rsidR="009C2EC0" w:rsidRPr="009C5F13" w:rsidRDefault="00D1191F" w:rsidP="007B653B">
            <w:r>
              <w:t>Deputy c</w:t>
            </w:r>
            <w:r w:rsidR="009C2EC0" w:rsidRPr="009C5F13">
              <w:t>hair</w:t>
            </w:r>
          </w:p>
        </w:tc>
        <w:tc>
          <w:tcPr>
            <w:tcW w:w="1481" w:type="pct"/>
          </w:tcPr>
          <w:p w:rsidR="009C2EC0" w:rsidRPr="00596D01" w:rsidRDefault="00A261F3" w:rsidP="007B653B">
            <w:pPr>
              <w:rPr>
                <w:rStyle w:val="Emphasis"/>
              </w:rPr>
            </w:pPr>
            <w:r>
              <w:t>Mr </w:t>
            </w:r>
            <w:r w:rsidR="009C2EC0">
              <w:t>Nicolas</w:t>
            </w:r>
            <w:r w:rsidR="009C2EC0" w:rsidRPr="009C5F13">
              <w:t xml:space="preserve"> </w:t>
            </w:r>
            <w:proofErr w:type="spellStart"/>
            <w:r w:rsidR="009C2EC0" w:rsidRPr="009C5F13">
              <w:t>Mersiades</w:t>
            </w:r>
            <w:proofErr w:type="spellEnd"/>
          </w:p>
        </w:tc>
        <w:tc>
          <w:tcPr>
            <w:tcW w:w="2500" w:type="pct"/>
          </w:tcPr>
          <w:p w:rsidR="009C2EC0" w:rsidRPr="009C5F13" w:rsidRDefault="009C2EC0" w:rsidP="007B653B">
            <w:r w:rsidRPr="009C5F13">
              <w:t>Director Aged Care, Catholic Health Australia</w:t>
            </w:r>
          </w:p>
        </w:tc>
      </w:tr>
      <w:tr w:rsidR="009C2EC0" w:rsidRPr="009C5F13" w:rsidTr="007B653B">
        <w:tc>
          <w:tcPr>
            <w:tcW w:w="1019" w:type="pct"/>
          </w:tcPr>
          <w:p w:rsidR="009C2EC0" w:rsidRPr="009C5F13" w:rsidRDefault="009C2EC0" w:rsidP="007B653B">
            <w:r w:rsidRPr="009C5F13">
              <w:t>Member</w:t>
            </w:r>
          </w:p>
        </w:tc>
        <w:tc>
          <w:tcPr>
            <w:tcW w:w="1481" w:type="pct"/>
          </w:tcPr>
          <w:p w:rsidR="009C2EC0" w:rsidRPr="009C5F13" w:rsidRDefault="00A261F3" w:rsidP="007B653B">
            <w:r>
              <w:t>Mr </w:t>
            </w:r>
            <w:r w:rsidR="009C2EC0" w:rsidRPr="009C5F13">
              <w:t>Ian Yates</w:t>
            </w:r>
            <w:r w:rsidR="009C2EC0">
              <w:t xml:space="preserve"> AM</w:t>
            </w:r>
          </w:p>
        </w:tc>
        <w:tc>
          <w:tcPr>
            <w:tcW w:w="2500" w:type="pct"/>
          </w:tcPr>
          <w:p w:rsidR="009C2EC0" w:rsidRPr="009C5F13" w:rsidRDefault="009C2EC0" w:rsidP="007B653B">
            <w:r w:rsidRPr="009C5F13">
              <w:t>Chief Executive, COTA Australia</w:t>
            </w:r>
          </w:p>
        </w:tc>
      </w:tr>
      <w:tr w:rsidR="009C2EC0" w:rsidRPr="009C5F13" w:rsidTr="007B653B">
        <w:tc>
          <w:tcPr>
            <w:tcW w:w="1019" w:type="pct"/>
          </w:tcPr>
          <w:p w:rsidR="009C2EC0" w:rsidRPr="00392EC8" w:rsidRDefault="009C2EC0" w:rsidP="007B653B">
            <w:pPr>
              <w:rPr>
                <w:strike/>
              </w:rPr>
            </w:pPr>
            <w:r w:rsidRPr="00F50F3D">
              <w:t>Member</w:t>
            </w:r>
          </w:p>
        </w:tc>
        <w:tc>
          <w:tcPr>
            <w:tcW w:w="1481" w:type="pct"/>
          </w:tcPr>
          <w:p w:rsidR="009C2EC0" w:rsidRPr="00F50F3D" w:rsidRDefault="00A261F3" w:rsidP="007B653B">
            <w:r>
              <w:t>Mr </w:t>
            </w:r>
            <w:r w:rsidR="009C2EC0" w:rsidRPr="00F50F3D">
              <w:t xml:space="preserve">Gary </w:t>
            </w:r>
            <w:proofErr w:type="spellStart"/>
            <w:r w:rsidR="009C2EC0" w:rsidRPr="00F50F3D">
              <w:t>Barnier</w:t>
            </w:r>
            <w:proofErr w:type="spellEnd"/>
          </w:p>
        </w:tc>
        <w:tc>
          <w:tcPr>
            <w:tcW w:w="2500" w:type="pct"/>
          </w:tcPr>
          <w:p w:rsidR="009C2EC0" w:rsidRPr="0031236B" w:rsidRDefault="0031236B" w:rsidP="007B653B">
            <w:r w:rsidRPr="0031236B">
              <w:t>Former aged care executive, independent advisor</w:t>
            </w:r>
          </w:p>
        </w:tc>
      </w:tr>
      <w:tr w:rsidR="009C2EC0" w:rsidRPr="009C5F13" w:rsidTr="007B653B">
        <w:tc>
          <w:tcPr>
            <w:tcW w:w="1019" w:type="pct"/>
          </w:tcPr>
          <w:p w:rsidR="009C2EC0" w:rsidRPr="009C5F13" w:rsidRDefault="009C2EC0" w:rsidP="007B653B">
            <w:r w:rsidRPr="009C5F13">
              <w:t>Member</w:t>
            </w:r>
          </w:p>
        </w:tc>
        <w:tc>
          <w:tcPr>
            <w:tcW w:w="1481" w:type="pct"/>
          </w:tcPr>
          <w:p w:rsidR="009C2EC0" w:rsidRPr="009C5F13" w:rsidRDefault="00A261F3" w:rsidP="007B653B">
            <w:r>
              <w:t>Mr </w:t>
            </w:r>
            <w:r w:rsidR="009C2EC0">
              <w:t xml:space="preserve">John </w:t>
            </w:r>
            <w:proofErr w:type="spellStart"/>
            <w:r w:rsidR="009C2EC0">
              <w:t>Pollaers</w:t>
            </w:r>
            <w:proofErr w:type="spellEnd"/>
            <w:r w:rsidR="009C2EC0">
              <w:t xml:space="preserve"> </w:t>
            </w:r>
          </w:p>
        </w:tc>
        <w:tc>
          <w:tcPr>
            <w:tcW w:w="2500" w:type="pct"/>
          </w:tcPr>
          <w:p w:rsidR="009C2EC0" w:rsidRPr="00152F87" w:rsidRDefault="009C2EC0" w:rsidP="007B653B">
            <w:r w:rsidRPr="00152F87">
              <w:rPr>
                <w:rFonts w:ascii="Calibri" w:hAnsi="Calibri" w:cstheme="minorHAnsi"/>
                <w:lang w:val="en-SG"/>
              </w:rPr>
              <w:t>Chair of the Australian</w:t>
            </w:r>
            <w:r w:rsidR="006459CE">
              <w:rPr>
                <w:rFonts w:ascii="Calibri" w:hAnsi="Calibri" w:cstheme="minorHAnsi"/>
                <w:lang w:val="en-SG"/>
              </w:rPr>
              <w:t xml:space="preserve"> Industry and Skills Committee</w:t>
            </w:r>
          </w:p>
        </w:tc>
      </w:tr>
      <w:tr w:rsidR="00E93CD9" w:rsidRPr="009C5F13" w:rsidTr="007B653B">
        <w:tc>
          <w:tcPr>
            <w:tcW w:w="1019" w:type="pct"/>
          </w:tcPr>
          <w:p w:rsidR="00E93CD9" w:rsidRPr="009C5F13" w:rsidRDefault="00E93CD9" w:rsidP="007B653B">
            <w:r>
              <w:t>Member</w:t>
            </w:r>
          </w:p>
        </w:tc>
        <w:tc>
          <w:tcPr>
            <w:tcW w:w="1481" w:type="pct"/>
          </w:tcPr>
          <w:p w:rsidR="00E93CD9" w:rsidRDefault="00A261F3" w:rsidP="007B653B">
            <w:r>
              <w:t>Dr </w:t>
            </w:r>
            <w:r w:rsidR="000D601D">
              <w:t xml:space="preserve">Mike </w:t>
            </w:r>
            <w:proofErr w:type="spellStart"/>
            <w:r w:rsidR="000D601D">
              <w:t>Rungie</w:t>
            </w:r>
            <w:proofErr w:type="spellEnd"/>
            <w:r w:rsidR="000D601D">
              <w:t xml:space="preserve"> </w:t>
            </w:r>
          </w:p>
        </w:tc>
        <w:tc>
          <w:tcPr>
            <w:tcW w:w="2500" w:type="pct"/>
          </w:tcPr>
          <w:p w:rsidR="00E93CD9" w:rsidRPr="00152F87" w:rsidRDefault="00BE70DA" w:rsidP="007B653B">
            <w:pPr>
              <w:rPr>
                <w:rFonts w:ascii="Calibri" w:hAnsi="Calibri" w:cstheme="minorHAnsi"/>
                <w:lang w:val="en-SG"/>
              </w:rPr>
            </w:pPr>
            <w:r>
              <w:rPr>
                <w:rFonts w:ascii="Calibri" w:hAnsi="Calibri" w:cstheme="minorHAnsi"/>
              </w:rPr>
              <w:t xml:space="preserve">Former CEO, </w:t>
            </w:r>
            <w:r w:rsidR="0026636C" w:rsidRPr="0026636C">
              <w:rPr>
                <w:rFonts w:ascii="Calibri" w:hAnsi="Calibri" w:cstheme="minorHAnsi"/>
              </w:rPr>
              <w:t>A</w:t>
            </w:r>
            <w:r>
              <w:rPr>
                <w:rFonts w:ascii="Calibri" w:hAnsi="Calibri" w:cstheme="minorHAnsi"/>
              </w:rPr>
              <w:t xml:space="preserve">ged </w:t>
            </w:r>
            <w:r w:rsidR="0026636C" w:rsidRPr="0026636C">
              <w:rPr>
                <w:rFonts w:ascii="Calibri" w:hAnsi="Calibri" w:cstheme="minorHAnsi"/>
              </w:rPr>
              <w:t>C</w:t>
            </w:r>
            <w:r>
              <w:rPr>
                <w:rFonts w:ascii="Calibri" w:hAnsi="Calibri" w:cstheme="minorHAnsi"/>
              </w:rPr>
              <w:t xml:space="preserve">are </w:t>
            </w:r>
            <w:r w:rsidR="0026636C" w:rsidRPr="0026636C">
              <w:rPr>
                <w:rFonts w:ascii="Calibri" w:hAnsi="Calibri" w:cstheme="minorHAnsi"/>
              </w:rPr>
              <w:t>H</w:t>
            </w:r>
            <w:r>
              <w:rPr>
                <w:rFonts w:ascii="Calibri" w:hAnsi="Calibri" w:cstheme="minorHAnsi"/>
              </w:rPr>
              <w:t>ousing</w:t>
            </w:r>
            <w:r w:rsidR="0026636C" w:rsidRPr="0026636C">
              <w:rPr>
                <w:rFonts w:ascii="Calibri" w:hAnsi="Calibri" w:cstheme="minorHAnsi"/>
              </w:rPr>
              <w:t xml:space="preserve"> Group</w:t>
            </w:r>
          </w:p>
        </w:tc>
      </w:tr>
      <w:tr w:rsidR="00E93CD9" w:rsidRPr="009C5F13" w:rsidTr="007B653B">
        <w:tc>
          <w:tcPr>
            <w:tcW w:w="1019" w:type="pct"/>
          </w:tcPr>
          <w:p w:rsidR="00E93CD9" w:rsidRPr="009C5F13" w:rsidRDefault="00E93CD9" w:rsidP="007B653B">
            <w:r>
              <w:t>Member</w:t>
            </w:r>
          </w:p>
        </w:tc>
        <w:tc>
          <w:tcPr>
            <w:tcW w:w="1481" w:type="pct"/>
          </w:tcPr>
          <w:p w:rsidR="00E93CD9" w:rsidRDefault="00A261F3" w:rsidP="007B653B">
            <w:r>
              <w:t>Ms </w:t>
            </w:r>
            <w:r w:rsidR="000D601D">
              <w:t xml:space="preserve">Susan Emerson </w:t>
            </w:r>
          </w:p>
        </w:tc>
        <w:tc>
          <w:tcPr>
            <w:tcW w:w="2500" w:type="pct"/>
          </w:tcPr>
          <w:p w:rsidR="00E93CD9" w:rsidRPr="00152F87" w:rsidRDefault="0026636C" w:rsidP="007B653B">
            <w:pPr>
              <w:rPr>
                <w:rFonts w:ascii="Calibri" w:hAnsi="Calibri" w:cstheme="minorHAnsi"/>
                <w:lang w:val="en-SG"/>
              </w:rPr>
            </w:pPr>
            <w:r>
              <w:rPr>
                <w:rFonts w:ascii="Calibri" w:hAnsi="Calibri" w:cstheme="minorHAnsi"/>
              </w:rPr>
              <w:t xml:space="preserve">Director, </w:t>
            </w:r>
            <w:r w:rsidRPr="0026636C">
              <w:rPr>
                <w:rFonts w:ascii="Calibri" w:hAnsi="Calibri" w:cstheme="minorHAnsi"/>
              </w:rPr>
              <w:t>Helping Hand Aged Care</w:t>
            </w:r>
          </w:p>
        </w:tc>
      </w:tr>
      <w:tr w:rsidR="00E93CD9" w:rsidRPr="009C5F13" w:rsidTr="007B653B">
        <w:tc>
          <w:tcPr>
            <w:tcW w:w="1019" w:type="pct"/>
          </w:tcPr>
          <w:p w:rsidR="00E93CD9" w:rsidRPr="009C5F13" w:rsidRDefault="00E93CD9" w:rsidP="007B653B">
            <w:r>
              <w:t xml:space="preserve">Member </w:t>
            </w:r>
          </w:p>
        </w:tc>
        <w:tc>
          <w:tcPr>
            <w:tcW w:w="1481" w:type="pct"/>
          </w:tcPr>
          <w:p w:rsidR="00E93CD9" w:rsidRDefault="00A261F3" w:rsidP="007B653B">
            <w:r>
              <w:t>Ms </w:t>
            </w:r>
            <w:r w:rsidR="000D601D">
              <w:t xml:space="preserve">Louise </w:t>
            </w:r>
            <w:proofErr w:type="spellStart"/>
            <w:r w:rsidR="000D601D">
              <w:t>Biti</w:t>
            </w:r>
            <w:proofErr w:type="spellEnd"/>
            <w:r w:rsidR="000D601D">
              <w:t xml:space="preserve"> </w:t>
            </w:r>
          </w:p>
        </w:tc>
        <w:tc>
          <w:tcPr>
            <w:tcW w:w="2500" w:type="pct"/>
          </w:tcPr>
          <w:p w:rsidR="00E93CD9" w:rsidRPr="00152F87" w:rsidRDefault="0026636C" w:rsidP="007B653B">
            <w:pPr>
              <w:rPr>
                <w:rFonts w:ascii="Calibri" w:hAnsi="Calibri" w:cstheme="minorHAnsi"/>
                <w:lang w:val="en-SG"/>
              </w:rPr>
            </w:pPr>
            <w:r>
              <w:rPr>
                <w:rFonts w:ascii="Calibri" w:hAnsi="Calibri" w:cstheme="minorHAnsi"/>
              </w:rPr>
              <w:t xml:space="preserve">Director, </w:t>
            </w:r>
            <w:r w:rsidRPr="0026636C">
              <w:rPr>
                <w:rFonts w:ascii="Calibri" w:hAnsi="Calibri" w:cstheme="minorHAnsi"/>
              </w:rPr>
              <w:t>Aged Care Steps</w:t>
            </w:r>
          </w:p>
        </w:tc>
      </w:tr>
      <w:tr w:rsidR="007B653B" w:rsidRPr="009C5F13" w:rsidTr="007B653B">
        <w:tc>
          <w:tcPr>
            <w:tcW w:w="5000" w:type="pct"/>
            <w:gridSpan w:val="3"/>
            <w:shd w:val="clear" w:color="auto" w:fill="E8E8E8" w:themeFill="background2"/>
          </w:tcPr>
          <w:p w:rsidR="007B653B" w:rsidRDefault="007B653B" w:rsidP="007B653B">
            <w:pPr>
              <w:rPr>
                <w:rFonts w:ascii="Calibri" w:hAnsi="Calibri" w:cstheme="minorHAnsi"/>
              </w:rPr>
            </w:pPr>
            <w:r w:rsidRPr="00596D01">
              <w:rPr>
                <w:rStyle w:val="Strong"/>
              </w:rPr>
              <w:t>Representatives</w:t>
            </w:r>
          </w:p>
        </w:tc>
      </w:tr>
      <w:tr w:rsidR="007B653B" w:rsidRPr="009C5F13" w:rsidTr="007B653B">
        <w:tc>
          <w:tcPr>
            <w:tcW w:w="1019" w:type="pct"/>
          </w:tcPr>
          <w:p w:rsidR="007B653B" w:rsidRPr="00557C8E" w:rsidRDefault="007B653B" w:rsidP="007B653B">
            <w:pPr>
              <w:rPr>
                <w:rFonts w:ascii="Segoe UI" w:hAnsi="Segoe UI" w:cs="Segoe UI"/>
              </w:rPr>
            </w:pPr>
            <w:r w:rsidRPr="00557C8E">
              <w:rPr>
                <w:rFonts w:ascii="Segoe UI" w:hAnsi="Segoe UI" w:cs="Segoe UI"/>
              </w:rPr>
              <w:t xml:space="preserve">Representative </w:t>
            </w:r>
          </w:p>
        </w:tc>
        <w:tc>
          <w:tcPr>
            <w:tcW w:w="1481" w:type="pct"/>
          </w:tcPr>
          <w:p w:rsidR="007B653B" w:rsidRPr="00557C8E" w:rsidRDefault="007B653B" w:rsidP="007B653B">
            <w:pPr>
              <w:rPr>
                <w:rFonts w:ascii="Segoe UI" w:hAnsi="Segoe UI" w:cs="Segoe UI"/>
              </w:rPr>
            </w:pPr>
            <w:r>
              <w:rPr>
                <w:rFonts w:ascii="Segoe UI" w:hAnsi="Segoe UI" w:cs="Segoe UI"/>
              </w:rPr>
              <w:t xml:space="preserve">Mr Jaye Smith </w:t>
            </w:r>
          </w:p>
        </w:tc>
        <w:tc>
          <w:tcPr>
            <w:tcW w:w="2500" w:type="pct"/>
          </w:tcPr>
          <w:p w:rsidR="007B653B" w:rsidRPr="00557C8E" w:rsidRDefault="007B653B" w:rsidP="007B653B">
            <w:pPr>
              <w:rPr>
                <w:rFonts w:ascii="Segoe UI" w:hAnsi="Segoe UI" w:cs="Segoe UI"/>
              </w:rPr>
            </w:pPr>
            <w:r>
              <w:rPr>
                <w:rFonts w:ascii="Segoe UI" w:hAnsi="Segoe UI" w:cs="Segoe UI"/>
              </w:rPr>
              <w:t xml:space="preserve">First Assistant Secretary, Ageing and Aged Care Group, Department of Health </w:t>
            </w:r>
          </w:p>
        </w:tc>
      </w:tr>
      <w:tr w:rsidR="007B653B" w:rsidRPr="009C5F13" w:rsidTr="007B653B">
        <w:tc>
          <w:tcPr>
            <w:tcW w:w="1019" w:type="pct"/>
          </w:tcPr>
          <w:p w:rsidR="007B653B" w:rsidRPr="00557C8E" w:rsidRDefault="007B653B" w:rsidP="007B653B">
            <w:pPr>
              <w:rPr>
                <w:rFonts w:ascii="Segoe UI" w:hAnsi="Segoe UI" w:cs="Segoe UI"/>
              </w:rPr>
            </w:pPr>
            <w:r w:rsidRPr="00557C8E">
              <w:rPr>
                <w:rFonts w:ascii="Segoe UI" w:hAnsi="Segoe UI" w:cs="Segoe UI"/>
              </w:rPr>
              <w:t>Representative</w:t>
            </w:r>
          </w:p>
        </w:tc>
        <w:tc>
          <w:tcPr>
            <w:tcW w:w="1481" w:type="pct"/>
          </w:tcPr>
          <w:p w:rsidR="007B653B" w:rsidRPr="00557C8E" w:rsidRDefault="007B653B" w:rsidP="007B653B">
            <w:pPr>
              <w:rPr>
                <w:rFonts w:ascii="Segoe UI" w:hAnsi="Segoe UI" w:cs="Segoe UI"/>
              </w:rPr>
            </w:pPr>
            <w:r>
              <w:rPr>
                <w:rFonts w:ascii="Segoe UI" w:hAnsi="Segoe UI" w:cs="Segoe UI"/>
              </w:rPr>
              <w:t>Mr John Dicer</w:t>
            </w:r>
          </w:p>
        </w:tc>
        <w:tc>
          <w:tcPr>
            <w:tcW w:w="2500" w:type="pct"/>
          </w:tcPr>
          <w:p w:rsidR="007B653B" w:rsidRPr="00557C8E" w:rsidRDefault="007B653B" w:rsidP="007B653B">
            <w:pPr>
              <w:rPr>
                <w:rFonts w:ascii="Segoe UI" w:hAnsi="Segoe UI" w:cs="Segoe UI"/>
              </w:rPr>
            </w:pPr>
            <w:r>
              <w:rPr>
                <w:rFonts w:ascii="Segoe UI" w:hAnsi="Segoe UI" w:cs="Segoe UI"/>
              </w:rPr>
              <w:t>Aged Care Pricing Commissioner</w:t>
            </w:r>
          </w:p>
        </w:tc>
      </w:tr>
      <w:tr w:rsidR="007B653B" w:rsidRPr="009C5F13" w:rsidTr="007B653B">
        <w:tc>
          <w:tcPr>
            <w:tcW w:w="1019" w:type="pct"/>
          </w:tcPr>
          <w:p w:rsidR="007B653B" w:rsidRPr="00557C8E" w:rsidRDefault="007B653B" w:rsidP="007B653B">
            <w:pPr>
              <w:rPr>
                <w:rFonts w:ascii="Segoe UI" w:hAnsi="Segoe UI" w:cs="Segoe UI"/>
              </w:rPr>
            </w:pPr>
            <w:r w:rsidRPr="00557C8E">
              <w:rPr>
                <w:rFonts w:ascii="Segoe UI" w:hAnsi="Segoe UI" w:cs="Segoe UI"/>
              </w:rPr>
              <w:t xml:space="preserve">Representative </w:t>
            </w:r>
          </w:p>
        </w:tc>
        <w:tc>
          <w:tcPr>
            <w:tcW w:w="1481" w:type="pct"/>
          </w:tcPr>
          <w:p w:rsidR="007B653B" w:rsidRPr="00557C8E" w:rsidRDefault="007B653B" w:rsidP="007B653B">
            <w:pPr>
              <w:rPr>
                <w:rFonts w:ascii="Segoe UI" w:hAnsi="Segoe UI" w:cs="Segoe UI"/>
              </w:rPr>
            </w:pPr>
            <w:r>
              <w:rPr>
                <w:rFonts w:ascii="Segoe UI" w:hAnsi="Segoe UI" w:cs="Segoe UI"/>
              </w:rPr>
              <w:t xml:space="preserve">Ms Jessica Mohr </w:t>
            </w:r>
          </w:p>
        </w:tc>
        <w:tc>
          <w:tcPr>
            <w:tcW w:w="2500" w:type="pct"/>
          </w:tcPr>
          <w:p w:rsidR="007B653B" w:rsidRPr="00557C8E" w:rsidRDefault="007B653B" w:rsidP="007B653B">
            <w:pPr>
              <w:rPr>
                <w:rFonts w:ascii="Segoe UI" w:hAnsi="Segoe UI" w:cs="Segoe UI"/>
              </w:rPr>
            </w:pPr>
            <w:r>
              <w:rPr>
                <w:rFonts w:ascii="Segoe UI" w:hAnsi="Segoe UI" w:cs="Segoe UI"/>
              </w:rPr>
              <w:t xml:space="preserve">Manager, Health and Disability Social Policy Division, Department of the Treasury </w:t>
            </w:r>
          </w:p>
        </w:tc>
      </w:tr>
    </w:tbl>
    <w:p w:rsidR="00DB20DB" w:rsidRPr="006C33D4" w:rsidRDefault="00DB20DB" w:rsidP="007B653B">
      <w:pPr>
        <w:pStyle w:val="AppendixNumbered"/>
      </w:pPr>
      <w:bookmarkStart w:id="972" w:name="_Toc421197725"/>
      <w:bookmarkStart w:id="973" w:name="_Toc457549937"/>
      <w:bookmarkStart w:id="974" w:name="_Toc524424826"/>
      <w:r w:rsidRPr="00557C8E">
        <w:lastRenderedPageBreak/>
        <w:t>Work completed by ACFA to date</w:t>
      </w:r>
      <w:bookmarkEnd w:id="972"/>
      <w:bookmarkEnd w:id="973"/>
      <w:bookmarkEnd w:id="974"/>
    </w:p>
    <w:tbl>
      <w:tblPr>
        <w:tblStyle w:val="DefaultTable1"/>
        <w:tblW w:w="5000" w:type="pct"/>
        <w:tblLook w:val="0620" w:firstRow="1" w:lastRow="0" w:firstColumn="0" w:lastColumn="0" w:noHBand="1" w:noVBand="1"/>
        <w:tblCaption w:val="Table B.1: Work completed to date"/>
        <w:tblDescription w:val="This table lists the work ACFA has completed to date since 2012"/>
      </w:tblPr>
      <w:tblGrid>
        <w:gridCol w:w="4814"/>
        <w:gridCol w:w="4814"/>
      </w:tblGrid>
      <w:tr w:rsidR="00E93CD9" w:rsidRPr="009C5F13"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2500" w:type="pct"/>
          </w:tcPr>
          <w:p w:rsidR="00E93CD9" w:rsidRPr="009C5F13" w:rsidRDefault="00E93CD9" w:rsidP="00B63E23">
            <w:r w:rsidRPr="00596D01">
              <w:t>Work</w:t>
            </w:r>
          </w:p>
        </w:tc>
        <w:tc>
          <w:tcPr>
            <w:tcW w:w="2500" w:type="pct"/>
          </w:tcPr>
          <w:p w:rsidR="00E93CD9" w:rsidRPr="00596D01" w:rsidRDefault="00E93CD9" w:rsidP="00B63E23">
            <w:r w:rsidRPr="00596D01">
              <w:t>Date of completion</w:t>
            </w:r>
          </w:p>
        </w:tc>
      </w:tr>
      <w:tr w:rsidR="00167C42" w:rsidRPr="009C5F13" w:rsidTr="00B63E23">
        <w:trPr>
          <w:trHeight w:val="113"/>
        </w:trPr>
        <w:tc>
          <w:tcPr>
            <w:tcW w:w="2500" w:type="pct"/>
          </w:tcPr>
          <w:p w:rsidR="00167C42" w:rsidRDefault="000973FE" w:rsidP="00B63E23">
            <w:r>
              <w:t>2017 Annual Report on Funding and Financing of the Aged Care S</w:t>
            </w:r>
            <w:r w:rsidR="00167C42">
              <w:t>ector</w:t>
            </w:r>
          </w:p>
        </w:tc>
        <w:tc>
          <w:tcPr>
            <w:tcW w:w="2500" w:type="pct"/>
          </w:tcPr>
          <w:p w:rsidR="00167C42" w:rsidRDefault="00167C42" w:rsidP="00B63E23">
            <w:r>
              <w:t xml:space="preserve">Provided to Minister </w:t>
            </w:r>
            <w:r w:rsidRPr="00B83A13">
              <w:t>in July</w:t>
            </w:r>
            <w:r w:rsidR="00A261F3">
              <w:t> 201</w:t>
            </w:r>
            <w:r w:rsidRPr="00B83A13">
              <w:t>7</w:t>
            </w:r>
            <w:r w:rsidR="00E70039" w:rsidRPr="00B83A13">
              <w:t xml:space="preserve">. Published in </w:t>
            </w:r>
            <w:r w:rsidR="00F230EC">
              <w:t>August</w:t>
            </w:r>
            <w:r w:rsidR="00A261F3">
              <w:t> 201</w:t>
            </w:r>
            <w:r w:rsidR="000973FE" w:rsidRPr="00B83A13">
              <w:t>7.</w:t>
            </w:r>
          </w:p>
        </w:tc>
      </w:tr>
      <w:tr w:rsidR="002D370D" w:rsidRPr="009C5F13" w:rsidTr="00B63E23">
        <w:trPr>
          <w:trHeight w:val="113"/>
        </w:trPr>
        <w:tc>
          <w:tcPr>
            <w:tcW w:w="2500" w:type="pct"/>
          </w:tcPr>
          <w:p w:rsidR="002D370D" w:rsidRPr="006C5A6E" w:rsidRDefault="002D370D" w:rsidP="00B63E23">
            <w:r w:rsidRPr="006C5A6E">
              <w:rPr>
                <w:iCs/>
              </w:rPr>
              <w:t xml:space="preserve">Application of the </w:t>
            </w:r>
            <w:r w:rsidR="00FF6A02">
              <w:rPr>
                <w:iCs/>
              </w:rPr>
              <w:t>B</w:t>
            </w:r>
            <w:r w:rsidRPr="006C5A6E">
              <w:rPr>
                <w:iCs/>
              </w:rPr>
              <w:t xml:space="preserve">ase </w:t>
            </w:r>
            <w:r w:rsidR="00FF6A02">
              <w:rPr>
                <w:iCs/>
              </w:rPr>
              <w:t>I</w:t>
            </w:r>
            <w:r w:rsidRPr="006C5A6E">
              <w:rPr>
                <w:iCs/>
              </w:rPr>
              <w:t xml:space="preserve">nterest </w:t>
            </w:r>
            <w:r w:rsidR="00FF6A02">
              <w:rPr>
                <w:iCs/>
              </w:rPr>
              <w:t>R</w:t>
            </w:r>
            <w:r w:rsidRPr="006C5A6E">
              <w:rPr>
                <w:iCs/>
              </w:rPr>
              <w:t>ate</w:t>
            </w:r>
          </w:p>
        </w:tc>
        <w:tc>
          <w:tcPr>
            <w:tcW w:w="2500" w:type="pct"/>
          </w:tcPr>
          <w:p w:rsidR="002D370D" w:rsidRDefault="00C912FA" w:rsidP="00B63E23">
            <w:r>
              <w:t>Provided</w:t>
            </w:r>
            <w:r w:rsidR="002D370D">
              <w:t xml:space="preserve"> to</w:t>
            </w:r>
            <w:r>
              <w:t xml:space="preserve"> Minister</w:t>
            </w:r>
            <w:r w:rsidR="00FB7B83">
              <w:t xml:space="preserve"> in May</w:t>
            </w:r>
            <w:r w:rsidR="00A261F3">
              <w:t> 201</w:t>
            </w:r>
            <w:r>
              <w:t>7</w:t>
            </w:r>
            <w:r w:rsidR="009C11F5">
              <w:t xml:space="preserve">. Published in </w:t>
            </w:r>
            <w:r w:rsidR="00CC78B5">
              <w:t>June</w:t>
            </w:r>
            <w:r w:rsidR="00A261F3">
              <w:t> 201</w:t>
            </w:r>
            <w:r w:rsidR="00CC78B5">
              <w:t>7.</w:t>
            </w:r>
          </w:p>
        </w:tc>
      </w:tr>
      <w:tr w:rsidR="006C5A6E" w:rsidRPr="009C5F13" w:rsidTr="00B63E23">
        <w:trPr>
          <w:trHeight w:val="113"/>
        </w:trPr>
        <w:tc>
          <w:tcPr>
            <w:tcW w:w="2500" w:type="pct"/>
          </w:tcPr>
          <w:p w:rsidR="006C5A6E" w:rsidRDefault="006C5A6E" w:rsidP="00B63E23">
            <w:r>
              <w:t>Bond Guarantee Scheme</w:t>
            </w:r>
          </w:p>
        </w:tc>
        <w:tc>
          <w:tcPr>
            <w:tcW w:w="2500" w:type="pct"/>
          </w:tcPr>
          <w:p w:rsidR="006C5A6E" w:rsidRDefault="00327782" w:rsidP="00B63E23">
            <w:r>
              <w:t xml:space="preserve">Provided to </w:t>
            </w:r>
            <w:r w:rsidR="00FB7B83">
              <w:t>Minister in April</w:t>
            </w:r>
            <w:r w:rsidR="00A261F3">
              <w:t> 201</w:t>
            </w:r>
            <w:r w:rsidR="009C11F5">
              <w:t>7. P</w:t>
            </w:r>
            <w:r>
              <w:t>ublished in</w:t>
            </w:r>
            <w:r w:rsidR="00F230EC">
              <w:t xml:space="preserve"> May</w:t>
            </w:r>
            <w:r w:rsidR="00A261F3">
              <w:t> 201</w:t>
            </w:r>
            <w:r w:rsidR="006C5A6E">
              <w:t>7.</w:t>
            </w:r>
          </w:p>
        </w:tc>
      </w:tr>
      <w:tr w:rsidR="002D370D" w:rsidRPr="009C5F13" w:rsidTr="00B63E23">
        <w:trPr>
          <w:trHeight w:val="113"/>
        </w:trPr>
        <w:tc>
          <w:tcPr>
            <w:tcW w:w="2500" w:type="pct"/>
          </w:tcPr>
          <w:p w:rsidR="002D370D" w:rsidRDefault="00C60A31" w:rsidP="00B63E23">
            <w:r w:rsidRPr="00596D01">
              <w:rPr>
                <w:rStyle w:val="Emphasis"/>
              </w:rPr>
              <w:t xml:space="preserve">Report to Inform </w:t>
            </w:r>
            <w:r w:rsidR="002D370D" w:rsidRPr="00596D01">
              <w:rPr>
                <w:rStyle w:val="Emphasis"/>
              </w:rPr>
              <w:t>the</w:t>
            </w:r>
            <w:r w:rsidR="00A261F3" w:rsidRPr="00596D01">
              <w:rPr>
                <w:rStyle w:val="Emphasis"/>
              </w:rPr>
              <w:t> 201</w:t>
            </w:r>
            <w:r w:rsidR="00586646" w:rsidRPr="00596D01">
              <w:rPr>
                <w:rStyle w:val="Emphasis"/>
              </w:rPr>
              <w:t>6</w:t>
            </w:r>
            <w:r w:rsidR="00D8721E" w:rsidRPr="00596D01">
              <w:rPr>
                <w:rStyle w:val="Emphasis"/>
              </w:rPr>
              <w:t>–1</w:t>
            </w:r>
            <w:r w:rsidR="00586646" w:rsidRPr="00596D01">
              <w:rPr>
                <w:rStyle w:val="Emphasis"/>
              </w:rPr>
              <w:t>7</w:t>
            </w:r>
            <w:r w:rsidR="002D370D" w:rsidRPr="00596D01">
              <w:rPr>
                <w:rStyle w:val="Emphasis"/>
              </w:rPr>
              <w:t xml:space="preserve"> </w:t>
            </w:r>
            <w:r w:rsidRPr="00596D01">
              <w:rPr>
                <w:rStyle w:val="Emphasis"/>
              </w:rPr>
              <w:t>R</w:t>
            </w:r>
            <w:r w:rsidR="002D370D" w:rsidRPr="00596D01">
              <w:rPr>
                <w:rStyle w:val="Emphasis"/>
              </w:rPr>
              <w:t xml:space="preserve">eview of </w:t>
            </w:r>
            <w:r w:rsidRPr="00596D01">
              <w:rPr>
                <w:rStyle w:val="Emphasis"/>
              </w:rPr>
              <w:t>Amendments</w:t>
            </w:r>
            <w:r>
              <w:t xml:space="preserve"> to </w:t>
            </w:r>
            <w:r w:rsidRPr="009C3FD9">
              <w:t xml:space="preserve">the </w:t>
            </w:r>
            <w:r w:rsidRPr="00596D01">
              <w:rPr>
                <w:rStyle w:val="Emphasis"/>
              </w:rPr>
              <w:t>Aged Care Act 1997</w:t>
            </w:r>
            <w:r w:rsidR="002D370D">
              <w:t xml:space="preserve"> </w:t>
            </w:r>
          </w:p>
        </w:tc>
        <w:tc>
          <w:tcPr>
            <w:tcW w:w="2500" w:type="pct"/>
          </w:tcPr>
          <w:p w:rsidR="002D370D" w:rsidRDefault="002D370D" w:rsidP="00B63E23">
            <w:r>
              <w:t>Provided t</w:t>
            </w:r>
            <w:r w:rsidR="00FB7B83">
              <w:t>o Minister in May</w:t>
            </w:r>
            <w:r w:rsidR="00A261F3">
              <w:t> 201</w:t>
            </w:r>
            <w:r w:rsidR="009C11F5">
              <w:t>7. P</w:t>
            </w:r>
            <w:r>
              <w:t xml:space="preserve">ublished in </w:t>
            </w:r>
            <w:r w:rsidR="009C11F5">
              <w:t>June</w:t>
            </w:r>
            <w:r w:rsidR="00A261F3">
              <w:t> 201</w:t>
            </w:r>
            <w:r>
              <w:t>7.</w:t>
            </w:r>
          </w:p>
        </w:tc>
      </w:tr>
      <w:tr w:rsidR="002D370D" w:rsidRPr="009C5F13" w:rsidTr="00B63E23">
        <w:trPr>
          <w:trHeight w:val="113"/>
        </w:trPr>
        <w:tc>
          <w:tcPr>
            <w:tcW w:w="2500" w:type="pct"/>
          </w:tcPr>
          <w:p w:rsidR="002D370D" w:rsidRDefault="00FF6A02" w:rsidP="00B63E23">
            <w:r>
              <w:t xml:space="preserve">Access to Residential Care by </w:t>
            </w:r>
            <w:r w:rsidR="002D370D">
              <w:t xml:space="preserve">Supported residents </w:t>
            </w:r>
          </w:p>
        </w:tc>
        <w:tc>
          <w:tcPr>
            <w:tcW w:w="2500" w:type="pct"/>
          </w:tcPr>
          <w:p w:rsidR="002D370D" w:rsidRDefault="002D370D" w:rsidP="00B63E23">
            <w:r>
              <w:t>Provided to Minister in Jan</w:t>
            </w:r>
            <w:r w:rsidR="00F230EC">
              <w:t>uary</w:t>
            </w:r>
            <w:r w:rsidR="00A261F3">
              <w:t> 201</w:t>
            </w:r>
            <w:r w:rsidR="009C11F5">
              <w:t>7. P</w:t>
            </w:r>
            <w:r>
              <w:t xml:space="preserve">ublished in </w:t>
            </w:r>
            <w:r w:rsidR="00F230EC">
              <w:t>February</w:t>
            </w:r>
            <w:r w:rsidR="00A261F3">
              <w:t> 201</w:t>
            </w:r>
            <w:r>
              <w:t>7.</w:t>
            </w:r>
          </w:p>
        </w:tc>
      </w:tr>
      <w:tr w:rsidR="00E93CD9" w:rsidRPr="009C5F13" w:rsidTr="00B63E23">
        <w:trPr>
          <w:trHeight w:val="113"/>
        </w:trPr>
        <w:tc>
          <w:tcPr>
            <w:tcW w:w="2500" w:type="pct"/>
          </w:tcPr>
          <w:p w:rsidR="00E93CD9" w:rsidRPr="009C5F13" w:rsidRDefault="00A25895" w:rsidP="00B63E23">
            <w:r>
              <w:t>2016 Annual R</w:t>
            </w:r>
            <w:r w:rsidR="00E93CD9">
              <w:t xml:space="preserve">eport on </w:t>
            </w:r>
            <w:r w:rsidR="00D75A9C">
              <w:t>Funding and Financing of the Aged Care S</w:t>
            </w:r>
            <w:r w:rsidR="00E93CD9">
              <w:t xml:space="preserve">ector </w:t>
            </w:r>
          </w:p>
        </w:tc>
        <w:tc>
          <w:tcPr>
            <w:tcW w:w="2500" w:type="pct"/>
          </w:tcPr>
          <w:p w:rsidR="00E93CD9" w:rsidRPr="009C5F13" w:rsidRDefault="00F230EC" w:rsidP="00B63E23">
            <w:r>
              <w:t>Provided to Minister in July</w:t>
            </w:r>
            <w:r w:rsidR="00A261F3">
              <w:t> 201</w:t>
            </w:r>
            <w:r w:rsidR="00E93CD9">
              <w:t>6.</w:t>
            </w:r>
            <w:r>
              <w:t xml:space="preserve"> Published in August</w:t>
            </w:r>
            <w:r w:rsidR="00A261F3">
              <w:t> 201</w:t>
            </w:r>
            <w:r w:rsidR="009C11F5">
              <w:t>6.</w:t>
            </w:r>
          </w:p>
        </w:tc>
      </w:tr>
      <w:tr w:rsidR="00E93CD9" w:rsidRPr="009C5F13" w:rsidTr="00B63E23">
        <w:trPr>
          <w:trHeight w:val="113"/>
        </w:trPr>
        <w:tc>
          <w:tcPr>
            <w:tcW w:w="2500" w:type="pct"/>
          </w:tcPr>
          <w:p w:rsidR="00E93CD9" w:rsidRPr="003D6314" w:rsidRDefault="00E93CD9" w:rsidP="00B63E23">
            <w:r>
              <w:t xml:space="preserve">Report on Issues Affecting the Financial Performance of Rural and Remote Providers, </w:t>
            </w:r>
            <w:r w:rsidR="00FF6A02">
              <w:t>R</w:t>
            </w:r>
            <w:r>
              <w:t xml:space="preserve">esidential and </w:t>
            </w:r>
            <w:r w:rsidR="00FF6A02">
              <w:t>H</w:t>
            </w:r>
            <w:r>
              <w:t xml:space="preserve">ome </w:t>
            </w:r>
            <w:r w:rsidR="00FF6A02">
              <w:t>C</w:t>
            </w:r>
            <w:r>
              <w:t>are</w:t>
            </w:r>
          </w:p>
        </w:tc>
        <w:tc>
          <w:tcPr>
            <w:tcW w:w="2500" w:type="pct"/>
          </w:tcPr>
          <w:p w:rsidR="00E93CD9" w:rsidRPr="003D6314" w:rsidRDefault="00327782" w:rsidP="00B63E23">
            <w:r>
              <w:t xml:space="preserve">Provided to Minister in </w:t>
            </w:r>
            <w:r w:rsidR="00E93CD9">
              <w:t>Janu</w:t>
            </w:r>
            <w:r w:rsidR="00F230EC">
              <w:t>ary</w:t>
            </w:r>
            <w:r w:rsidR="00A261F3">
              <w:t> 201</w:t>
            </w:r>
            <w:r w:rsidR="00D75A5D">
              <w:t>6. P</w:t>
            </w:r>
            <w:r>
              <w:t>ublished in</w:t>
            </w:r>
            <w:r w:rsidR="00F230EC">
              <w:t> February</w:t>
            </w:r>
            <w:r w:rsidR="00A261F3">
              <w:t> 201</w:t>
            </w:r>
            <w:r w:rsidR="00E93CD9">
              <w:t>6.</w:t>
            </w:r>
          </w:p>
        </w:tc>
      </w:tr>
      <w:tr w:rsidR="00E93CD9" w:rsidRPr="009C5F13" w:rsidTr="00B63E23">
        <w:trPr>
          <w:trHeight w:val="113"/>
        </w:trPr>
        <w:tc>
          <w:tcPr>
            <w:tcW w:w="2500" w:type="pct"/>
          </w:tcPr>
          <w:p w:rsidR="00E93CD9" w:rsidRPr="003D6314" w:rsidRDefault="00D333BC" w:rsidP="00B63E23">
            <w:r>
              <w:t>2015 Annual R</w:t>
            </w:r>
            <w:r w:rsidR="00D75A9C">
              <w:t>eport on Funding and Financing of the Aged Care S</w:t>
            </w:r>
            <w:r w:rsidR="00E93CD9">
              <w:t>ector</w:t>
            </w:r>
          </w:p>
        </w:tc>
        <w:tc>
          <w:tcPr>
            <w:tcW w:w="2500" w:type="pct"/>
          </w:tcPr>
          <w:p w:rsidR="00E93CD9" w:rsidRPr="003D6314" w:rsidRDefault="00E93CD9" w:rsidP="00B63E23">
            <w:r>
              <w:t xml:space="preserve">Provided to Minister </w:t>
            </w:r>
            <w:r w:rsidR="00327782">
              <w:t>in</w:t>
            </w:r>
            <w:r>
              <w:t> Ju</w:t>
            </w:r>
            <w:r w:rsidR="00F230EC">
              <w:t>ly</w:t>
            </w:r>
            <w:r w:rsidR="00A261F3">
              <w:t> 201</w:t>
            </w:r>
            <w:r w:rsidR="00D75A5D">
              <w:t>5. P</w:t>
            </w:r>
            <w:r w:rsidR="00327782">
              <w:t xml:space="preserve">ublished in </w:t>
            </w:r>
            <w:r w:rsidR="00F230EC">
              <w:t>August</w:t>
            </w:r>
            <w:r w:rsidR="00A261F3">
              <w:t> 201</w:t>
            </w:r>
            <w:r>
              <w:t>6.</w:t>
            </w:r>
          </w:p>
        </w:tc>
      </w:tr>
      <w:tr w:rsidR="00E93CD9" w:rsidRPr="009C5F13" w:rsidTr="00B63E23">
        <w:trPr>
          <w:trHeight w:val="113"/>
        </w:trPr>
        <w:tc>
          <w:tcPr>
            <w:tcW w:w="2500" w:type="pct"/>
          </w:tcPr>
          <w:p w:rsidR="00E93CD9" w:rsidRPr="009C5F13" w:rsidRDefault="00E93CD9" w:rsidP="00B63E23">
            <w:r w:rsidRPr="003D6314">
              <w:t xml:space="preserve">Report on </w:t>
            </w:r>
            <w:r w:rsidR="00FF6A02">
              <w:t>F</w:t>
            </w:r>
            <w:r w:rsidRPr="003D6314">
              <w:t xml:space="preserve">actors </w:t>
            </w:r>
            <w:r w:rsidR="00FF6A02">
              <w:t>I</w:t>
            </w:r>
            <w:r w:rsidRPr="003D6314">
              <w:t xml:space="preserve">nfluencing the </w:t>
            </w:r>
            <w:r w:rsidR="00FF6A02">
              <w:t>F</w:t>
            </w:r>
            <w:r w:rsidRPr="003D6314">
              <w:t xml:space="preserve">inancial </w:t>
            </w:r>
            <w:r w:rsidR="00FF6A02">
              <w:t>P</w:t>
            </w:r>
            <w:r w:rsidRPr="003D6314">
              <w:t>erformance of</w:t>
            </w:r>
            <w:r>
              <w:t xml:space="preserve"> </w:t>
            </w:r>
            <w:r w:rsidR="00FF6A02">
              <w:t>R</w:t>
            </w:r>
            <w:r>
              <w:t>esidential</w:t>
            </w:r>
            <w:r w:rsidRPr="003D6314">
              <w:t xml:space="preserve"> </w:t>
            </w:r>
            <w:r w:rsidR="00FF6A02">
              <w:t>A</w:t>
            </w:r>
            <w:r w:rsidRPr="003D6314">
              <w:t xml:space="preserve">ged </w:t>
            </w:r>
            <w:r w:rsidR="00FF6A02">
              <w:t>C</w:t>
            </w:r>
            <w:r w:rsidRPr="003D6314">
              <w:t xml:space="preserve">are </w:t>
            </w:r>
            <w:r w:rsidR="00FF6A02">
              <w:t>P</w:t>
            </w:r>
            <w:r w:rsidRPr="003D6314">
              <w:t>roviders</w:t>
            </w:r>
          </w:p>
        </w:tc>
        <w:tc>
          <w:tcPr>
            <w:tcW w:w="2500" w:type="pct"/>
          </w:tcPr>
          <w:p w:rsidR="00E93CD9" w:rsidRPr="009C5F13" w:rsidRDefault="00E93CD9" w:rsidP="00B63E23">
            <w:r>
              <w:t xml:space="preserve">Provided </w:t>
            </w:r>
            <w:r w:rsidR="00327782">
              <w:t xml:space="preserve">to Minister in </w:t>
            </w:r>
            <w:r w:rsidRPr="003D6314">
              <w:t>May</w:t>
            </w:r>
            <w:r w:rsidR="00A261F3">
              <w:rPr>
                <w:sz w:val="16"/>
                <w:szCs w:val="16"/>
              </w:rPr>
              <w:t> 201</w:t>
            </w:r>
            <w:r w:rsidRPr="003D6314">
              <w:t xml:space="preserve">5. </w:t>
            </w:r>
            <w:r w:rsidR="00D75A5D">
              <w:t>P</w:t>
            </w:r>
            <w:r>
              <w:t xml:space="preserve">ublished </w:t>
            </w:r>
            <w:r w:rsidR="00327782">
              <w:t xml:space="preserve">in </w:t>
            </w:r>
            <w:r w:rsidRPr="003D6314">
              <w:t>June</w:t>
            </w:r>
            <w:r w:rsidR="00A261F3">
              <w:rPr>
                <w:sz w:val="16"/>
                <w:szCs w:val="16"/>
              </w:rPr>
              <w:t> 201</w:t>
            </w:r>
            <w:r>
              <w:t>5.</w:t>
            </w:r>
          </w:p>
        </w:tc>
      </w:tr>
      <w:tr w:rsidR="00E93CD9" w:rsidRPr="009C5F13" w:rsidTr="00B63E23">
        <w:trPr>
          <w:trHeight w:val="113"/>
        </w:trPr>
        <w:tc>
          <w:tcPr>
            <w:tcW w:w="2500" w:type="pct"/>
          </w:tcPr>
          <w:p w:rsidR="00E93CD9" w:rsidRPr="009C5F13" w:rsidRDefault="00E93CD9" w:rsidP="00B63E23">
            <w:r w:rsidRPr="009C5F13">
              <w:t xml:space="preserve">Report on </w:t>
            </w:r>
            <w:r w:rsidR="00FF6A02">
              <w:t>I</w:t>
            </w:r>
            <w:r w:rsidRPr="009C5F13">
              <w:t xml:space="preserve">mproving the </w:t>
            </w:r>
            <w:r w:rsidR="00FF6A02">
              <w:t>C</w:t>
            </w:r>
            <w:r w:rsidRPr="009C5F13">
              <w:t xml:space="preserve">ollection of </w:t>
            </w:r>
            <w:r w:rsidR="00FF6A02">
              <w:t>F</w:t>
            </w:r>
            <w:r w:rsidRPr="009C5F13">
              <w:t xml:space="preserve">inancial </w:t>
            </w:r>
            <w:r w:rsidR="00FF6A02">
              <w:t>D</w:t>
            </w:r>
            <w:r w:rsidRPr="009C5F13">
              <w:t xml:space="preserve">ata from </w:t>
            </w:r>
            <w:r w:rsidR="00FF6A02">
              <w:t>A</w:t>
            </w:r>
            <w:r w:rsidRPr="009C5F13">
              <w:t xml:space="preserve">ged </w:t>
            </w:r>
            <w:r w:rsidR="00FF6A02">
              <w:t>C</w:t>
            </w:r>
            <w:r w:rsidRPr="009C5F13">
              <w:t xml:space="preserve">are </w:t>
            </w:r>
            <w:r w:rsidR="00FF6A02">
              <w:t>P</w:t>
            </w:r>
            <w:r w:rsidRPr="009C5F13">
              <w:t>roviders</w:t>
            </w:r>
          </w:p>
        </w:tc>
        <w:tc>
          <w:tcPr>
            <w:tcW w:w="2500" w:type="pct"/>
          </w:tcPr>
          <w:p w:rsidR="00E93CD9" w:rsidRPr="009C5F13" w:rsidRDefault="00327782" w:rsidP="00B63E23">
            <w:r>
              <w:t>Provided to Minister in</w:t>
            </w:r>
            <w:r w:rsidR="00E93CD9">
              <w:t> Septem</w:t>
            </w:r>
            <w:r w:rsidR="00F230EC">
              <w:t>ber</w:t>
            </w:r>
            <w:r w:rsidR="00A261F3">
              <w:t> 201</w:t>
            </w:r>
            <w:r w:rsidR="00D75A5D">
              <w:t>4. P</w:t>
            </w:r>
            <w:r>
              <w:t>ublished in</w:t>
            </w:r>
            <w:r w:rsidR="00F230EC">
              <w:t> October</w:t>
            </w:r>
            <w:r w:rsidR="00A261F3">
              <w:t> 201</w:t>
            </w:r>
            <w:r w:rsidR="00E93CD9">
              <w:t>4.</w:t>
            </w:r>
          </w:p>
        </w:tc>
      </w:tr>
      <w:tr w:rsidR="00E93CD9" w:rsidRPr="009C5F13" w:rsidTr="00B63E23">
        <w:trPr>
          <w:trHeight w:val="113"/>
        </w:trPr>
        <w:tc>
          <w:tcPr>
            <w:tcW w:w="2500" w:type="pct"/>
          </w:tcPr>
          <w:p w:rsidR="00E93CD9" w:rsidRPr="009C5F13" w:rsidRDefault="00E93CD9" w:rsidP="00B63E23">
            <w:r w:rsidRPr="009C5F13">
              <w:t xml:space="preserve">Reports on the </w:t>
            </w:r>
            <w:r w:rsidR="00FF6A02">
              <w:t>I</w:t>
            </w:r>
            <w:r w:rsidRPr="009C5F13">
              <w:t xml:space="preserve">mpact of </w:t>
            </w:r>
            <w:r w:rsidR="00FF6A02">
              <w:t>F</w:t>
            </w:r>
            <w:r w:rsidRPr="009C5F13">
              <w:t xml:space="preserve">inancial </w:t>
            </w:r>
            <w:r w:rsidR="00FF6A02">
              <w:t>R</w:t>
            </w:r>
            <w:r w:rsidRPr="009C5F13">
              <w:t xml:space="preserve">eforms on the </w:t>
            </w:r>
            <w:r w:rsidR="00FF6A02">
              <w:t>A</w:t>
            </w:r>
            <w:r w:rsidRPr="009C5F13">
              <w:t xml:space="preserve">ged </w:t>
            </w:r>
            <w:r w:rsidR="00FF6A02">
              <w:t>C</w:t>
            </w:r>
            <w:r w:rsidRPr="009C5F13">
              <w:t xml:space="preserve">are </w:t>
            </w:r>
            <w:r w:rsidR="00FF6A02">
              <w:t>S</w:t>
            </w:r>
            <w:r w:rsidRPr="009C5F13">
              <w:t>ector</w:t>
            </w:r>
          </w:p>
        </w:tc>
        <w:tc>
          <w:tcPr>
            <w:tcW w:w="2500" w:type="pct"/>
          </w:tcPr>
          <w:p w:rsidR="00E93CD9" w:rsidRPr="009C5F13" w:rsidRDefault="00E93CD9" w:rsidP="00B63E23">
            <w:r w:rsidRPr="009C5F13">
              <w:t xml:space="preserve">First </w:t>
            </w:r>
            <w:r>
              <w:t xml:space="preserve">monthly </w:t>
            </w:r>
            <w:r w:rsidRPr="009C5F13">
              <w:t>report – 6</w:t>
            </w:r>
            <w:r>
              <w:rPr>
                <w:sz w:val="16"/>
                <w:szCs w:val="16"/>
              </w:rPr>
              <w:t> </w:t>
            </w:r>
            <w:r w:rsidRPr="009C5F13">
              <w:t>August</w:t>
            </w:r>
            <w:r w:rsidR="00A261F3">
              <w:rPr>
                <w:sz w:val="16"/>
                <w:szCs w:val="16"/>
              </w:rPr>
              <w:t> 201</w:t>
            </w:r>
            <w:r w:rsidRPr="009C5F13">
              <w:t>4</w:t>
            </w:r>
          </w:p>
          <w:p w:rsidR="00E93CD9" w:rsidRPr="009C5F13" w:rsidRDefault="00E93CD9" w:rsidP="00B63E23">
            <w:r w:rsidRPr="009C5F13">
              <w:t>Second</w:t>
            </w:r>
            <w:r>
              <w:t xml:space="preserve"> monthly</w:t>
            </w:r>
            <w:r w:rsidRPr="009C5F13">
              <w:t xml:space="preserve"> report – 9</w:t>
            </w:r>
            <w:r w:rsidRPr="00D344C9">
              <w:t> September</w:t>
            </w:r>
            <w:r w:rsidR="00A261F3">
              <w:t> 201</w:t>
            </w:r>
            <w:r w:rsidRPr="009C5F13">
              <w:t>4</w:t>
            </w:r>
          </w:p>
          <w:p w:rsidR="00E93CD9" w:rsidRPr="009C5F13" w:rsidRDefault="00E93CD9" w:rsidP="00B63E23">
            <w:r w:rsidRPr="009C5F13">
              <w:t xml:space="preserve">Third </w:t>
            </w:r>
            <w:r>
              <w:t xml:space="preserve">monthly </w:t>
            </w:r>
            <w:r w:rsidRPr="009C5F13">
              <w:t>report – 29</w:t>
            </w:r>
            <w:r w:rsidRPr="00D344C9">
              <w:t> September</w:t>
            </w:r>
            <w:r w:rsidR="00A261F3">
              <w:rPr>
                <w:sz w:val="16"/>
                <w:szCs w:val="16"/>
              </w:rPr>
              <w:t> 201</w:t>
            </w:r>
            <w:r w:rsidRPr="009C5F13">
              <w:t>4</w:t>
            </w:r>
          </w:p>
          <w:p w:rsidR="00E93CD9" w:rsidRPr="009C5F13" w:rsidRDefault="00E93CD9" w:rsidP="00B63E23">
            <w:r w:rsidRPr="009C5F13">
              <w:t xml:space="preserve">Fourth and </w:t>
            </w:r>
            <w:r>
              <w:t>f</w:t>
            </w:r>
            <w:r w:rsidRPr="009C5F13">
              <w:t xml:space="preserve">ifth </w:t>
            </w:r>
            <w:r>
              <w:t xml:space="preserve">monthly </w:t>
            </w:r>
            <w:r w:rsidRPr="009C5F13">
              <w:t>report</w:t>
            </w:r>
            <w:r>
              <w:t>s</w:t>
            </w:r>
            <w:r w:rsidRPr="009C5F13">
              <w:t xml:space="preserve"> – 20</w:t>
            </w:r>
            <w:r>
              <w:rPr>
                <w:sz w:val="16"/>
                <w:szCs w:val="16"/>
              </w:rPr>
              <w:t> </w:t>
            </w:r>
            <w:r w:rsidRPr="009C5F13">
              <w:t>January</w:t>
            </w:r>
            <w:r w:rsidR="00A261F3">
              <w:rPr>
                <w:sz w:val="16"/>
                <w:szCs w:val="16"/>
              </w:rPr>
              <w:t> 201</w:t>
            </w:r>
            <w:r w:rsidRPr="009C5F13">
              <w:t>5</w:t>
            </w:r>
          </w:p>
          <w:p w:rsidR="00E93CD9" w:rsidRPr="009C5F13" w:rsidRDefault="00E93CD9" w:rsidP="00B63E23">
            <w:r w:rsidRPr="009C5F13">
              <w:t xml:space="preserve">Sixth </w:t>
            </w:r>
            <w:r>
              <w:t xml:space="preserve">monthly </w:t>
            </w:r>
            <w:r w:rsidRPr="009C5F13">
              <w:t>report – 13</w:t>
            </w:r>
            <w:r>
              <w:rPr>
                <w:sz w:val="16"/>
                <w:szCs w:val="16"/>
              </w:rPr>
              <w:t> </w:t>
            </w:r>
            <w:r w:rsidRPr="009C5F13">
              <w:t>March</w:t>
            </w:r>
            <w:r w:rsidR="00A261F3">
              <w:rPr>
                <w:sz w:val="16"/>
                <w:szCs w:val="16"/>
              </w:rPr>
              <w:t> 201</w:t>
            </w:r>
            <w:r w:rsidRPr="009C5F13">
              <w:t>5</w:t>
            </w:r>
          </w:p>
          <w:p w:rsidR="00E93CD9" w:rsidRDefault="00E93CD9" w:rsidP="00B63E23">
            <w:r w:rsidRPr="009C5F13">
              <w:t xml:space="preserve">Seventh </w:t>
            </w:r>
            <w:r>
              <w:t xml:space="preserve">monthly </w:t>
            </w:r>
            <w:r w:rsidRPr="009C5F13">
              <w:t>report – 21</w:t>
            </w:r>
            <w:r>
              <w:rPr>
                <w:sz w:val="16"/>
                <w:szCs w:val="16"/>
              </w:rPr>
              <w:t> </w:t>
            </w:r>
            <w:r w:rsidRPr="009C5F13">
              <w:t>April</w:t>
            </w:r>
            <w:r w:rsidR="00A261F3">
              <w:rPr>
                <w:sz w:val="16"/>
                <w:szCs w:val="16"/>
              </w:rPr>
              <w:t> 201</w:t>
            </w:r>
            <w:r w:rsidRPr="009C5F13">
              <w:t>5</w:t>
            </w:r>
          </w:p>
          <w:p w:rsidR="00E93CD9" w:rsidRDefault="00E93CD9" w:rsidP="00B63E23">
            <w:r>
              <w:t>First quarterly report – 18 September</w:t>
            </w:r>
            <w:r w:rsidR="00A261F3">
              <w:t> 201</w:t>
            </w:r>
            <w:r>
              <w:t>5</w:t>
            </w:r>
          </w:p>
          <w:p w:rsidR="00E93CD9" w:rsidRDefault="00E93CD9" w:rsidP="00B63E23">
            <w:r>
              <w:t>Second quarterly report – 21 December</w:t>
            </w:r>
            <w:r w:rsidR="00A261F3">
              <w:t> 201</w:t>
            </w:r>
            <w:r>
              <w:t>5</w:t>
            </w:r>
          </w:p>
          <w:p w:rsidR="00E93CD9" w:rsidRDefault="00F230EC" w:rsidP="00B63E23">
            <w:r>
              <w:t>Third quarterly report – 26 February</w:t>
            </w:r>
            <w:r w:rsidR="00A261F3">
              <w:t> 201</w:t>
            </w:r>
            <w:r w:rsidR="00E93CD9">
              <w:t>6</w:t>
            </w:r>
          </w:p>
          <w:p w:rsidR="00E93CD9" w:rsidRPr="009C5F13" w:rsidRDefault="00E93CD9" w:rsidP="00B63E23">
            <w:r>
              <w:t>Final quarterly report – 1 June</w:t>
            </w:r>
            <w:r w:rsidR="00A261F3">
              <w:t> 201</w:t>
            </w:r>
            <w:r>
              <w:t>6.</w:t>
            </w:r>
          </w:p>
        </w:tc>
      </w:tr>
      <w:tr w:rsidR="00E93CD9" w:rsidRPr="009C5F13" w:rsidTr="00B63E23">
        <w:trPr>
          <w:trHeight w:val="113"/>
        </w:trPr>
        <w:tc>
          <w:tcPr>
            <w:tcW w:w="2500" w:type="pct"/>
          </w:tcPr>
          <w:p w:rsidR="00E93CD9" w:rsidRPr="009C5F13" w:rsidRDefault="00A25895" w:rsidP="00B63E23">
            <w:r>
              <w:lastRenderedPageBreak/>
              <w:t>2014 A</w:t>
            </w:r>
            <w:r w:rsidR="00E93CD9">
              <w:t xml:space="preserve">nnual </w:t>
            </w:r>
            <w:r>
              <w:t>R</w:t>
            </w:r>
            <w:r w:rsidR="00E93CD9">
              <w:t>eport</w:t>
            </w:r>
            <w:r w:rsidR="00D75A9C">
              <w:t xml:space="preserve"> on the Funding and Financing of the Aged Care S</w:t>
            </w:r>
            <w:r w:rsidR="00E93CD9" w:rsidRPr="009C5F13">
              <w:t>ector</w:t>
            </w:r>
          </w:p>
        </w:tc>
        <w:tc>
          <w:tcPr>
            <w:tcW w:w="2500" w:type="pct"/>
          </w:tcPr>
          <w:p w:rsidR="00E93CD9" w:rsidRPr="009C5F13" w:rsidRDefault="00E93CD9" w:rsidP="00B63E23">
            <w:r>
              <w:t xml:space="preserve">Provided to Minister </w:t>
            </w:r>
            <w:r w:rsidR="00E70039">
              <w:t>in July</w:t>
            </w:r>
            <w:r w:rsidR="00A261F3">
              <w:t> 201</w:t>
            </w:r>
            <w:r w:rsidR="00E70039">
              <w:t>4</w:t>
            </w:r>
            <w:r w:rsidR="00327782">
              <w:t xml:space="preserve">. </w:t>
            </w:r>
            <w:r w:rsidR="00A25895">
              <w:t>Published in August</w:t>
            </w:r>
            <w:r w:rsidR="00A261F3">
              <w:t> 201</w:t>
            </w:r>
            <w:r w:rsidR="00E70039">
              <w:t>4.</w:t>
            </w:r>
          </w:p>
        </w:tc>
      </w:tr>
      <w:tr w:rsidR="00E93CD9" w:rsidRPr="009C5F13" w:rsidTr="00B63E23">
        <w:trPr>
          <w:trHeight w:val="113"/>
        </w:trPr>
        <w:tc>
          <w:tcPr>
            <w:tcW w:w="2500" w:type="pct"/>
          </w:tcPr>
          <w:p w:rsidR="00E93CD9" w:rsidRPr="009C5F13" w:rsidRDefault="00E93CD9" w:rsidP="00B63E23">
            <w:r>
              <w:t xml:space="preserve">Supported </w:t>
            </w:r>
            <w:r w:rsidR="00FF6A02">
              <w:t>R</w:t>
            </w:r>
            <w:r>
              <w:t xml:space="preserve">esidents </w:t>
            </w:r>
            <w:r w:rsidR="00FF6A02">
              <w:t>Data B</w:t>
            </w:r>
            <w:r>
              <w:t>ook</w:t>
            </w:r>
          </w:p>
        </w:tc>
        <w:tc>
          <w:tcPr>
            <w:tcW w:w="2500" w:type="pct"/>
          </w:tcPr>
          <w:p w:rsidR="00E93CD9" w:rsidRPr="009C5F13" w:rsidRDefault="00E93CD9" w:rsidP="00B63E23">
            <w:r>
              <w:t xml:space="preserve">Provided to Minister </w:t>
            </w:r>
            <w:r w:rsidR="00327782">
              <w:t>in</w:t>
            </w:r>
            <w:r>
              <w:rPr>
                <w:sz w:val="16"/>
                <w:szCs w:val="16"/>
              </w:rPr>
              <w:t> </w:t>
            </w:r>
            <w:r w:rsidRPr="009C5F13">
              <w:t>April</w:t>
            </w:r>
            <w:r w:rsidR="00A261F3">
              <w:rPr>
                <w:sz w:val="16"/>
                <w:szCs w:val="16"/>
              </w:rPr>
              <w:t> 201</w:t>
            </w:r>
            <w:r w:rsidRPr="009C5F13">
              <w:t>4</w:t>
            </w:r>
            <w:r>
              <w:t xml:space="preserve">. Published </w:t>
            </w:r>
            <w:r w:rsidR="00327782">
              <w:t xml:space="preserve">in </w:t>
            </w:r>
            <w:r w:rsidRPr="009C5F13">
              <w:t>May</w:t>
            </w:r>
            <w:r w:rsidR="00A261F3">
              <w:rPr>
                <w:sz w:val="16"/>
                <w:szCs w:val="16"/>
              </w:rPr>
              <w:t> 201</w:t>
            </w:r>
            <w:r w:rsidRPr="009C5F13">
              <w:t>4</w:t>
            </w:r>
            <w:r>
              <w:t>.</w:t>
            </w:r>
          </w:p>
        </w:tc>
      </w:tr>
      <w:tr w:rsidR="00E93CD9" w:rsidRPr="009C5F13" w:rsidTr="00B63E23">
        <w:trPr>
          <w:trHeight w:val="113"/>
        </w:trPr>
        <w:tc>
          <w:tcPr>
            <w:tcW w:w="2500" w:type="pct"/>
          </w:tcPr>
          <w:p w:rsidR="00E93CD9" w:rsidRPr="009C5F13" w:rsidRDefault="00E93CD9" w:rsidP="00B63E23">
            <w:r w:rsidRPr="009C5F13">
              <w:t xml:space="preserve">Interim advice to the Minister on </w:t>
            </w:r>
            <w:r w:rsidR="00FF6A02">
              <w:t>I</w:t>
            </w:r>
            <w:r w:rsidRPr="009C5F13">
              <w:t xml:space="preserve">mproving the </w:t>
            </w:r>
            <w:r w:rsidR="00FF6A02">
              <w:t>C</w:t>
            </w:r>
            <w:r w:rsidRPr="009C5F13">
              <w:t xml:space="preserve">ollection of </w:t>
            </w:r>
            <w:r w:rsidR="00FF6A02">
              <w:t>F</w:t>
            </w:r>
            <w:r w:rsidRPr="009C5F13">
              <w:t xml:space="preserve">inancial </w:t>
            </w:r>
            <w:r w:rsidR="00FF6A02">
              <w:t>D</w:t>
            </w:r>
            <w:r w:rsidRPr="009C5F13">
              <w:t xml:space="preserve">ata from </w:t>
            </w:r>
            <w:r w:rsidR="00FF6A02">
              <w:t>A</w:t>
            </w:r>
            <w:r w:rsidRPr="009C5F13">
              <w:t xml:space="preserve">ged </w:t>
            </w:r>
            <w:r w:rsidR="00FF6A02">
              <w:t>C</w:t>
            </w:r>
            <w:r w:rsidRPr="009C5F13">
              <w:t xml:space="preserve">are </w:t>
            </w:r>
            <w:r w:rsidR="00FF6A02">
              <w:t>P</w:t>
            </w:r>
            <w:r w:rsidRPr="009C5F13">
              <w:t>roviders</w:t>
            </w:r>
          </w:p>
        </w:tc>
        <w:tc>
          <w:tcPr>
            <w:tcW w:w="2500" w:type="pct"/>
          </w:tcPr>
          <w:p w:rsidR="00E93CD9" w:rsidRPr="009C5F13" w:rsidRDefault="00E93CD9" w:rsidP="00B63E23">
            <w:r>
              <w:t xml:space="preserve">Provided to Minister </w:t>
            </w:r>
            <w:r w:rsidR="00327782">
              <w:t>in</w:t>
            </w:r>
            <w:r>
              <w:t xml:space="preserve"> July</w:t>
            </w:r>
            <w:r w:rsidR="00A261F3">
              <w:t> 201</w:t>
            </w:r>
            <w:r w:rsidRPr="009C5F13">
              <w:t>3</w:t>
            </w:r>
            <w:r w:rsidR="00E70039">
              <w:t>. P</w:t>
            </w:r>
            <w:r>
              <w:t xml:space="preserve">ublished </w:t>
            </w:r>
            <w:r w:rsidR="00327782">
              <w:t>in</w:t>
            </w:r>
            <w:r>
              <w:t> August</w:t>
            </w:r>
            <w:r w:rsidR="00A261F3">
              <w:t> 201</w:t>
            </w:r>
            <w:r>
              <w:t>3.</w:t>
            </w:r>
          </w:p>
        </w:tc>
      </w:tr>
      <w:tr w:rsidR="00E93CD9" w:rsidRPr="009C5F13" w:rsidTr="00B63E23">
        <w:trPr>
          <w:trHeight w:val="113"/>
        </w:trPr>
        <w:tc>
          <w:tcPr>
            <w:tcW w:w="2500" w:type="pct"/>
          </w:tcPr>
          <w:p w:rsidR="00E93CD9" w:rsidRPr="009C5F13" w:rsidRDefault="007B1B67" w:rsidP="00B63E23">
            <w:r>
              <w:t>F</w:t>
            </w:r>
            <w:r w:rsidR="00E93CD9">
              <w:t>irst</w:t>
            </w:r>
            <w:r w:rsidR="00E93CD9" w:rsidRPr="009C5F13">
              <w:t xml:space="preserve"> </w:t>
            </w:r>
            <w:r w:rsidR="00FF6A02">
              <w:t>A</w:t>
            </w:r>
            <w:r w:rsidR="00E93CD9">
              <w:t xml:space="preserve">nnual </w:t>
            </w:r>
            <w:r w:rsidR="00FF6A02">
              <w:t>R</w:t>
            </w:r>
            <w:r w:rsidR="00E93CD9" w:rsidRPr="009C5F13">
              <w:t>eport</w:t>
            </w:r>
            <w:r w:rsidR="00E93CD9">
              <w:t xml:space="preserve"> (2013)</w:t>
            </w:r>
            <w:r w:rsidR="00E93CD9" w:rsidRPr="009C5F13">
              <w:t xml:space="preserve"> on the </w:t>
            </w:r>
            <w:r w:rsidR="00FF6A02">
              <w:t>F</w:t>
            </w:r>
            <w:r w:rsidR="00E93CD9" w:rsidRPr="009C5F13">
              <w:t xml:space="preserve">unding and </w:t>
            </w:r>
            <w:r w:rsidR="00FF6A02">
              <w:t>F</w:t>
            </w:r>
            <w:r w:rsidR="00E93CD9" w:rsidRPr="009C5F13">
              <w:t xml:space="preserve">inancing of the </w:t>
            </w:r>
            <w:r w:rsidR="00FF6A02">
              <w:t>A</w:t>
            </w:r>
            <w:r w:rsidR="00E93CD9" w:rsidRPr="009C5F13">
              <w:t xml:space="preserve">ged </w:t>
            </w:r>
            <w:r w:rsidR="00FF6A02">
              <w:t>C</w:t>
            </w:r>
            <w:r w:rsidR="00E93CD9" w:rsidRPr="009C5F13">
              <w:t xml:space="preserve">are </w:t>
            </w:r>
            <w:r w:rsidR="00FF6A02">
              <w:t>S</w:t>
            </w:r>
            <w:r w:rsidR="00E93CD9" w:rsidRPr="009C5F13">
              <w:t>ector</w:t>
            </w:r>
          </w:p>
        </w:tc>
        <w:tc>
          <w:tcPr>
            <w:tcW w:w="2500" w:type="pct"/>
          </w:tcPr>
          <w:p w:rsidR="001227D0" w:rsidRDefault="00327782" w:rsidP="00B63E23">
            <w:r>
              <w:t xml:space="preserve">Provided to Minister in </w:t>
            </w:r>
            <w:r w:rsidR="00E93CD9" w:rsidRPr="009C5F13">
              <w:t>June</w:t>
            </w:r>
            <w:r w:rsidR="00A261F3">
              <w:rPr>
                <w:sz w:val="16"/>
                <w:szCs w:val="16"/>
              </w:rPr>
              <w:t> 201</w:t>
            </w:r>
            <w:r w:rsidR="00E93CD9" w:rsidRPr="009C5F13">
              <w:t>3</w:t>
            </w:r>
            <w:r w:rsidR="00E70039">
              <w:t>. P</w:t>
            </w:r>
            <w:r>
              <w:t>ublished in</w:t>
            </w:r>
          </w:p>
          <w:p w:rsidR="00E93CD9" w:rsidRPr="009C5F13" w:rsidRDefault="00E93CD9" w:rsidP="00B63E23">
            <w:r w:rsidRPr="00D344C9">
              <w:t>July</w:t>
            </w:r>
            <w:r w:rsidR="00A261F3">
              <w:rPr>
                <w:sz w:val="16"/>
                <w:szCs w:val="16"/>
              </w:rPr>
              <w:t> 201</w:t>
            </w:r>
            <w:r w:rsidRPr="009C5F13">
              <w:t>3</w:t>
            </w:r>
            <w:r>
              <w:t>.</w:t>
            </w:r>
          </w:p>
        </w:tc>
      </w:tr>
      <w:tr w:rsidR="00E93CD9" w:rsidRPr="009C5F13" w:rsidTr="00B63E23">
        <w:trPr>
          <w:trHeight w:val="113"/>
        </w:trPr>
        <w:tc>
          <w:tcPr>
            <w:tcW w:w="2500" w:type="pct"/>
          </w:tcPr>
          <w:p w:rsidR="00E93CD9" w:rsidRPr="009C5F13" w:rsidRDefault="00E93CD9" w:rsidP="00B63E23">
            <w:r w:rsidRPr="009C5F13">
              <w:t>Estimation of the possible impacts on revenue and balance sheet funding from changes to accommodation payment arrangements</w:t>
            </w:r>
          </w:p>
        </w:tc>
        <w:tc>
          <w:tcPr>
            <w:tcW w:w="2500" w:type="pct"/>
          </w:tcPr>
          <w:p w:rsidR="00E93CD9" w:rsidRPr="009C5F13" w:rsidRDefault="00E93CD9" w:rsidP="00B63E23">
            <w:r w:rsidRPr="009C5F13">
              <w:t xml:space="preserve">ACFA’s advice and KPMG modelling provided to Minister </w:t>
            </w:r>
            <w:r w:rsidR="00327782">
              <w:t>in</w:t>
            </w:r>
            <w:r>
              <w:rPr>
                <w:sz w:val="16"/>
                <w:szCs w:val="16"/>
              </w:rPr>
              <w:t> </w:t>
            </w:r>
            <w:r w:rsidRPr="009C5F13">
              <w:t>May</w:t>
            </w:r>
            <w:r w:rsidR="00A261F3">
              <w:rPr>
                <w:sz w:val="16"/>
                <w:szCs w:val="16"/>
              </w:rPr>
              <w:t> 201</w:t>
            </w:r>
            <w:r w:rsidRPr="009C5F13">
              <w:t>3</w:t>
            </w:r>
            <w:r>
              <w:t xml:space="preserve">. </w:t>
            </w:r>
            <w:r w:rsidR="00E70039">
              <w:t>P</w:t>
            </w:r>
            <w:r>
              <w:t xml:space="preserve">ublished </w:t>
            </w:r>
            <w:r w:rsidR="00327782">
              <w:t xml:space="preserve">in </w:t>
            </w:r>
            <w:r w:rsidRPr="009C5F13">
              <w:t>May</w:t>
            </w:r>
            <w:r w:rsidR="00A261F3">
              <w:rPr>
                <w:sz w:val="16"/>
                <w:szCs w:val="16"/>
              </w:rPr>
              <w:t> 201</w:t>
            </w:r>
            <w:r w:rsidRPr="009C5F13">
              <w:t>3</w:t>
            </w:r>
            <w:r>
              <w:t>.</w:t>
            </w:r>
          </w:p>
        </w:tc>
      </w:tr>
      <w:tr w:rsidR="00E93CD9" w:rsidRPr="009C5F13" w:rsidTr="00B63E23">
        <w:trPr>
          <w:trHeight w:val="113"/>
        </w:trPr>
        <w:tc>
          <w:tcPr>
            <w:tcW w:w="2500" w:type="pct"/>
          </w:tcPr>
          <w:p w:rsidR="00E93CD9" w:rsidRPr="009C5F13" w:rsidRDefault="00E93CD9" w:rsidP="00B63E23">
            <w:r w:rsidRPr="009C5F13">
              <w:t>The framework for setting accommodation payments in residential aged care</w:t>
            </w:r>
          </w:p>
        </w:tc>
        <w:tc>
          <w:tcPr>
            <w:tcW w:w="2500" w:type="pct"/>
          </w:tcPr>
          <w:p w:rsidR="00E93CD9" w:rsidRPr="009C5F13" w:rsidRDefault="00E93CD9" w:rsidP="00B63E23">
            <w:r w:rsidRPr="009C5F13">
              <w:t>Final ACFA ad</w:t>
            </w:r>
            <w:r>
              <w:t xml:space="preserve">vice provided to Minister </w:t>
            </w:r>
            <w:r w:rsidR="00327782">
              <w:t xml:space="preserve">in </w:t>
            </w:r>
            <w:r w:rsidRPr="008B207C">
              <w:t>November</w:t>
            </w:r>
            <w:r w:rsidR="00A261F3">
              <w:rPr>
                <w:sz w:val="16"/>
                <w:szCs w:val="16"/>
              </w:rPr>
              <w:t> 201</w:t>
            </w:r>
            <w:r w:rsidRPr="009C5F13">
              <w:t xml:space="preserve">2. Government announced its position </w:t>
            </w:r>
            <w:r w:rsidR="00327782">
              <w:t>in</w:t>
            </w:r>
            <w:r w:rsidRPr="008B207C">
              <w:t> December</w:t>
            </w:r>
            <w:r w:rsidR="00A261F3">
              <w:rPr>
                <w:sz w:val="16"/>
                <w:szCs w:val="16"/>
              </w:rPr>
              <w:t> 201</w:t>
            </w:r>
            <w:r w:rsidRPr="009C5F13">
              <w:t>2</w:t>
            </w:r>
            <w:r>
              <w:t>.</w:t>
            </w:r>
          </w:p>
          <w:p w:rsidR="00E93CD9" w:rsidRPr="009C5F13" w:rsidRDefault="00E93CD9" w:rsidP="00B63E23">
            <w:r w:rsidRPr="009C5F13">
              <w:t xml:space="preserve">Further advice on </w:t>
            </w:r>
            <w:r>
              <w:t xml:space="preserve">the </w:t>
            </w:r>
            <w:r w:rsidRPr="009C5F13">
              <w:t>method for determining a RAD and a DAP using a MPIR</w:t>
            </w:r>
            <w:r>
              <w:t xml:space="preserve"> provided</w:t>
            </w:r>
            <w:r w:rsidRPr="009C5F13">
              <w:t xml:space="preserve"> to Minister on 17</w:t>
            </w:r>
            <w:r>
              <w:rPr>
                <w:sz w:val="16"/>
                <w:szCs w:val="16"/>
              </w:rPr>
              <w:t> </w:t>
            </w:r>
            <w:r w:rsidRPr="009C5F13">
              <w:t>May</w:t>
            </w:r>
            <w:r w:rsidR="00A261F3">
              <w:rPr>
                <w:sz w:val="16"/>
                <w:szCs w:val="16"/>
              </w:rPr>
              <w:t> 201</w:t>
            </w:r>
            <w:r w:rsidRPr="009C5F13">
              <w:t>3</w:t>
            </w:r>
            <w:r>
              <w:t xml:space="preserve">. </w:t>
            </w:r>
            <w:r w:rsidRPr="009C5F13">
              <w:t>Government announced its position on 23</w:t>
            </w:r>
            <w:r w:rsidRPr="00113B04">
              <w:t> </w:t>
            </w:r>
            <w:r w:rsidRPr="009C5F13">
              <w:t>May</w:t>
            </w:r>
            <w:r w:rsidR="00A261F3">
              <w:t> 201</w:t>
            </w:r>
            <w:r w:rsidRPr="009C5F13">
              <w:t>3</w:t>
            </w:r>
            <w:r>
              <w:t>.</w:t>
            </w:r>
          </w:p>
        </w:tc>
      </w:tr>
    </w:tbl>
    <w:p w:rsidR="00DB20DB" w:rsidRPr="00557C8E" w:rsidRDefault="00DB20DB" w:rsidP="00B63E23"/>
    <w:p w:rsidR="00447AC4" w:rsidRPr="00F50F3D" w:rsidRDefault="00447AC4" w:rsidP="00B63E23">
      <w:pPr>
        <w:pStyle w:val="AppendixNumbered"/>
      </w:pPr>
      <w:bookmarkStart w:id="975" w:name="_Ref421221314"/>
      <w:bookmarkStart w:id="976" w:name="_Toc457549938"/>
      <w:bookmarkStart w:id="977" w:name="_Toc524424827"/>
      <w:bookmarkStart w:id="978" w:name="_Toc421197726"/>
      <w:r w:rsidRPr="006C33D4">
        <w:lastRenderedPageBreak/>
        <w:t>ACFA’s stakeholder engagement</w:t>
      </w:r>
      <w:bookmarkEnd w:id="975"/>
      <w:bookmarkEnd w:id="976"/>
      <w:bookmarkEnd w:id="977"/>
    </w:p>
    <w:p w:rsidR="00D8721E" w:rsidRDefault="00447AC4" w:rsidP="00B63E23">
      <w:bookmarkStart w:id="979" w:name="_Toc386808137"/>
      <w:bookmarkStart w:id="980" w:name="_Toc389845084"/>
      <w:bookmarkStart w:id="981" w:name="_Toc393727449"/>
      <w:bookmarkStart w:id="982" w:name="_Toc394908270"/>
      <w:bookmarkStart w:id="983" w:name="_Toc394908446"/>
      <w:bookmarkStart w:id="984" w:name="_Toc394908741"/>
      <w:bookmarkStart w:id="985" w:name="_Toc394909766"/>
      <w:bookmarkStart w:id="986" w:name="_Toc394909937"/>
      <w:bookmarkStart w:id="987" w:name="_Toc394910278"/>
      <w:bookmarkStart w:id="988" w:name="_Toc394910449"/>
      <w:bookmarkStart w:id="989" w:name="_Toc394910621"/>
      <w:bookmarkStart w:id="990" w:name="_Toc394910963"/>
      <w:bookmarkStart w:id="991" w:name="_Toc394935117"/>
      <w:bookmarkStart w:id="992" w:name="_Toc394935272"/>
      <w:bookmarkStart w:id="993" w:name="_Toc394935408"/>
      <w:bookmarkStart w:id="994" w:name="_Toc394935563"/>
      <w:bookmarkStart w:id="995" w:name="_Toc394935699"/>
      <w:bookmarkStart w:id="996" w:name="_Toc394936025"/>
      <w:bookmarkStart w:id="997" w:name="_Toc394936161"/>
      <w:bookmarkStart w:id="998" w:name="_Toc394936316"/>
      <w:bookmarkStart w:id="999" w:name="_Toc394936452"/>
      <w:bookmarkStart w:id="1000" w:name="_Toc394936607"/>
      <w:bookmarkStart w:id="1001" w:name="_Toc394936743"/>
      <w:bookmarkStart w:id="1002" w:name="_Toc394936898"/>
      <w:bookmarkStart w:id="1003" w:name="_Toc394937034"/>
      <w:bookmarkStart w:id="1004" w:name="_Toc394937189"/>
      <w:bookmarkStart w:id="1005" w:name="_Toc394937325"/>
      <w:bookmarkStart w:id="1006" w:name="_Toc394937480"/>
      <w:bookmarkStart w:id="1007" w:name="_Toc394937616"/>
      <w:r w:rsidRPr="00FA4156">
        <w:t>ACFA h</w:t>
      </w:r>
      <w:r w:rsidR="00D62967">
        <w:t>olds</w:t>
      </w:r>
      <w:r w:rsidRPr="00FA4156">
        <w:t xml:space="preserve"> meetings and forums with representatives from the investment and financing industries, providers and consumers</w:t>
      </w:r>
      <w:r>
        <w:t>.</w:t>
      </w:r>
      <w:r w:rsidRPr="00FA4156">
        <w:t xml:space="preserve"> Th</w:t>
      </w:r>
      <w:r>
        <w:t>is engagement</w:t>
      </w:r>
      <w:r w:rsidRPr="00FA4156">
        <w:t xml:space="preserve"> </w:t>
      </w:r>
      <w:r w:rsidR="00D62967">
        <w:t>is</w:t>
      </w:r>
      <w:r w:rsidRPr="00FA4156">
        <w:t xml:space="preserve"> critical to ACFA’s understanding of the key issues, developments and challenges facing the industry</w:t>
      </w:r>
      <w:r w:rsidR="00D8721E">
        <w:t>.</w:t>
      </w:r>
    </w:p>
    <w:p w:rsidR="00447AC4" w:rsidRPr="00596D01" w:rsidRDefault="00BF0E2B" w:rsidP="00FE3413">
      <w:pPr>
        <w:pStyle w:val="Heading3"/>
      </w:pPr>
      <w:bookmarkStart w:id="1008" w:name="_Toc524424828"/>
      <w:r w:rsidRPr="00596D01">
        <w:t>Investors</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rsidR="00D8721E" w:rsidRDefault="00447AC4" w:rsidP="00B63E23">
      <w:r w:rsidRPr="00FA4156">
        <w:t>In </w:t>
      </w:r>
      <w:r>
        <w:t>September</w:t>
      </w:r>
      <w:r w:rsidR="00F50F3D">
        <w:t xml:space="preserve"> and October</w:t>
      </w:r>
      <w:r w:rsidR="00A261F3">
        <w:t> 201</w:t>
      </w:r>
      <w:r w:rsidR="00F50F3D">
        <w:t>7</w:t>
      </w:r>
      <w:r w:rsidRPr="00FA4156">
        <w:t>, ACFA held Roundtables in Sydney and Melbourne with members of the investm</w:t>
      </w:r>
      <w:r w:rsidR="009C1921">
        <w:t xml:space="preserve">ent and financing community to </w:t>
      </w:r>
      <w:r w:rsidRPr="00FA4156">
        <w:t>share the findings of its</w:t>
      </w:r>
      <w:r w:rsidR="00A261F3">
        <w:t> 201</w:t>
      </w:r>
      <w:r w:rsidR="0031236B">
        <w:t>7</w:t>
      </w:r>
      <w:r w:rsidR="009C1921">
        <w:t xml:space="preserve"> annual report and to </w:t>
      </w:r>
      <w:r w:rsidRPr="00FA4156">
        <w:t>hear their views on key issues facing the sector</w:t>
      </w:r>
      <w:r w:rsidR="00D8721E">
        <w:t>.</w:t>
      </w:r>
    </w:p>
    <w:p w:rsidR="00F2677D" w:rsidRDefault="00F2677D" w:rsidP="00B63E23">
      <w:pPr>
        <w:rPr>
          <w:lang w:val="en-GB"/>
        </w:rPr>
      </w:pPr>
      <w:bookmarkStart w:id="1009" w:name="_Toc386808138"/>
      <w:bookmarkStart w:id="1010" w:name="_Toc389845085"/>
      <w:bookmarkStart w:id="1011" w:name="_Toc393727450"/>
      <w:bookmarkStart w:id="1012" w:name="_Toc394908271"/>
      <w:bookmarkStart w:id="1013" w:name="_Toc394908447"/>
      <w:bookmarkStart w:id="1014" w:name="_Toc394908742"/>
      <w:bookmarkStart w:id="1015" w:name="_Toc394909767"/>
      <w:bookmarkStart w:id="1016" w:name="_Toc394909938"/>
      <w:bookmarkStart w:id="1017" w:name="_Toc394910279"/>
      <w:bookmarkStart w:id="1018" w:name="_Toc394910450"/>
      <w:bookmarkStart w:id="1019" w:name="_Toc394910622"/>
      <w:bookmarkStart w:id="1020" w:name="_Toc394910964"/>
      <w:bookmarkStart w:id="1021" w:name="_Toc394935118"/>
      <w:bookmarkStart w:id="1022" w:name="_Toc394935273"/>
      <w:bookmarkStart w:id="1023" w:name="_Toc394935409"/>
      <w:bookmarkStart w:id="1024" w:name="_Toc394935564"/>
      <w:bookmarkStart w:id="1025" w:name="_Toc394935700"/>
      <w:bookmarkStart w:id="1026" w:name="_Toc394936026"/>
      <w:bookmarkStart w:id="1027" w:name="_Toc394936162"/>
      <w:bookmarkStart w:id="1028" w:name="_Toc394936317"/>
      <w:bookmarkStart w:id="1029" w:name="_Toc394936453"/>
      <w:bookmarkStart w:id="1030" w:name="_Toc394936608"/>
      <w:bookmarkStart w:id="1031" w:name="_Toc394936744"/>
      <w:bookmarkStart w:id="1032" w:name="_Toc394936899"/>
      <w:bookmarkStart w:id="1033" w:name="_Toc394937035"/>
      <w:bookmarkStart w:id="1034" w:name="_Toc394937190"/>
      <w:bookmarkStart w:id="1035" w:name="_Toc394937326"/>
      <w:bookmarkStart w:id="1036" w:name="_Toc394937481"/>
      <w:bookmarkStart w:id="1037" w:name="_Toc394937617"/>
      <w:bookmarkStart w:id="1038" w:name="_Toc425243182"/>
      <w:bookmarkStart w:id="1039" w:name="_Toc425696586"/>
      <w:bookmarkStart w:id="1040" w:name="_Toc425778885"/>
      <w:bookmarkStart w:id="1041" w:name="_Toc425861679"/>
      <w:bookmarkStart w:id="1042" w:name="_Toc426111698"/>
      <w:bookmarkStart w:id="1043" w:name="_Toc426120802"/>
      <w:bookmarkStart w:id="1044" w:name="_Toc457549940"/>
      <w:r w:rsidRPr="00F2677D">
        <w:rPr>
          <w:lang w:val="en-GB"/>
        </w:rPr>
        <w:t>Over 50 representatives from various organisations participated in the roundtables and a diverse range of</w:t>
      </w:r>
      <w:r w:rsidR="00333B66">
        <w:rPr>
          <w:lang w:val="en-GB"/>
        </w:rPr>
        <w:t xml:space="preserve"> issues and views were</w:t>
      </w:r>
      <w:r w:rsidRPr="00F2677D">
        <w:rPr>
          <w:lang w:val="en-GB"/>
        </w:rPr>
        <w:t xml:space="preserve"> discussed regarding current and future investment in aged care, workforce issues and the availability of land and the challenges in developing that land into aged care facilities.</w:t>
      </w:r>
    </w:p>
    <w:p w:rsidR="00BF0E2B" w:rsidRPr="00596D01" w:rsidRDefault="00BF0E2B" w:rsidP="00FE3413">
      <w:pPr>
        <w:pStyle w:val="Heading3"/>
      </w:pPr>
      <w:bookmarkStart w:id="1045" w:name="_Toc524424829"/>
      <w:r w:rsidRPr="00596D01">
        <w:t>Providers</w:t>
      </w:r>
      <w:bookmarkEnd w:id="1045"/>
    </w:p>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p w:rsidR="00447AC4" w:rsidRPr="00FA4156" w:rsidRDefault="00447AC4" w:rsidP="00B63E23">
      <w:r w:rsidRPr="00FA4156">
        <w:t xml:space="preserve">ACFA </w:t>
      </w:r>
      <w:r>
        <w:t>liaised</w:t>
      </w:r>
      <w:r w:rsidRPr="00FA4156">
        <w:t xml:space="preserve"> closely with the provider peaks</w:t>
      </w:r>
      <w:r>
        <w:t xml:space="preserve"> including</w:t>
      </w:r>
      <w:r w:rsidRPr="00FA4156">
        <w:t>:</w:t>
      </w:r>
    </w:p>
    <w:p w:rsidR="00447AC4" w:rsidRPr="00FA4156" w:rsidRDefault="00447AC4" w:rsidP="00B63E23">
      <w:pPr>
        <w:pStyle w:val="Bullet1"/>
      </w:pPr>
      <w:r w:rsidRPr="004F37D3">
        <w:rPr>
          <w:lang w:eastAsia="en-US"/>
        </w:rPr>
        <w:t>Leadi</w:t>
      </w:r>
      <w:r w:rsidR="00BC773E" w:rsidRPr="004F37D3">
        <w:rPr>
          <w:lang w:eastAsia="en-US"/>
        </w:rPr>
        <w:t>ng Age Services Australia</w:t>
      </w:r>
      <w:r w:rsidRPr="00FA4156">
        <w:t>;</w:t>
      </w:r>
    </w:p>
    <w:p w:rsidR="00447AC4" w:rsidRPr="00FA4156" w:rsidRDefault="00447AC4" w:rsidP="00B63E23">
      <w:pPr>
        <w:pStyle w:val="Bullet1"/>
      </w:pPr>
      <w:r w:rsidRPr="00FA4156">
        <w:t>Aged and Community Services Australia;</w:t>
      </w:r>
    </w:p>
    <w:p w:rsidR="00447AC4" w:rsidRPr="00FA4156" w:rsidRDefault="00BC773E" w:rsidP="00B63E23">
      <w:pPr>
        <w:pStyle w:val="Bullet1"/>
      </w:pPr>
      <w:r>
        <w:t>Catholic Health Australia</w:t>
      </w:r>
      <w:r w:rsidR="00447AC4" w:rsidRPr="00FA4156">
        <w:t>;</w:t>
      </w:r>
    </w:p>
    <w:p w:rsidR="00447AC4" w:rsidRPr="00FA4156" w:rsidRDefault="00447AC4" w:rsidP="00B63E23">
      <w:pPr>
        <w:pStyle w:val="Bullet1"/>
      </w:pPr>
      <w:r w:rsidRPr="00FA4156">
        <w:t xml:space="preserve">The Aged Care Guild; and </w:t>
      </w:r>
    </w:p>
    <w:p w:rsidR="00BF0E2B" w:rsidRPr="00BF0E2B" w:rsidRDefault="00447AC4" w:rsidP="00B63E23">
      <w:pPr>
        <w:pStyle w:val="Bullet1"/>
      </w:pPr>
      <w:r w:rsidRPr="00FA4156">
        <w:t>Uniting Care</w:t>
      </w:r>
      <w:r>
        <w:t>.</w:t>
      </w:r>
      <w:bookmarkStart w:id="1046" w:name="_Other_Stakeholders"/>
      <w:bookmarkEnd w:id="1046"/>
    </w:p>
    <w:p w:rsidR="00BF0E2B" w:rsidRPr="00596D01" w:rsidRDefault="00BF0E2B" w:rsidP="00FE3413">
      <w:pPr>
        <w:pStyle w:val="Heading3"/>
      </w:pPr>
      <w:bookmarkStart w:id="1047" w:name="_Toc524424830"/>
      <w:r w:rsidRPr="00596D01">
        <w:t>Other stakeholders</w:t>
      </w:r>
      <w:bookmarkEnd w:id="1047"/>
    </w:p>
    <w:p w:rsidR="00D8721E" w:rsidRDefault="009215BF" w:rsidP="00B63E23">
      <w:pPr>
        <w:rPr>
          <w:lang w:val="en-GB"/>
        </w:rPr>
      </w:pPr>
      <w:r w:rsidRPr="004F37D3">
        <w:rPr>
          <w:lang w:val="en-GB"/>
        </w:rPr>
        <w:t xml:space="preserve">Since its last annual report, ACFA has </w:t>
      </w:r>
      <w:r w:rsidR="00447AC4" w:rsidRPr="004F37D3">
        <w:rPr>
          <w:lang w:val="en-GB"/>
        </w:rPr>
        <w:t>presented at various forums includ</w:t>
      </w:r>
      <w:r w:rsidR="006459CE" w:rsidRPr="004F37D3">
        <w:rPr>
          <w:lang w:val="en-GB"/>
        </w:rPr>
        <w:t>ing</w:t>
      </w:r>
      <w:r w:rsidR="00447AC4" w:rsidRPr="004F37D3">
        <w:rPr>
          <w:lang w:val="en-GB"/>
        </w:rPr>
        <w:t>:</w:t>
      </w:r>
    </w:p>
    <w:p w:rsidR="009215BF" w:rsidRPr="004F37D3" w:rsidRDefault="009215BF" w:rsidP="00B63E23">
      <w:pPr>
        <w:pStyle w:val="Bullet1"/>
        <w:rPr>
          <w:lang w:eastAsia="en-US"/>
        </w:rPr>
      </w:pPr>
      <w:r w:rsidRPr="004F37D3">
        <w:rPr>
          <w:lang w:eastAsia="en-US"/>
        </w:rPr>
        <w:t>The Australia’s Future of Aged Care Summit</w:t>
      </w:r>
      <w:r w:rsidR="004F37D3" w:rsidRPr="004F37D3">
        <w:rPr>
          <w:lang w:eastAsia="en-US"/>
        </w:rPr>
        <w:t>;</w:t>
      </w:r>
    </w:p>
    <w:p w:rsidR="009215BF" w:rsidRPr="004F37D3" w:rsidRDefault="009215BF" w:rsidP="00B63E23">
      <w:pPr>
        <w:pStyle w:val="Bullet1"/>
        <w:rPr>
          <w:lang w:eastAsia="en-US"/>
        </w:rPr>
      </w:pPr>
      <w:r w:rsidRPr="004F37D3">
        <w:rPr>
          <w:lang w:eastAsia="en-US"/>
        </w:rPr>
        <w:t>The</w:t>
      </w:r>
      <w:r w:rsidR="00A261F3">
        <w:rPr>
          <w:lang w:eastAsia="en-US"/>
        </w:rPr>
        <w:t> 201</w:t>
      </w:r>
      <w:r w:rsidRPr="004F37D3">
        <w:rPr>
          <w:lang w:eastAsia="en-US"/>
        </w:rPr>
        <w:t>7 Australian Palliative Care Conference</w:t>
      </w:r>
      <w:r w:rsidR="004F37D3" w:rsidRPr="004F37D3">
        <w:rPr>
          <w:lang w:eastAsia="en-US"/>
        </w:rPr>
        <w:t>;</w:t>
      </w:r>
    </w:p>
    <w:p w:rsidR="009215BF" w:rsidRPr="004F37D3" w:rsidRDefault="009215BF" w:rsidP="00B63E23">
      <w:pPr>
        <w:pStyle w:val="Bullet1"/>
        <w:rPr>
          <w:lang w:eastAsia="en-US"/>
        </w:rPr>
      </w:pPr>
      <w:r w:rsidRPr="004F37D3">
        <w:rPr>
          <w:lang w:eastAsia="en-US"/>
        </w:rPr>
        <w:t>The Australian Assistive Technology Association</w:t>
      </w:r>
      <w:r w:rsidR="004F37D3" w:rsidRPr="004F37D3">
        <w:rPr>
          <w:lang w:eastAsia="en-US"/>
        </w:rPr>
        <w:t>;</w:t>
      </w:r>
    </w:p>
    <w:p w:rsidR="009215BF" w:rsidRPr="004F37D3" w:rsidRDefault="009215BF" w:rsidP="00B63E23">
      <w:pPr>
        <w:pStyle w:val="Bullet1"/>
        <w:rPr>
          <w:lang w:eastAsia="en-US"/>
        </w:rPr>
      </w:pPr>
      <w:r w:rsidRPr="004F37D3">
        <w:rPr>
          <w:lang w:eastAsia="en-US"/>
        </w:rPr>
        <w:t>The Leading Age Services Australia National Congress</w:t>
      </w:r>
      <w:r w:rsidR="004F37D3" w:rsidRPr="004F37D3">
        <w:rPr>
          <w:lang w:eastAsia="en-US"/>
        </w:rPr>
        <w:t>;</w:t>
      </w:r>
    </w:p>
    <w:p w:rsidR="009215BF" w:rsidRPr="004F37D3" w:rsidRDefault="009215BF" w:rsidP="00B63E23">
      <w:pPr>
        <w:pStyle w:val="Bullet1"/>
        <w:rPr>
          <w:lang w:eastAsia="en-US"/>
        </w:rPr>
      </w:pPr>
      <w:r w:rsidRPr="004F37D3">
        <w:rPr>
          <w:lang w:eastAsia="en-US"/>
        </w:rPr>
        <w:t>The</w:t>
      </w:r>
      <w:r w:rsidR="00A261F3">
        <w:rPr>
          <w:lang w:eastAsia="en-US"/>
        </w:rPr>
        <w:t> 201</w:t>
      </w:r>
      <w:r w:rsidRPr="004F37D3">
        <w:rPr>
          <w:lang w:eastAsia="en-US"/>
        </w:rPr>
        <w:t>7 China-Australia Aged Care Forum</w:t>
      </w:r>
      <w:r w:rsidR="004F37D3" w:rsidRPr="004F37D3">
        <w:rPr>
          <w:lang w:eastAsia="en-US"/>
        </w:rPr>
        <w:t>;</w:t>
      </w:r>
    </w:p>
    <w:p w:rsidR="009215BF" w:rsidRPr="004F37D3" w:rsidRDefault="009215BF" w:rsidP="00B63E23">
      <w:pPr>
        <w:pStyle w:val="Bullet1"/>
        <w:rPr>
          <w:lang w:eastAsia="en-US"/>
        </w:rPr>
      </w:pPr>
      <w:r w:rsidRPr="004F37D3">
        <w:rPr>
          <w:lang w:eastAsia="en-US"/>
        </w:rPr>
        <w:t>The National Retirement Living Summit</w:t>
      </w:r>
      <w:r w:rsidR="004F37D3" w:rsidRPr="004F37D3">
        <w:rPr>
          <w:lang w:eastAsia="en-US"/>
        </w:rPr>
        <w:t>; and</w:t>
      </w:r>
    </w:p>
    <w:p w:rsidR="00966BAF" w:rsidRDefault="009215BF" w:rsidP="0009332A">
      <w:pPr>
        <w:pStyle w:val="Bullet1"/>
      </w:pPr>
      <w:r w:rsidRPr="004F37D3">
        <w:rPr>
          <w:lang w:eastAsia="en-US"/>
        </w:rPr>
        <w:t>The Aged Care Workforce Forum</w:t>
      </w:r>
      <w:r w:rsidR="004F37D3" w:rsidRPr="004F37D3">
        <w:rPr>
          <w:lang w:eastAsia="en-US"/>
        </w:rPr>
        <w:t>.</w:t>
      </w:r>
    </w:p>
    <w:p w:rsidR="00C36BB1" w:rsidRPr="006C33D4" w:rsidRDefault="00830686" w:rsidP="008A6952">
      <w:pPr>
        <w:pStyle w:val="AppendixNumbered"/>
      </w:pPr>
      <w:r>
        <w:lastRenderedPageBreak/>
        <w:t xml:space="preserve"> </w:t>
      </w:r>
      <w:bookmarkStart w:id="1048" w:name="_Toc524424831"/>
      <w:bookmarkStart w:id="1049" w:name="_Ref524429947"/>
      <w:r w:rsidR="00C36BB1" w:rsidRPr="00557C8E">
        <w:t xml:space="preserve">Aged care </w:t>
      </w:r>
      <w:r>
        <w:t>operational </w:t>
      </w:r>
      <w:r w:rsidR="00C36BB1" w:rsidRPr="00557C8E">
        <w:t>ratio</w:t>
      </w:r>
      <w:r>
        <w:t>s</w:t>
      </w:r>
      <w:bookmarkEnd w:id="1048"/>
      <w:bookmarkEnd w:id="1049"/>
    </w:p>
    <w:p w:rsidR="00C36BB1" w:rsidRPr="00596D01" w:rsidRDefault="00C36BB1" w:rsidP="008A6952">
      <w:pPr>
        <w:pStyle w:val="AppendixTable"/>
      </w:pPr>
      <w:r w:rsidRPr="00596D01">
        <w:t>Operational residential and restorative care, aged care places and ratios (places per 1000</w:t>
      </w:r>
      <w:r w:rsidR="008A6952">
        <w:t> </w:t>
      </w:r>
      <w:r w:rsidRPr="00596D01">
        <w:t xml:space="preserve">people aged 70 years and over) by aged care planning region as at </w:t>
      </w:r>
      <w:r w:rsidR="00A261F3" w:rsidRPr="00596D01">
        <w:t>30 J</w:t>
      </w:r>
      <w:r w:rsidRPr="00596D01">
        <w:t>une</w:t>
      </w:r>
      <w:r w:rsidR="00A261F3" w:rsidRPr="00596D01">
        <w:t> 201</w:t>
      </w:r>
      <w:r w:rsidRPr="00596D01">
        <w:t>7</w:t>
      </w:r>
    </w:p>
    <w:tbl>
      <w:tblPr>
        <w:tblStyle w:val="DefaultTable1"/>
        <w:tblW w:w="5000" w:type="pct"/>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67"/>
        <w:gridCol w:w="2232"/>
        <w:gridCol w:w="786"/>
        <w:gridCol w:w="666"/>
        <w:gridCol w:w="711"/>
        <w:gridCol w:w="624"/>
        <w:gridCol w:w="711"/>
        <w:gridCol w:w="580"/>
        <w:gridCol w:w="668"/>
        <w:gridCol w:w="668"/>
        <w:gridCol w:w="666"/>
        <w:gridCol w:w="649"/>
      </w:tblGrid>
      <w:tr w:rsidR="00C36BB1" w:rsidRPr="008A6952" w:rsidTr="00DC262A">
        <w:trPr>
          <w:cnfStyle w:val="100000000000" w:firstRow="1" w:lastRow="0" w:firstColumn="0" w:lastColumn="0" w:oddVBand="0" w:evenVBand="0" w:oddHBand="0" w:evenHBand="0" w:firstRowFirstColumn="0" w:firstRowLastColumn="0" w:lastRowFirstColumn="0" w:lastRowLastColumn="0"/>
          <w:trHeight w:val="113"/>
          <w:tblHeader/>
        </w:trPr>
        <w:tc>
          <w:tcPr>
            <w:tcW w:w="347" w:type="pct"/>
            <w:tcBorders>
              <w:right w:val="single" w:sz="4" w:space="0" w:color="FFFFFF" w:themeColor="background1"/>
            </w:tcBorders>
            <w:noWrap/>
            <w:hideMark/>
          </w:tcPr>
          <w:p w:rsidR="00C36BB1" w:rsidRPr="008A6952" w:rsidRDefault="00C36BB1" w:rsidP="00DC262A">
            <w:pPr>
              <w:spacing w:before="0" w:after="0"/>
              <w:rPr>
                <w:sz w:val="16"/>
                <w:szCs w:val="16"/>
              </w:rPr>
            </w:pPr>
          </w:p>
        </w:tc>
        <w:tc>
          <w:tcPr>
            <w:tcW w:w="2974" w:type="pct"/>
            <w:gridSpan w:val="6"/>
            <w:tcBorders>
              <w:left w:val="single" w:sz="4" w:space="0" w:color="FFFFFF" w:themeColor="background1"/>
              <w:right w:val="single" w:sz="4" w:space="0" w:color="FFFFFF" w:themeColor="background1"/>
            </w:tcBorders>
            <w:noWrap/>
            <w:hideMark/>
          </w:tcPr>
          <w:p w:rsidR="00C36BB1" w:rsidRPr="008A6952" w:rsidRDefault="00C36BB1" w:rsidP="00DC262A">
            <w:pPr>
              <w:spacing w:before="0" w:after="0"/>
              <w:jc w:val="center"/>
              <w:rPr>
                <w:sz w:val="16"/>
                <w:szCs w:val="16"/>
              </w:rPr>
            </w:pPr>
            <w:r w:rsidRPr="008A6952">
              <w:rPr>
                <w:sz w:val="16"/>
                <w:szCs w:val="16"/>
              </w:rPr>
              <w:t>Total Operational Places</w:t>
            </w:r>
          </w:p>
        </w:tc>
        <w:tc>
          <w:tcPr>
            <w:tcW w:w="1679" w:type="pct"/>
            <w:gridSpan w:val="5"/>
            <w:tcBorders>
              <w:left w:val="single" w:sz="4" w:space="0" w:color="FFFFFF" w:themeColor="background1"/>
            </w:tcBorders>
            <w:noWrap/>
            <w:hideMark/>
          </w:tcPr>
          <w:p w:rsidR="00C36BB1" w:rsidRPr="008A6952" w:rsidRDefault="00C36BB1" w:rsidP="00DC262A">
            <w:pPr>
              <w:spacing w:before="0" w:after="0"/>
              <w:jc w:val="center"/>
              <w:rPr>
                <w:sz w:val="16"/>
                <w:szCs w:val="16"/>
              </w:rPr>
            </w:pPr>
            <w:r w:rsidRPr="008A6952">
              <w:rPr>
                <w:sz w:val="16"/>
                <w:szCs w:val="16"/>
              </w:rPr>
              <w:t>Total Operational Ratios</w:t>
            </w:r>
          </w:p>
        </w:tc>
      </w:tr>
      <w:tr w:rsidR="008A6952" w:rsidRPr="008A6952" w:rsidTr="00DC262A">
        <w:trPr>
          <w:cnfStyle w:val="100000000000" w:firstRow="1" w:lastRow="0" w:firstColumn="0" w:lastColumn="0" w:oddVBand="0" w:evenVBand="0" w:oddHBand="0" w:evenHBand="0" w:firstRowFirstColumn="0" w:firstRowLastColumn="0" w:lastRowFirstColumn="0" w:lastRowLastColumn="0"/>
          <w:trHeight w:val="2278"/>
          <w:tblHeader/>
        </w:trPr>
        <w:tc>
          <w:tcPr>
            <w:tcW w:w="347" w:type="pct"/>
            <w:tcBorders>
              <w:right w:val="single" w:sz="4" w:space="0" w:color="FFFFFF" w:themeColor="background1"/>
            </w:tcBorders>
            <w:textDirection w:val="btLr"/>
            <w:hideMark/>
          </w:tcPr>
          <w:p w:rsidR="008A6952" w:rsidRPr="008A6952" w:rsidRDefault="008A6952" w:rsidP="00DC262A">
            <w:pPr>
              <w:spacing w:before="0" w:after="0"/>
              <w:rPr>
                <w:sz w:val="16"/>
                <w:szCs w:val="16"/>
              </w:rPr>
            </w:pPr>
            <w:r w:rsidRPr="008A6952">
              <w:rPr>
                <w:sz w:val="16"/>
                <w:szCs w:val="16"/>
              </w:rPr>
              <w:t>State/Territory</w:t>
            </w:r>
          </w:p>
        </w:tc>
        <w:tc>
          <w:tcPr>
            <w:tcW w:w="1159" w:type="pct"/>
            <w:tcBorders>
              <w:left w:val="single" w:sz="4" w:space="0" w:color="FFFFFF" w:themeColor="background1"/>
              <w:right w:val="single" w:sz="4" w:space="0" w:color="FFFFFF" w:themeColor="background1"/>
            </w:tcBorders>
            <w:noWrap/>
            <w:textDirection w:val="btLr"/>
            <w:hideMark/>
          </w:tcPr>
          <w:p w:rsidR="008A6952" w:rsidRPr="008A6952" w:rsidRDefault="008A6952" w:rsidP="00DC262A">
            <w:pPr>
              <w:spacing w:before="0" w:after="0"/>
              <w:rPr>
                <w:sz w:val="16"/>
                <w:szCs w:val="16"/>
              </w:rPr>
            </w:pPr>
            <w:r w:rsidRPr="008A6952">
              <w:rPr>
                <w:sz w:val="16"/>
                <w:szCs w:val="16"/>
              </w:rPr>
              <w:t>Aged Care Planning Region</w:t>
            </w:r>
          </w:p>
        </w:tc>
        <w:tc>
          <w:tcPr>
            <w:tcW w:w="408" w:type="pct"/>
            <w:tcBorders>
              <w:left w:val="single" w:sz="4" w:space="0" w:color="FFFFFF" w:themeColor="background1"/>
              <w:right w:val="single" w:sz="4" w:space="0" w:color="FFFFFF" w:themeColor="background1"/>
            </w:tcBorders>
            <w:textDirection w:val="btLr"/>
            <w:vAlign w:val="bottom"/>
            <w:hideMark/>
          </w:tcPr>
          <w:p w:rsidR="008A6952" w:rsidRPr="008A6952" w:rsidRDefault="008A6952" w:rsidP="00DC262A">
            <w:pPr>
              <w:spacing w:before="0" w:after="0"/>
              <w:rPr>
                <w:sz w:val="16"/>
                <w:szCs w:val="16"/>
              </w:rPr>
            </w:pPr>
            <w:r w:rsidRPr="008A6952">
              <w:rPr>
                <w:sz w:val="16"/>
                <w:szCs w:val="16"/>
              </w:rPr>
              <w:t>Residential care</w:t>
            </w:r>
            <w:r w:rsidRPr="008A6952">
              <w:rPr>
                <w:sz w:val="16"/>
                <w:szCs w:val="16"/>
                <w:vertAlign w:val="superscript"/>
              </w:rPr>
              <w:t>1</w:t>
            </w:r>
          </w:p>
        </w:tc>
        <w:tc>
          <w:tcPr>
            <w:tcW w:w="346" w:type="pct"/>
            <w:tcBorders>
              <w:left w:val="single" w:sz="4" w:space="0" w:color="FFFFFF" w:themeColor="background1"/>
              <w:right w:val="single" w:sz="4" w:space="0" w:color="FFFFFF" w:themeColor="background1"/>
            </w:tcBorders>
            <w:textDirection w:val="btLr"/>
            <w:vAlign w:val="bottom"/>
          </w:tcPr>
          <w:p w:rsidR="008A6952" w:rsidRPr="008A6952" w:rsidRDefault="008A6952" w:rsidP="00DC262A">
            <w:pPr>
              <w:spacing w:before="0" w:after="0"/>
              <w:rPr>
                <w:sz w:val="16"/>
                <w:szCs w:val="16"/>
              </w:rPr>
            </w:pPr>
            <w:r w:rsidRPr="008A6952">
              <w:rPr>
                <w:sz w:val="16"/>
                <w:szCs w:val="16"/>
              </w:rPr>
              <w:t>Home Care</w:t>
            </w:r>
            <w:r w:rsidRPr="008A6952">
              <w:rPr>
                <w:sz w:val="16"/>
                <w:szCs w:val="16"/>
                <w:vertAlign w:val="superscript"/>
              </w:rPr>
              <w:t>2</w:t>
            </w:r>
          </w:p>
        </w:tc>
        <w:tc>
          <w:tcPr>
            <w:tcW w:w="369" w:type="pct"/>
            <w:tcBorders>
              <w:left w:val="single" w:sz="4" w:space="0" w:color="FFFFFF" w:themeColor="background1"/>
              <w:right w:val="single" w:sz="4" w:space="0" w:color="FFFFFF" w:themeColor="background1"/>
            </w:tcBorders>
            <w:textDirection w:val="btLr"/>
            <w:vAlign w:val="bottom"/>
          </w:tcPr>
          <w:p w:rsidR="008A6952" w:rsidRPr="008A6952" w:rsidRDefault="008A6952" w:rsidP="00DC262A">
            <w:pPr>
              <w:spacing w:before="0" w:after="0"/>
              <w:rPr>
                <w:sz w:val="16"/>
                <w:szCs w:val="16"/>
              </w:rPr>
            </w:pPr>
            <w:r w:rsidRPr="008A6952">
              <w:rPr>
                <w:sz w:val="16"/>
                <w:szCs w:val="16"/>
              </w:rPr>
              <w:t>Total residential + home care</w:t>
            </w:r>
          </w:p>
        </w:tc>
        <w:tc>
          <w:tcPr>
            <w:tcW w:w="324" w:type="pct"/>
            <w:tcBorders>
              <w:left w:val="single" w:sz="4" w:space="0" w:color="FFFFFF" w:themeColor="background1"/>
              <w:right w:val="single" w:sz="4" w:space="0" w:color="FFFFFF" w:themeColor="background1"/>
            </w:tcBorders>
            <w:textDirection w:val="btLr"/>
            <w:vAlign w:val="bottom"/>
            <w:hideMark/>
          </w:tcPr>
          <w:p w:rsidR="008A6952" w:rsidRPr="008A6952" w:rsidRDefault="008A6952" w:rsidP="00DC262A">
            <w:pPr>
              <w:spacing w:before="0" w:after="0"/>
              <w:rPr>
                <w:sz w:val="16"/>
                <w:szCs w:val="16"/>
              </w:rPr>
            </w:pPr>
            <w:r w:rsidRPr="008A6952">
              <w:rPr>
                <w:sz w:val="16"/>
                <w:szCs w:val="16"/>
              </w:rPr>
              <w:t>Restorative care</w:t>
            </w:r>
            <w:r w:rsidRPr="008A6952">
              <w:rPr>
                <w:sz w:val="16"/>
                <w:szCs w:val="16"/>
                <w:vertAlign w:val="superscript"/>
              </w:rPr>
              <w:t>3</w:t>
            </w:r>
          </w:p>
        </w:tc>
        <w:tc>
          <w:tcPr>
            <w:tcW w:w="369" w:type="pct"/>
            <w:tcBorders>
              <w:left w:val="single" w:sz="4" w:space="0" w:color="FFFFFF" w:themeColor="background1"/>
              <w:right w:val="single" w:sz="4" w:space="0" w:color="FFFFFF" w:themeColor="background1"/>
            </w:tcBorders>
            <w:noWrap/>
            <w:textDirection w:val="btLr"/>
            <w:vAlign w:val="bottom"/>
            <w:hideMark/>
          </w:tcPr>
          <w:p w:rsidR="008A6952" w:rsidRPr="008A6952" w:rsidRDefault="008A6952" w:rsidP="00DC262A">
            <w:pPr>
              <w:spacing w:before="0" w:after="0"/>
              <w:rPr>
                <w:sz w:val="16"/>
                <w:szCs w:val="16"/>
              </w:rPr>
            </w:pPr>
            <w:r w:rsidRPr="008A6952">
              <w:rPr>
                <w:sz w:val="16"/>
                <w:szCs w:val="16"/>
              </w:rPr>
              <w:t>Total</w:t>
            </w:r>
          </w:p>
        </w:tc>
        <w:tc>
          <w:tcPr>
            <w:tcW w:w="301" w:type="pct"/>
            <w:tcBorders>
              <w:left w:val="single" w:sz="4" w:space="0" w:color="FFFFFF" w:themeColor="background1"/>
              <w:right w:val="single" w:sz="4" w:space="0" w:color="FFFFFF" w:themeColor="background1"/>
            </w:tcBorders>
            <w:textDirection w:val="btLr"/>
            <w:vAlign w:val="bottom"/>
            <w:hideMark/>
          </w:tcPr>
          <w:p w:rsidR="008A6952" w:rsidRPr="008A6952" w:rsidRDefault="008A6952" w:rsidP="00DC262A">
            <w:pPr>
              <w:spacing w:before="0" w:after="0"/>
              <w:rPr>
                <w:sz w:val="16"/>
                <w:szCs w:val="16"/>
              </w:rPr>
            </w:pPr>
            <w:r w:rsidRPr="008A6952">
              <w:rPr>
                <w:sz w:val="16"/>
                <w:szCs w:val="16"/>
              </w:rPr>
              <w:t>Residential care</w:t>
            </w:r>
            <w:r w:rsidRPr="008A6952">
              <w:rPr>
                <w:sz w:val="16"/>
                <w:szCs w:val="16"/>
                <w:vertAlign w:val="superscript"/>
              </w:rPr>
              <w:t>1</w:t>
            </w:r>
          </w:p>
        </w:tc>
        <w:tc>
          <w:tcPr>
            <w:tcW w:w="347" w:type="pct"/>
            <w:tcBorders>
              <w:left w:val="single" w:sz="4" w:space="0" w:color="FFFFFF" w:themeColor="background1"/>
              <w:right w:val="single" w:sz="4" w:space="0" w:color="FFFFFF" w:themeColor="background1"/>
            </w:tcBorders>
            <w:textDirection w:val="btLr"/>
            <w:vAlign w:val="bottom"/>
          </w:tcPr>
          <w:p w:rsidR="008A6952" w:rsidRPr="008A6952" w:rsidRDefault="008A6952" w:rsidP="00DC262A">
            <w:pPr>
              <w:spacing w:before="0" w:after="0"/>
              <w:rPr>
                <w:sz w:val="16"/>
                <w:szCs w:val="16"/>
              </w:rPr>
            </w:pPr>
            <w:r w:rsidRPr="008A6952">
              <w:rPr>
                <w:sz w:val="16"/>
                <w:szCs w:val="16"/>
              </w:rPr>
              <w:t>Home Care</w:t>
            </w:r>
            <w:r w:rsidRPr="008A6952">
              <w:rPr>
                <w:sz w:val="16"/>
                <w:szCs w:val="16"/>
                <w:vertAlign w:val="superscript"/>
              </w:rPr>
              <w:t>2</w:t>
            </w:r>
          </w:p>
        </w:tc>
        <w:tc>
          <w:tcPr>
            <w:tcW w:w="347" w:type="pct"/>
            <w:tcBorders>
              <w:left w:val="single" w:sz="4" w:space="0" w:color="FFFFFF" w:themeColor="background1"/>
              <w:right w:val="single" w:sz="4" w:space="0" w:color="FFFFFF" w:themeColor="background1"/>
            </w:tcBorders>
            <w:textDirection w:val="btLr"/>
            <w:vAlign w:val="bottom"/>
          </w:tcPr>
          <w:p w:rsidR="008A6952" w:rsidRPr="008A6952" w:rsidRDefault="008A6952" w:rsidP="00DC262A">
            <w:pPr>
              <w:spacing w:before="0" w:after="0"/>
              <w:rPr>
                <w:sz w:val="16"/>
                <w:szCs w:val="16"/>
              </w:rPr>
            </w:pPr>
            <w:r w:rsidRPr="008A6952">
              <w:rPr>
                <w:sz w:val="16"/>
                <w:szCs w:val="16"/>
              </w:rPr>
              <w:t>Total residential + home care</w:t>
            </w:r>
          </w:p>
        </w:tc>
        <w:tc>
          <w:tcPr>
            <w:tcW w:w="346" w:type="pct"/>
            <w:tcBorders>
              <w:left w:val="single" w:sz="4" w:space="0" w:color="FFFFFF" w:themeColor="background1"/>
              <w:right w:val="single" w:sz="4" w:space="0" w:color="FFFFFF" w:themeColor="background1"/>
            </w:tcBorders>
            <w:textDirection w:val="btLr"/>
            <w:vAlign w:val="bottom"/>
            <w:hideMark/>
          </w:tcPr>
          <w:p w:rsidR="008A6952" w:rsidRPr="008A6952" w:rsidRDefault="008A6952" w:rsidP="00DC262A">
            <w:pPr>
              <w:spacing w:before="0" w:after="0"/>
              <w:rPr>
                <w:sz w:val="16"/>
                <w:szCs w:val="16"/>
              </w:rPr>
            </w:pPr>
            <w:r w:rsidRPr="008A6952">
              <w:rPr>
                <w:sz w:val="16"/>
                <w:szCs w:val="16"/>
              </w:rPr>
              <w:t>Restorative care3</w:t>
            </w:r>
          </w:p>
        </w:tc>
        <w:tc>
          <w:tcPr>
            <w:tcW w:w="339" w:type="pct"/>
            <w:tcBorders>
              <w:left w:val="single" w:sz="4" w:space="0" w:color="FFFFFF" w:themeColor="background1"/>
            </w:tcBorders>
            <w:textDirection w:val="btLr"/>
            <w:vAlign w:val="bottom"/>
            <w:hideMark/>
          </w:tcPr>
          <w:p w:rsidR="008A6952" w:rsidRPr="008A6952" w:rsidRDefault="008A6952" w:rsidP="00DC262A">
            <w:pPr>
              <w:spacing w:before="0" w:after="0"/>
              <w:rPr>
                <w:sz w:val="16"/>
                <w:szCs w:val="16"/>
              </w:rPr>
            </w:pPr>
            <w:r w:rsidRPr="008A6952">
              <w:rPr>
                <w:sz w:val="16"/>
                <w:szCs w:val="16"/>
              </w:rPr>
              <w:t>Total (planning ratio)</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NSW</w:t>
            </w:r>
          </w:p>
        </w:tc>
        <w:tc>
          <w:tcPr>
            <w:tcW w:w="1159" w:type="pct"/>
            <w:noWrap/>
            <w:hideMark/>
          </w:tcPr>
          <w:p w:rsidR="00C36BB1" w:rsidRPr="008A6952" w:rsidRDefault="00C36BB1" w:rsidP="00DC262A">
            <w:pPr>
              <w:spacing w:before="0" w:after="0"/>
              <w:rPr>
                <w:sz w:val="16"/>
                <w:szCs w:val="16"/>
              </w:rPr>
            </w:pPr>
            <w:r w:rsidRPr="008A6952">
              <w:rPr>
                <w:sz w:val="16"/>
                <w:szCs w:val="16"/>
              </w:rPr>
              <w:t>Central Coast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3,785</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3,785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121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3,906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67.6</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67.6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69.8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Central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2,113</w:t>
            </w:r>
          </w:p>
        </w:tc>
        <w:tc>
          <w:tcPr>
            <w:tcW w:w="346" w:type="pct"/>
          </w:tcPr>
          <w:p w:rsidR="00C36BB1" w:rsidRPr="008A6952" w:rsidRDefault="00C36BB1" w:rsidP="00DC262A">
            <w:pPr>
              <w:spacing w:before="0" w:after="0"/>
              <w:jc w:val="right"/>
              <w:rPr>
                <w:sz w:val="16"/>
                <w:szCs w:val="16"/>
              </w:rPr>
            </w:pPr>
            <w:r w:rsidRPr="008A6952">
              <w:rPr>
                <w:sz w:val="16"/>
                <w:szCs w:val="16"/>
              </w:rPr>
              <w:t>19</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2,132</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2,177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93.1</w:t>
            </w:r>
          </w:p>
        </w:tc>
        <w:tc>
          <w:tcPr>
            <w:tcW w:w="347" w:type="pct"/>
          </w:tcPr>
          <w:p w:rsidR="00C36BB1" w:rsidRPr="008A6952" w:rsidRDefault="00C36BB1" w:rsidP="00DC262A">
            <w:pPr>
              <w:spacing w:before="0" w:after="0"/>
              <w:jc w:val="right"/>
              <w:rPr>
                <w:sz w:val="16"/>
                <w:szCs w:val="16"/>
              </w:rPr>
            </w:pPr>
            <w:r w:rsidRPr="008A6952">
              <w:rPr>
                <w:sz w:val="16"/>
                <w:szCs w:val="16"/>
              </w:rPr>
              <w:t>0.8</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93.9</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95.9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Far North Coast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3,619</w:t>
            </w:r>
          </w:p>
        </w:tc>
        <w:tc>
          <w:tcPr>
            <w:tcW w:w="346" w:type="pct"/>
          </w:tcPr>
          <w:p w:rsidR="00C36BB1" w:rsidRPr="008A6952" w:rsidRDefault="00C36BB1" w:rsidP="00DC262A">
            <w:pPr>
              <w:spacing w:before="0" w:after="0"/>
              <w:jc w:val="right"/>
              <w:rPr>
                <w:sz w:val="16"/>
                <w:szCs w:val="16"/>
              </w:rPr>
            </w:pPr>
            <w:r w:rsidRPr="008A6952">
              <w:rPr>
                <w:sz w:val="16"/>
                <w:szCs w:val="16"/>
              </w:rPr>
              <w:t>21</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3,640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87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3,727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77.7</w:t>
            </w:r>
          </w:p>
        </w:tc>
        <w:tc>
          <w:tcPr>
            <w:tcW w:w="347" w:type="pct"/>
          </w:tcPr>
          <w:p w:rsidR="00C36BB1" w:rsidRPr="008A6952" w:rsidRDefault="00C36BB1" w:rsidP="00DC262A">
            <w:pPr>
              <w:spacing w:before="0" w:after="0"/>
              <w:jc w:val="right"/>
              <w:rPr>
                <w:sz w:val="16"/>
                <w:szCs w:val="16"/>
              </w:rPr>
            </w:pPr>
            <w:r w:rsidRPr="008A6952">
              <w:rPr>
                <w:sz w:val="16"/>
                <w:szCs w:val="16"/>
              </w:rPr>
              <w:t>0.5</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78.1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1.9</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80.0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Hunter</w:t>
            </w:r>
          </w:p>
        </w:tc>
        <w:tc>
          <w:tcPr>
            <w:tcW w:w="408" w:type="pct"/>
            <w:noWrap/>
            <w:hideMark/>
          </w:tcPr>
          <w:p w:rsidR="00C36BB1" w:rsidRPr="008A6952" w:rsidRDefault="00C36BB1" w:rsidP="00DC262A">
            <w:pPr>
              <w:spacing w:before="0" w:after="0"/>
              <w:jc w:val="right"/>
              <w:rPr>
                <w:sz w:val="16"/>
                <w:szCs w:val="16"/>
              </w:rPr>
            </w:pPr>
            <w:r w:rsidRPr="008A6952">
              <w:rPr>
                <w:sz w:val="16"/>
                <w:szCs w:val="16"/>
              </w:rPr>
              <w:t>6,303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6,303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113</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6,416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80.7</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80.7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Illawarra</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4,329</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4,329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4,423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74.3</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74.3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75.9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Inner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4,603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4,603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4,697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93.7</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93.7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1.9</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95.6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Mid North Coast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4,225</w:t>
            </w:r>
          </w:p>
        </w:tc>
        <w:tc>
          <w:tcPr>
            <w:tcW w:w="346" w:type="pct"/>
          </w:tcPr>
          <w:p w:rsidR="00C36BB1" w:rsidRPr="008A6952" w:rsidRDefault="00C36BB1" w:rsidP="00DC262A">
            <w:pPr>
              <w:spacing w:before="0" w:after="0"/>
              <w:jc w:val="right"/>
              <w:rPr>
                <w:sz w:val="16"/>
                <w:szCs w:val="16"/>
              </w:rPr>
            </w:pPr>
            <w:r w:rsidRPr="008A6952">
              <w:rPr>
                <w:sz w:val="16"/>
                <w:szCs w:val="16"/>
              </w:rPr>
              <w:t>6</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4,231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4,321</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76.1</w:t>
            </w:r>
          </w:p>
        </w:tc>
        <w:tc>
          <w:tcPr>
            <w:tcW w:w="347" w:type="pct"/>
          </w:tcPr>
          <w:p w:rsidR="00C36BB1" w:rsidRPr="008A6952" w:rsidRDefault="00C36BB1" w:rsidP="00DC262A">
            <w:pPr>
              <w:spacing w:before="0" w:after="0"/>
              <w:jc w:val="right"/>
              <w:rPr>
                <w:sz w:val="16"/>
                <w:szCs w:val="16"/>
              </w:rPr>
            </w:pPr>
            <w:r w:rsidRPr="008A6952">
              <w:rPr>
                <w:sz w:val="16"/>
                <w:szCs w:val="16"/>
              </w:rPr>
              <w:t>0.1</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76.2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77.9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Nepean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2,304</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2,304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2,352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72.7</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72.7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74.2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New England</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1,909</w:t>
            </w:r>
          </w:p>
        </w:tc>
        <w:tc>
          <w:tcPr>
            <w:tcW w:w="346" w:type="pct"/>
          </w:tcPr>
          <w:p w:rsidR="00C36BB1" w:rsidRPr="008A6952" w:rsidRDefault="00C36BB1" w:rsidP="00DC262A">
            <w:pPr>
              <w:spacing w:before="0" w:after="0"/>
              <w:jc w:val="right"/>
              <w:rPr>
                <w:sz w:val="16"/>
                <w:szCs w:val="16"/>
              </w:rPr>
            </w:pPr>
            <w:r w:rsidRPr="008A6952">
              <w:rPr>
                <w:sz w:val="16"/>
                <w:szCs w:val="16"/>
              </w:rPr>
              <w:t>20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1,929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38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1,967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78.7</w:t>
            </w:r>
          </w:p>
        </w:tc>
        <w:tc>
          <w:tcPr>
            <w:tcW w:w="347" w:type="pct"/>
          </w:tcPr>
          <w:p w:rsidR="00C36BB1" w:rsidRPr="008A6952" w:rsidRDefault="00C36BB1" w:rsidP="00DC262A">
            <w:pPr>
              <w:spacing w:before="0" w:after="0"/>
              <w:jc w:val="right"/>
              <w:rPr>
                <w:sz w:val="16"/>
                <w:szCs w:val="16"/>
              </w:rPr>
            </w:pPr>
            <w:r w:rsidRPr="008A6952">
              <w:rPr>
                <w:sz w:val="16"/>
                <w:szCs w:val="16"/>
              </w:rPr>
              <w:t>0.8</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79.5</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81.1</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Northern Sydney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9,063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9,063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112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9,175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92.6</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92.6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1.1</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93.8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Orana Far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1,717</w:t>
            </w:r>
          </w:p>
        </w:tc>
        <w:tc>
          <w:tcPr>
            <w:tcW w:w="346" w:type="pct"/>
          </w:tcPr>
          <w:p w:rsidR="00C36BB1" w:rsidRPr="008A6952" w:rsidRDefault="00C36BB1" w:rsidP="00DC262A">
            <w:pPr>
              <w:spacing w:before="0" w:after="0"/>
              <w:jc w:val="right"/>
              <w:rPr>
                <w:sz w:val="16"/>
                <w:szCs w:val="16"/>
              </w:rPr>
            </w:pPr>
            <w:r w:rsidRPr="008A6952">
              <w:rPr>
                <w:sz w:val="16"/>
                <w:szCs w:val="16"/>
              </w:rPr>
              <w:t>41</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1,758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1,802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81.4</w:t>
            </w:r>
          </w:p>
        </w:tc>
        <w:tc>
          <w:tcPr>
            <w:tcW w:w="347" w:type="pct"/>
          </w:tcPr>
          <w:p w:rsidR="00C36BB1" w:rsidRPr="008A6952" w:rsidRDefault="00C36BB1" w:rsidP="00DC262A">
            <w:pPr>
              <w:spacing w:before="0" w:after="0"/>
              <w:jc w:val="right"/>
              <w:rPr>
                <w:sz w:val="16"/>
                <w:szCs w:val="16"/>
              </w:rPr>
            </w:pPr>
            <w:r w:rsidRPr="008A6952">
              <w:rPr>
                <w:sz w:val="16"/>
                <w:szCs w:val="16"/>
              </w:rPr>
              <w:t>1.9</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83.3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2.1</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85.4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Riverina/Murray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3,067</w:t>
            </w:r>
          </w:p>
        </w:tc>
        <w:tc>
          <w:tcPr>
            <w:tcW w:w="346" w:type="pct"/>
          </w:tcPr>
          <w:p w:rsidR="00C36BB1" w:rsidRPr="008A6952" w:rsidRDefault="00C36BB1" w:rsidP="00DC262A">
            <w:pPr>
              <w:spacing w:before="0" w:after="0"/>
              <w:jc w:val="right"/>
              <w:rPr>
                <w:sz w:val="16"/>
                <w:szCs w:val="16"/>
              </w:rPr>
            </w:pPr>
            <w:r w:rsidRPr="008A6952">
              <w:rPr>
                <w:sz w:val="16"/>
                <w:szCs w:val="16"/>
              </w:rPr>
              <w:t>17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3,084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115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3,199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76.3</w:t>
            </w:r>
          </w:p>
        </w:tc>
        <w:tc>
          <w:tcPr>
            <w:tcW w:w="347" w:type="pct"/>
          </w:tcPr>
          <w:p w:rsidR="00C36BB1" w:rsidRPr="008A6952" w:rsidRDefault="00C36BB1" w:rsidP="00DC262A">
            <w:pPr>
              <w:spacing w:before="0" w:after="0"/>
              <w:jc w:val="right"/>
              <w:rPr>
                <w:sz w:val="16"/>
                <w:szCs w:val="16"/>
              </w:rPr>
            </w:pPr>
            <w:r w:rsidRPr="008A6952">
              <w:rPr>
                <w:sz w:val="16"/>
                <w:szCs w:val="16"/>
              </w:rPr>
              <w:t>0.4</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76.8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2.9</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East Sydney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8,310</w:t>
            </w:r>
          </w:p>
        </w:tc>
        <w:tc>
          <w:tcPr>
            <w:tcW w:w="346" w:type="pct"/>
          </w:tcPr>
          <w:p w:rsidR="00C36BB1" w:rsidRPr="008A6952" w:rsidRDefault="00C36BB1" w:rsidP="00DC262A">
            <w:pPr>
              <w:spacing w:before="0" w:after="0"/>
              <w:jc w:val="right"/>
              <w:rPr>
                <w:sz w:val="16"/>
                <w:szCs w:val="16"/>
              </w:rPr>
            </w:pPr>
            <w:r w:rsidRPr="008A6952">
              <w:rPr>
                <w:sz w:val="16"/>
                <w:szCs w:val="16"/>
              </w:rPr>
              <w:t>3</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8,313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176</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8,489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88.6</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88.6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1.9</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90.5</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West Sydney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6,946</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6,946</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118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7,064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76.2</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76.2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1.3</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77.5</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Southern Highlands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2,330</w:t>
            </w:r>
          </w:p>
        </w:tc>
        <w:tc>
          <w:tcPr>
            <w:tcW w:w="346" w:type="pct"/>
          </w:tcPr>
          <w:p w:rsidR="00C36BB1" w:rsidRPr="008A6952" w:rsidRDefault="00C36BB1" w:rsidP="00DC262A">
            <w:pPr>
              <w:spacing w:before="0" w:after="0"/>
              <w:jc w:val="right"/>
              <w:rPr>
                <w:sz w:val="16"/>
                <w:szCs w:val="16"/>
              </w:rPr>
            </w:pPr>
            <w:r w:rsidRPr="008A6952">
              <w:rPr>
                <w:sz w:val="16"/>
                <w:szCs w:val="16"/>
              </w:rPr>
              <w:t>6</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2,336</w:t>
            </w:r>
          </w:p>
        </w:tc>
        <w:tc>
          <w:tcPr>
            <w:tcW w:w="324" w:type="pct"/>
            <w:noWrap/>
            <w:hideMark/>
          </w:tcPr>
          <w:p w:rsidR="00C36BB1" w:rsidRPr="008A6952" w:rsidRDefault="00C36BB1" w:rsidP="00DC262A">
            <w:pPr>
              <w:spacing w:before="0" w:after="0"/>
              <w:jc w:val="right"/>
              <w:rPr>
                <w:sz w:val="16"/>
                <w:szCs w:val="16"/>
              </w:rPr>
            </w:pPr>
            <w:r w:rsidRPr="008A6952">
              <w:rPr>
                <w:sz w:val="16"/>
                <w:szCs w:val="16"/>
              </w:rPr>
              <w:t>63</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2,399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74.0</w:t>
            </w:r>
          </w:p>
        </w:tc>
        <w:tc>
          <w:tcPr>
            <w:tcW w:w="347" w:type="pct"/>
          </w:tcPr>
          <w:p w:rsidR="00C36BB1" w:rsidRPr="008A6952" w:rsidRDefault="00C36BB1" w:rsidP="00DC262A">
            <w:pPr>
              <w:spacing w:before="0" w:after="0"/>
              <w:jc w:val="right"/>
              <w:rPr>
                <w:sz w:val="16"/>
                <w:szCs w:val="16"/>
              </w:rPr>
            </w:pPr>
            <w:r w:rsidRPr="008A6952">
              <w:rPr>
                <w:sz w:val="16"/>
                <w:szCs w:val="16"/>
              </w:rPr>
              <w:t>0.2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74.2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76.2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Western Sydney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5,427</w:t>
            </w:r>
          </w:p>
        </w:tc>
        <w:tc>
          <w:tcPr>
            <w:tcW w:w="346" w:type="pct"/>
          </w:tcPr>
          <w:p w:rsidR="00C36BB1" w:rsidRPr="008A6952" w:rsidRDefault="00C36BB1" w:rsidP="00DC262A">
            <w:pPr>
              <w:spacing w:before="0" w:after="0"/>
              <w:jc w:val="right"/>
              <w:rPr>
                <w:sz w:val="16"/>
                <w:szCs w:val="16"/>
              </w:rPr>
            </w:pPr>
            <w:r w:rsidRPr="008A6952">
              <w:rPr>
                <w:sz w:val="16"/>
                <w:szCs w:val="16"/>
              </w:rPr>
              <w:t>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5,434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108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5,542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68.3</w:t>
            </w:r>
          </w:p>
        </w:tc>
        <w:tc>
          <w:tcPr>
            <w:tcW w:w="347" w:type="pct"/>
          </w:tcPr>
          <w:p w:rsidR="00C36BB1" w:rsidRPr="008A6952" w:rsidRDefault="00C36BB1" w:rsidP="00DC262A">
            <w:pPr>
              <w:spacing w:before="0" w:after="0"/>
              <w:jc w:val="right"/>
              <w:rPr>
                <w:sz w:val="16"/>
                <w:szCs w:val="16"/>
              </w:rPr>
            </w:pPr>
            <w:r w:rsidRPr="008A6952">
              <w:rPr>
                <w:sz w:val="16"/>
                <w:szCs w:val="16"/>
              </w:rPr>
              <w:t>0.1</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68.4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69.8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NSW</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70,050</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140</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70,190</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1,466</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71,656</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79.9</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0.2</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80.0</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81.7</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Vic</w:t>
            </w:r>
          </w:p>
        </w:tc>
        <w:tc>
          <w:tcPr>
            <w:tcW w:w="1159" w:type="pct"/>
            <w:noWrap/>
            <w:hideMark/>
          </w:tcPr>
          <w:p w:rsidR="00C36BB1" w:rsidRPr="008A6952" w:rsidRDefault="00C36BB1" w:rsidP="00DC262A">
            <w:pPr>
              <w:spacing w:before="0" w:after="0"/>
              <w:rPr>
                <w:sz w:val="16"/>
                <w:szCs w:val="16"/>
              </w:rPr>
            </w:pPr>
            <w:r w:rsidRPr="008A6952">
              <w:rPr>
                <w:sz w:val="16"/>
                <w:szCs w:val="16"/>
              </w:rPr>
              <w:t>Barwon-South Western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4,370</w:t>
            </w:r>
          </w:p>
        </w:tc>
        <w:tc>
          <w:tcPr>
            <w:tcW w:w="346" w:type="pct"/>
          </w:tcPr>
          <w:p w:rsidR="00C36BB1" w:rsidRPr="008A6952" w:rsidRDefault="00C36BB1" w:rsidP="00DC262A">
            <w:pPr>
              <w:spacing w:before="0" w:after="0"/>
              <w:jc w:val="right"/>
              <w:rPr>
                <w:sz w:val="16"/>
                <w:szCs w:val="16"/>
              </w:rPr>
            </w:pPr>
            <w:r w:rsidRPr="008A6952">
              <w:rPr>
                <w:sz w:val="16"/>
                <w:szCs w:val="16"/>
              </w:rPr>
              <w:t>3</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4,373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101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4,474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87.7</w:t>
            </w:r>
          </w:p>
        </w:tc>
        <w:tc>
          <w:tcPr>
            <w:tcW w:w="347" w:type="pct"/>
          </w:tcPr>
          <w:p w:rsidR="00C36BB1" w:rsidRPr="008A6952" w:rsidRDefault="00C36BB1" w:rsidP="00DC262A">
            <w:pPr>
              <w:spacing w:before="0" w:after="0"/>
              <w:jc w:val="right"/>
              <w:rPr>
                <w:sz w:val="16"/>
                <w:szCs w:val="16"/>
              </w:rPr>
            </w:pPr>
            <w:r w:rsidRPr="008A6952">
              <w:rPr>
                <w:sz w:val="16"/>
                <w:szCs w:val="16"/>
              </w:rPr>
              <w:t>0.1</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87.8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89.8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Eastern Metro</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11,019</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11,019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173</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11,192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79.3</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80.6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Gippsland</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3,188</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3,188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3,235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78.2</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78.2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Grampians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2,423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2,423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73</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2,496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81.4</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81.4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83.8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Hume</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3,037</w:t>
            </w:r>
          </w:p>
        </w:tc>
        <w:tc>
          <w:tcPr>
            <w:tcW w:w="346" w:type="pct"/>
          </w:tcPr>
          <w:p w:rsidR="00C36BB1" w:rsidRPr="008A6952" w:rsidRDefault="00C36BB1" w:rsidP="00DC262A">
            <w:pPr>
              <w:spacing w:before="0" w:after="0"/>
              <w:jc w:val="right"/>
              <w:rPr>
                <w:sz w:val="16"/>
                <w:szCs w:val="16"/>
              </w:rPr>
            </w:pPr>
            <w:r w:rsidRPr="008A6952">
              <w:rPr>
                <w:sz w:val="16"/>
                <w:szCs w:val="16"/>
              </w:rPr>
              <w:t>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3,045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79</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3,124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77.4</w:t>
            </w:r>
          </w:p>
        </w:tc>
        <w:tc>
          <w:tcPr>
            <w:tcW w:w="347" w:type="pct"/>
          </w:tcPr>
          <w:p w:rsidR="00C36BB1" w:rsidRPr="008A6952" w:rsidRDefault="00C36BB1" w:rsidP="00DC262A">
            <w:pPr>
              <w:spacing w:before="0" w:after="0"/>
              <w:jc w:val="right"/>
              <w:rPr>
                <w:sz w:val="16"/>
                <w:szCs w:val="16"/>
              </w:rPr>
            </w:pPr>
            <w:r w:rsidRPr="008A6952">
              <w:rPr>
                <w:sz w:val="16"/>
                <w:szCs w:val="16"/>
              </w:rPr>
              <w:t>0.2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77.6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Loddon-Mallee</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3,824</w:t>
            </w:r>
          </w:p>
        </w:tc>
        <w:tc>
          <w:tcPr>
            <w:tcW w:w="346" w:type="pct"/>
          </w:tcPr>
          <w:p w:rsidR="00C36BB1" w:rsidRPr="008A6952" w:rsidRDefault="00C36BB1" w:rsidP="00DC262A">
            <w:pPr>
              <w:spacing w:before="0" w:after="0"/>
              <w:jc w:val="right"/>
              <w:rPr>
                <w:sz w:val="16"/>
                <w:szCs w:val="16"/>
              </w:rPr>
            </w:pPr>
            <w:r w:rsidRPr="008A6952">
              <w:rPr>
                <w:sz w:val="16"/>
                <w:szCs w:val="16"/>
              </w:rPr>
              <w:t>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3,832</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109</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3,941</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77.5</w:t>
            </w:r>
          </w:p>
        </w:tc>
        <w:tc>
          <w:tcPr>
            <w:tcW w:w="347" w:type="pct"/>
          </w:tcPr>
          <w:p w:rsidR="00C36BB1" w:rsidRPr="008A6952" w:rsidRDefault="00C36BB1" w:rsidP="00DC262A">
            <w:pPr>
              <w:spacing w:before="0" w:after="0"/>
              <w:jc w:val="right"/>
              <w:rPr>
                <w:sz w:val="16"/>
                <w:szCs w:val="16"/>
              </w:rPr>
            </w:pPr>
            <w:r w:rsidRPr="008A6952">
              <w:rPr>
                <w:sz w:val="16"/>
                <w:szCs w:val="16"/>
              </w:rPr>
              <w:t>0.2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77.7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Northern Metro</w:t>
            </w:r>
          </w:p>
        </w:tc>
        <w:tc>
          <w:tcPr>
            <w:tcW w:w="408" w:type="pct"/>
            <w:noWrap/>
            <w:hideMark/>
          </w:tcPr>
          <w:p w:rsidR="00C36BB1" w:rsidRPr="008A6952" w:rsidRDefault="00C36BB1" w:rsidP="00DC262A">
            <w:pPr>
              <w:spacing w:before="0" w:after="0"/>
              <w:jc w:val="right"/>
              <w:rPr>
                <w:sz w:val="16"/>
                <w:szCs w:val="16"/>
              </w:rPr>
            </w:pPr>
            <w:r w:rsidRPr="008A6952">
              <w:rPr>
                <w:sz w:val="16"/>
                <w:szCs w:val="16"/>
              </w:rPr>
              <w:t>6,926</w:t>
            </w:r>
          </w:p>
        </w:tc>
        <w:tc>
          <w:tcPr>
            <w:tcW w:w="346" w:type="pct"/>
          </w:tcPr>
          <w:p w:rsidR="00C36BB1" w:rsidRPr="008A6952" w:rsidRDefault="00C36BB1" w:rsidP="00DC262A">
            <w:pPr>
              <w:spacing w:before="0" w:after="0"/>
              <w:jc w:val="right"/>
              <w:rPr>
                <w:sz w:val="16"/>
                <w:szCs w:val="16"/>
              </w:rPr>
            </w:pPr>
            <w:r w:rsidRPr="008A6952">
              <w:rPr>
                <w:sz w:val="16"/>
                <w:szCs w:val="16"/>
              </w:rPr>
              <w:t>69</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6,995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137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7,132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78.3</w:t>
            </w:r>
          </w:p>
        </w:tc>
        <w:tc>
          <w:tcPr>
            <w:tcW w:w="347" w:type="pct"/>
          </w:tcPr>
          <w:p w:rsidR="00C36BB1" w:rsidRPr="008A6952" w:rsidRDefault="00C36BB1" w:rsidP="00DC262A">
            <w:pPr>
              <w:spacing w:before="0" w:after="0"/>
              <w:jc w:val="right"/>
              <w:rPr>
                <w:sz w:val="16"/>
                <w:szCs w:val="16"/>
              </w:rPr>
            </w:pPr>
            <w:r w:rsidRPr="008A6952">
              <w:rPr>
                <w:sz w:val="16"/>
                <w:szCs w:val="16"/>
              </w:rPr>
              <w:t>0.8</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80.7</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Southern Metro</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13,013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13,013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237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13,250</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83.6</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83.6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85.2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Western Metro</w:t>
            </w:r>
          </w:p>
        </w:tc>
        <w:tc>
          <w:tcPr>
            <w:tcW w:w="408" w:type="pct"/>
            <w:noWrap/>
            <w:hideMark/>
          </w:tcPr>
          <w:p w:rsidR="00C36BB1" w:rsidRPr="008A6952" w:rsidRDefault="00C36BB1" w:rsidP="00DC262A">
            <w:pPr>
              <w:spacing w:before="0" w:after="0"/>
              <w:jc w:val="right"/>
              <w:rPr>
                <w:sz w:val="16"/>
                <w:szCs w:val="16"/>
              </w:rPr>
            </w:pPr>
            <w:r w:rsidRPr="008A6952">
              <w:rPr>
                <w:sz w:val="16"/>
                <w:szCs w:val="16"/>
              </w:rPr>
              <w:t>5,895</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5,895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144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6,039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80.5</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80.5</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82.5</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Vic</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53,695</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88</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53,783</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1,100</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54,883</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80.7</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0.1</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80.9</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82.5</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Qld</w:t>
            </w:r>
          </w:p>
        </w:tc>
        <w:tc>
          <w:tcPr>
            <w:tcW w:w="1159" w:type="pct"/>
            <w:noWrap/>
            <w:hideMark/>
          </w:tcPr>
          <w:p w:rsidR="00C36BB1" w:rsidRPr="008A6952" w:rsidRDefault="00C36BB1" w:rsidP="00DC262A">
            <w:pPr>
              <w:spacing w:before="0" w:after="0"/>
              <w:rPr>
                <w:sz w:val="16"/>
                <w:szCs w:val="16"/>
              </w:rPr>
            </w:pPr>
            <w:r w:rsidRPr="008A6952">
              <w:rPr>
                <w:sz w:val="16"/>
                <w:szCs w:val="16"/>
              </w:rPr>
              <w:t>Brisbane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4,078</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4,078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141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4,219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92.0</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92.0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3.2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95.2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Brisbane South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6,214</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6,214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142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6,356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89.7</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89.7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91.7</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Cabool</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3,307</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3,307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19</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3,326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70.2</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70.2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70.6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Central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116</w:t>
            </w:r>
          </w:p>
        </w:tc>
        <w:tc>
          <w:tcPr>
            <w:tcW w:w="346" w:type="pct"/>
          </w:tcPr>
          <w:p w:rsidR="00C36BB1" w:rsidRPr="008A6952" w:rsidRDefault="00C36BB1" w:rsidP="00DC262A">
            <w:pPr>
              <w:spacing w:before="0" w:after="0"/>
              <w:jc w:val="right"/>
              <w:rPr>
                <w:sz w:val="16"/>
                <w:szCs w:val="16"/>
              </w:rPr>
            </w:pPr>
            <w:r w:rsidRPr="008A6952">
              <w:rPr>
                <w:sz w:val="16"/>
                <w:szCs w:val="16"/>
              </w:rPr>
              <w:t>17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133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133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95.1</w:t>
            </w:r>
          </w:p>
        </w:tc>
        <w:tc>
          <w:tcPr>
            <w:tcW w:w="347" w:type="pct"/>
          </w:tcPr>
          <w:p w:rsidR="00C36BB1" w:rsidRPr="008A6952" w:rsidRDefault="00C36BB1" w:rsidP="00DC262A">
            <w:pPr>
              <w:spacing w:before="0" w:after="0"/>
              <w:jc w:val="right"/>
              <w:rPr>
                <w:sz w:val="16"/>
                <w:szCs w:val="16"/>
              </w:rPr>
            </w:pPr>
            <w:r w:rsidRPr="008A6952">
              <w:rPr>
                <w:sz w:val="16"/>
                <w:szCs w:val="16"/>
              </w:rPr>
              <w:t>13.9</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109.0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109.0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Darling Downs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2,409</w:t>
            </w:r>
          </w:p>
        </w:tc>
        <w:tc>
          <w:tcPr>
            <w:tcW w:w="346" w:type="pct"/>
          </w:tcPr>
          <w:p w:rsidR="00C36BB1" w:rsidRPr="008A6952" w:rsidRDefault="00C36BB1" w:rsidP="00DC262A">
            <w:pPr>
              <w:spacing w:before="0" w:after="0"/>
              <w:jc w:val="right"/>
              <w:rPr>
                <w:sz w:val="16"/>
                <w:szCs w:val="16"/>
              </w:rPr>
            </w:pPr>
            <w:r w:rsidRPr="008A6952">
              <w:rPr>
                <w:sz w:val="16"/>
                <w:szCs w:val="16"/>
              </w:rPr>
              <w:t>24</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2,433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52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2,485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70.7</w:t>
            </w:r>
          </w:p>
        </w:tc>
        <w:tc>
          <w:tcPr>
            <w:tcW w:w="347" w:type="pct"/>
          </w:tcPr>
          <w:p w:rsidR="00C36BB1" w:rsidRPr="008A6952" w:rsidRDefault="00C36BB1" w:rsidP="00DC262A">
            <w:pPr>
              <w:spacing w:before="0" w:after="0"/>
              <w:jc w:val="right"/>
              <w:rPr>
                <w:sz w:val="16"/>
                <w:szCs w:val="16"/>
              </w:rPr>
            </w:pPr>
            <w:r w:rsidRPr="008A6952">
              <w:rPr>
                <w:sz w:val="16"/>
                <w:szCs w:val="16"/>
              </w:rPr>
              <w:t>0.7</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71.4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72.9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Far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1,825</w:t>
            </w:r>
          </w:p>
        </w:tc>
        <w:tc>
          <w:tcPr>
            <w:tcW w:w="346" w:type="pct"/>
          </w:tcPr>
          <w:p w:rsidR="00C36BB1" w:rsidRPr="008A6952" w:rsidRDefault="00C36BB1" w:rsidP="00DC262A">
            <w:pPr>
              <w:spacing w:before="0" w:after="0"/>
              <w:jc w:val="right"/>
              <w:rPr>
                <w:sz w:val="16"/>
                <w:szCs w:val="16"/>
              </w:rPr>
            </w:pPr>
            <w:r w:rsidRPr="008A6952">
              <w:rPr>
                <w:sz w:val="16"/>
                <w:szCs w:val="16"/>
              </w:rPr>
              <w:t>29</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1,854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50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1,904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58.1</w:t>
            </w:r>
          </w:p>
        </w:tc>
        <w:tc>
          <w:tcPr>
            <w:tcW w:w="347" w:type="pct"/>
          </w:tcPr>
          <w:p w:rsidR="00C36BB1" w:rsidRPr="008A6952" w:rsidRDefault="00C36BB1" w:rsidP="00DC262A">
            <w:pPr>
              <w:spacing w:before="0" w:after="0"/>
              <w:jc w:val="right"/>
              <w:rPr>
                <w:sz w:val="16"/>
                <w:szCs w:val="16"/>
              </w:rPr>
            </w:pPr>
            <w:r w:rsidRPr="008A6952">
              <w:rPr>
                <w:sz w:val="16"/>
                <w:szCs w:val="16"/>
              </w:rPr>
              <w:t>0.9</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59.0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60.6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Fitzroy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1,532</w:t>
            </w:r>
          </w:p>
        </w:tc>
        <w:tc>
          <w:tcPr>
            <w:tcW w:w="346" w:type="pct"/>
          </w:tcPr>
          <w:p w:rsidR="00C36BB1" w:rsidRPr="008A6952" w:rsidRDefault="00C36BB1" w:rsidP="00DC262A">
            <w:pPr>
              <w:spacing w:before="0" w:after="0"/>
              <w:jc w:val="right"/>
              <w:rPr>
                <w:sz w:val="16"/>
                <w:szCs w:val="16"/>
              </w:rPr>
            </w:pPr>
            <w:r w:rsidRPr="008A6952">
              <w:rPr>
                <w:sz w:val="16"/>
                <w:szCs w:val="16"/>
              </w:rPr>
              <w:t>27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1,559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37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1,596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84.9</w:t>
            </w:r>
          </w:p>
        </w:tc>
        <w:tc>
          <w:tcPr>
            <w:tcW w:w="347" w:type="pct"/>
          </w:tcPr>
          <w:p w:rsidR="00C36BB1" w:rsidRPr="008A6952" w:rsidRDefault="00C36BB1" w:rsidP="00DC262A">
            <w:pPr>
              <w:spacing w:before="0" w:after="0"/>
              <w:jc w:val="right"/>
              <w:rPr>
                <w:sz w:val="16"/>
                <w:szCs w:val="16"/>
              </w:rPr>
            </w:pPr>
            <w:r w:rsidRPr="008A6952">
              <w:rPr>
                <w:sz w:val="16"/>
                <w:szCs w:val="16"/>
              </w:rPr>
              <w:t>1.5</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86.4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2.1</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88.4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Logan River Valley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1,822</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1,822</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1,847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55.1</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55.1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0.8</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55.9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Mackay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876</w:t>
            </w:r>
          </w:p>
        </w:tc>
        <w:tc>
          <w:tcPr>
            <w:tcW w:w="346" w:type="pct"/>
          </w:tcPr>
          <w:p w:rsidR="00C36BB1" w:rsidRPr="008A6952" w:rsidRDefault="00C36BB1" w:rsidP="00DC262A">
            <w:pPr>
              <w:spacing w:before="0" w:after="0"/>
              <w:jc w:val="right"/>
              <w:rPr>
                <w:sz w:val="16"/>
                <w:szCs w:val="16"/>
              </w:rPr>
            </w:pPr>
            <w:r w:rsidRPr="008A6952">
              <w:rPr>
                <w:sz w:val="16"/>
                <w:szCs w:val="16"/>
              </w:rPr>
              <w:t>18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894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903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77.4</w:t>
            </w:r>
          </w:p>
        </w:tc>
        <w:tc>
          <w:tcPr>
            <w:tcW w:w="347" w:type="pct"/>
          </w:tcPr>
          <w:p w:rsidR="00C36BB1" w:rsidRPr="008A6952" w:rsidRDefault="00C36BB1" w:rsidP="00DC262A">
            <w:pPr>
              <w:spacing w:before="0" w:after="0"/>
              <w:jc w:val="right"/>
              <w:rPr>
                <w:sz w:val="16"/>
                <w:szCs w:val="16"/>
              </w:rPr>
            </w:pPr>
            <w:r w:rsidRPr="008A6952">
              <w:rPr>
                <w:sz w:val="16"/>
                <w:szCs w:val="16"/>
              </w:rPr>
              <w:t>1.6</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0.8</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North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150</w:t>
            </w:r>
          </w:p>
        </w:tc>
        <w:tc>
          <w:tcPr>
            <w:tcW w:w="346" w:type="pct"/>
          </w:tcPr>
          <w:p w:rsidR="00C36BB1" w:rsidRPr="008A6952" w:rsidRDefault="00C36BB1" w:rsidP="00DC262A">
            <w:pPr>
              <w:spacing w:before="0" w:after="0"/>
              <w:jc w:val="right"/>
              <w:rPr>
                <w:sz w:val="16"/>
                <w:szCs w:val="16"/>
              </w:rPr>
            </w:pPr>
            <w:r w:rsidRPr="008A6952">
              <w:rPr>
                <w:sz w:val="16"/>
                <w:szCs w:val="16"/>
              </w:rPr>
              <w:t>13</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163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163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88.2</w:t>
            </w:r>
          </w:p>
        </w:tc>
        <w:tc>
          <w:tcPr>
            <w:tcW w:w="347" w:type="pct"/>
          </w:tcPr>
          <w:p w:rsidR="00C36BB1" w:rsidRPr="008A6952" w:rsidRDefault="00C36BB1" w:rsidP="00DC262A">
            <w:pPr>
              <w:spacing w:before="0" w:after="0"/>
              <w:jc w:val="right"/>
              <w:rPr>
                <w:sz w:val="16"/>
                <w:szCs w:val="16"/>
              </w:rPr>
            </w:pPr>
            <w:r w:rsidRPr="008A6952">
              <w:rPr>
                <w:sz w:val="16"/>
                <w:szCs w:val="16"/>
              </w:rPr>
              <w:t>7.6</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95.9</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95.9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Northern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1,781</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1,781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62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1,843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77.3</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77.3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80.0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Coast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5,117</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5,117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96</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5,213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85.4</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85.4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87.0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257</w:t>
            </w:r>
          </w:p>
        </w:tc>
        <w:tc>
          <w:tcPr>
            <w:tcW w:w="346" w:type="pct"/>
          </w:tcPr>
          <w:p w:rsidR="00C36BB1" w:rsidRPr="008A6952" w:rsidRDefault="00C36BB1" w:rsidP="00DC262A">
            <w:pPr>
              <w:spacing w:before="0" w:after="0"/>
              <w:jc w:val="right"/>
              <w:rPr>
                <w:sz w:val="16"/>
                <w:szCs w:val="16"/>
              </w:rPr>
            </w:pPr>
            <w:r w:rsidRPr="008A6952">
              <w:rPr>
                <w:sz w:val="16"/>
                <w:szCs w:val="16"/>
              </w:rPr>
              <w:t>16</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273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273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77.7</w:t>
            </w:r>
          </w:p>
        </w:tc>
        <w:tc>
          <w:tcPr>
            <w:tcW w:w="347" w:type="pct"/>
          </w:tcPr>
          <w:p w:rsidR="00C36BB1" w:rsidRPr="008A6952" w:rsidRDefault="00C36BB1" w:rsidP="00DC262A">
            <w:pPr>
              <w:spacing w:before="0" w:after="0"/>
              <w:jc w:val="right"/>
              <w:rPr>
                <w:sz w:val="16"/>
                <w:szCs w:val="16"/>
              </w:rPr>
            </w:pPr>
            <w:r w:rsidRPr="008A6952">
              <w:rPr>
                <w:sz w:val="16"/>
                <w:szCs w:val="16"/>
              </w:rPr>
              <w:t>4.8</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82.6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Sunshine Coast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4,052</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4,052</w:t>
            </w:r>
          </w:p>
        </w:tc>
        <w:tc>
          <w:tcPr>
            <w:tcW w:w="324" w:type="pct"/>
            <w:noWrap/>
            <w:hideMark/>
          </w:tcPr>
          <w:p w:rsidR="00C36BB1" w:rsidRPr="008A6952" w:rsidRDefault="00C36BB1" w:rsidP="00DC262A">
            <w:pPr>
              <w:spacing w:before="0" w:after="0"/>
              <w:jc w:val="right"/>
              <w:rPr>
                <w:sz w:val="16"/>
                <w:szCs w:val="16"/>
              </w:rPr>
            </w:pPr>
            <w:r w:rsidRPr="008A6952">
              <w:rPr>
                <w:sz w:val="16"/>
                <w:szCs w:val="16"/>
              </w:rPr>
              <w:t>77</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4,129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75.8</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75.8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77.2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West Moreton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1,184</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1,184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1,228</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52.5</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52.5</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54.4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Wide Bay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2,386</w:t>
            </w:r>
          </w:p>
        </w:tc>
        <w:tc>
          <w:tcPr>
            <w:tcW w:w="346" w:type="pct"/>
          </w:tcPr>
          <w:p w:rsidR="00C36BB1" w:rsidRPr="008A6952" w:rsidRDefault="00C36BB1" w:rsidP="00DC262A">
            <w:pPr>
              <w:spacing w:before="0" w:after="0"/>
              <w:jc w:val="right"/>
              <w:rPr>
                <w:sz w:val="16"/>
                <w:szCs w:val="16"/>
              </w:rPr>
            </w:pPr>
            <w:r w:rsidRPr="008A6952">
              <w:rPr>
                <w:sz w:val="16"/>
                <w:szCs w:val="16"/>
              </w:rPr>
              <w:t>5</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2,391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71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2,462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53.1</w:t>
            </w:r>
          </w:p>
        </w:tc>
        <w:tc>
          <w:tcPr>
            <w:tcW w:w="347" w:type="pct"/>
          </w:tcPr>
          <w:p w:rsidR="00C36BB1" w:rsidRPr="008A6952" w:rsidRDefault="00C36BB1" w:rsidP="00DC262A">
            <w:pPr>
              <w:spacing w:before="0" w:after="0"/>
              <w:jc w:val="right"/>
              <w:rPr>
                <w:sz w:val="16"/>
                <w:szCs w:val="16"/>
              </w:rPr>
            </w:pPr>
            <w:r w:rsidRPr="008A6952">
              <w:rPr>
                <w:sz w:val="16"/>
                <w:szCs w:val="16"/>
              </w:rPr>
              <w:t>0.1</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53.2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54.8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Qld</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37,106</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149</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37,255</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825</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38,080</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74.4</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0.3</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74.7</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76.3</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WA</w:t>
            </w:r>
          </w:p>
        </w:tc>
        <w:tc>
          <w:tcPr>
            <w:tcW w:w="1159" w:type="pct"/>
            <w:noWrap/>
            <w:hideMark/>
          </w:tcPr>
          <w:p w:rsidR="00C36BB1" w:rsidRPr="008A6952" w:rsidRDefault="00C36BB1" w:rsidP="00DC262A">
            <w:pPr>
              <w:spacing w:before="0" w:after="0"/>
              <w:rPr>
                <w:sz w:val="16"/>
                <w:szCs w:val="16"/>
              </w:rPr>
            </w:pPr>
            <w:r w:rsidRPr="008A6952">
              <w:rPr>
                <w:sz w:val="16"/>
                <w:szCs w:val="16"/>
              </w:rPr>
              <w:t>Goldfields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267</w:t>
            </w:r>
          </w:p>
        </w:tc>
        <w:tc>
          <w:tcPr>
            <w:tcW w:w="346" w:type="pct"/>
          </w:tcPr>
          <w:p w:rsidR="00C36BB1" w:rsidRPr="008A6952" w:rsidRDefault="00C36BB1" w:rsidP="00DC262A">
            <w:pPr>
              <w:spacing w:before="0" w:after="0"/>
              <w:jc w:val="right"/>
              <w:rPr>
                <w:sz w:val="16"/>
                <w:szCs w:val="16"/>
              </w:rPr>
            </w:pPr>
            <w:r w:rsidRPr="008A6952">
              <w:rPr>
                <w:sz w:val="16"/>
                <w:szCs w:val="16"/>
              </w:rPr>
              <w:t>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275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275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63.8</w:t>
            </w:r>
          </w:p>
        </w:tc>
        <w:tc>
          <w:tcPr>
            <w:tcW w:w="347" w:type="pct"/>
          </w:tcPr>
          <w:p w:rsidR="00C36BB1" w:rsidRPr="008A6952" w:rsidRDefault="00C36BB1" w:rsidP="00DC262A">
            <w:pPr>
              <w:spacing w:before="0" w:after="0"/>
              <w:jc w:val="right"/>
              <w:rPr>
                <w:sz w:val="16"/>
                <w:szCs w:val="16"/>
              </w:rPr>
            </w:pPr>
            <w:r w:rsidRPr="008A6952">
              <w:rPr>
                <w:sz w:val="16"/>
                <w:szCs w:val="16"/>
              </w:rPr>
              <w:t>1.9</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65.7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65.7</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Great Southern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514</w:t>
            </w:r>
          </w:p>
        </w:tc>
        <w:tc>
          <w:tcPr>
            <w:tcW w:w="346" w:type="pct"/>
          </w:tcPr>
          <w:p w:rsidR="00C36BB1" w:rsidRPr="008A6952" w:rsidRDefault="00C36BB1" w:rsidP="00DC262A">
            <w:pPr>
              <w:spacing w:before="0" w:after="0"/>
              <w:jc w:val="right"/>
              <w:rPr>
                <w:sz w:val="16"/>
                <w:szCs w:val="16"/>
              </w:rPr>
            </w:pPr>
            <w:r w:rsidRPr="008A6952">
              <w:rPr>
                <w:sz w:val="16"/>
                <w:szCs w:val="16"/>
              </w:rPr>
              <w:t>38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552</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562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57.8</w:t>
            </w:r>
          </w:p>
        </w:tc>
        <w:tc>
          <w:tcPr>
            <w:tcW w:w="347" w:type="pct"/>
          </w:tcPr>
          <w:p w:rsidR="00C36BB1" w:rsidRPr="008A6952" w:rsidRDefault="00C36BB1" w:rsidP="00DC262A">
            <w:pPr>
              <w:spacing w:before="0" w:after="0"/>
              <w:jc w:val="right"/>
              <w:rPr>
                <w:sz w:val="16"/>
                <w:szCs w:val="16"/>
              </w:rPr>
            </w:pPr>
            <w:r w:rsidRPr="008A6952">
              <w:rPr>
                <w:sz w:val="16"/>
                <w:szCs w:val="16"/>
              </w:rPr>
              <w:t>4.3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62.1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1.1</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63.2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Indian Ocean Territories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0</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0</w:t>
            </w:r>
          </w:p>
        </w:tc>
        <w:tc>
          <w:tcPr>
            <w:tcW w:w="301" w:type="pct"/>
            <w:noWrap/>
            <w:hideMark/>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0.0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0.0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Kimberley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169</w:t>
            </w:r>
          </w:p>
        </w:tc>
        <w:tc>
          <w:tcPr>
            <w:tcW w:w="346" w:type="pct"/>
          </w:tcPr>
          <w:p w:rsidR="00C36BB1" w:rsidRPr="008A6952" w:rsidRDefault="00C36BB1" w:rsidP="00DC262A">
            <w:pPr>
              <w:spacing w:before="0" w:after="0"/>
              <w:jc w:val="right"/>
              <w:rPr>
                <w:sz w:val="16"/>
                <w:szCs w:val="16"/>
              </w:rPr>
            </w:pPr>
            <w:r w:rsidRPr="008A6952">
              <w:rPr>
                <w:sz w:val="16"/>
                <w:szCs w:val="16"/>
              </w:rPr>
              <w:t>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177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177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106.2</w:t>
            </w:r>
          </w:p>
        </w:tc>
        <w:tc>
          <w:tcPr>
            <w:tcW w:w="347" w:type="pct"/>
          </w:tcPr>
          <w:p w:rsidR="00C36BB1" w:rsidRPr="008A6952" w:rsidRDefault="00C36BB1" w:rsidP="00DC262A">
            <w:pPr>
              <w:spacing w:before="0" w:after="0"/>
              <w:jc w:val="right"/>
              <w:rPr>
                <w:sz w:val="16"/>
                <w:szCs w:val="16"/>
              </w:rPr>
            </w:pPr>
            <w:r w:rsidRPr="008A6952">
              <w:rPr>
                <w:sz w:val="16"/>
                <w:szCs w:val="16"/>
              </w:rPr>
              <w:t>5.0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111.3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111.3</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East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2,411</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2,411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2,451</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64.8</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64.8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1.1</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65.9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4,060</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4,060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218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4,278</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63.8</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63.8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3.4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67.2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South East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3,233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3,233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35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3,268</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79.0</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0.9</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South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3,678</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3,678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85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3,763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63.7</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63.7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65.1</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proofErr w:type="spellStart"/>
            <w:r w:rsidRPr="008A6952">
              <w:rPr>
                <w:sz w:val="16"/>
                <w:szCs w:val="16"/>
              </w:rPr>
              <w:t>Mid West</w:t>
            </w:r>
            <w:proofErr w:type="spellEnd"/>
          </w:p>
        </w:tc>
        <w:tc>
          <w:tcPr>
            <w:tcW w:w="408" w:type="pct"/>
            <w:noWrap/>
            <w:hideMark/>
          </w:tcPr>
          <w:p w:rsidR="00C36BB1" w:rsidRPr="008A6952" w:rsidRDefault="00C36BB1" w:rsidP="00DC262A">
            <w:pPr>
              <w:spacing w:before="0" w:after="0"/>
              <w:jc w:val="right"/>
              <w:rPr>
                <w:sz w:val="16"/>
                <w:szCs w:val="16"/>
              </w:rPr>
            </w:pPr>
            <w:r w:rsidRPr="008A6952">
              <w:rPr>
                <w:sz w:val="16"/>
                <w:szCs w:val="16"/>
              </w:rPr>
              <w:t>394</w:t>
            </w:r>
          </w:p>
        </w:tc>
        <w:tc>
          <w:tcPr>
            <w:tcW w:w="346" w:type="pct"/>
          </w:tcPr>
          <w:p w:rsidR="00C36BB1" w:rsidRPr="008A6952" w:rsidRDefault="00C36BB1" w:rsidP="00DC262A">
            <w:pPr>
              <w:spacing w:before="0" w:after="0"/>
              <w:jc w:val="right"/>
              <w:rPr>
                <w:sz w:val="16"/>
                <w:szCs w:val="16"/>
              </w:rPr>
            </w:pPr>
            <w:r w:rsidRPr="008A6952">
              <w:rPr>
                <w:sz w:val="16"/>
                <w:szCs w:val="16"/>
              </w:rPr>
              <w:t>37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431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446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56.5</w:t>
            </w:r>
          </w:p>
        </w:tc>
        <w:tc>
          <w:tcPr>
            <w:tcW w:w="347" w:type="pct"/>
          </w:tcPr>
          <w:p w:rsidR="00C36BB1" w:rsidRPr="008A6952" w:rsidRDefault="00C36BB1" w:rsidP="00DC262A">
            <w:pPr>
              <w:spacing w:before="0" w:after="0"/>
              <w:jc w:val="right"/>
              <w:rPr>
                <w:sz w:val="16"/>
                <w:szCs w:val="16"/>
              </w:rPr>
            </w:pPr>
            <w:r w:rsidRPr="008A6952">
              <w:rPr>
                <w:sz w:val="16"/>
                <w:szCs w:val="16"/>
              </w:rPr>
              <w:t>5.3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61.8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64.0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Pilbara</w:t>
            </w:r>
          </w:p>
        </w:tc>
        <w:tc>
          <w:tcPr>
            <w:tcW w:w="408" w:type="pct"/>
            <w:noWrap/>
            <w:hideMark/>
          </w:tcPr>
          <w:p w:rsidR="00C36BB1" w:rsidRPr="008A6952" w:rsidRDefault="00C36BB1" w:rsidP="00DC262A">
            <w:pPr>
              <w:spacing w:before="0" w:after="0"/>
              <w:jc w:val="right"/>
              <w:rPr>
                <w:sz w:val="16"/>
                <w:szCs w:val="16"/>
              </w:rPr>
            </w:pPr>
            <w:r w:rsidRPr="008A6952">
              <w:rPr>
                <w:sz w:val="16"/>
                <w:szCs w:val="16"/>
              </w:rPr>
              <w:t>76</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76</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59.0</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59.0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59.0</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1,217</w:t>
            </w:r>
          </w:p>
        </w:tc>
        <w:tc>
          <w:tcPr>
            <w:tcW w:w="346" w:type="pct"/>
          </w:tcPr>
          <w:p w:rsidR="00C36BB1" w:rsidRPr="008A6952" w:rsidRDefault="00C36BB1" w:rsidP="00DC262A">
            <w:pPr>
              <w:spacing w:before="0" w:after="0"/>
              <w:jc w:val="right"/>
              <w:rPr>
                <w:sz w:val="16"/>
                <w:szCs w:val="16"/>
              </w:rPr>
            </w:pPr>
            <w:r w:rsidRPr="008A6952">
              <w:rPr>
                <w:sz w:val="16"/>
                <w:szCs w:val="16"/>
              </w:rPr>
              <w:t>12</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1,229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32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1,261</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64.0</w:t>
            </w:r>
          </w:p>
        </w:tc>
        <w:tc>
          <w:tcPr>
            <w:tcW w:w="347" w:type="pct"/>
          </w:tcPr>
          <w:p w:rsidR="00C36BB1" w:rsidRPr="008A6952" w:rsidRDefault="00C36BB1" w:rsidP="00DC262A">
            <w:pPr>
              <w:spacing w:before="0" w:after="0"/>
              <w:jc w:val="right"/>
              <w:rPr>
                <w:sz w:val="16"/>
                <w:szCs w:val="16"/>
              </w:rPr>
            </w:pPr>
            <w:r w:rsidRPr="008A6952">
              <w:rPr>
                <w:sz w:val="16"/>
                <w:szCs w:val="16"/>
              </w:rPr>
              <w:t>0.6</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64.6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66.3</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proofErr w:type="spellStart"/>
            <w:r w:rsidRPr="008A6952">
              <w:rPr>
                <w:sz w:val="16"/>
                <w:szCs w:val="16"/>
              </w:rPr>
              <w:t>Wheatbelt</w:t>
            </w:r>
            <w:proofErr w:type="spellEnd"/>
          </w:p>
        </w:tc>
        <w:tc>
          <w:tcPr>
            <w:tcW w:w="408" w:type="pct"/>
            <w:noWrap/>
            <w:hideMark/>
          </w:tcPr>
          <w:p w:rsidR="00C36BB1" w:rsidRPr="008A6952" w:rsidRDefault="00C36BB1" w:rsidP="00DC262A">
            <w:pPr>
              <w:spacing w:before="0" w:after="0"/>
              <w:jc w:val="right"/>
              <w:rPr>
                <w:sz w:val="16"/>
                <w:szCs w:val="16"/>
              </w:rPr>
            </w:pPr>
            <w:r w:rsidRPr="008A6952">
              <w:rPr>
                <w:sz w:val="16"/>
                <w:szCs w:val="16"/>
              </w:rPr>
              <w:t>561</w:t>
            </w:r>
          </w:p>
        </w:tc>
        <w:tc>
          <w:tcPr>
            <w:tcW w:w="346" w:type="pct"/>
          </w:tcPr>
          <w:p w:rsidR="00C36BB1" w:rsidRPr="008A6952" w:rsidRDefault="00C36BB1" w:rsidP="00DC262A">
            <w:pPr>
              <w:spacing w:before="0" w:after="0"/>
              <w:jc w:val="right"/>
              <w:rPr>
                <w:sz w:val="16"/>
                <w:szCs w:val="16"/>
              </w:rPr>
            </w:pPr>
            <w:r w:rsidRPr="008A6952">
              <w:rPr>
                <w:sz w:val="16"/>
                <w:szCs w:val="16"/>
              </w:rPr>
              <w:t>64</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625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625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62.7</w:t>
            </w:r>
          </w:p>
        </w:tc>
        <w:tc>
          <w:tcPr>
            <w:tcW w:w="347" w:type="pct"/>
          </w:tcPr>
          <w:p w:rsidR="00C36BB1" w:rsidRPr="008A6952" w:rsidRDefault="00C36BB1" w:rsidP="00DC262A">
            <w:pPr>
              <w:spacing w:before="0" w:after="0"/>
              <w:jc w:val="right"/>
              <w:rPr>
                <w:sz w:val="16"/>
                <w:szCs w:val="16"/>
              </w:rPr>
            </w:pPr>
            <w:r w:rsidRPr="008A6952">
              <w:rPr>
                <w:sz w:val="16"/>
                <w:szCs w:val="16"/>
              </w:rPr>
              <w:t>7.2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69.9</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69.9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WA</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16,580</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167</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16,747</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435</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17,182</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66.2</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0.7</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66.8</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68.6</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SA</w:t>
            </w:r>
          </w:p>
        </w:tc>
        <w:tc>
          <w:tcPr>
            <w:tcW w:w="1159" w:type="pct"/>
            <w:noWrap/>
            <w:hideMark/>
          </w:tcPr>
          <w:p w:rsidR="00C36BB1" w:rsidRPr="008A6952" w:rsidRDefault="00C36BB1" w:rsidP="00DC262A">
            <w:pPr>
              <w:spacing w:before="0" w:after="0"/>
              <w:rPr>
                <w:sz w:val="16"/>
                <w:szCs w:val="16"/>
              </w:rPr>
            </w:pPr>
            <w:r w:rsidRPr="008A6952">
              <w:rPr>
                <w:sz w:val="16"/>
                <w:szCs w:val="16"/>
              </w:rPr>
              <w:t>Eyre Peninsula</w:t>
            </w:r>
          </w:p>
        </w:tc>
        <w:tc>
          <w:tcPr>
            <w:tcW w:w="408" w:type="pct"/>
            <w:noWrap/>
            <w:hideMark/>
          </w:tcPr>
          <w:p w:rsidR="00C36BB1" w:rsidRPr="008A6952" w:rsidRDefault="00C36BB1" w:rsidP="00DC262A">
            <w:pPr>
              <w:spacing w:before="0" w:after="0"/>
              <w:jc w:val="right"/>
              <w:rPr>
                <w:sz w:val="16"/>
                <w:szCs w:val="16"/>
              </w:rPr>
            </w:pPr>
            <w:r w:rsidRPr="008A6952">
              <w:rPr>
                <w:sz w:val="16"/>
                <w:szCs w:val="16"/>
              </w:rPr>
              <w:t>506</w:t>
            </w:r>
          </w:p>
        </w:tc>
        <w:tc>
          <w:tcPr>
            <w:tcW w:w="346" w:type="pct"/>
          </w:tcPr>
          <w:p w:rsidR="00C36BB1" w:rsidRPr="008A6952" w:rsidRDefault="00C36BB1" w:rsidP="00DC262A">
            <w:pPr>
              <w:spacing w:before="0" w:after="0"/>
              <w:jc w:val="right"/>
              <w:rPr>
                <w:sz w:val="16"/>
                <w:szCs w:val="16"/>
              </w:rPr>
            </w:pPr>
            <w:r w:rsidRPr="008A6952">
              <w:rPr>
                <w:sz w:val="16"/>
                <w:szCs w:val="16"/>
              </w:rPr>
              <w:t>29</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535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537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74.5</w:t>
            </w:r>
          </w:p>
        </w:tc>
        <w:tc>
          <w:tcPr>
            <w:tcW w:w="347" w:type="pct"/>
          </w:tcPr>
          <w:p w:rsidR="00C36BB1" w:rsidRPr="008A6952" w:rsidRDefault="00C36BB1" w:rsidP="00DC262A">
            <w:pPr>
              <w:spacing w:before="0" w:after="0"/>
              <w:jc w:val="right"/>
              <w:rPr>
                <w:sz w:val="16"/>
                <w:szCs w:val="16"/>
              </w:rPr>
            </w:pPr>
            <w:r w:rsidRPr="008A6952">
              <w:rPr>
                <w:sz w:val="16"/>
                <w:szCs w:val="16"/>
              </w:rPr>
              <w:t>4.3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78.8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0.3</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79.1</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Flinders &amp; Far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238</w:t>
            </w:r>
          </w:p>
        </w:tc>
        <w:tc>
          <w:tcPr>
            <w:tcW w:w="346" w:type="pct"/>
          </w:tcPr>
          <w:p w:rsidR="00C36BB1" w:rsidRPr="008A6952" w:rsidRDefault="00C36BB1" w:rsidP="00DC262A">
            <w:pPr>
              <w:spacing w:before="0" w:after="0"/>
              <w:jc w:val="right"/>
              <w:rPr>
                <w:sz w:val="16"/>
                <w:szCs w:val="16"/>
              </w:rPr>
            </w:pPr>
            <w:r w:rsidRPr="008A6952">
              <w:rPr>
                <w:sz w:val="16"/>
                <w:szCs w:val="16"/>
              </w:rPr>
              <w:t>22</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260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261</w:t>
            </w:r>
          </w:p>
        </w:tc>
        <w:tc>
          <w:tcPr>
            <w:tcW w:w="301" w:type="pct"/>
            <w:noWrap/>
            <w:hideMark/>
          </w:tcPr>
          <w:p w:rsidR="00C36BB1" w:rsidRPr="008A6952" w:rsidRDefault="00C36BB1" w:rsidP="00DC262A">
            <w:pPr>
              <w:spacing w:before="0" w:after="0"/>
              <w:jc w:val="right"/>
              <w:rPr>
                <w:sz w:val="16"/>
                <w:szCs w:val="16"/>
              </w:rPr>
            </w:pPr>
            <w:r w:rsidRPr="008A6952">
              <w:rPr>
                <w:sz w:val="16"/>
                <w:szCs w:val="16"/>
              </w:rPr>
              <w:t>118.9</w:t>
            </w:r>
          </w:p>
        </w:tc>
        <w:tc>
          <w:tcPr>
            <w:tcW w:w="347" w:type="pct"/>
          </w:tcPr>
          <w:p w:rsidR="00C36BB1" w:rsidRPr="008A6952" w:rsidRDefault="00C36BB1" w:rsidP="00DC262A">
            <w:pPr>
              <w:spacing w:before="0" w:after="0"/>
              <w:jc w:val="right"/>
              <w:rPr>
                <w:sz w:val="16"/>
                <w:szCs w:val="16"/>
              </w:rPr>
            </w:pPr>
            <w:r w:rsidRPr="008A6952">
              <w:rPr>
                <w:sz w:val="16"/>
                <w:szCs w:val="16"/>
              </w:rPr>
              <w:t>11.0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129.9</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130.4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Hills, Mallee &amp; Southern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1,648</w:t>
            </w:r>
          </w:p>
        </w:tc>
        <w:tc>
          <w:tcPr>
            <w:tcW w:w="346" w:type="pct"/>
          </w:tcPr>
          <w:p w:rsidR="00C36BB1" w:rsidRPr="008A6952" w:rsidRDefault="00C36BB1" w:rsidP="00DC262A">
            <w:pPr>
              <w:spacing w:before="0" w:after="0"/>
              <w:jc w:val="right"/>
              <w:rPr>
                <w:sz w:val="16"/>
                <w:szCs w:val="16"/>
              </w:rPr>
            </w:pPr>
            <w:r w:rsidRPr="008A6952">
              <w:rPr>
                <w:sz w:val="16"/>
                <w:szCs w:val="16"/>
              </w:rPr>
              <w:t>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1,656</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41</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1,697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69.1</w:t>
            </w:r>
          </w:p>
        </w:tc>
        <w:tc>
          <w:tcPr>
            <w:tcW w:w="347" w:type="pct"/>
          </w:tcPr>
          <w:p w:rsidR="00C36BB1" w:rsidRPr="008A6952" w:rsidRDefault="00C36BB1" w:rsidP="00DC262A">
            <w:pPr>
              <w:spacing w:before="0" w:after="0"/>
              <w:jc w:val="right"/>
              <w:rPr>
                <w:sz w:val="16"/>
                <w:szCs w:val="16"/>
              </w:rPr>
            </w:pPr>
            <w:r w:rsidRPr="008A6952">
              <w:rPr>
                <w:sz w:val="16"/>
                <w:szCs w:val="16"/>
              </w:rPr>
              <w:t>0.3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69.4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71.2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East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3,009</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3,009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3,107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99.3</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99.3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3.2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102.5</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3,501</w:t>
            </w:r>
          </w:p>
        </w:tc>
        <w:tc>
          <w:tcPr>
            <w:tcW w:w="346" w:type="pct"/>
          </w:tcPr>
          <w:p w:rsidR="00C36BB1" w:rsidRPr="008A6952" w:rsidRDefault="00C36BB1" w:rsidP="00DC262A">
            <w:pPr>
              <w:spacing w:before="0" w:after="0"/>
              <w:jc w:val="right"/>
              <w:rPr>
                <w:sz w:val="16"/>
                <w:szCs w:val="16"/>
              </w:rPr>
            </w:pPr>
            <w:r w:rsidRPr="008A6952">
              <w:rPr>
                <w:sz w:val="16"/>
                <w:szCs w:val="16"/>
              </w:rPr>
              <w:t>12</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3,513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109</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3,622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79.4</w:t>
            </w:r>
          </w:p>
        </w:tc>
        <w:tc>
          <w:tcPr>
            <w:tcW w:w="347" w:type="pct"/>
          </w:tcPr>
          <w:p w:rsidR="00C36BB1" w:rsidRPr="008A6952" w:rsidRDefault="00C36BB1" w:rsidP="00DC262A">
            <w:pPr>
              <w:spacing w:before="0" w:after="0"/>
              <w:jc w:val="right"/>
              <w:rPr>
                <w:sz w:val="16"/>
                <w:szCs w:val="16"/>
              </w:rPr>
            </w:pPr>
            <w:r w:rsidRPr="008A6952">
              <w:rPr>
                <w:sz w:val="16"/>
                <w:szCs w:val="16"/>
              </w:rPr>
              <w:t>0.3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79.7</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82.1</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South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3,927</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3,927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90</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4,017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86.5</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86.5</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88.5</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Metropolitan West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2,817</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2,817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2,825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98.1</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98.1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0.3</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98.4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Mid North</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380</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380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382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82.8</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82.8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0.4</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83.3</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Riverland</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450</w:t>
            </w:r>
          </w:p>
        </w:tc>
        <w:tc>
          <w:tcPr>
            <w:tcW w:w="346" w:type="pct"/>
          </w:tcPr>
          <w:p w:rsidR="00C36BB1" w:rsidRPr="008A6952" w:rsidRDefault="00C36BB1" w:rsidP="00DC262A">
            <w:pPr>
              <w:spacing w:before="0" w:after="0"/>
              <w:jc w:val="right"/>
              <w:rPr>
                <w:sz w:val="16"/>
                <w:szCs w:val="16"/>
              </w:rPr>
            </w:pPr>
            <w:r w:rsidRPr="008A6952">
              <w:rPr>
                <w:sz w:val="16"/>
                <w:szCs w:val="16"/>
              </w:rPr>
              <w:t>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457</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459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77.1</w:t>
            </w:r>
          </w:p>
        </w:tc>
        <w:tc>
          <w:tcPr>
            <w:tcW w:w="347" w:type="pct"/>
          </w:tcPr>
          <w:p w:rsidR="00C36BB1" w:rsidRPr="008A6952" w:rsidRDefault="00C36BB1" w:rsidP="00DC262A">
            <w:pPr>
              <w:spacing w:before="0" w:after="0"/>
              <w:jc w:val="right"/>
              <w:rPr>
                <w:sz w:val="16"/>
                <w:szCs w:val="16"/>
              </w:rPr>
            </w:pPr>
            <w:r w:rsidRPr="008A6952">
              <w:rPr>
                <w:sz w:val="16"/>
                <w:szCs w:val="16"/>
              </w:rPr>
              <w:t>1.2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78.3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0.3</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78.6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 East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730</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730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732</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78.2</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78.2</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78.4</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proofErr w:type="spellStart"/>
            <w:r w:rsidRPr="008A6952">
              <w:rPr>
                <w:sz w:val="16"/>
                <w:szCs w:val="16"/>
              </w:rPr>
              <w:t>Yorke</w:t>
            </w:r>
            <w:proofErr w:type="spellEnd"/>
            <w:r w:rsidRPr="008A6952">
              <w:rPr>
                <w:sz w:val="16"/>
                <w:szCs w:val="16"/>
              </w:rPr>
              <w:t>, Lower North &amp; Barossa</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1,443</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1,443</w:t>
            </w:r>
          </w:p>
        </w:tc>
        <w:tc>
          <w:tcPr>
            <w:tcW w:w="324" w:type="pct"/>
            <w:noWrap/>
            <w:hideMark/>
          </w:tcPr>
          <w:p w:rsidR="00C36BB1" w:rsidRPr="008A6952" w:rsidRDefault="00C36BB1" w:rsidP="00DC262A">
            <w:pPr>
              <w:spacing w:before="0" w:after="0"/>
              <w:jc w:val="right"/>
              <w:rPr>
                <w:sz w:val="16"/>
                <w:szCs w:val="16"/>
              </w:rPr>
            </w:pPr>
            <w:r w:rsidRPr="008A6952">
              <w:rPr>
                <w:sz w:val="16"/>
                <w:szCs w:val="16"/>
              </w:rPr>
              <w:t>12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1,455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84.0</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84.0</w:t>
            </w:r>
          </w:p>
        </w:tc>
        <w:tc>
          <w:tcPr>
            <w:tcW w:w="346" w:type="pct"/>
            <w:noWrap/>
            <w:hideMark/>
          </w:tcPr>
          <w:p w:rsidR="00C36BB1" w:rsidRPr="008A6952" w:rsidRDefault="00C36BB1" w:rsidP="00DC262A">
            <w:pPr>
              <w:spacing w:before="0" w:after="0"/>
              <w:jc w:val="right"/>
              <w:rPr>
                <w:sz w:val="16"/>
                <w:szCs w:val="16"/>
              </w:rPr>
            </w:pPr>
            <w:r w:rsidRPr="008A6952">
              <w:rPr>
                <w:sz w:val="16"/>
                <w:szCs w:val="16"/>
              </w:rPr>
              <w:t>0.7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84.7</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SA</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18,649</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78</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18,727</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367</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19,094</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85.5</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0.4</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85.9</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87.6</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proofErr w:type="spellStart"/>
            <w:r w:rsidRPr="008A6952">
              <w:rPr>
                <w:sz w:val="16"/>
                <w:szCs w:val="16"/>
              </w:rPr>
              <w:t>Tas</w:t>
            </w:r>
            <w:proofErr w:type="spellEnd"/>
          </w:p>
        </w:tc>
        <w:tc>
          <w:tcPr>
            <w:tcW w:w="1159" w:type="pct"/>
            <w:noWrap/>
            <w:hideMark/>
          </w:tcPr>
          <w:p w:rsidR="00C36BB1" w:rsidRPr="008A6952" w:rsidRDefault="00C36BB1" w:rsidP="00DC262A">
            <w:pPr>
              <w:spacing w:before="0" w:after="0"/>
              <w:rPr>
                <w:sz w:val="16"/>
                <w:szCs w:val="16"/>
              </w:rPr>
            </w:pPr>
            <w:r w:rsidRPr="008A6952">
              <w:rPr>
                <w:sz w:val="16"/>
                <w:szCs w:val="16"/>
              </w:rPr>
              <w:t>North Western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1,075</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1,075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1,103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68.3</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68.3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1.8</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70.1</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Northern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1,453</w:t>
            </w:r>
          </w:p>
        </w:tc>
        <w:tc>
          <w:tcPr>
            <w:tcW w:w="346" w:type="pct"/>
          </w:tcPr>
          <w:p w:rsidR="00C36BB1" w:rsidRPr="008A6952" w:rsidRDefault="00C36BB1" w:rsidP="00DC262A">
            <w:pPr>
              <w:spacing w:before="0" w:after="0"/>
              <w:jc w:val="right"/>
              <w:rPr>
                <w:sz w:val="16"/>
                <w:szCs w:val="16"/>
              </w:rPr>
            </w:pPr>
            <w:r w:rsidRPr="008A6952">
              <w:rPr>
                <w:sz w:val="16"/>
                <w:szCs w:val="16"/>
              </w:rPr>
              <w:t>28</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1,481</w:t>
            </w:r>
          </w:p>
        </w:tc>
        <w:tc>
          <w:tcPr>
            <w:tcW w:w="324" w:type="pct"/>
            <w:noWrap/>
            <w:hideMark/>
          </w:tcPr>
          <w:p w:rsidR="00C36BB1" w:rsidRPr="008A6952" w:rsidRDefault="00C36BB1" w:rsidP="00DC262A">
            <w:pPr>
              <w:spacing w:before="0" w:after="0"/>
              <w:jc w:val="right"/>
              <w:rPr>
                <w:sz w:val="16"/>
                <w:szCs w:val="16"/>
              </w:rPr>
            </w:pPr>
            <w:r w:rsidRPr="008A6952">
              <w:rPr>
                <w:sz w:val="16"/>
                <w:szCs w:val="16"/>
              </w:rPr>
              <w:t>33</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1,514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69.9</w:t>
            </w:r>
          </w:p>
        </w:tc>
        <w:tc>
          <w:tcPr>
            <w:tcW w:w="347" w:type="pct"/>
          </w:tcPr>
          <w:p w:rsidR="00C36BB1" w:rsidRPr="008A6952" w:rsidRDefault="00C36BB1" w:rsidP="00DC262A">
            <w:pPr>
              <w:spacing w:before="0" w:after="0"/>
              <w:jc w:val="right"/>
              <w:rPr>
                <w:sz w:val="16"/>
                <w:szCs w:val="16"/>
              </w:rPr>
            </w:pPr>
            <w:r w:rsidRPr="008A6952">
              <w:rPr>
                <w:sz w:val="16"/>
                <w:szCs w:val="16"/>
              </w:rPr>
              <w:t>1.3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71.3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72.9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Southern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2,503</w:t>
            </w:r>
          </w:p>
        </w:tc>
        <w:tc>
          <w:tcPr>
            <w:tcW w:w="346" w:type="pct"/>
          </w:tcPr>
          <w:p w:rsidR="00C36BB1" w:rsidRPr="008A6952" w:rsidRDefault="00C36BB1" w:rsidP="00DC262A">
            <w:pPr>
              <w:spacing w:before="0" w:after="0"/>
              <w:jc w:val="right"/>
              <w:rPr>
                <w:sz w:val="16"/>
                <w:szCs w:val="16"/>
              </w:rPr>
            </w:pPr>
            <w:r w:rsidRPr="008A6952">
              <w:rPr>
                <w:sz w:val="16"/>
                <w:szCs w:val="16"/>
              </w:rPr>
              <w:t>42</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2,545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58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2,603</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79.0</w:t>
            </w:r>
          </w:p>
        </w:tc>
        <w:tc>
          <w:tcPr>
            <w:tcW w:w="347" w:type="pct"/>
          </w:tcPr>
          <w:p w:rsidR="00C36BB1" w:rsidRPr="008A6952" w:rsidRDefault="00C36BB1" w:rsidP="00DC262A">
            <w:pPr>
              <w:spacing w:before="0" w:after="0"/>
              <w:jc w:val="right"/>
              <w:rPr>
                <w:sz w:val="16"/>
                <w:szCs w:val="16"/>
              </w:rPr>
            </w:pPr>
            <w:r w:rsidRPr="008A6952">
              <w:rPr>
                <w:sz w:val="16"/>
                <w:szCs w:val="16"/>
              </w:rPr>
              <w:t>1.3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80.3</w:t>
            </w:r>
          </w:p>
        </w:tc>
        <w:tc>
          <w:tcPr>
            <w:tcW w:w="346" w:type="pct"/>
            <w:noWrap/>
            <w:hideMark/>
          </w:tcPr>
          <w:p w:rsidR="00C36BB1" w:rsidRPr="008A6952" w:rsidRDefault="00C36BB1" w:rsidP="00DC262A">
            <w:pPr>
              <w:spacing w:before="0" w:after="0"/>
              <w:jc w:val="right"/>
              <w:rPr>
                <w:sz w:val="16"/>
                <w:szCs w:val="16"/>
              </w:rPr>
            </w:pPr>
            <w:r w:rsidRPr="008A6952">
              <w:rPr>
                <w:sz w:val="16"/>
                <w:szCs w:val="16"/>
              </w:rPr>
              <w:t>1.8</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82.2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proofErr w:type="spellStart"/>
            <w:r w:rsidRPr="008A6952">
              <w:rPr>
                <w:rStyle w:val="Strong"/>
                <w:sz w:val="16"/>
                <w:szCs w:val="16"/>
              </w:rPr>
              <w:t>Tas</w:t>
            </w:r>
            <w:proofErr w:type="spellEnd"/>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5,031</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70</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5,101</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119</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5,220</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73.8</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1.0</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74.8</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76.5</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ACT</w:t>
            </w:r>
          </w:p>
        </w:tc>
        <w:tc>
          <w:tcPr>
            <w:tcW w:w="1159" w:type="pct"/>
            <w:noWrap/>
            <w:hideMark/>
          </w:tcPr>
          <w:p w:rsidR="00C36BB1" w:rsidRPr="008A6952" w:rsidRDefault="00C36BB1" w:rsidP="00DC262A">
            <w:pPr>
              <w:spacing w:before="0" w:after="0"/>
              <w:rPr>
                <w:sz w:val="16"/>
                <w:szCs w:val="16"/>
              </w:rPr>
            </w:pPr>
            <w:r w:rsidRPr="008A6952">
              <w:rPr>
                <w:sz w:val="16"/>
                <w:szCs w:val="16"/>
              </w:rPr>
              <w:t>ACT</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2,538</w:t>
            </w:r>
          </w:p>
        </w:tc>
        <w:tc>
          <w:tcPr>
            <w:tcW w:w="346" w:type="pct"/>
          </w:tcPr>
          <w:p w:rsidR="00C36BB1" w:rsidRPr="008A6952" w:rsidRDefault="00C36BB1" w:rsidP="00DC262A">
            <w:pPr>
              <w:spacing w:before="0" w:after="0"/>
              <w:jc w:val="right"/>
              <w:rPr>
                <w:sz w:val="16"/>
                <w:szCs w:val="16"/>
              </w:rPr>
            </w:pPr>
            <w:r w:rsidRPr="008A6952">
              <w:rPr>
                <w:sz w:val="16"/>
                <w:szCs w:val="16"/>
              </w:rPr>
              <w:t>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2,538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68</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2,606</w:t>
            </w:r>
          </w:p>
        </w:tc>
        <w:tc>
          <w:tcPr>
            <w:tcW w:w="301" w:type="pct"/>
            <w:noWrap/>
            <w:hideMark/>
          </w:tcPr>
          <w:p w:rsidR="00C36BB1" w:rsidRPr="008A6952" w:rsidRDefault="00C36BB1" w:rsidP="00DC262A">
            <w:pPr>
              <w:spacing w:before="0" w:after="0"/>
              <w:jc w:val="right"/>
              <w:rPr>
                <w:sz w:val="16"/>
                <w:szCs w:val="16"/>
              </w:rPr>
            </w:pPr>
            <w:r w:rsidRPr="008A6952">
              <w:rPr>
                <w:sz w:val="16"/>
                <w:szCs w:val="16"/>
              </w:rPr>
              <w:t>73.8</w:t>
            </w:r>
          </w:p>
        </w:tc>
        <w:tc>
          <w:tcPr>
            <w:tcW w:w="347" w:type="pct"/>
          </w:tcPr>
          <w:p w:rsidR="00C36BB1" w:rsidRPr="008A6952" w:rsidRDefault="00C36BB1" w:rsidP="00DC262A">
            <w:pPr>
              <w:spacing w:before="0" w:after="0"/>
              <w:jc w:val="right"/>
              <w:rPr>
                <w:sz w:val="16"/>
                <w:szCs w:val="16"/>
              </w:rPr>
            </w:pPr>
            <w:r w:rsidRPr="008A6952">
              <w:rPr>
                <w:sz w:val="16"/>
                <w:szCs w:val="16"/>
              </w:rPr>
              <w:t>0.0</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73.8</w:t>
            </w:r>
          </w:p>
        </w:tc>
        <w:tc>
          <w:tcPr>
            <w:tcW w:w="346" w:type="pct"/>
            <w:noWrap/>
            <w:hideMark/>
          </w:tcPr>
          <w:p w:rsidR="00C36BB1" w:rsidRPr="008A6952" w:rsidRDefault="00C36BB1" w:rsidP="00DC262A">
            <w:pPr>
              <w:spacing w:before="0" w:after="0"/>
              <w:jc w:val="right"/>
              <w:rPr>
                <w:sz w:val="16"/>
                <w:szCs w:val="16"/>
              </w:rPr>
            </w:pPr>
            <w:r w:rsidRPr="008A6952">
              <w:rPr>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75.8</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ACT</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2,538</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0</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2,538</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68</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2,606</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73.8</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0.0</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73.8</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2.0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75.8</w:t>
            </w:r>
          </w:p>
        </w:tc>
      </w:tr>
      <w:tr w:rsidR="00C36BB1" w:rsidRPr="008A6952" w:rsidTr="00DC262A">
        <w:trPr>
          <w:trHeight w:val="113"/>
        </w:trPr>
        <w:tc>
          <w:tcPr>
            <w:tcW w:w="347" w:type="pct"/>
            <w:vMerge w:val="restart"/>
            <w:noWrap/>
            <w:hideMark/>
          </w:tcPr>
          <w:p w:rsidR="00C36BB1" w:rsidRPr="008A6952" w:rsidRDefault="00C36BB1" w:rsidP="00DC262A">
            <w:pPr>
              <w:spacing w:before="0" w:after="0"/>
              <w:rPr>
                <w:sz w:val="16"/>
                <w:szCs w:val="16"/>
              </w:rPr>
            </w:pPr>
            <w:r w:rsidRPr="008A6952">
              <w:rPr>
                <w:sz w:val="16"/>
                <w:szCs w:val="16"/>
              </w:rPr>
              <w:t>NT</w:t>
            </w:r>
          </w:p>
        </w:tc>
        <w:tc>
          <w:tcPr>
            <w:tcW w:w="1159" w:type="pct"/>
            <w:noWrap/>
            <w:hideMark/>
          </w:tcPr>
          <w:p w:rsidR="00C36BB1" w:rsidRPr="008A6952" w:rsidRDefault="00C36BB1" w:rsidP="00DC262A">
            <w:pPr>
              <w:spacing w:before="0" w:after="0"/>
              <w:rPr>
                <w:sz w:val="16"/>
                <w:szCs w:val="16"/>
              </w:rPr>
            </w:pPr>
            <w:r w:rsidRPr="008A6952">
              <w:rPr>
                <w:sz w:val="16"/>
                <w:szCs w:val="16"/>
              </w:rPr>
              <w:t>Alice Springs</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207</w:t>
            </w:r>
          </w:p>
        </w:tc>
        <w:tc>
          <w:tcPr>
            <w:tcW w:w="346" w:type="pct"/>
          </w:tcPr>
          <w:p w:rsidR="00C36BB1" w:rsidRPr="008A6952" w:rsidRDefault="00C36BB1" w:rsidP="00DC262A">
            <w:pPr>
              <w:spacing w:before="0" w:after="0"/>
              <w:jc w:val="right"/>
              <w:rPr>
                <w:sz w:val="16"/>
                <w:szCs w:val="16"/>
              </w:rPr>
            </w:pPr>
            <w:r w:rsidRPr="008A6952">
              <w:rPr>
                <w:sz w:val="16"/>
                <w:szCs w:val="16"/>
              </w:rPr>
              <w:t>87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294</w:t>
            </w:r>
          </w:p>
        </w:tc>
        <w:tc>
          <w:tcPr>
            <w:tcW w:w="324" w:type="pct"/>
            <w:noWrap/>
            <w:hideMark/>
          </w:tcPr>
          <w:p w:rsidR="00C36BB1" w:rsidRPr="008A6952" w:rsidRDefault="00C36BB1" w:rsidP="00DC262A">
            <w:pPr>
              <w:spacing w:before="0" w:after="0"/>
              <w:jc w:val="right"/>
              <w:rPr>
                <w:sz w:val="16"/>
                <w:szCs w:val="16"/>
              </w:rPr>
            </w:pPr>
            <w:r w:rsidRPr="008A6952">
              <w:rPr>
                <w:sz w:val="16"/>
                <w:szCs w:val="16"/>
              </w:rPr>
              <w:t>5</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299</w:t>
            </w:r>
          </w:p>
        </w:tc>
        <w:tc>
          <w:tcPr>
            <w:tcW w:w="301" w:type="pct"/>
            <w:noWrap/>
            <w:hideMark/>
          </w:tcPr>
          <w:p w:rsidR="00C36BB1" w:rsidRPr="008A6952" w:rsidRDefault="00C36BB1" w:rsidP="00DC262A">
            <w:pPr>
              <w:spacing w:before="0" w:after="0"/>
              <w:jc w:val="right"/>
              <w:rPr>
                <w:sz w:val="16"/>
                <w:szCs w:val="16"/>
              </w:rPr>
            </w:pPr>
            <w:r w:rsidRPr="008A6952">
              <w:rPr>
                <w:sz w:val="16"/>
                <w:szCs w:val="16"/>
              </w:rPr>
              <w:t>131.9</w:t>
            </w:r>
          </w:p>
        </w:tc>
        <w:tc>
          <w:tcPr>
            <w:tcW w:w="347" w:type="pct"/>
          </w:tcPr>
          <w:p w:rsidR="00C36BB1" w:rsidRPr="008A6952" w:rsidRDefault="00C36BB1" w:rsidP="00DC262A">
            <w:pPr>
              <w:spacing w:before="0" w:after="0"/>
              <w:jc w:val="right"/>
              <w:rPr>
                <w:sz w:val="16"/>
                <w:szCs w:val="16"/>
              </w:rPr>
            </w:pPr>
            <w:r w:rsidRPr="008A6952">
              <w:rPr>
                <w:sz w:val="16"/>
                <w:szCs w:val="16"/>
              </w:rPr>
              <w:t>55.4</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187.4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3.2</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190.6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Barkly</w:t>
            </w:r>
          </w:p>
        </w:tc>
        <w:tc>
          <w:tcPr>
            <w:tcW w:w="408" w:type="pct"/>
            <w:noWrap/>
            <w:hideMark/>
          </w:tcPr>
          <w:p w:rsidR="00C36BB1" w:rsidRPr="008A6952" w:rsidRDefault="00C36BB1" w:rsidP="00DC262A">
            <w:pPr>
              <w:spacing w:before="0" w:after="0"/>
              <w:jc w:val="right"/>
              <w:rPr>
                <w:sz w:val="16"/>
                <w:szCs w:val="16"/>
              </w:rPr>
            </w:pPr>
            <w:r w:rsidRPr="008A6952">
              <w:rPr>
                <w:sz w:val="16"/>
                <w:szCs w:val="16"/>
              </w:rPr>
              <w:t>25</w:t>
            </w:r>
          </w:p>
        </w:tc>
        <w:tc>
          <w:tcPr>
            <w:tcW w:w="346" w:type="pct"/>
          </w:tcPr>
          <w:p w:rsidR="00C36BB1" w:rsidRPr="008A6952" w:rsidRDefault="00C36BB1" w:rsidP="00DC262A">
            <w:pPr>
              <w:spacing w:before="0" w:after="0"/>
              <w:jc w:val="right"/>
              <w:rPr>
                <w:sz w:val="16"/>
                <w:szCs w:val="16"/>
              </w:rPr>
            </w:pPr>
            <w:r w:rsidRPr="008A6952">
              <w:rPr>
                <w:sz w:val="16"/>
                <w:szCs w:val="16"/>
              </w:rPr>
              <w:t>20</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45</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47</w:t>
            </w:r>
          </w:p>
        </w:tc>
        <w:tc>
          <w:tcPr>
            <w:tcW w:w="301" w:type="pct"/>
            <w:noWrap/>
            <w:hideMark/>
          </w:tcPr>
          <w:p w:rsidR="00C36BB1" w:rsidRPr="008A6952" w:rsidRDefault="00C36BB1" w:rsidP="00DC262A">
            <w:pPr>
              <w:spacing w:before="0" w:after="0"/>
              <w:jc w:val="right"/>
              <w:rPr>
                <w:sz w:val="16"/>
                <w:szCs w:val="16"/>
              </w:rPr>
            </w:pPr>
            <w:r w:rsidRPr="008A6952">
              <w:rPr>
                <w:sz w:val="16"/>
                <w:szCs w:val="16"/>
              </w:rPr>
              <w:t>50.3</w:t>
            </w:r>
          </w:p>
        </w:tc>
        <w:tc>
          <w:tcPr>
            <w:tcW w:w="347" w:type="pct"/>
          </w:tcPr>
          <w:p w:rsidR="00C36BB1" w:rsidRPr="008A6952" w:rsidRDefault="00C36BB1" w:rsidP="00DC262A">
            <w:pPr>
              <w:spacing w:before="0" w:after="0"/>
              <w:jc w:val="right"/>
              <w:rPr>
                <w:sz w:val="16"/>
                <w:szCs w:val="16"/>
              </w:rPr>
            </w:pPr>
            <w:r w:rsidRPr="008A6952">
              <w:rPr>
                <w:sz w:val="16"/>
                <w:szCs w:val="16"/>
              </w:rPr>
              <w:t>40.2</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90.5</w:t>
            </w:r>
          </w:p>
        </w:tc>
        <w:tc>
          <w:tcPr>
            <w:tcW w:w="346" w:type="pct"/>
            <w:noWrap/>
            <w:hideMark/>
          </w:tcPr>
          <w:p w:rsidR="00C36BB1" w:rsidRPr="008A6952" w:rsidRDefault="00C36BB1" w:rsidP="00DC262A">
            <w:pPr>
              <w:spacing w:before="0" w:after="0"/>
              <w:jc w:val="right"/>
              <w:rPr>
                <w:sz w:val="16"/>
                <w:szCs w:val="16"/>
              </w:rPr>
            </w:pPr>
            <w:r w:rsidRPr="008A6952">
              <w:rPr>
                <w:sz w:val="16"/>
                <w:szCs w:val="16"/>
              </w:rPr>
              <w:t>4.0</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94.6</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Darwin</w:t>
            </w:r>
          </w:p>
        </w:tc>
        <w:tc>
          <w:tcPr>
            <w:tcW w:w="408" w:type="pct"/>
            <w:noWrap/>
            <w:hideMark/>
          </w:tcPr>
          <w:p w:rsidR="00C36BB1" w:rsidRPr="008A6952" w:rsidRDefault="00C36BB1" w:rsidP="00DC262A">
            <w:pPr>
              <w:spacing w:before="0" w:after="0"/>
              <w:jc w:val="right"/>
              <w:rPr>
                <w:sz w:val="16"/>
                <w:szCs w:val="16"/>
              </w:rPr>
            </w:pPr>
            <w:r w:rsidRPr="008A6952">
              <w:rPr>
                <w:sz w:val="16"/>
                <w:szCs w:val="16"/>
              </w:rPr>
              <w:t>337</w:t>
            </w:r>
          </w:p>
        </w:tc>
        <w:tc>
          <w:tcPr>
            <w:tcW w:w="346" w:type="pct"/>
          </w:tcPr>
          <w:p w:rsidR="00C36BB1" w:rsidRPr="008A6952" w:rsidRDefault="00C36BB1" w:rsidP="00DC262A">
            <w:pPr>
              <w:spacing w:before="0" w:after="0"/>
              <w:jc w:val="right"/>
              <w:rPr>
                <w:sz w:val="16"/>
                <w:szCs w:val="16"/>
              </w:rPr>
            </w:pPr>
            <w:r w:rsidRPr="008A6952">
              <w:rPr>
                <w:sz w:val="16"/>
                <w:szCs w:val="16"/>
              </w:rPr>
              <w:t>12</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349</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26</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375</w:t>
            </w:r>
          </w:p>
        </w:tc>
        <w:tc>
          <w:tcPr>
            <w:tcW w:w="301" w:type="pct"/>
            <w:noWrap/>
            <w:hideMark/>
          </w:tcPr>
          <w:p w:rsidR="00C36BB1" w:rsidRPr="008A6952" w:rsidRDefault="00C36BB1" w:rsidP="00DC262A">
            <w:pPr>
              <w:spacing w:before="0" w:after="0"/>
              <w:jc w:val="right"/>
              <w:rPr>
                <w:sz w:val="16"/>
                <w:szCs w:val="16"/>
              </w:rPr>
            </w:pPr>
            <w:r w:rsidRPr="008A6952">
              <w:rPr>
                <w:sz w:val="16"/>
                <w:szCs w:val="16"/>
              </w:rPr>
              <w:t>45.8</w:t>
            </w:r>
          </w:p>
        </w:tc>
        <w:tc>
          <w:tcPr>
            <w:tcW w:w="347" w:type="pct"/>
          </w:tcPr>
          <w:p w:rsidR="00C36BB1" w:rsidRPr="008A6952" w:rsidRDefault="00C36BB1" w:rsidP="00DC262A">
            <w:pPr>
              <w:spacing w:before="0" w:after="0"/>
              <w:jc w:val="right"/>
              <w:rPr>
                <w:sz w:val="16"/>
                <w:szCs w:val="16"/>
              </w:rPr>
            </w:pPr>
            <w:r w:rsidRPr="008A6952">
              <w:rPr>
                <w:sz w:val="16"/>
                <w:szCs w:val="16"/>
              </w:rPr>
              <w:t>1.6</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47.4</w:t>
            </w:r>
          </w:p>
        </w:tc>
        <w:tc>
          <w:tcPr>
            <w:tcW w:w="346" w:type="pct"/>
            <w:noWrap/>
            <w:hideMark/>
          </w:tcPr>
          <w:p w:rsidR="00C36BB1" w:rsidRPr="008A6952" w:rsidRDefault="00C36BB1" w:rsidP="00DC262A">
            <w:pPr>
              <w:spacing w:before="0" w:after="0"/>
              <w:jc w:val="right"/>
              <w:rPr>
                <w:sz w:val="16"/>
                <w:szCs w:val="16"/>
              </w:rPr>
            </w:pPr>
            <w:r w:rsidRPr="008A6952">
              <w:rPr>
                <w:sz w:val="16"/>
                <w:szCs w:val="16"/>
              </w:rPr>
              <w:t>3.5</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50.9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East Arnhem</w:t>
            </w:r>
          </w:p>
        </w:tc>
        <w:tc>
          <w:tcPr>
            <w:tcW w:w="408" w:type="pct"/>
            <w:noWrap/>
            <w:hideMark/>
          </w:tcPr>
          <w:p w:rsidR="00C36BB1" w:rsidRPr="008A6952" w:rsidRDefault="00C36BB1" w:rsidP="00DC262A">
            <w:pPr>
              <w:spacing w:before="0" w:after="0"/>
              <w:jc w:val="right"/>
              <w:rPr>
                <w:sz w:val="16"/>
                <w:szCs w:val="16"/>
              </w:rPr>
            </w:pPr>
            <w:r w:rsidRPr="008A6952">
              <w:rPr>
                <w:sz w:val="16"/>
                <w:szCs w:val="16"/>
              </w:rPr>
              <w:t>4</w:t>
            </w:r>
          </w:p>
        </w:tc>
        <w:tc>
          <w:tcPr>
            <w:tcW w:w="346" w:type="pct"/>
          </w:tcPr>
          <w:p w:rsidR="00C36BB1" w:rsidRPr="008A6952" w:rsidRDefault="00C36BB1" w:rsidP="00DC262A">
            <w:pPr>
              <w:spacing w:before="0" w:after="0"/>
              <w:jc w:val="right"/>
              <w:rPr>
                <w:sz w:val="16"/>
                <w:szCs w:val="16"/>
              </w:rPr>
            </w:pPr>
            <w:r w:rsidRPr="008A6952">
              <w:rPr>
                <w:sz w:val="16"/>
                <w:szCs w:val="16"/>
              </w:rPr>
              <w:t>14</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18</w:t>
            </w:r>
          </w:p>
        </w:tc>
        <w:tc>
          <w:tcPr>
            <w:tcW w:w="324" w:type="pct"/>
            <w:noWrap/>
            <w:hideMark/>
          </w:tcPr>
          <w:p w:rsidR="00C36BB1" w:rsidRPr="008A6952" w:rsidRDefault="00C36BB1" w:rsidP="00DC262A">
            <w:pPr>
              <w:spacing w:before="0" w:after="0"/>
              <w:jc w:val="right"/>
              <w:rPr>
                <w:sz w:val="16"/>
                <w:szCs w:val="16"/>
              </w:rPr>
            </w:pPr>
            <w:r w:rsidRPr="008A6952">
              <w:rPr>
                <w:sz w:val="16"/>
                <w:szCs w:val="16"/>
              </w:rPr>
              <w:t>2</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20</w:t>
            </w:r>
          </w:p>
        </w:tc>
        <w:tc>
          <w:tcPr>
            <w:tcW w:w="301" w:type="pct"/>
            <w:noWrap/>
            <w:hideMark/>
          </w:tcPr>
          <w:p w:rsidR="00C36BB1" w:rsidRPr="008A6952" w:rsidRDefault="00C36BB1" w:rsidP="00DC262A">
            <w:pPr>
              <w:spacing w:before="0" w:after="0"/>
              <w:jc w:val="right"/>
              <w:rPr>
                <w:sz w:val="16"/>
                <w:szCs w:val="16"/>
              </w:rPr>
            </w:pPr>
            <w:r w:rsidRPr="008A6952">
              <w:rPr>
                <w:sz w:val="16"/>
                <w:szCs w:val="16"/>
              </w:rPr>
              <w:t>11.2</w:t>
            </w:r>
          </w:p>
        </w:tc>
        <w:tc>
          <w:tcPr>
            <w:tcW w:w="347" w:type="pct"/>
          </w:tcPr>
          <w:p w:rsidR="00C36BB1" w:rsidRPr="008A6952" w:rsidRDefault="00C36BB1" w:rsidP="00DC262A">
            <w:pPr>
              <w:spacing w:before="0" w:after="0"/>
              <w:jc w:val="right"/>
              <w:rPr>
                <w:sz w:val="16"/>
                <w:szCs w:val="16"/>
              </w:rPr>
            </w:pPr>
            <w:r w:rsidRPr="008A6952">
              <w:rPr>
                <w:sz w:val="16"/>
                <w:szCs w:val="16"/>
              </w:rPr>
              <w:t>39.3</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50.6</w:t>
            </w:r>
          </w:p>
        </w:tc>
        <w:tc>
          <w:tcPr>
            <w:tcW w:w="346" w:type="pct"/>
            <w:noWrap/>
            <w:hideMark/>
          </w:tcPr>
          <w:p w:rsidR="00C36BB1" w:rsidRPr="008A6952" w:rsidRDefault="00C36BB1" w:rsidP="00DC262A">
            <w:pPr>
              <w:spacing w:before="0" w:after="0"/>
              <w:jc w:val="right"/>
              <w:rPr>
                <w:sz w:val="16"/>
                <w:szCs w:val="16"/>
              </w:rPr>
            </w:pPr>
            <w:r w:rsidRPr="008A6952">
              <w:rPr>
                <w:sz w:val="16"/>
                <w:szCs w:val="16"/>
              </w:rPr>
              <w:t>5.6</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56.2</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sz w:val="16"/>
                <w:szCs w:val="16"/>
              </w:rPr>
              <w:t>Katherine</w:t>
            </w:r>
          </w:p>
        </w:tc>
        <w:tc>
          <w:tcPr>
            <w:tcW w:w="408" w:type="pct"/>
            <w:noWrap/>
            <w:hideMark/>
          </w:tcPr>
          <w:p w:rsidR="00C36BB1" w:rsidRPr="008A6952" w:rsidRDefault="00C36BB1" w:rsidP="00DC262A">
            <w:pPr>
              <w:spacing w:before="0" w:after="0"/>
              <w:jc w:val="right"/>
              <w:rPr>
                <w:sz w:val="16"/>
                <w:szCs w:val="16"/>
              </w:rPr>
            </w:pPr>
            <w:r w:rsidRPr="008A6952">
              <w:rPr>
                <w:sz w:val="16"/>
                <w:szCs w:val="16"/>
              </w:rPr>
              <w:t>113</w:t>
            </w:r>
          </w:p>
        </w:tc>
        <w:tc>
          <w:tcPr>
            <w:tcW w:w="346" w:type="pct"/>
          </w:tcPr>
          <w:p w:rsidR="00C36BB1" w:rsidRPr="008A6952" w:rsidRDefault="00C36BB1" w:rsidP="00DC262A">
            <w:pPr>
              <w:spacing w:before="0" w:after="0"/>
              <w:jc w:val="right"/>
              <w:rPr>
                <w:sz w:val="16"/>
                <w:szCs w:val="16"/>
              </w:rPr>
            </w:pPr>
            <w:r w:rsidRPr="008A6952">
              <w:rPr>
                <w:sz w:val="16"/>
                <w:szCs w:val="16"/>
              </w:rPr>
              <w:t>47</w:t>
            </w:r>
          </w:p>
        </w:tc>
        <w:tc>
          <w:tcPr>
            <w:tcW w:w="369" w:type="pct"/>
          </w:tcPr>
          <w:p w:rsidR="00C36BB1" w:rsidRPr="008A6952" w:rsidRDefault="00C36BB1" w:rsidP="00DC262A">
            <w:pPr>
              <w:spacing w:before="0" w:after="0"/>
              <w:jc w:val="right"/>
              <w:rPr>
                <w:rStyle w:val="Strong"/>
                <w:sz w:val="16"/>
                <w:szCs w:val="16"/>
              </w:rPr>
            </w:pPr>
            <w:r w:rsidRPr="008A6952">
              <w:rPr>
                <w:rStyle w:val="Strong"/>
                <w:sz w:val="16"/>
                <w:szCs w:val="16"/>
              </w:rPr>
              <w:t>160</w:t>
            </w:r>
          </w:p>
        </w:tc>
        <w:tc>
          <w:tcPr>
            <w:tcW w:w="324" w:type="pct"/>
            <w:noWrap/>
            <w:hideMark/>
          </w:tcPr>
          <w:p w:rsidR="00C36BB1" w:rsidRPr="008A6952" w:rsidRDefault="00C36BB1" w:rsidP="00DC262A">
            <w:pPr>
              <w:spacing w:before="0" w:after="0"/>
              <w:jc w:val="right"/>
              <w:rPr>
                <w:sz w:val="16"/>
                <w:szCs w:val="16"/>
              </w:rPr>
            </w:pPr>
            <w:r w:rsidRPr="008A6952">
              <w:rPr>
                <w:sz w:val="16"/>
                <w:szCs w:val="16"/>
              </w:rPr>
              <w:t>4</w:t>
            </w:r>
          </w:p>
        </w:tc>
        <w:tc>
          <w:tcPr>
            <w:tcW w:w="36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164</w:t>
            </w:r>
          </w:p>
        </w:tc>
        <w:tc>
          <w:tcPr>
            <w:tcW w:w="301" w:type="pct"/>
            <w:noWrap/>
            <w:hideMark/>
          </w:tcPr>
          <w:p w:rsidR="00C36BB1" w:rsidRPr="008A6952" w:rsidRDefault="00C36BB1" w:rsidP="00DC262A">
            <w:pPr>
              <w:spacing w:before="0" w:after="0"/>
              <w:jc w:val="right"/>
              <w:rPr>
                <w:sz w:val="16"/>
                <w:szCs w:val="16"/>
              </w:rPr>
            </w:pPr>
            <w:r w:rsidRPr="008A6952">
              <w:rPr>
                <w:sz w:val="16"/>
                <w:szCs w:val="16"/>
              </w:rPr>
              <w:t>135.7</w:t>
            </w:r>
          </w:p>
        </w:tc>
        <w:tc>
          <w:tcPr>
            <w:tcW w:w="347" w:type="pct"/>
          </w:tcPr>
          <w:p w:rsidR="00C36BB1" w:rsidRPr="008A6952" w:rsidRDefault="00C36BB1" w:rsidP="00DC262A">
            <w:pPr>
              <w:spacing w:before="0" w:after="0"/>
              <w:jc w:val="right"/>
              <w:rPr>
                <w:sz w:val="16"/>
                <w:szCs w:val="16"/>
              </w:rPr>
            </w:pPr>
            <w:r w:rsidRPr="008A6952">
              <w:rPr>
                <w:sz w:val="16"/>
                <w:szCs w:val="16"/>
              </w:rPr>
              <w:t>56.4</w:t>
            </w:r>
          </w:p>
        </w:tc>
        <w:tc>
          <w:tcPr>
            <w:tcW w:w="347" w:type="pct"/>
          </w:tcPr>
          <w:p w:rsidR="00C36BB1" w:rsidRPr="008A6952" w:rsidRDefault="00C36BB1" w:rsidP="00DC262A">
            <w:pPr>
              <w:spacing w:before="0" w:after="0"/>
              <w:jc w:val="right"/>
              <w:rPr>
                <w:rStyle w:val="Strong"/>
                <w:sz w:val="16"/>
                <w:szCs w:val="16"/>
              </w:rPr>
            </w:pPr>
            <w:r w:rsidRPr="008A6952">
              <w:rPr>
                <w:rStyle w:val="Strong"/>
                <w:sz w:val="16"/>
                <w:szCs w:val="16"/>
              </w:rPr>
              <w:t>192.1</w:t>
            </w:r>
          </w:p>
        </w:tc>
        <w:tc>
          <w:tcPr>
            <w:tcW w:w="346" w:type="pct"/>
            <w:noWrap/>
            <w:hideMark/>
          </w:tcPr>
          <w:p w:rsidR="00C36BB1" w:rsidRPr="008A6952" w:rsidRDefault="00C36BB1" w:rsidP="00DC262A">
            <w:pPr>
              <w:spacing w:before="0" w:after="0"/>
              <w:jc w:val="right"/>
              <w:rPr>
                <w:sz w:val="16"/>
                <w:szCs w:val="16"/>
              </w:rPr>
            </w:pPr>
            <w:r w:rsidRPr="008A6952">
              <w:rPr>
                <w:sz w:val="16"/>
                <w:szCs w:val="16"/>
              </w:rPr>
              <w:t>4.8</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196.9</w:t>
            </w:r>
          </w:p>
        </w:tc>
      </w:tr>
      <w:tr w:rsidR="00C36BB1" w:rsidRPr="008A6952" w:rsidTr="00DC262A">
        <w:trPr>
          <w:trHeight w:val="113"/>
        </w:trPr>
        <w:tc>
          <w:tcPr>
            <w:tcW w:w="347" w:type="pct"/>
            <w:vMerge/>
            <w:hideMark/>
          </w:tcPr>
          <w:p w:rsidR="00C36BB1" w:rsidRPr="008A6952" w:rsidRDefault="00C36BB1" w:rsidP="00DC262A">
            <w:pPr>
              <w:spacing w:before="0" w:after="0"/>
              <w:rPr>
                <w:sz w:val="16"/>
                <w:szCs w:val="16"/>
              </w:rPr>
            </w:pPr>
          </w:p>
        </w:tc>
        <w:tc>
          <w:tcPr>
            <w:tcW w:w="1159" w:type="pct"/>
            <w:noWrap/>
            <w:hideMark/>
          </w:tcPr>
          <w:p w:rsidR="00C36BB1" w:rsidRPr="008A6952" w:rsidRDefault="00C36BB1" w:rsidP="00DC262A">
            <w:pPr>
              <w:spacing w:before="0" w:after="0"/>
              <w:rPr>
                <w:sz w:val="16"/>
                <w:szCs w:val="16"/>
              </w:rPr>
            </w:pPr>
            <w:r w:rsidRPr="008A6952">
              <w:rPr>
                <w:rStyle w:val="Strong"/>
                <w:sz w:val="16"/>
                <w:szCs w:val="16"/>
              </w:rPr>
              <w:t>NT</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686</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180</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866</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39</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905</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64.6</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17.0</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81.6</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3.7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85.2</w:t>
            </w:r>
          </w:p>
        </w:tc>
      </w:tr>
      <w:tr w:rsidR="00C36BB1" w:rsidRPr="008A6952" w:rsidTr="00DC262A">
        <w:trPr>
          <w:trHeight w:val="113"/>
        </w:trPr>
        <w:tc>
          <w:tcPr>
            <w:tcW w:w="1506" w:type="pct"/>
            <w:gridSpan w:val="2"/>
            <w:noWrap/>
            <w:hideMark/>
          </w:tcPr>
          <w:p w:rsidR="00C36BB1" w:rsidRPr="008A6952" w:rsidRDefault="00C36BB1" w:rsidP="00DC262A">
            <w:pPr>
              <w:spacing w:before="0" w:after="0"/>
              <w:rPr>
                <w:sz w:val="16"/>
                <w:szCs w:val="16"/>
              </w:rPr>
            </w:pPr>
            <w:r w:rsidRPr="008A6952">
              <w:rPr>
                <w:rStyle w:val="Strong"/>
                <w:sz w:val="16"/>
                <w:szCs w:val="16"/>
              </w:rPr>
              <w:t>Australia</w:t>
            </w:r>
          </w:p>
        </w:tc>
        <w:tc>
          <w:tcPr>
            <w:tcW w:w="408" w:type="pct"/>
            <w:noWrap/>
            <w:hideMark/>
          </w:tcPr>
          <w:p w:rsidR="00C36BB1" w:rsidRPr="008A6952" w:rsidRDefault="00C36BB1" w:rsidP="00DC262A">
            <w:pPr>
              <w:spacing w:before="0" w:after="0"/>
              <w:jc w:val="right"/>
              <w:rPr>
                <w:sz w:val="16"/>
                <w:szCs w:val="16"/>
              </w:rPr>
            </w:pPr>
            <w:r w:rsidRPr="008A6952">
              <w:rPr>
                <w:rStyle w:val="Strong"/>
                <w:sz w:val="16"/>
                <w:szCs w:val="16"/>
              </w:rPr>
              <w:t>204,335</w:t>
            </w:r>
          </w:p>
        </w:tc>
        <w:tc>
          <w:tcPr>
            <w:tcW w:w="346" w:type="pct"/>
          </w:tcPr>
          <w:p w:rsidR="00C36BB1" w:rsidRPr="008A6952" w:rsidRDefault="00C36BB1" w:rsidP="00DC262A">
            <w:pPr>
              <w:spacing w:before="0" w:after="0"/>
              <w:jc w:val="right"/>
              <w:rPr>
                <w:sz w:val="16"/>
                <w:szCs w:val="16"/>
              </w:rPr>
            </w:pPr>
            <w:r w:rsidRPr="008A6952">
              <w:rPr>
                <w:rStyle w:val="Strong"/>
                <w:sz w:val="16"/>
                <w:szCs w:val="16"/>
              </w:rPr>
              <w:t>872</w:t>
            </w:r>
          </w:p>
        </w:tc>
        <w:tc>
          <w:tcPr>
            <w:tcW w:w="369" w:type="pct"/>
          </w:tcPr>
          <w:p w:rsidR="00C36BB1" w:rsidRPr="008A6952" w:rsidRDefault="00C36BB1" w:rsidP="00DC262A">
            <w:pPr>
              <w:spacing w:before="0" w:after="0"/>
              <w:jc w:val="right"/>
              <w:rPr>
                <w:sz w:val="16"/>
                <w:szCs w:val="16"/>
              </w:rPr>
            </w:pPr>
            <w:r w:rsidRPr="008A6952">
              <w:rPr>
                <w:rStyle w:val="Strong"/>
                <w:sz w:val="16"/>
                <w:szCs w:val="16"/>
              </w:rPr>
              <w:t>205,207</w:t>
            </w:r>
          </w:p>
        </w:tc>
        <w:tc>
          <w:tcPr>
            <w:tcW w:w="324" w:type="pct"/>
            <w:noWrap/>
            <w:hideMark/>
          </w:tcPr>
          <w:p w:rsidR="00C36BB1" w:rsidRPr="008A6952" w:rsidRDefault="00C36BB1" w:rsidP="00DC262A">
            <w:pPr>
              <w:spacing w:before="0" w:after="0"/>
              <w:jc w:val="right"/>
              <w:rPr>
                <w:sz w:val="16"/>
                <w:szCs w:val="16"/>
              </w:rPr>
            </w:pPr>
            <w:r w:rsidRPr="008A6952">
              <w:rPr>
                <w:rStyle w:val="Strong"/>
                <w:sz w:val="16"/>
                <w:szCs w:val="16"/>
              </w:rPr>
              <w:t>4,419</w:t>
            </w:r>
          </w:p>
        </w:tc>
        <w:tc>
          <w:tcPr>
            <w:tcW w:w="369" w:type="pct"/>
            <w:noWrap/>
            <w:hideMark/>
          </w:tcPr>
          <w:p w:rsidR="00C36BB1" w:rsidRPr="008A6952" w:rsidRDefault="00C36BB1" w:rsidP="00DC262A">
            <w:pPr>
              <w:spacing w:before="0" w:after="0"/>
              <w:jc w:val="right"/>
              <w:rPr>
                <w:sz w:val="16"/>
                <w:szCs w:val="16"/>
              </w:rPr>
            </w:pPr>
            <w:r w:rsidRPr="008A6952">
              <w:rPr>
                <w:rStyle w:val="Strong"/>
                <w:sz w:val="16"/>
                <w:szCs w:val="16"/>
              </w:rPr>
              <w:t>209,626</w:t>
            </w:r>
          </w:p>
        </w:tc>
        <w:tc>
          <w:tcPr>
            <w:tcW w:w="301" w:type="pct"/>
            <w:noWrap/>
            <w:hideMark/>
          </w:tcPr>
          <w:p w:rsidR="00C36BB1" w:rsidRPr="008A6952" w:rsidRDefault="00C36BB1" w:rsidP="00DC262A">
            <w:pPr>
              <w:spacing w:before="0" w:after="0"/>
              <w:jc w:val="right"/>
              <w:rPr>
                <w:sz w:val="16"/>
                <w:szCs w:val="16"/>
              </w:rPr>
            </w:pPr>
            <w:r w:rsidRPr="008A6952">
              <w:rPr>
                <w:rStyle w:val="Strong"/>
                <w:sz w:val="16"/>
                <w:szCs w:val="16"/>
              </w:rPr>
              <w:t>77.9</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0.3</w:t>
            </w:r>
          </w:p>
        </w:tc>
        <w:tc>
          <w:tcPr>
            <w:tcW w:w="347" w:type="pct"/>
          </w:tcPr>
          <w:p w:rsidR="00C36BB1" w:rsidRPr="008A6952" w:rsidRDefault="00C36BB1" w:rsidP="00DC262A">
            <w:pPr>
              <w:spacing w:before="0" w:after="0"/>
              <w:jc w:val="right"/>
              <w:rPr>
                <w:sz w:val="16"/>
                <w:szCs w:val="16"/>
              </w:rPr>
            </w:pPr>
            <w:r w:rsidRPr="008A6952">
              <w:rPr>
                <w:rStyle w:val="Strong"/>
                <w:sz w:val="16"/>
                <w:szCs w:val="16"/>
              </w:rPr>
              <w:t>78.2</w:t>
            </w:r>
          </w:p>
        </w:tc>
        <w:tc>
          <w:tcPr>
            <w:tcW w:w="346" w:type="pct"/>
            <w:noWrap/>
            <w:hideMark/>
          </w:tcPr>
          <w:p w:rsidR="00C36BB1" w:rsidRPr="008A6952" w:rsidRDefault="00C36BB1" w:rsidP="00DC262A">
            <w:pPr>
              <w:spacing w:before="0" w:after="0"/>
              <w:jc w:val="right"/>
              <w:rPr>
                <w:sz w:val="16"/>
                <w:szCs w:val="16"/>
              </w:rPr>
            </w:pPr>
            <w:r w:rsidRPr="008A6952">
              <w:rPr>
                <w:rStyle w:val="Strong"/>
                <w:sz w:val="16"/>
                <w:szCs w:val="16"/>
              </w:rPr>
              <w:t>1.7</w:t>
            </w:r>
          </w:p>
        </w:tc>
        <w:tc>
          <w:tcPr>
            <w:tcW w:w="339" w:type="pct"/>
            <w:noWrap/>
            <w:hideMark/>
          </w:tcPr>
          <w:p w:rsidR="00C36BB1" w:rsidRPr="008A6952" w:rsidRDefault="00C36BB1" w:rsidP="00DC262A">
            <w:pPr>
              <w:spacing w:before="0" w:after="0"/>
              <w:jc w:val="right"/>
              <w:rPr>
                <w:rStyle w:val="Strong"/>
                <w:sz w:val="16"/>
                <w:szCs w:val="16"/>
              </w:rPr>
            </w:pPr>
            <w:r w:rsidRPr="008A6952">
              <w:rPr>
                <w:rStyle w:val="Strong"/>
                <w:sz w:val="16"/>
                <w:szCs w:val="16"/>
              </w:rPr>
              <w:t>79.9</w:t>
            </w:r>
          </w:p>
        </w:tc>
      </w:tr>
    </w:tbl>
    <w:p w:rsidR="00C36BB1" w:rsidRPr="00596D01" w:rsidRDefault="006549E1" w:rsidP="00DC262A">
      <w:pPr>
        <w:pStyle w:val="SourceNotesHeading"/>
        <w:rPr>
          <w:rStyle w:val="Strong"/>
        </w:rPr>
      </w:pPr>
      <w:r w:rsidRPr="00596D01">
        <w:rPr>
          <w:rStyle w:val="Strong"/>
        </w:rPr>
        <w:t>Notes:</w:t>
      </w:r>
    </w:p>
    <w:p w:rsidR="006549E1" w:rsidRPr="006549E1" w:rsidRDefault="00DC262A" w:rsidP="0016704B">
      <w:pPr>
        <w:pStyle w:val="SourceNotesNumbered"/>
        <w:numPr>
          <w:ilvl w:val="0"/>
          <w:numId w:val="33"/>
        </w:numPr>
      </w:pPr>
      <w:r>
        <w:rPr>
          <w:rStyle w:val="Strong"/>
        </w:rPr>
        <w:t>R</w:t>
      </w:r>
      <w:r w:rsidR="006549E1" w:rsidRPr="00596D01">
        <w:rPr>
          <w:rStyle w:val="Strong"/>
        </w:rPr>
        <w:t>esidential care</w:t>
      </w:r>
      <w:r w:rsidR="006549E1" w:rsidRPr="006549E1">
        <w:t xml:space="preserve"> includes flexible residential care places in the: Multi-Purpose Service (MPS) Program, Aged Care Innovative Pool Program and the National Aboriginal and Torres Strait Islander Flexible Aged Care Program.</w:t>
      </w:r>
    </w:p>
    <w:p w:rsidR="006549E1" w:rsidRPr="006549E1" w:rsidRDefault="006549E1" w:rsidP="00DC262A">
      <w:pPr>
        <w:pStyle w:val="SourceNotesNumbered"/>
      </w:pPr>
      <w:r w:rsidRPr="00596D01">
        <w:rPr>
          <w:rStyle w:val="Strong"/>
        </w:rPr>
        <w:t>Home care</w:t>
      </w:r>
      <w:r w:rsidRPr="006549E1">
        <w:t xml:space="preserve"> Following the Increasing Choices changes on 27 February</w:t>
      </w:r>
      <w:r w:rsidR="00A261F3">
        <w:t> 201</w:t>
      </w:r>
      <w:r w:rsidRPr="006549E1">
        <w:t>7, places for the Home Care Packages Program are now assigned to consumers and not to services. Correspondingly, places data for the Home Care Packages Program are no longer captured in the stocktake and no longer included in the operational aged care provision ratio. These figures only include flexible home care places in the: Multi-Purpose Service (MPS) Program, Aged Care Innovative Pool Program and the National Aboriginal and Torres Strait Islander Flexible Aged Care Program.</w:t>
      </w:r>
    </w:p>
    <w:p w:rsidR="008A6952" w:rsidRPr="006549E1" w:rsidRDefault="008A6952" w:rsidP="00DC262A">
      <w:pPr>
        <w:pStyle w:val="SourceNotesNumbered"/>
        <w:rPr>
          <w:lang w:eastAsia="en-US"/>
        </w:rPr>
      </w:pPr>
      <w:r w:rsidRPr="00596D01">
        <w:rPr>
          <w:rStyle w:val="Strong"/>
        </w:rPr>
        <w:t>Restorative care</w:t>
      </w:r>
      <w:r w:rsidRPr="006549E1">
        <w:rPr>
          <w:lang w:eastAsia="en-US"/>
        </w:rPr>
        <w:t xml:space="preserve"> includes places in the Transition Care Program and the Short-Term Restorative Care Program.</w:t>
      </w:r>
    </w:p>
    <w:p w:rsidR="008A6952" w:rsidRPr="006549E1" w:rsidRDefault="008A6952" w:rsidP="00DC262A">
      <w:pPr>
        <w:pStyle w:val="SourceNotes"/>
        <w:rPr>
          <w:lang w:eastAsia="en-US"/>
        </w:rPr>
      </w:pPr>
      <w:r w:rsidRPr="006549E1">
        <w:rPr>
          <w:lang w:eastAsia="en-US"/>
        </w:rPr>
        <w:t>The ratios in the above table were calculated using revised population projections for June</w:t>
      </w:r>
      <w:r>
        <w:rPr>
          <w:lang w:eastAsia="en-US"/>
        </w:rPr>
        <w:t> 201</w:t>
      </w:r>
      <w:r w:rsidRPr="006549E1">
        <w:rPr>
          <w:lang w:eastAsia="en-US"/>
        </w:rPr>
        <w:t>7 which are based on the</w:t>
      </w:r>
      <w:r>
        <w:rPr>
          <w:lang w:eastAsia="en-US"/>
        </w:rPr>
        <w:t> 201</w:t>
      </w:r>
      <w:r w:rsidRPr="006549E1">
        <w:rPr>
          <w:lang w:eastAsia="en-US"/>
        </w:rPr>
        <w:t>2 ABS Estimated Resident Population. These population projections are customised projections prepared for the Department of Health (DoH) by the ABS, according to the assumptions agreed to by DoH. Due to rounding, individual ratios may not sum to the total</w:t>
      </w:r>
      <w:r>
        <w:rPr>
          <w:lang w:eastAsia="en-US"/>
        </w:rPr>
        <w:t>.</w:t>
      </w:r>
    </w:p>
    <w:p w:rsidR="00D8721E" w:rsidRDefault="00D8721E" w:rsidP="00DC262A"/>
    <w:p w:rsidR="001F2E41" w:rsidRDefault="001F2E41" w:rsidP="00FE3413">
      <w:pPr>
        <w:pStyle w:val="AppendixNumbered"/>
      </w:pPr>
      <w:bookmarkStart w:id="1050" w:name="_Toc457549943"/>
      <w:bookmarkStart w:id="1051" w:name="_Ref425764313"/>
      <w:bookmarkStart w:id="1052" w:name="_Toc524424832"/>
      <w:bookmarkStart w:id="1053" w:name="_Ref524429925"/>
      <w:bookmarkStart w:id="1054" w:name="_Ref524429939"/>
      <w:r w:rsidRPr="00557C8E">
        <w:lastRenderedPageBreak/>
        <w:t xml:space="preserve">Means testing </w:t>
      </w:r>
      <w:r w:rsidRPr="00FE3413">
        <w:t>arrangements</w:t>
      </w:r>
      <w:bookmarkEnd w:id="1050"/>
      <w:bookmarkEnd w:id="1051"/>
      <w:bookmarkEnd w:id="1052"/>
      <w:bookmarkEnd w:id="1053"/>
      <w:bookmarkEnd w:id="1054"/>
      <w:r w:rsidRPr="00557C8E">
        <w:t xml:space="preserve"> </w:t>
      </w:r>
    </w:p>
    <w:p w:rsidR="000D5A5E" w:rsidRPr="00596D01" w:rsidRDefault="000D5A5E" w:rsidP="00FE3413">
      <w:pPr>
        <w:pStyle w:val="Heading3"/>
      </w:pPr>
      <w:bookmarkStart w:id="1055" w:name="_Toc524424833"/>
      <w:r w:rsidRPr="00596D01">
        <w:t>Home care</w:t>
      </w:r>
      <w:bookmarkEnd w:id="1055"/>
    </w:p>
    <w:p w:rsidR="000D5A5E" w:rsidRDefault="000D5A5E" w:rsidP="00FE3413">
      <w:bookmarkStart w:id="1056" w:name="_Ref423539014"/>
      <w:r>
        <w:t xml:space="preserve">In addition to the basic daily fee, an income-tested care fee was introduced in home care from </w:t>
      </w:r>
      <w:r w:rsidR="00EB039B">
        <w:t>1 July</w:t>
      </w:r>
      <w:r w:rsidR="00A261F3">
        <w:t> 201</w:t>
      </w:r>
      <w:r>
        <w:t>4. Unlike the arrangements for the basic daily fee, the Commonwealth payment received by the provider is reduced by the amount of the income-tested care fee. Accordingly, to receive an amount equivalent to the full subsidy the provider needs to charge the appropriate income-tested care fee.</w:t>
      </w:r>
    </w:p>
    <w:p w:rsidR="00D8721E" w:rsidRDefault="000D5A5E" w:rsidP="00FE3413">
      <w:r>
        <w:t>Annual income-tested care fees in home care are currently capped at $5,392.91 for part-pensioners and $10,785.85 for non-pensioners (March</w:t>
      </w:r>
      <w:r w:rsidR="00A261F3">
        <w:t> 201</w:t>
      </w:r>
      <w:r>
        <w:t>8 rate). A lifetime cap of $64,715.36 per consumer currently applies for care contributions across home care and residential care (March</w:t>
      </w:r>
      <w:r w:rsidR="00A261F3">
        <w:t> 201</w:t>
      </w:r>
      <w:r>
        <w:t>8 rate). Full pensioners are not required to contribute to their care costs and may only be required to pay the basic daily fee.</w:t>
      </w:r>
    </w:p>
    <w:bookmarkEnd w:id="1056"/>
    <w:p w:rsidR="000D5A5E" w:rsidRDefault="000D5A5E" w:rsidP="00FE3413">
      <w:pPr>
        <w:pStyle w:val="AppendixFigure"/>
      </w:pPr>
      <w:r w:rsidRPr="00596D01">
        <w:t xml:space="preserve">Current income testing for home care (post </w:t>
      </w:r>
      <w:r w:rsidR="00EB039B" w:rsidRPr="00596D01">
        <w:t>1 July</w:t>
      </w:r>
      <w:r w:rsidR="00A261F3" w:rsidRPr="00596D01">
        <w:t> 201</w:t>
      </w:r>
      <w:r w:rsidRPr="00596D01">
        <w:t>4)</w:t>
      </w:r>
    </w:p>
    <w:p w:rsidR="000D5A5E" w:rsidRPr="00596D01" w:rsidRDefault="00156BC6" w:rsidP="00FE3413">
      <w:bookmarkStart w:id="1057" w:name="_Residential_care"/>
      <w:bookmarkEnd w:id="1057"/>
      <w:r w:rsidRPr="00596D01">
        <w:rPr>
          <w:noProof/>
        </w:rPr>
        <w:drawing>
          <wp:inline distT="0" distB="0" distL="0" distR="0" wp14:anchorId="1F181057" wp14:editId="793797CB">
            <wp:extent cx="6120000" cy="4313870"/>
            <wp:effectExtent l="0" t="0" r="0" b="0"/>
            <wp:docPr id="7" name="Picture 7" descr="Figure E.1 Current income testing for home care (post 1 Jul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000" cy="4313870"/>
                    </a:xfrm>
                    <a:prstGeom prst="rect">
                      <a:avLst/>
                    </a:prstGeom>
                  </pic:spPr>
                </pic:pic>
              </a:graphicData>
            </a:graphic>
          </wp:inline>
        </w:drawing>
      </w:r>
    </w:p>
    <w:p w:rsidR="000D5A5E" w:rsidRPr="00596D01" w:rsidRDefault="000D5A5E" w:rsidP="00FE3413">
      <w:pPr>
        <w:pStyle w:val="Heading3"/>
      </w:pPr>
      <w:bookmarkStart w:id="1058" w:name="_Toc524424834"/>
      <w:r w:rsidRPr="00596D01">
        <w:t>Residential aged care</w:t>
      </w:r>
      <w:bookmarkEnd w:id="1058"/>
      <w:r w:rsidRPr="00596D01">
        <w:t xml:space="preserve"> </w:t>
      </w:r>
    </w:p>
    <w:p w:rsidR="00D8721E" w:rsidRDefault="000D5A5E" w:rsidP="00FE3413">
      <w:r>
        <w:t xml:space="preserve">Changes to residential care from </w:t>
      </w:r>
      <w:r w:rsidR="00EB039B">
        <w:t>1 July</w:t>
      </w:r>
      <w:r w:rsidR="00A261F3">
        <w:t> 201</w:t>
      </w:r>
      <w:r>
        <w:t>4 introduced more comprehensive means testing arrangements by way of a combined assets and income assessment and a new fees structure</w:t>
      </w:r>
      <w:r w:rsidR="00D8721E">
        <w:t>.</w:t>
      </w:r>
    </w:p>
    <w:p w:rsidR="000D5A5E" w:rsidRDefault="000D5A5E" w:rsidP="00FE3413">
      <w:r>
        <w:t>Annual and lifetime caps were also introduced, with an annual cap of $26,964.71 applying to the means</w:t>
      </w:r>
      <w:r>
        <w:rPr>
          <w:color w:val="1F497D"/>
        </w:rPr>
        <w:noBreakHyphen/>
      </w:r>
      <w:r>
        <w:t>tested care fee and a lifetime cap of $64,715.36 for care contributions (March</w:t>
      </w:r>
      <w:r w:rsidR="00A261F3">
        <w:t> 201</w:t>
      </w:r>
      <w:r>
        <w:t>8 rate).</w:t>
      </w:r>
    </w:p>
    <w:p w:rsidR="000D5A5E" w:rsidRDefault="00492BF8" w:rsidP="00FE3413">
      <w:r>
        <w:fldChar w:fldCharType="begin"/>
      </w:r>
      <w:r>
        <w:instrText xml:space="preserve"> REF _Ref524429033 \r \h </w:instrText>
      </w:r>
      <w:r>
        <w:fldChar w:fldCharType="separate"/>
      </w:r>
      <w:r>
        <w:t>Figure E.2</w:t>
      </w:r>
      <w:r>
        <w:fldChar w:fldCharType="end"/>
      </w:r>
      <w:r>
        <w:t xml:space="preserve"> </w:t>
      </w:r>
      <w:r w:rsidR="000D5A5E">
        <w:t>demonstrates how the means testing arrangements created three tiers of consumer contributions in residential aged care:</w:t>
      </w:r>
    </w:p>
    <w:p w:rsidR="000D5A5E" w:rsidRDefault="000D5A5E" w:rsidP="00FE3413">
      <w:pPr>
        <w:pStyle w:val="Bullet1"/>
      </w:pPr>
      <w:r>
        <w:t>consumers with low means, who are required to pay only the basic daily fee (8</w:t>
      </w:r>
      <w:r w:rsidR="009C307B">
        <w:t>5</w:t>
      </w:r>
      <w:r w:rsidR="00A261F3">
        <w:t> per cent</w:t>
      </w:r>
      <w:r>
        <w:t xml:space="preserve"> of the single basic age pension) as a contribution towards their daily living expenses, while their accommodation and care costs are funded by the Australian Government;</w:t>
      </w:r>
    </w:p>
    <w:p w:rsidR="000D5A5E" w:rsidRDefault="000D5A5E" w:rsidP="00FE3413">
      <w:pPr>
        <w:pStyle w:val="Bullet1"/>
      </w:pPr>
      <w:r>
        <w:t>consumers with moderate means, who in addition to contributing towards their daily living expenses by paying the basic daily fee</w:t>
      </w:r>
      <w:r>
        <w:rPr>
          <w:color w:val="1F497D"/>
        </w:rPr>
        <w:t>,</w:t>
      </w:r>
      <w:r>
        <w:t xml:space="preserve"> also make a capped contribution towards their accommodation costs; and</w:t>
      </w:r>
    </w:p>
    <w:p w:rsidR="00D8721E" w:rsidRDefault="000D5A5E" w:rsidP="00FE3413">
      <w:pPr>
        <w:pStyle w:val="Bullet1"/>
      </w:pPr>
      <w:r>
        <w:lastRenderedPageBreak/>
        <w:t>consumers with greater means, who in addition to contributing towards their daily living expenses</w:t>
      </w:r>
      <w:r>
        <w:rPr>
          <w:color w:val="1F497D"/>
        </w:rPr>
        <w:t>,</w:t>
      </w:r>
      <w:r>
        <w:t xml:space="preserve"> also pay the basic daily fee for their accommodation costs in full and make a capped contribution towards their care costs.</w:t>
      </w:r>
    </w:p>
    <w:p w:rsidR="000D5A5E" w:rsidRPr="00596D01" w:rsidRDefault="00156BC6" w:rsidP="00FE3413">
      <w:pPr>
        <w:pStyle w:val="AppendixFigure"/>
      </w:pPr>
      <w:bookmarkStart w:id="1059" w:name="_Ref524429033"/>
      <w:r w:rsidRPr="00596D01">
        <w:t>Current means testing for residential care (post 1 July</w:t>
      </w:r>
      <w:r w:rsidR="00A261F3" w:rsidRPr="00596D01">
        <w:t> 201</w:t>
      </w:r>
      <w:r w:rsidRPr="00596D01">
        <w:t>4)</w:t>
      </w:r>
      <w:bookmarkEnd w:id="1059"/>
    </w:p>
    <w:p w:rsidR="00156BC6" w:rsidRPr="000D5A5E" w:rsidRDefault="00156BC6" w:rsidP="00FE3413">
      <w:r w:rsidRPr="00156BC6">
        <w:rPr>
          <w:noProof/>
        </w:rPr>
        <w:drawing>
          <wp:inline distT="0" distB="0" distL="0" distR="0" wp14:anchorId="64C73DCE" wp14:editId="4A9AF9CD">
            <wp:extent cx="6120000" cy="4219038"/>
            <wp:effectExtent l="0" t="0" r="0" b="0"/>
            <wp:docPr id="11" name="Picture 11" descr="Figure E.2 Current means testing for residential care (post 1 Jul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000" cy="4219038"/>
                    </a:xfrm>
                    <a:prstGeom prst="rect">
                      <a:avLst/>
                    </a:prstGeom>
                  </pic:spPr>
                </pic:pic>
              </a:graphicData>
            </a:graphic>
          </wp:inline>
        </w:drawing>
      </w:r>
    </w:p>
    <w:p w:rsidR="00D07E49" w:rsidRPr="006C33D4" w:rsidRDefault="00D07E49" w:rsidP="00E911C8">
      <w:pPr>
        <w:pStyle w:val="AppendixNumbered"/>
      </w:pPr>
      <w:bookmarkStart w:id="1060" w:name="_Home_care_1"/>
      <w:bookmarkStart w:id="1061" w:name="_Toc524424835"/>
      <w:bookmarkStart w:id="1062" w:name="_Ref524429989"/>
      <w:bookmarkStart w:id="1063" w:name="_Toc457549946"/>
      <w:bookmarkEnd w:id="1060"/>
      <w:r>
        <w:lastRenderedPageBreak/>
        <w:t>F</w:t>
      </w:r>
      <w:r w:rsidRPr="00D07E49">
        <w:t>inancial performance with government</w:t>
      </w:r>
      <w:r w:rsidR="0077544A">
        <w:t xml:space="preserve"> owned</w:t>
      </w:r>
      <w:r w:rsidR="0077544A">
        <w:rPr>
          <w:rStyle w:val="FootnoteReference"/>
          <w:rFonts w:cs="Segoe UI"/>
        </w:rPr>
        <w:footnoteReference w:id="53"/>
      </w:r>
      <w:r w:rsidRPr="00D07E49">
        <w:t xml:space="preserve"> providers included and excluded,</w:t>
      </w:r>
      <w:r w:rsidR="00A261F3">
        <w:t> 201</w:t>
      </w:r>
      <w:r w:rsidR="006B1ABD">
        <w:t>6</w:t>
      </w:r>
      <w:r w:rsidR="00D8721E">
        <w:t>–1</w:t>
      </w:r>
      <w:r w:rsidR="006B1ABD">
        <w:t>7</w:t>
      </w:r>
      <w:r w:rsidRPr="00D07E49">
        <w:t>.</w:t>
      </w:r>
      <w:bookmarkEnd w:id="1061"/>
      <w:bookmarkEnd w:id="1062"/>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201"/>
        <w:gridCol w:w="2183"/>
        <w:gridCol w:w="2182"/>
        <w:gridCol w:w="3062"/>
      </w:tblGrid>
      <w:tr w:rsidR="006B1ABD"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143" w:type="pct"/>
            <w:noWrap/>
            <w:hideMark/>
          </w:tcPr>
          <w:p w:rsidR="006B1ABD" w:rsidRDefault="006B1ABD" w:rsidP="00E911C8">
            <w:r>
              <w:t> </w:t>
            </w:r>
          </w:p>
        </w:tc>
        <w:tc>
          <w:tcPr>
            <w:tcW w:w="1134" w:type="pct"/>
            <w:hideMark/>
          </w:tcPr>
          <w:p w:rsidR="006B1ABD" w:rsidRPr="00920FDA" w:rsidRDefault="006B1ABD" w:rsidP="00E911C8">
            <w:pPr>
              <w:jc w:val="right"/>
            </w:pPr>
            <w:r>
              <w:t>All providers</w:t>
            </w:r>
            <w:r w:rsidR="00E911C8">
              <w:br/>
            </w:r>
            <w:r w:rsidR="00DD56B8">
              <w:t>(</w:t>
            </w:r>
            <w:r w:rsidRPr="00920FDA">
              <w:t>8</w:t>
            </w:r>
            <w:r w:rsidR="00DD56B8">
              <w:t>93)</w:t>
            </w:r>
          </w:p>
        </w:tc>
        <w:tc>
          <w:tcPr>
            <w:tcW w:w="1133" w:type="pct"/>
            <w:hideMark/>
          </w:tcPr>
          <w:p w:rsidR="006B1ABD" w:rsidRPr="00920FDA" w:rsidRDefault="006B1ABD" w:rsidP="00E911C8">
            <w:pPr>
              <w:jc w:val="right"/>
            </w:pPr>
            <w:r>
              <w:t xml:space="preserve">Government providers </w:t>
            </w:r>
            <w:r w:rsidR="00E911C8">
              <w:br/>
            </w:r>
            <w:r w:rsidR="00DD56B8">
              <w:t>(95)</w:t>
            </w:r>
          </w:p>
        </w:tc>
        <w:tc>
          <w:tcPr>
            <w:tcW w:w="1590" w:type="pct"/>
            <w:hideMark/>
          </w:tcPr>
          <w:p w:rsidR="006B1ABD" w:rsidRPr="00920FDA" w:rsidRDefault="005A02EE" w:rsidP="00E911C8">
            <w:pPr>
              <w:jc w:val="right"/>
            </w:pPr>
            <w:r>
              <w:t xml:space="preserve">Providers excluding </w:t>
            </w:r>
            <w:r w:rsidR="00DD56B8">
              <w:t xml:space="preserve">government </w:t>
            </w:r>
            <w:r w:rsidR="00E911C8">
              <w:br/>
            </w:r>
            <w:r w:rsidR="00DD56B8">
              <w:t>(798)</w:t>
            </w:r>
          </w:p>
        </w:tc>
      </w:tr>
      <w:tr w:rsidR="005A02EE" w:rsidTr="00E911C8">
        <w:trPr>
          <w:trHeight w:val="113"/>
        </w:trPr>
        <w:tc>
          <w:tcPr>
            <w:tcW w:w="1143" w:type="pct"/>
            <w:noWrap/>
            <w:hideMark/>
          </w:tcPr>
          <w:p w:rsidR="005A02EE" w:rsidRDefault="005A02EE" w:rsidP="00E911C8">
            <w:r>
              <w:t xml:space="preserve">Total </w:t>
            </w:r>
            <w:r w:rsidR="009454EF">
              <w:t>r</w:t>
            </w:r>
            <w:r>
              <w:t xml:space="preserve">evenue </w:t>
            </w:r>
          </w:p>
        </w:tc>
        <w:tc>
          <w:tcPr>
            <w:tcW w:w="1134" w:type="pct"/>
            <w:noWrap/>
            <w:hideMark/>
          </w:tcPr>
          <w:p w:rsidR="005A02EE" w:rsidRDefault="005A02EE" w:rsidP="00E911C8">
            <w:pPr>
              <w:jc w:val="right"/>
            </w:pPr>
            <w:r>
              <w:t>$17,75</w:t>
            </w:r>
            <w:r w:rsidR="00FE6782">
              <w:t>7</w:t>
            </w:r>
            <w:r>
              <w:t>m</w:t>
            </w:r>
          </w:p>
        </w:tc>
        <w:tc>
          <w:tcPr>
            <w:tcW w:w="1133" w:type="pct"/>
            <w:noWrap/>
            <w:hideMark/>
          </w:tcPr>
          <w:p w:rsidR="005A02EE" w:rsidRDefault="005A02EE" w:rsidP="00E911C8">
            <w:pPr>
              <w:jc w:val="right"/>
            </w:pPr>
            <w:r>
              <w:t>$877m</w:t>
            </w:r>
          </w:p>
        </w:tc>
        <w:tc>
          <w:tcPr>
            <w:tcW w:w="1590" w:type="pct"/>
            <w:noWrap/>
            <w:hideMark/>
          </w:tcPr>
          <w:p w:rsidR="005A02EE" w:rsidRDefault="005A02EE" w:rsidP="00E911C8">
            <w:pPr>
              <w:jc w:val="right"/>
            </w:pPr>
            <w:r>
              <w:t>$16,879m</w:t>
            </w:r>
          </w:p>
        </w:tc>
      </w:tr>
      <w:tr w:rsidR="005A02EE" w:rsidTr="00E911C8">
        <w:trPr>
          <w:trHeight w:val="113"/>
        </w:trPr>
        <w:tc>
          <w:tcPr>
            <w:tcW w:w="1143" w:type="pct"/>
            <w:noWrap/>
            <w:hideMark/>
          </w:tcPr>
          <w:p w:rsidR="005A02EE" w:rsidRDefault="005A02EE" w:rsidP="00E911C8">
            <w:r>
              <w:t xml:space="preserve">Total EBITDA </w:t>
            </w:r>
          </w:p>
        </w:tc>
        <w:tc>
          <w:tcPr>
            <w:tcW w:w="1134" w:type="pct"/>
            <w:noWrap/>
            <w:hideMark/>
          </w:tcPr>
          <w:p w:rsidR="005A02EE" w:rsidRDefault="005A02EE" w:rsidP="00E911C8">
            <w:pPr>
              <w:jc w:val="right"/>
            </w:pPr>
            <w:r>
              <w:t>$2,072m</w:t>
            </w:r>
          </w:p>
        </w:tc>
        <w:tc>
          <w:tcPr>
            <w:tcW w:w="1133" w:type="pct"/>
            <w:noWrap/>
            <w:hideMark/>
          </w:tcPr>
          <w:p w:rsidR="005A02EE" w:rsidRPr="005A02EE" w:rsidRDefault="005A02EE" w:rsidP="00E911C8">
            <w:pPr>
              <w:jc w:val="right"/>
              <w:rPr>
                <w:color w:val="FF0000"/>
              </w:rPr>
            </w:pPr>
            <w:r w:rsidRPr="005A02EE">
              <w:rPr>
                <w:color w:val="FF0000"/>
              </w:rPr>
              <w:t>-$30m</w:t>
            </w:r>
          </w:p>
        </w:tc>
        <w:tc>
          <w:tcPr>
            <w:tcW w:w="1590" w:type="pct"/>
            <w:noWrap/>
            <w:hideMark/>
          </w:tcPr>
          <w:p w:rsidR="005A02EE" w:rsidRDefault="005A02EE" w:rsidP="00E911C8">
            <w:pPr>
              <w:jc w:val="right"/>
            </w:pPr>
            <w:r>
              <w:t>$2,</w:t>
            </w:r>
            <w:r w:rsidR="002705C9">
              <w:t>1</w:t>
            </w:r>
            <w:r>
              <w:t>02m</w:t>
            </w:r>
          </w:p>
        </w:tc>
      </w:tr>
      <w:tr w:rsidR="005A02EE" w:rsidTr="00E911C8">
        <w:trPr>
          <w:trHeight w:val="113"/>
        </w:trPr>
        <w:tc>
          <w:tcPr>
            <w:tcW w:w="1143" w:type="pct"/>
            <w:noWrap/>
            <w:hideMark/>
          </w:tcPr>
          <w:p w:rsidR="005A02EE" w:rsidRDefault="005A02EE" w:rsidP="00E911C8">
            <w:r>
              <w:t xml:space="preserve">EBITDA </w:t>
            </w:r>
            <w:proofErr w:type="spellStart"/>
            <w:r>
              <w:t>p.r.p.a</w:t>
            </w:r>
            <w:proofErr w:type="spellEnd"/>
          </w:p>
        </w:tc>
        <w:tc>
          <w:tcPr>
            <w:tcW w:w="1134" w:type="pct"/>
            <w:noWrap/>
            <w:hideMark/>
          </w:tcPr>
          <w:p w:rsidR="005A02EE" w:rsidRDefault="005A02EE" w:rsidP="00E911C8">
            <w:pPr>
              <w:jc w:val="right"/>
            </w:pPr>
            <w:r>
              <w:t>$11,481</w:t>
            </w:r>
          </w:p>
        </w:tc>
        <w:tc>
          <w:tcPr>
            <w:tcW w:w="1133" w:type="pct"/>
            <w:noWrap/>
            <w:hideMark/>
          </w:tcPr>
          <w:p w:rsidR="005A02EE" w:rsidRPr="005A02EE" w:rsidRDefault="005A02EE" w:rsidP="00E911C8">
            <w:pPr>
              <w:jc w:val="right"/>
              <w:rPr>
                <w:color w:val="FF0000"/>
              </w:rPr>
            </w:pPr>
            <w:r>
              <w:rPr>
                <w:color w:val="FF0000"/>
              </w:rPr>
              <w:t>-</w:t>
            </w:r>
            <w:r w:rsidRPr="005A02EE">
              <w:rPr>
                <w:color w:val="FF0000"/>
              </w:rPr>
              <w:t>$3,791</w:t>
            </w:r>
          </w:p>
        </w:tc>
        <w:tc>
          <w:tcPr>
            <w:tcW w:w="1590" w:type="pct"/>
            <w:noWrap/>
            <w:hideMark/>
          </w:tcPr>
          <w:p w:rsidR="005A02EE" w:rsidRDefault="005A02EE" w:rsidP="00E911C8">
            <w:pPr>
              <w:jc w:val="right"/>
            </w:pPr>
            <w:r>
              <w:t>$12,179</w:t>
            </w:r>
          </w:p>
        </w:tc>
      </w:tr>
      <w:tr w:rsidR="005A02EE" w:rsidTr="00E911C8">
        <w:trPr>
          <w:trHeight w:val="113"/>
        </w:trPr>
        <w:tc>
          <w:tcPr>
            <w:tcW w:w="1143" w:type="pct"/>
            <w:noWrap/>
            <w:hideMark/>
          </w:tcPr>
          <w:p w:rsidR="005A02EE" w:rsidRDefault="005A02EE" w:rsidP="00E911C8">
            <w:r>
              <w:t>Total NPBT</w:t>
            </w:r>
          </w:p>
        </w:tc>
        <w:tc>
          <w:tcPr>
            <w:tcW w:w="1134" w:type="pct"/>
            <w:noWrap/>
            <w:hideMark/>
          </w:tcPr>
          <w:p w:rsidR="005A02EE" w:rsidRDefault="005A02EE" w:rsidP="00E911C8">
            <w:pPr>
              <w:jc w:val="right"/>
            </w:pPr>
            <w:r>
              <w:t>$1,006m</w:t>
            </w:r>
          </w:p>
        </w:tc>
        <w:tc>
          <w:tcPr>
            <w:tcW w:w="1133" w:type="pct"/>
            <w:noWrap/>
            <w:hideMark/>
          </w:tcPr>
          <w:p w:rsidR="005A02EE" w:rsidRPr="005A02EE" w:rsidRDefault="005A02EE" w:rsidP="00E911C8">
            <w:pPr>
              <w:jc w:val="right"/>
              <w:rPr>
                <w:color w:val="FF0000"/>
              </w:rPr>
            </w:pPr>
            <w:r w:rsidRPr="005A02EE">
              <w:rPr>
                <w:color w:val="FF0000"/>
              </w:rPr>
              <w:t>-$85m</w:t>
            </w:r>
          </w:p>
        </w:tc>
        <w:tc>
          <w:tcPr>
            <w:tcW w:w="1590" w:type="pct"/>
            <w:noWrap/>
            <w:hideMark/>
          </w:tcPr>
          <w:p w:rsidR="005A02EE" w:rsidRDefault="005A02EE" w:rsidP="00E911C8">
            <w:pPr>
              <w:jc w:val="right"/>
            </w:pPr>
            <w:r>
              <w:t>$1,091m</w:t>
            </w:r>
          </w:p>
        </w:tc>
      </w:tr>
      <w:tr w:rsidR="005A02EE" w:rsidTr="00E911C8">
        <w:trPr>
          <w:trHeight w:val="113"/>
        </w:trPr>
        <w:tc>
          <w:tcPr>
            <w:tcW w:w="1143" w:type="pct"/>
            <w:noWrap/>
            <w:hideMark/>
          </w:tcPr>
          <w:p w:rsidR="005A02EE" w:rsidRDefault="005A02EE" w:rsidP="00E911C8">
            <w:r>
              <w:t xml:space="preserve">NPBT </w:t>
            </w:r>
            <w:proofErr w:type="spellStart"/>
            <w:r>
              <w:t>p.r.p.a</w:t>
            </w:r>
            <w:proofErr w:type="spellEnd"/>
          </w:p>
        </w:tc>
        <w:tc>
          <w:tcPr>
            <w:tcW w:w="1134" w:type="pct"/>
            <w:noWrap/>
            <w:hideMark/>
          </w:tcPr>
          <w:p w:rsidR="005A02EE" w:rsidRDefault="005A02EE" w:rsidP="00E911C8">
            <w:pPr>
              <w:jc w:val="right"/>
            </w:pPr>
            <w:r>
              <w:t>$5,572</w:t>
            </w:r>
          </w:p>
        </w:tc>
        <w:tc>
          <w:tcPr>
            <w:tcW w:w="1133" w:type="pct"/>
            <w:noWrap/>
            <w:hideMark/>
          </w:tcPr>
          <w:p w:rsidR="005A02EE" w:rsidRPr="005A02EE" w:rsidRDefault="005A02EE" w:rsidP="00E911C8">
            <w:pPr>
              <w:jc w:val="right"/>
              <w:rPr>
                <w:color w:val="FF0000"/>
              </w:rPr>
            </w:pPr>
            <w:r>
              <w:rPr>
                <w:color w:val="FF0000"/>
              </w:rPr>
              <w:t>-</w:t>
            </w:r>
            <w:r w:rsidRPr="005A02EE">
              <w:rPr>
                <w:color w:val="FF0000"/>
              </w:rPr>
              <w:t>$10,776</w:t>
            </w:r>
          </w:p>
        </w:tc>
        <w:tc>
          <w:tcPr>
            <w:tcW w:w="1590" w:type="pct"/>
            <w:noWrap/>
            <w:hideMark/>
          </w:tcPr>
          <w:p w:rsidR="005A02EE" w:rsidRDefault="005A02EE" w:rsidP="00E911C8">
            <w:pPr>
              <w:jc w:val="right"/>
            </w:pPr>
            <w:r>
              <w:t>$6,319</w:t>
            </w:r>
          </w:p>
        </w:tc>
      </w:tr>
      <w:tr w:rsidR="005A02EE" w:rsidTr="00E911C8">
        <w:trPr>
          <w:trHeight w:val="113"/>
        </w:trPr>
        <w:tc>
          <w:tcPr>
            <w:tcW w:w="1143" w:type="pct"/>
            <w:noWrap/>
            <w:hideMark/>
          </w:tcPr>
          <w:p w:rsidR="005A02EE" w:rsidRDefault="005A02EE" w:rsidP="00E911C8">
            <w:r>
              <w:t>EBITDA margin</w:t>
            </w:r>
          </w:p>
        </w:tc>
        <w:tc>
          <w:tcPr>
            <w:tcW w:w="1134" w:type="pct"/>
            <w:noWrap/>
            <w:hideMark/>
          </w:tcPr>
          <w:p w:rsidR="005A02EE" w:rsidRDefault="005A02EE" w:rsidP="00E911C8">
            <w:pPr>
              <w:jc w:val="right"/>
            </w:pPr>
            <w:r>
              <w:t>11.7%</w:t>
            </w:r>
          </w:p>
        </w:tc>
        <w:tc>
          <w:tcPr>
            <w:tcW w:w="1133" w:type="pct"/>
            <w:noWrap/>
            <w:hideMark/>
          </w:tcPr>
          <w:p w:rsidR="005A02EE" w:rsidRPr="005A02EE" w:rsidRDefault="00D8721E" w:rsidP="00E911C8">
            <w:pPr>
              <w:jc w:val="right"/>
              <w:rPr>
                <w:color w:val="FF0000"/>
              </w:rPr>
            </w:pPr>
            <w:r>
              <w:rPr>
                <w:color w:val="FF0000"/>
              </w:rPr>
              <w:t>–3</w:t>
            </w:r>
            <w:r w:rsidR="005A02EE" w:rsidRPr="005A02EE">
              <w:rPr>
                <w:color w:val="FF0000"/>
              </w:rPr>
              <w:t>.4%</w:t>
            </w:r>
          </w:p>
        </w:tc>
        <w:tc>
          <w:tcPr>
            <w:tcW w:w="1590" w:type="pct"/>
            <w:noWrap/>
            <w:hideMark/>
          </w:tcPr>
          <w:p w:rsidR="005A02EE" w:rsidRPr="00A42C8A" w:rsidRDefault="005A02EE" w:rsidP="00E911C8">
            <w:pPr>
              <w:jc w:val="right"/>
              <w:rPr>
                <w:highlight w:val="yellow"/>
              </w:rPr>
            </w:pPr>
            <w:r w:rsidRPr="00BE566A">
              <w:t>12.5%</w:t>
            </w:r>
          </w:p>
        </w:tc>
      </w:tr>
      <w:tr w:rsidR="005A02EE" w:rsidTr="00E911C8">
        <w:trPr>
          <w:trHeight w:val="113"/>
        </w:trPr>
        <w:tc>
          <w:tcPr>
            <w:tcW w:w="1143" w:type="pct"/>
            <w:noWrap/>
            <w:hideMark/>
          </w:tcPr>
          <w:p w:rsidR="005A02EE" w:rsidRDefault="005A02EE" w:rsidP="00E911C8">
            <w:r>
              <w:t>NPBT margin</w:t>
            </w:r>
          </w:p>
        </w:tc>
        <w:tc>
          <w:tcPr>
            <w:tcW w:w="1134" w:type="pct"/>
            <w:noWrap/>
            <w:hideMark/>
          </w:tcPr>
          <w:p w:rsidR="005A02EE" w:rsidRDefault="005A02EE" w:rsidP="00E911C8">
            <w:pPr>
              <w:jc w:val="right"/>
            </w:pPr>
            <w:r>
              <w:t>5.7%</w:t>
            </w:r>
          </w:p>
        </w:tc>
        <w:tc>
          <w:tcPr>
            <w:tcW w:w="1133" w:type="pct"/>
            <w:noWrap/>
            <w:hideMark/>
          </w:tcPr>
          <w:p w:rsidR="005A02EE" w:rsidRPr="005A02EE" w:rsidRDefault="00D8721E" w:rsidP="00E911C8">
            <w:pPr>
              <w:jc w:val="right"/>
              <w:rPr>
                <w:color w:val="FF0000"/>
              </w:rPr>
            </w:pPr>
            <w:r>
              <w:rPr>
                <w:color w:val="FF0000"/>
              </w:rPr>
              <w:t>–9</w:t>
            </w:r>
            <w:r w:rsidR="00DD56B8">
              <w:rPr>
                <w:color w:val="FF0000"/>
              </w:rPr>
              <w:t>.7</w:t>
            </w:r>
            <w:r w:rsidR="005A02EE" w:rsidRPr="005A02EE">
              <w:rPr>
                <w:color w:val="FF0000"/>
              </w:rPr>
              <w:t>%</w:t>
            </w:r>
          </w:p>
        </w:tc>
        <w:tc>
          <w:tcPr>
            <w:tcW w:w="1590" w:type="pct"/>
            <w:noWrap/>
            <w:hideMark/>
          </w:tcPr>
          <w:p w:rsidR="005A02EE" w:rsidRPr="00A42C8A" w:rsidRDefault="005A02EE" w:rsidP="00E911C8">
            <w:pPr>
              <w:jc w:val="right"/>
              <w:rPr>
                <w:highlight w:val="yellow"/>
              </w:rPr>
            </w:pPr>
            <w:r w:rsidRPr="005F23BA">
              <w:t>6.</w:t>
            </w:r>
            <w:r w:rsidR="00DD56B8">
              <w:t>5</w:t>
            </w:r>
            <w:r w:rsidRPr="005F23BA">
              <w:t>%</w:t>
            </w:r>
          </w:p>
        </w:tc>
      </w:tr>
      <w:tr w:rsidR="005A02EE" w:rsidTr="00E911C8">
        <w:trPr>
          <w:trHeight w:val="113"/>
        </w:trPr>
        <w:tc>
          <w:tcPr>
            <w:tcW w:w="1143" w:type="pct"/>
            <w:noWrap/>
            <w:hideMark/>
          </w:tcPr>
          <w:p w:rsidR="005A02EE" w:rsidRDefault="005A02EE" w:rsidP="00E911C8">
            <w:r>
              <w:t xml:space="preserve"># with positive EBITDA </w:t>
            </w:r>
          </w:p>
        </w:tc>
        <w:tc>
          <w:tcPr>
            <w:tcW w:w="1134" w:type="pct"/>
            <w:noWrap/>
            <w:hideMark/>
          </w:tcPr>
          <w:p w:rsidR="005A02EE" w:rsidRDefault="005A02EE" w:rsidP="00E911C8">
            <w:pPr>
              <w:jc w:val="right"/>
            </w:pPr>
            <w:r>
              <w:t>73</w:t>
            </w:r>
            <w:r w:rsidR="00DD56B8">
              <w:t>5</w:t>
            </w:r>
          </w:p>
        </w:tc>
        <w:tc>
          <w:tcPr>
            <w:tcW w:w="1133" w:type="pct"/>
            <w:noWrap/>
            <w:hideMark/>
          </w:tcPr>
          <w:p w:rsidR="005A02EE" w:rsidRDefault="005A02EE" w:rsidP="00E911C8">
            <w:pPr>
              <w:jc w:val="right"/>
            </w:pPr>
            <w:r>
              <w:t>35</w:t>
            </w:r>
          </w:p>
        </w:tc>
        <w:tc>
          <w:tcPr>
            <w:tcW w:w="1590" w:type="pct"/>
            <w:noWrap/>
            <w:hideMark/>
          </w:tcPr>
          <w:p w:rsidR="005A02EE" w:rsidRDefault="00DD56B8" w:rsidP="00E911C8">
            <w:pPr>
              <w:jc w:val="right"/>
            </w:pPr>
            <w:r>
              <w:t>700</w:t>
            </w:r>
          </w:p>
        </w:tc>
      </w:tr>
      <w:tr w:rsidR="005A02EE" w:rsidTr="00E911C8">
        <w:trPr>
          <w:trHeight w:val="113"/>
        </w:trPr>
        <w:tc>
          <w:tcPr>
            <w:tcW w:w="1143" w:type="pct"/>
            <w:noWrap/>
            <w:hideMark/>
          </w:tcPr>
          <w:p w:rsidR="005A02EE" w:rsidRDefault="005A02EE" w:rsidP="00E911C8">
            <w:r>
              <w:t># with positive NPBT</w:t>
            </w:r>
          </w:p>
        </w:tc>
        <w:tc>
          <w:tcPr>
            <w:tcW w:w="1134" w:type="pct"/>
            <w:noWrap/>
            <w:hideMark/>
          </w:tcPr>
          <w:p w:rsidR="005A02EE" w:rsidRDefault="005A02EE" w:rsidP="00E911C8">
            <w:pPr>
              <w:jc w:val="right"/>
            </w:pPr>
            <w:r>
              <w:t>608</w:t>
            </w:r>
          </w:p>
        </w:tc>
        <w:tc>
          <w:tcPr>
            <w:tcW w:w="1133" w:type="pct"/>
            <w:noWrap/>
            <w:hideMark/>
          </w:tcPr>
          <w:p w:rsidR="005A02EE" w:rsidRDefault="005A02EE" w:rsidP="00E911C8">
            <w:pPr>
              <w:jc w:val="right"/>
            </w:pPr>
            <w:r>
              <w:t>21</w:t>
            </w:r>
          </w:p>
        </w:tc>
        <w:tc>
          <w:tcPr>
            <w:tcW w:w="1590" w:type="pct"/>
            <w:noWrap/>
            <w:hideMark/>
          </w:tcPr>
          <w:p w:rsidR="005A02EE" w:rsidRDefault="005A02EE" w:rsidP="00E911C8">
            <w:pPr>
              <w:jc w:val="right"/>
            </w:pPr>
            <w:r>
              <w:t>587</w:t>
            </w:r>
          </w:p>
        </w:tc>
      </w:tr>
    </w:tbl>
    <w:p w:rsidR="00D8721E" w:rsidRDefault="00D8721E" w:rsidP="00E911C8"/>
    <w:p w:rsidR="00D8721E" w:rsidRDefault="00867B1C" w:rsidP="00E911C8">
      <w:pPr>
        <w:pStyle w:val="AppendixNumbered"/>
      </w:pPr>
      <w:bookmarkStart w:id="1064" w:name="_Toc524424836"/>
      <w:r>
        <w:lastRenderedPageBreak/>
        <w:t>Financial r</w:t>
      </w:r>
      <w:r w:rsidR="00B76326" w:rsidRPr="00557C8E">
        <w:t xml:space="preserve">atios </w:t>
      </w:r>
      <w:r w:rsidR="00DB20DB" w:rsidRPr="00557C8E">
        <w:t xml:space="preserve">by provider </w:t>
      </w:r>
      <w:r w:rsidR="00F80C22" w:rsidRPr="00557C8E">
        <w:t xml:space="preserve">ownership </w:t>
      </w:r>
      <w:r w:rsidR="00DB20DB" w:rsidRPr="00557C8E">
        <w:t>type</w:t>
      </w:r>
      <w:bookmarkEnd w:id="1063"/>
      <w:bookmarkEnd w:id="1064"/>
    </w:p>
    <w:p w:rsidR="000C2720" w:rsidRPr="00596D01" w:rsidRDefault="00B76326" w:rsidP="00E911C8">
      <w:pPr>
        <w:pStyle w:val="AppendixTable"/>
      </w:pPr>
      <w:r w:rsidRPr="00596D01">
        <w:t xml:space="preserve">Financial ratios </w:t>
      </w:r>
      <w:r w:rsidR="000C2720" w:rsidRPr="00596D01">
        <w:t xml:space="preserve">of total </w:t>
      </w:r>
      <w:r w:rsidR="00BB1EF2" w:rsidRPr="00596D01">
        <w:t>sector by provider type,</w:t>
      </w:r>
      <w:r w:rsidR="00A261F3" w:rsidRPr="00596D01">
        <w:t> 201</w:t>
      </w:r>
      <w:r w:rsidR="001C1414" w:rsidRPr="00596D01">
        <w:t>6</w:t>
      </w:r>
      <w:r w:rsidR="00D8721E" w:rsidRPr="00596D01">
        <w:t>–1</w:t>
      </w:r>
      <w:r w:rsidR="001C1414"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499"/>
        <w:gridCol w:w="1585"/>
        <w:gridCol w:w="1488"/>
        <w:gridCol w:w="1469"/>
        <w:gridCol w:w="1587"/>
      </w:tblGrid>
      <w:tr w:rsidR="00097AF4"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817" w:type="pct"/>
            <w:noWrap/>
            <w:hideMark/>
          </w:tcPr>
          <w:p w:rsidR="00097AF4" w:rsidRDefault="00097AF4" w:rsidP="00E911C8">
            <w:r>
              <w:t> </w:t>
            </w:r>
          </w:p>
        </w:tc>
        <w:tc>
          <w:tcPr>
            <w:tcW w:w="823" w:type="pct"/>
            <w:hideMark/>
          </w:tcPr>
          <w:p w:rsidR="00097AF4" w:rsidRDefault="00097AF4" w:rsidP="00E911C8">
            <w:pPr>
              <w:jc w:val="right"/>
              <w:rPr>
                <w:b w:val="0"/>
                <w:bCs w:val="0"/>
                <w:sz w:val="22"/>
                <w:szCs w:val="22"/>
              </w:rPr>
            </w:pPr>
            <w:r w:rsidRPr="00596D01">
              <w:t>Not-for-profit</w:t>
            </w:r>
          </w:p>
        </w:tc>
        <w:tc>
          <w:tcPr>
            <w:tcW w:w="773" w:type="pct"/>
            <w:hideMark/>
          </w:tcPr>
          <w:p w:rsidR="00097AF4" w:rsidRDefault="00097AF4" w:rsidP="00E911C8">
            <w:pPr>
              <w:jc w:val="right"/>
              <w:rPr>
                <w:b w:val="0"/>
                <w:bCs w:val="0"/>
                <w:sz w:val="22"/>
                <w:szCs w:val="22"/>
              </w:rPr>
            </w:pPr>
            <w:r w:rsidRPr="00596D01">
              <w:t>For-profit</w:t>
            </w:r>
          </w:p>
        </w:tc>
        <w:tc>
          <w:tcPr>
            <w:tcW w:w="763" w:type="pct"/>
            <w:hideMark/>
          </w:tcPr>
          <w:p w:rsidR="00097AF4" w:rsidRDefault="00097AF4" w:rsidP="00E911C8">
            <w:pPr>
              <w:jc w:val="right"/>
              <w:rPr>
                <w:b w:val="0"/>
                <w:bCs w:val="0"/>
                <w:sz w:val="22"/>
                <w:szCs w:val="22"/>
              </w:rPr>
            </w:pPr>
            <w:r w:rsidRPr="00596D01">
              <w:t>Government</w:t>
            </w:r>
          </w:p>
        </w:tc>
        <w:tc>
          <w:tcPr>
            <w:tcW w:w="824" w:type="pct"/>
            <w:hideMark/>
          </w:tcPr>
          <w:p w:rsidR="00097AF4" w:rsidRPr="00596D01" w:rsidRDefault="00097AF4" w:rsidP="00E911C8">
            <w:pPr>
              <w:jc w:val="right"/>
            </w:pPr>
            <w:r w:rsidRPr="00596D01">
              <w:t>Total sector</w:t>
            </w:r>
          </w:p>
        </w:tc>
      </w:tr>
      <w:tr w:rsidR="00DD56B8" w:rsidTr="00E911C8">
        <w:trPr>
          <w:trHeight w:val="113"/>
        </w:trPr>
        <w:tc>
          <w:tcPr>
            <w:tcW w:w="1817" w:type="pct"/>
            <w:noWrap/>
            <w:hideMark/>
          </w:tcPr>
          <w:p w:rsidR="00DD56B8" w:rsidRDefault="00DD56B8" w:rsidP="00E911C8">
            <w:r>
              <w:t>Total RADs</w:t>
            </w:r>
          </w:p>
        </w:tc>
        <w:tc>
          <w:tcPr>
            <w:tcW w:w="823" w:type="pct"/>
            <w:noWrap/>
            <w:hideMark/>
          </w:tcPr>
          <w:p w:rsidR="00DD56B8" w:rsidRPr="0006152C" w:rsidRDefault="00DD56B8" w:rsidP="00E911C8">
            <w:pPr>
              <w:jc w:val="right"/>
            </w:pPr>
            <w:r w:rsidRPr="0006152C">
              <w:t>$12,779b</w:t>
            </w:r>
          </w:p>
        </w:tc>
        <w:tc>
          <w:tcPr>
            <w:tcW w:w="773" w:type="pct"/>
            <w:noWrap/>
            <w:hideMark/>
          </w:tcPr>
          <w:p w:rsidR="00DD56B8" w:rsidRPr="0006152C" w:rsidRDefault="00DD56B8" w:rsidP="00E911C8">
            <w:pPr>
              <w:jc w:val="right"/>
            </w:pPr>
            <w:r w:rsidRPr="0006152C">
              <w:t>$11,418b</w:t>
            </w:r>
          </w:p>
        </w:tc>
        <w:tc>
          <w:tcPr>
            <w:tcW w:w="763" w:type="pct"/>
            <w:noWrap/>
            <w:hideMark/>
          </w:tcPr>
          <w:p w:rsidR="00DD56B8" w:rsidRPr="0006152C" w:rsidRDefault="00DD56B8" w:rsidP="00E911C8">
            <w:pPr>
              <w:jc w:val="right"/>
            </w:pPr>
            <w:r w:rsidRPr="0006152C">
              <w:t>$512b</w:t>
            </w:r>
          </w:p>
        </w:tc>
        <w:tc>
          <w:tcPr>
            <w:tcW w:w="824" w:type="pct"/>
            <w:noWrap/>
            <w:hideMark/>
          </w:tcPr>
          <w:p w:rsidR="00DD56B8" w:rsidRPr="0006152C" w:rsidRDefault="00DD56B8" w:rsidP="00E911C8">
            <w:pPr>
              <w:jc w:val="right"/>
            </w:pPr>
            <w:r w:rsidRPr="0006152C">
              <w:t>$24,710b</w:t>
            </w:r>
          </w:p>
        </w:tc>
      </w:tr>
      <w:tr w:rsidR="00DD56B8" w:rsidTr="00E911C8">
        <w:trPr>
          <w:trHeight w:val="113"/>
        </w:trPr>
        <w:tc>
          <w:tcPr>
            <w:tcW w:w="1817" w:type="pct"/>
            <w:noWrap/>
            <w:hideMark/>
          </w:tcPr>
          <w:p w:rsidR="00DD56B8" w:rsidRDefault="00DD56B8" w:rsidP="00E911C8">
            <w:r>
              <w:t>No. of providers</w:t>
            </w:r>
          </w:p>
        </w:tc>
        <w:tc>
          <w:tcPr>
            <w:tcW w:w="823" w:type="pct"/>
            <w:noWrap/>
            <w:hideMark/>
          </w:tcPr>
          <w:p w:rsidR="00DD56B8" w:rsidRPr="0006152C" w:rsidRDefault="00DD56B8" w:rsidP="00E911C8">
            <w:pPr>
              <w:jc w:val="right"/>
            </w:pPr>
            <w:r w:rsidRPr="0006152C">
              <w:t>500</w:t>
            </w:r>
          </w:p>
        </w:tc>
        <w:tc>
          <w:tcPr>
            <w:tcW w:w="773" w:type="pct"/>
            <w:noWrap/>
            <w:hideMark/>
          </w:tcPr>
          <w:p w:rsidR="00DD56B8" w:rsidRPr="0006152C" w:rsidRDefault="00DD56B8" w:rsidP="00E911C8">
            <w:pPr>
              <w:jc w:val="right"/>
            </w:pPr>
            <w:r w:rsidRPr="0006152C">
              <w:t>298</w:t>
            </w:r>
          </w:p>
        </w:tc>
        <w:tc>
          <w:tcPr>
            <w:tcW w:w="763" w:type="pct"/>
            <w:noWrap/>
            <w:hideMark/>
          </w:tcPr>
          <w:p w:rsidR="00DD56B8" w:rsidRPr="0006152C" w:rsidRDefault="00DD56B8" w:rsidP="00E911C8">
            <w:pPr>
              <w:jc w:val="right"/>
            </w:pPr>
            <w:r w:rsidRPr="0006152C">
              <w:t>95</w:t>
            </w:r>
          </w:p>
        </w:tc>
        <w:tc>
          <w:tcPr>
            <w:tcW w:w="824" w:type="pct"/>
            <w:noWrap/>
            <w:hideMark/>
          </w:tcPr>
          <w:p w:rsidR="00DD56B8" w:rsidRPr="0006152C" w:rsidRDefault="00DD56B8" w:rsidP="00E911C8">
            <w:pPr>
              <w:jc w:val="right"/>
            </w:pPr>
            <w:r w:rsidRPr="0006152C">
              <w:t>893</w:t>
            </w:r>
          </w:p>
        </w:tc>
      </w:tr>
      <w:tr w:rsidR="00DD56B8" w:rsidTr="00E911C8">
        <w:trPr>
          <w:trHeight w:val="113"/>
        </w:trPr>
        <w:tc>
          <w:tcPr>
            <w:tcW w:w="1817" w:type="pct"/>
            <w:noWrap/>
            <w:hideMark/>
          </w:tcPr>
          <w:p w:rsidR="00DD56B8" w:rsidRDefault="00DD56B8" w:rsidP="00E911C8">
            <w:r>
              <w:t xml:space="preserve">EBITDA </w:t>
            </w:r>
            <w:proofErr w:type="spellStart"/>
            <w:r>
              <w:t>p.r.p.a</w:t>
            </w:r>
            <w:proofErr w:type="spellEnd"/>
          </w:p>
        </w:tc>
        <w:tc>
          <w:tcPr>
            <w:tcW w:w="823" w:type="pct"/>
            <w:noWrap/>
            <w:hideMark/>
          </w:tcPr>
          <w:p w:rsidR="00DD56B8" w:rsidRPr="0006152C" w:rsidRDefault="00DD56B8" w:rsidP="00E911C8">
            <w:pPr>
              <w:jc w:val="right"/>
            </w:pPr>
            <w:r w:rsidRPr="0006152C">
              <w:t>$11,408</w:t>
            </w:r>
          </w:p>
        </w:tc>
        <w:tc>
          <w:tcPr>
            <w:tcW w:w="773" w:type="pct"/>
            <w:noWrap/>
            <w:hideMark/>
          </w:tcPr>
          <w:p w:rsidR="00DD56B8" w:rsidRPr="0006152C" w:rsidRDefault="00DD56B8" w:rsidP="00E911C8">
            <w:pPr>
              <w:jc w:val="right"/>
            </w:pPr>
            <w:r w:rsidRPr="0006152C">
              <w:t>$13,316</w:t>
            </w:r>
          </w:p>
        </w:tc>
        <w:tc>
          <w:tcPr>
            <w:tcW w:w="763" w:type="pct"/>
            <w:noWrap/>
            <w:hideMark/>
          </w:tcPr>
          <w:p w:rsidR="00DD56B8" w:rsidRPr="0006152C" w:rsidRDefault="00DD56B8" w:rsidP="00E911C8">
            <w:pPr>
              <w:jc w:val="right"/>
            </w:pPr>
            <w:r w:rsidRPr="0006152C">
              <w:rPr>
                <w:color w:val="FF0000"/>
              </w:rPr>
              <w:t>-$3,791</w:t>
            </w:r>
          </w:p>
        </w:tc>
        <w:tc>
          <w:tcPr>
            <w:tcW w:w="824" w:type="pct"/>
            <w:noWrap/>
            <w:hideMark/>
          </w:tcPr>
          <w:p w:rsidR="00DD56B8" w:rsidRPr="0006152C" w:rsidRDefault="00DD56B8" w:rsidP="00E911C8">
            <w:pPr>
              <w:jc w:val="right"/>
            </w:pPr>
            <w:r w:rsidRPr="0006152C">
              <w:t>$11,481</w:t>
            </w:r>
          </w:p>
        </w:tc>
      </w:tr>
      <w:tr w:rsidR="00DD56B8" w:rsidTr="00E911C8">
        <w:trPr>
          <w:trHeight w:val="113"/>
        </w:trPr>
        <w:tc>
          <w:tcPr>
            <w:tcW w:w="1817" w:type="pct"/>
            <w:shd w:val="clear" w:color="auto" w:fill="E8E8E8" w:themeFill="background2"/>
            <w:noWrap/>
            <w:hideMark/>
          </w:tcPr>
          <w:p w:rsidR="00DD56B8" w:rsidRPr="00596D01" w:rsidRDefault="00DD56B8" w:rsidP="00E911C8">
            <w:pPr>
              <w:rPr>
                <w:rStyle w:val="Strong"/>
              </w:rPr>
            </w:pPr>
            <w:r w:rsidRPr="00596D01">
              <w:rPr>
                <w:rStyle w:val="Strong"/>
              </w:rPr>
              <w:t>Capital structure</w:t>
            </w:r>
          </w:p>
        </w:tc>
        <w:tc>
          <w:tcPr>
            <w:tcW w:w="823" w:type="pct"/>
            <w:shd w:val="clear" w:color="auto" w:fill="E8E8E8" w:themeFill="background2"/>
            <w:noWrap/>
            <w:hideMark/>
          </w:tcPr>
          <w:p w:rsidR="00DD56B8" w:rsidRPr="0006152C" w:rsidRDefault="00DD56B8" w:rsidP="00E911C8">
            <w:pPr>
              <w:jc w:val="right"/>
            </w:pPr>
            <w:r w:rsidRPr="0006152C">
              <w:t> </w:t>
            </w:r>
          </w:p>
        </w:tc>
        <w:tc>
          <w:tcPr>
            <w:tcW w:w="773" w:type="pct"/>
            <w:shd w:val="clear" w:color="auto" w:fill="E8E8E8" w:themeFill="background2"/>
            <w:noWrap/>
            <w:hideMark/>
          </w:tcPr>
          <w:p w:rsidR="00DD56B8" w:rsidRPr="0006152C" w:rsidRDefault="00DD56B8" w:rsidP="00E911C8">
            <w:pPr>
              <w:jc w:val="right"/>
            </w:pPr>
            <w:r w:rsidRPr="0006152C">
              <w:t> </w:t>
            </w:r>
          </w:p>
        </w:tc>
        <w:tc>
          <w:tcPr>
            <w:tcW w:w="763" w:type="pct"/>
            <w:shd w:val="clear" w:color="auto" w:fill="E8E8E8" w:themeFill="background2"/>
            <w:noWrap/>
            <w:hideMark/>
          </w:tcPr>
          <w:p w:rsidR="00DD56B8" w:rsidRPr="0006152C" w:rsidRDefault="00DD56B8" w:rsidP="00E911C8">
            <w:pPr>
              <w:jc w:val="right"/>
            </w:pPr>
            <w:r w:rsidRPr="0006152C">
              <w:t> </w:t>
            </w:r>
          </w:p>
        </w:tc>
        <w:tc>
          <w:tcPr>
            <w:tcW w:w="824"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817" w:type="pct"/>
            <w:hideMark/>
          </w:tcPr>
          <w:p w:rsidR="00DD56B8" w:rsidRDefault="00DD56B8" w:rsidP="00E911C8">
            <w:pPr>
              <w:rPr>
                <w:sz w:val="18"/>
                <w:szCs w:val="18"/>
              </w:rPr>
            </w:pPr>
            <w:r>
              <w:rPr>
                <w:sz w:val="18"/>
                <w:szCs w:val="18"/>
              </w:rPr>
              <w:t xml:space="preserve">Assets </w:t>
            </w:r>
            <w:proofErr w:type="spellStart"/>
            <w:r>
              <w:rPr>
                <w:sz w:val="18"/>
                <w:szCs w:val="18"/>
              </w:rPr>
              <w:t>p.r.p.a</w:t>
            </w:r>
            <w:proofErr w:type="spellEnd"/>
          </w:p>
        </w:tc>
        <w:tc>
          <w:tcPr>
            <w:tcW w:w="823" w:type="pct"/>
            <w:noWrap/>
            <w:hideMark/>
          </w:tcPr>
          <w:p w:rsidR="00DD56B8" w:rsidRPr="0006152C" w:rsidRDefault="00DD56B8" w:rsidP="00E911C8">
            <w:pPr>
              <w:jc w:val="right"/>
            </w:pPr>
            <w:r w:rsidRPr="0006152C">
              <w:t>$235,290</w:t>
            </w:r>
          </w:p>
        </w:tc>
        <w:tc>
          <w:tcPr>
            <w:tcW w:w="773" w:type="pct"/>
            <w:noWrap/>
            <w:hideMark/>
          </w:tcPr>
          <w:p w:rsidR="00DD56B8" w:rsidRPr="0006152C" w:rsidRDefault="00DD56B8" w:rsidP="00E911C8">
            <w:pPr>
              <w:jc w:val="right"/>
            </w:pPr>
            <w:r w:rsidRPr="0006152C">
              <w:t>$279,133</w:t>
            </w:r>
          </w:p>
        </w:tc>
        <w:tc>
          <w:tcPr>
            <w:tcW w:w="763" w:type="pct"/>
            <w:noWrap/>
            <w:hideMark/>
          </w:tcPr>
          <w:p w:rsidR="00DD56B8" w:rsidRPr="0006152C" w:rsidRDefault="00DD56B8" w:rsidP="00E911C8">
            <w:pPr>
              <w:jc w:val="right"/>
            </w:pPr>
            <w:r w:rsidRPr="0006152C">
              <w:t>$199,896</w:t>
            </w:r>
          </w:p>
        </w:tc>
        <w:tc>
          <w:tcPr>
            <w:tcW w:w="824" w:type="pct"/>
            <w:noWrap/>
            <w:hideMark/>
          </w:tcPr>
          <w:p w:rsidR="00DD56B8" w:rsidRPr="0006152C" w:rsidRDefault="00DD56B8" w:rsidP="00E911C8">
            <w:pPr>
              <w:jc w:val="right"/>
            </w:pPr>
            <w:r w:rsidRPr="0006152C">
              <w:t>$250,789</w:t>
            </w:r>
          </w:p>
        </w:tc>
      </w:tr>
      <w:tr w:rsidR="00DD56B8" w:rsidTr="00E911C8">
        <w:trPr>
          <w:trHeight w:val="113"/>
        </w:trPr>
        <w:tc>
          <w:tcPr>
            <w:tcW w:w="1817" w:type="pct"/>
            <w:noWrap/>
            <w:hideMark/>
          </w:tcPr>
          <w:p w:rsidR="00DD56B8" w:rsidRDefault="00DD56B8" w:rsidP="00E911C8">
            <w:r>
              <w:t>No. of RADs</w:t>
            </w:r>
          </w:p>
        </w:tc>
        <w:tc>
          <w:tcPr>
            <w:tcW w:w="823" w:type="pct"/>
            <w:noWrap/>
            <w:hideMark/>
          </w:tcPr>
          <w:p w:rsidR="00DD56B8" w:rsidRPr="0006152C" w:rsidRDefault="00DD56B8" w:rsidP="00E911C8">
            <w:pPr>
              <w:jc w:val="right"/>
            </w:pPr>
            <w:r w:rsidRPr="0006152C">
              <w:t>47,610</w:t>
            </w:r>
          </w:p>
        </w:tc>
        <w:tc>
          <w:tcPr>
            <w:tcW w:w="773" w:type="pct"/>
            <w:noWrap/>
            <w:hideMark/>
          </w:tcPr>
          <w:p w:rsidR="00DD56B8" w:rsidRPr="0006152C" w:rsidRDefault="00DD56B8" w:rsidP="00E911C8">
            <w:pPr>
              <w:jc w:val="right"/>
            </w:pPr>
            <w:r w:rsidRPr="0006152C">
              <w:t>37,025</w:t>
            </w:r>
          </w:p>
        </w:tc>
        <w:tc>
          <w:tcPr>
            <w:tcW w:w="763" w:type="pct"/>
            <w:noWrap/>
            <w:hideMark/>
          </w:tcPr>
          <w:p w:rsidR="00DD56B8" w:rsidRPr="0006152C" w:rsidRDefault="00DD56B8" w:rsidP="00E911C8">
            <w:pPr>
              <w:jc w:val="right"/>
            </w:pPr>
            <w:r w:rsidRPr="0006152C">
              <w:t>2,525</w:t>
            </w:r>
          </w:p>
        </w:tc>
        <w:tc>
          <w:tcPr>
            <w:tcW w:w="824" w:type="pct"/>
            <w:noWrap/>
            <w:hideMark/>
          </w:tcPr>
          <w:p w:rsidR="00DD56B8" w:rsidRPr="0006152C" w:rsidRDefault="00DD56B8" w:rsidP="00E911C8">
            <w:pPr>
              <w:jc w:val="right"/>
            </w:pPr>
            <w:r w:rsidRPr="0006152C">
              <w:t>87,160</w:t>
            </w:r>
          </w:p>
        </w:tc>
      </w:tr>
      <w:tr w:rsidR="00DD56B8" w:rsidTr="00E911C8">
        <w:trPr>
          <w:trHeight w:val="113"/>
        </w:trPr>
        <w:tc>
          <w:tcPr>
            <w:tcW w:w="1817" w:type="pct"/>
            <w:hideMark/>
          </w:tcPr>
          <w:p w:rsidR="00DD56B8" w:rsidRDefault="00DD56B8" w:rsidP="00E911C8">
            <w:pPr>
              <w:rPr>
                <w:sz w:val="18"/>
                <w:szCs w:val="18"/>
              </w:rPr>
            </w:pPr>
            <w:proofErr w:type="spellStart"/>
            <w:r>
              <w:rPr>
                <w:sz w:val="18"/>
                <w:szCs w:val="18"/>
              </w:rPr>
              <w:t>Avg</w:t>
            </w:r>
            <w:proofErr w:type="spellEnd"/>
            <w:r>
              <w:rPr>
                <w:sz w:val="18"/>
                <w:szCs w:val="18"/>
              </w:rPr>
              <w:t xml:space="preserve"> RAD per resident</w:t>
            </w:r>
          </w:p>
        </w:tc>
        <w:tc>
          <w:tcPr>
            <w:tcW w:w="823" w:type="pct"/>
            <w:noWrap/>
            <w:hideMark/>
          </w:tcPr>
          <w:p w:rsidR="00DD56B8" w:rsidRPr="0006152C" w:rsidRDefault="00DD56B8" w:rsidP="00E911C8">
            <w:pPr>
              <w:jc w:val="right"/>
            </w:pPr>
            <w:r w:rsidRPr="0006152C">
              <w:t>$268,413</w:t>
            </w:r>
          </w:p>
        </w:tc>
        <w:tc>
          <w:tcPr>
            <w:tcW w:w="773" w:type="pct"/>
            <w:noWrap/>
            <w:hideMark/>
          </w:tcPr>
          <w:p w:rsidR="00DD56B8" w:rsidRPr="0006152C" w:rsidRDefault="00DD56B8" w:rsidP="00E911C8">
            <w:pPr>
              <w:jc w:val="right"/>
            </w:pPr>
            <w:r w:rsidRPr="0006152C">
              <w:t>$308,398</w:t>
            </w:r>
          </w:p>
        </w:tc>
        <w:tc>
          <w:tcPr>
            <w:tcW w:w="763" w:type="pct"/>
            <w:noWrap/>
            <w:hideMark/>
          </w:tcPr>
          <w:p w:rsidR="00DD56B8" w:rsidRPr="0006152C" w:rsidRDefault="00DD56B8" w:rsidP="00E911C8">
            <w:pPr>
              <w:jc w:val="right"/>
            </w:pPr>
            <w:r w:rsidRPr="0006152C">
              <w:t>$202,834</w:t>
            </w:r>
          </w:p>
        </w:tc>
        <w:tc>
          <w:tcPr>
            <w:tcW w:w="824" w:type="pct"/>
            <w:noWrap/>
            <w:hideMark/>
          </w:tcPr>
          <w:p w:rsidR="00DD56B8" w:rsidRPr="0006152C" w:rsidRDefault="00DD56B8" w:rsidP="00E911C8">
            <w:pPr>
              <w:jc w:val="right"/>
            </w:pPr>
            <w:r w:rsidRPr="0006152C">
              <w:t>$283,499</w:t>
            </w:r>
          </w:p>
        </w:tc>
      </w:tr>
      <w:tr w:rsidR="00DD56B8" w:rsidTr="00E911C8">
        <w:trPr>
          <w:trHeight w:val="113"/>
        </w:trPr>
        <w:tc>
          <w:tcPr>
            <w:tcW w:w="1817" w:type="pct"/>
            <w:hideMark/>
          </w:tcPr>
          <w:p w:rsidR="00DD56B8" w:rsidRDefault="00DD56B8" w:rsidP="00E911C8">
            <w:pPr>
              <w:rPr>
                <w:sz w:val="18"/>
                <w:szCs w:val="18"/>
              </w:rPr>
            </w:pPr>
            <w:r>
              <w:rPr>
                <w:sz w:val="18"/>
                <w:szCs w:val="18"/>
              </w:rPr>
              <w:t xml:space="preserve">Net worth </w:t>
            </w:r>
            <w:proofErr w:type="spellStart"/>
            <w:r>
              <w:rPr>
                <w:sz w:val="18"/>
                <w:szCs w:val="18"/>
              </w:rPr>
              <w:t>p.r.p.a</w:t>
            </w:r>
            <w:proofErr w:type="spellEnd"/>
          </w:p>
        </w:tc>
        <w:tc>
          <w:tcPr>
            <w:tcW w:w="823" w:type="pct"/>
            <w:noWrap/>
            <w:hideMark/>
          </w:tcPr>
          <w:p w:rsidR="00DD56B8" w:rsidRPr="0006152C" w:rsidRDefault="00DD56B8" w:rsidP="00E911C8">
            <w:pPr>
              <w:jc w:val="right"/>
            </w:pPr>
            <w:r w:rsidRPr="0006152C">
              <w:t>$80,323</w:t>
            </w:r>
          </w:p>
        </w:tc>
        <w:tc>
          <w:tcPr>
            <w:tcW w:w="773" w:type="pct"/>
            <w:noWrap/>
            <w:hideMark/>
          </w:tcPr>
          <w:p w:rsidR="00DD56B8" w:rsidRPr="0006152C" w:rsidRDefault="00DD56B8" w:rsidP="00E911C8">
            <w:pPr>
              <w:jc w:val="right"/>
            </w:pPr>
            <w:r w:rsidRPr="0006152C">
              <w:t>$30,455</w:t>
            </w:r>
          </w:p>
        </w:tc>
        <w:tc>
          <w:tcPr>
            <w:tcW w:w="763" w:type="pct"/>
            <w:noWrap/>
            <w:hideMark/>
          </w:tcPr>
          <w:p w:rsidR="00DD56B8" w:rsidRPr="0006152C" w:rsidRDefault="00DD56B8" w:rsidP="00E911C8">
            <w:pPr>
              <w:jc w:val="right"/>
            </w:pPr>
            <w:r w:rsidRPr="0006152C">
              <w:t>$119,438</w:t>
            </w:r>
          </w:p>
        </w:tc>
        <w:tc>
          <w:tcPr>
            <w:tcW w:w="824" w:type="pct"/>
            <w:noWrap/>
            <w:hideMark/>
          </w:tcPr>
          <w:p w:rsidR="00DD56B8" w:rsidRPr="0006152C" w:rsidRDefault="00DD56B8" w:rsidP="00E911C8">
            <w:pPr>
              <w:jc w:val="right"/>
            </w:pPr>
            <w:r w:rsidRPr="0006152C">
              <w:t>$62,756</w:t>
            </w:r>
          </w:p>
        </w:tc>
      </w:tr>
      <w:tr w:rsidR="00DD56B8" w:rsidTr="00E911C8">
        <w:trPr>
          <w:trHeight w:val="113"/>
        </w:trPr>
        <w:tc>
          <w:tcPr>
            <w:tcW w:w="1817" w:type="pct"/>
            <w:hideMark/>
          </w:tcPr>
          <w:p w:rsidR="00DD56B8" w:rsidRDefault="00DD56B8" w:rsidP="00E911C8">
            <w:pPr>
              <w:rPr>
                <w:sz w:val="18"/>
                <w:szCs w:val="18"/>
              </w:rPr>
            </w:pPr>
            <w:r>
              <w:rPr>
                <w:sz w:val="18"/>
                <w:szCs w:val="18"/>
              </w:rPr>
              <w:t xml:space="preserve">Working capital </w:t>
            </w:r>
            <w:proofErr w:type="spellStart"/>
            <w:r>
              <w:rPr>
                <w:sz w:val="18"/>
                <w:szCs w:val="18"/>
              </w:rPr>
              <w:t>p.r.p.a</w:t>
            </w:r>
            <w:proofErr w:type="spellEnd"/>
          </w:p>
        </w:tc>
        <w:tc>
          <w:tcPr>
            <w:tcW w:w="823" w:type="pct"/>
            <w:noWrap/>
            <w:hideMark/>
          </w:tcPr>
          <w:p w:rsidR="00DD56B8" w:rsidRPr="0006152C" w:rsidRDefault="00DD56B8" w:rsidP="00E911C8">
            <w:pPr>
              <w:jc w:val="right"/>
            </w:pPr>
            <w:r w:rsidRPr="0006152C">
              <w:rPr>
                <w:color w:val="FF0000"/>
              </w:rPr>
              <w:t>$</w:t>
            </w:r>
            <w:r w:rsidR="00D8721E">
              <w:rPr>
                <w:color w:val="FF0000"/>
              </w:rPr>
              <w:t>–7</w:t>
            </w:r>
            <w:r w:rsidRPr="0006152C">
              <w:rPr>
                <w:color w:val="FF0000"/>
              </w:rPr>
              <w:t>2,224</w:t>
            </w:r>
          </w:p>
        </w:tc>
        <w:tc>
          <w:tcPr>
            <w:tcW w:w="773" w:type="pct"/>
            <w:noWrap/>
            <w:hideMark/>
          </w:tcPr>
          <w:p w:rsidR="00DD56B8" w:rsidRPr="0006152C" w:rsidRDefault="00D8721E" w:rsidP="00E911C8">
            <w:pPr>
              <w:jc w:val="right"/>
              <w:rPr>
                <w:color w:val="FF0000"/>
              </w:rPr>
            </w:pPr>
            <w:r>
              <w:rPr>
                <w:color w:val="FF0000"/>
              </w:rPr>
              <w:t>–1</w:t>
            </w:r>
            <w:r w:rsidR="00DD56B8" w:rsidRPr="0006152C">
              <w:rPr>
                <w:color w:val="FF0000"/>
              </w:rPr>
              <w:t>39,194</w:t>
            </w:r>
          </w:p>
        </w:tc>
        <w:tc>
          <w:tcPr>
            <w:tcW w:w="763" w:type="pct"/>
            <w:noWrap/>
            <w:hideMark/>
          </w:tcPr>
          <w:p w:rsidR="00DD56B8" w:rsidRPr="0006152C" w:rsidRDefault="00D8721E" w:rsidP="00E911C8">
            <w:pPr>
              <w:jc w:val="right"/>
              <w:rPr>
                <w:color w:val="FF0000"/>
              </w:rPr>
            </w:pPr>
            <w:r>
              <w:rPr>
                <w:color w:val="FF0000"/>
              </w:rPr>
              <w:t>–9</w:t>
            </w:r>
            <w:r w:rsidR="00DD56B8" w:rsidRPr="0006152C">
              <w:rPr>
                <w:color w:val="FF0000"/>
              </w:rPr>
              <w:t>,416</w:t>
            </w:r>
          </w:p>
        </w:tc>
        <w:tc>
          <w:tcPr>
            <w:tcW w:w="824" w:type="pct"/>
            <w:noWrap/>
            <w:hideMark/>
          </w:tcPr>
          <w:p w:rsidR="00DD56B8" w:rsidRPr="0006152C" w:rsidRDefault="00DD56B8" w:rsidP="00E911C8">
            <w:pPr>
              <w:jc w:val="right"/>
              <w:rPr>
                <w:color w:val="FF0000"/>
              </w:rPr>
            </w:pPr>
            <w:r w:rsidRPr="0006152C">
              <w:rPr>
                <w:color w:val="FF0000"/>
              </w:rPr>
              <w:t>-$95,366</w:t>
            </w:r>
          </w:p>
        </w:tc>
      </w:tr>
      <w:tr w:rsidR="00DD56B8" w:rsidTr="00E911C8">
        <w:trPr>
          <w:trHeight w:val="113"/>
        </w:trPr>
        <w:tc>
          <w:tcPr>
            <w:tcW w:w="1817" w:type="pct"/>
            <w:noWrap/>
            <w:hideMark/>
          </w:tcPr>
          <w:p w:rsidR="00DD56B8" w:rsidRDefault="00DD56B8" w:rsidP="00E911C8">
            <w:pPr>
              <w:rPr>
                <w:sz w:val="18"/>
                <w:szCs w:val="18"/>
              </w:rPr>
            </w:pPr>
            <w:r>
              <w:rPr>
                <w:sz w:val="18"/>
                <w:szCs w:val="18"/>
              </w:rPr>
              <w:t>Non-current liabilities as % of total assets</w:t>
            </w:r>
          </w:p>
        </w:tc>
        <w:tc>
          <w:tcPr>
            <w:tcW w:w="823" w:type="pct"/>
            <w:noWrap/>
            <w:hideMark/>
          </w:tcPr>
          <w:p w:rsidR="00DD56B8" w:rsidRPr="0006152C" w:rsidRDefault="00DD56B8" w:rsidP="00E911C8">
            <w:pPr>
              <w:jc w:val="right"/>
            </w:pPr>
            <w:r w:rsidRPr="0006152C">
              <w:t>3.5%</w:t>
            </w:r>
          </w:p>
        </w:tc>
        <w:tc>
          <w:tcPr>
            <w:tcW w:w="773" w:type="pct"/>
            <w:noWrap/>
            <w:hideMark/>
          </w:tcPr>
          <w:p w:rsidR="00DD56B8" w:rsidRPr="0006152C" w:rsidRDefault="00DD56B8" w:rsidP="00E911C8">
            <w:pPr>
              <w:jc w:val="right"/>
            </w:pPr>
            <w:r w:rsidRPr="0006152C">
              <w:t>12.6%</w:t>
            </w:r>
          </w:p>
        </w:tc>
        <w:tc>
          <w:tcPr>
            <w:tcW w:w="763" w:type="pct"/>
            <w:noWrap/>
            <w:hideMark/>
          </w:tcPr>
          <w:p w:rsidR="00DD56B8" w:rsidRPr="0006152C" w:rsidRDefault="00DD56B8" w:rsidP="00E911C8">
            <w:pPr>
              <w:jc w:val="right"/>
            </w:pPr>
            <w:r w:rsidRPr="0006152C">
              <w:t>3.1%</w:t>
            </w:r>
          </w:p>
        </w:tc>
        <w:tc>
          <w:tcPr>
            <w:tcW w:w="824" w:type="pct"/>
            <w:noWrap/>
            <w:hideMark/>
          </w:tcPr>
          <w:p w:rsidR="00DD56B8" w:rsidRPr="0006152C" w:rsidRDefault="00DD56B8" w:rsidP="00E911C8">
            <w:pPr>
              <w:jc w:val="right"/>
            </w:pPr>
            <w:r w:rsidRPr="0006152C">
              <w:t>7.4%</w:t>
            </w:r>
          </w:p>
        </w:tc>
      </w:tr>
      <w:tr w:rsidR="00DD56B8" w:rsidTr="00E911C8">
        <w:trPr>
          <w:trHeight w:val="113"/>
        </w:trPr>
        <w:tc>
          <w:tcPr>
            <w:tcW w:w="1817" w:type="pct"/>
            <w:noWrap/>
            <w:hideMark/>
          </w:tcPr>
          <w:p w:rsidR="00DD56B8" w:rsidRDefault="00DD56B8" w:rsidP="00E911C8">
            <w:pPr>
              <w:rPr>
                <w:sz w:val="18"/>
                <w:szCs w:val="18"/>
              </w:rPr>
            </w:pPr>
            <w:r>
              <w:rPr>
                <w:sz w:val="18"/>
                <w:szCs w:val="18"/>
              </w:rPr>
              <w:t>RADs as % of total assets</w:t>
            </w:r>
          </w:p>
        </w:tc>
        <w:tc>
          <w:tcPr>
            <w:tcW w:w="823" w:type="pct"/>
            <w:noWrap/>
            <w:hideMark/>
          </w:tcPr>
          <w:p w:rsidR="00DD56B8" w:rsidRPr="0006152C" w:rsidRDefault="00DD56B8" w:rsidP="00E911C8">
            <w:pPr>
              <w:jc w:val="right"/>
            </w:pPr>
            <w:r w:rsidRPr="0006152C">
              <w:t>53.5%</w:t>
            </w:r>
          </w:p>
        </w:tc>
        <w:tc>
          <w:tcPr>
            <w:tcW w:w="773" w:type="pct"/>
            <w:noWrap/>
            <w:hideMark/>
          </w:tcPr>
          <w:p w:rsidR="00DD56B8" w:rsidRPr="0006152C" w:rsidRDefault="00DD56B8" w:rsidP="00E911C8">
            <w:pPr>
              <w:jc w:val="right"/>
            </w:pPr>
            <w:r w:rsidRPr="0006152C">
              <w:t>58.7%</w:t>
            </w:r>
          </w:p>
        </w:tc>
        <w:tc>
          <w:tcPr>
            <w:tcW w:w="763" w:type="pct"/>
            <w:noWrap/>
            <w:hideMark/>
          </w:tcPr>
          <w:p w:rsidR="00DD56B8" w:rsidRPr="0006152C" w:rsidRDefault="00DD56B8" w:rsidP="00E911C8">
            <w:pPr>
              <w:jc w:val="right"/>
            </w:pPr>
            <w:r w:rsidRPr="0006152C">
              <w:t>33.1%</w:t>
            </w:r>
          </w:p>
        </w:tc>
        <w:tc>
          <w:tcPr>
            <w:tcW w:w="824" w:type="pct"/>
            <w:noWrap/>
            <w:hideMark/>
          </w:tcPr>
          <w:p w:rsidR="00DD56B8" w:rsidRPr="0006152C" w:rsidRDefault="00DD56B8" w:rsidP="00E911C8">
            <w:pPr>
              <w:jc w:val="right"/>
            </w:pPr>
            <w:r w:rsidRPr="0006152C">
              <w:t>54.9%</w:t>
            </w:r>
          </w:p>
        </w:tc>
      </w:tr>
      <w:tr w:rsidR="00DD56B8" w:rsidTr="00E911C8">
        <w:trPr>
          <w:trHeight w:val="113"/>
        </w:trPr>
        <w:tc>
          <w:tcPr>
            <w:tcW w:w="1817" w:type="pct"/>
            <w:noWrap/>
            <w:hideMark/>
          </w:tcPr>
          <w:p w:rsidR="00DD56B8" w:rsidRDefault="00DD56B8" w:rsidP="00E911C8">
            <w:pPr>
              <w:rPr>
                <w:sz w:val="18"/>
                <w:szCs w:val="18"/>
              </w:rPr>
            </w:pPr>
            <w:r>
              <w:rPr>
                <w:sz w:val="18"/>
                <w:szCs w:val="18"/>
              </w:rPr>
              <w:t>Net worth as % total assets</w:t>
            </w:r>
          </w:p>
        </w:tc>
        <w:tc>
          <w:tcPr>
            <w:tcW w:w="823" w:type="pct"/>
            <w:noWrap/>
            <w:hideMark/>
          </w:tcPr>
          <w:p w:rsidR="00DD56B8" w:rsidRPr="0006152C" w:rsidRDefault="00DD56B8" w:rsidP="00E911C8">
            <w:pPr>
              <w:jc w:val="right"/>
            </w:pPr>
            <w:r w:rsidRPr="0006152C">
              <w:t>34.4%</w:t>
            </w:r>
          </w:p>
        </w:tc>
        <w:tc>
          <w:tcPr>
            <w:tcW w:w="773" w:type="pct"/>
            <w:noWrap/>
            <w:hideMark/>
          </w:tcPr>
          <w:p w:rsidR="00DD56B8" w:rsidRPr="0006152C" w:rsidRDefault="00DD56B8" w:rsidP="00E911C8">
            <w:pPr>
              <w:jc w:val="right"/>
            </w:pPr>
            <w:r w:rsidRPr="0006152C">
              <w:t>11.0%</w:t>
            </w:r>
          </w:p>
        </w:tc>
        <w:tc>
          <w:tcPr>
            <w:tcW w:w="763" w:type="pct"/>
            <w:noWrap/>
            <w:hideMark/>
          </w:tcPr>
          <w:p w:rsidR="00DD56B8" w:rsidRPr="0006152C" w:rsidRDefault="00DD56B8" w:rsidP="00E911C8">
            <w:pPr>
              <w:jc w:val="right"/>
            </w:pPr>
            <w:r w:rsidRPr="0006152C">
              <w:t>61.6%</w:t>
            </w:r>
          </w:p>
        </w:tc>
        <w:tc>
          <w:tcPr>
            <w:tcW w:w="824" w:type="pct"/>
            <w:noWrap/>
            <w:hideMark/>
          </w:tcPr>
          <w:p w:rsidR="00DD56B8" w:rsidRPr="0006152C" w:rsidRDefault="00DD56B8" w:rsidP="00E911C8">
            <w:pPr>
              <w:jc w:val="right"/>
            </w:pPr>
            <w:r w:rsidRPr="0006152C">
              <w:t>25.2%</w:t>
            </w:r>
          </w:p>
        </w:tc>
      </w:tr>
      <w:tr w:rsidR="00DD56B8" w:rsidTr="00E911C8">
        <w:trPr>
          <w:trHeight w:val="113"/>
        </w:trPr>
        <w:tc>
          <w:tcPr>
            <w:tcW w:w="1817" w:type="pct"/>
            <w:shd w:val="clear" w:color="auto" w:fill="E8E8E8" w:themeFill="background2"/>
            <w:noWrap/>
            <w:hideMark/>
          </w:tcPr>
          <w:p w:rsidR="00DD56B8" w:rsidRPr="00596D01" w:rsidRDefault="00DD56B8" w:rsidP="00E911C8">
            <w:pPr>
              <w:rPr>
                <w:rStyle w:val="Strong"/>
              </w:rPr>
            </w:pPr>
            <w:r w:rsidRPr="00596D01">
              <w:rPr>
                <w:rStyle w:val="Strong"/>
              </w:rPr>
              <w:t>Viability</w:t>
            </w:r>
          </w:p>
        </w:tc>
        <w:tc>
          <w:tcPr>
            <w:tcW w:w="823" w:type="pct"/>
            <w:shd w:val="clear" w:color="auto" w:fill="E8E8E8" w:themeFill="background2"/>
            <w:noWrap/>
            <w:hideMark/>
          </w:tcPr>
          <w:p w:rsidR="00DD56B8" w:rsidRPr="0006152C" w:rsidRDefault="00DD56B8" w:rsidP="00E911C8">
            <w:pPr>
              <w:jc w:val="right"/>
            </w:pPr>
            <w:r w:rsidRPr="0006152C">
              <w:t> </w:t>
            </w:r>
          </w:p>
        </w:tc>
        <w:tc>
          <w:tcPr>
            <w:tcW w:w="773" w:type="pct"/>
            <w:shd w:val="clear" w:color="auto" w:fill="E8E8E8" w:themeFill="background2"/>
            <w:noWrap/>
            <w:hideMark/>
          </w:tcPr>
          <w:p w:rsidR="00DD56B8" w:rsidRPr="0006152C" w:rsidRDefault="00DD56B8" w:rsidP="00E911C8">
            <w:pPr>
              <w:jc w:val="right"/>
            </w:pPr>
            <w:r w:rsidRPr="0006152C">
              <w:t> </w:t>
            </w:r>
          </w:p>
        </w:tc>
        <w:tc>
          <w:tcPr>
            <w:tcW w:w="763" w:type="pct"/>
            <w:shd w:val="clear" w:color="auto" w:fill="E8E8E8" w:themeFill="background2"/>
            <w:noWrap/>
            <w:hideMark/>
          </w:tcPr>
          <w:p w:rsidR="00DD56B8" w:rsidRPr="0006152C" w:rsidRDefault="00DD56B8" w:rsidP="00E911C8">
            <w:pPr>
              <w:jc w:val="right"/>
            </w:pPr>
            <w:r w:rsidRPr="0006152C">
              <w:t> </w:t>
            </w:r>
          </w:p>
        </w:tc>
        <w:tc>
          <w:tcPr>
            <w:tcW w:w="824"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817" w:type="pct"/>
            <w:noWrap/>
            <w:hideMark/>
          </w:tcPr>
          <w:p w:rsidR="00DD56B8" w:rsidRDefault="00DD56B8" w:rsidP="00E911C8">
            <w:pPr>
              <w:rPr>
                <w:sz w:val="18"/>
                <w:szCs w:val="18"/>
              </w:rPr>
            </w:pPr>
            <w:r>
              <w:rPr>
                <w:sz w:val="18"/>
                <w:szCs w:val="18"/>
              </w:rPr>
              <w:t>Current ratio</w:t>
            </w:r>
          </w:p>
        </w:tc>
        <w:tc>
          <w:tcPr>
            <w:tcW w:w="823" w:type="pct"/>
            <w:noWrap/>
            <w:hideMark/>
          </w:tcPr>
          <w:p w:rsidR="00DD56B8" w:rsidRPr="0006152C" w:rsidRDefault="00DD56B8" w:rsidP="00E911C8">
            <w:pPr>
              <w:jc w:val="right"/>
            </w:pPr>
            <w:r w:rsidRPr="0006152C">
              <w:t>0.50</w:t>
            </w:r>
          </w:p>
        </w:tc>
        <w:tc>
          <w:tcPr>
            <w:tcW w:w="773" w:type="pct"/>
            <w:noWrap/>
            <w:hideMark/>
          </w:tcPr>
          <w:p w:rsidR="00DD56B8" w:rsidRPr="0006152C" w:rsidRDefault="00DD56B8" w:rsidP="00E911C8">
            <w:pPr>
              <w:jc w:val="right"/>
            </w:pPr>
            <w:r w:rsidRPr="0006152C">
              <w:t>0.35</w:t>
            </w:r>
          </w:p>
        </w:tc>
        <w:tc>
          <w:tcPr>
            <w:tcW w:w="763" w:type="pct"/>
            <w:noWrap/>
            <w:hideMark/>
          </w:tcPr>
          <w:p w:rsidR="00DD56B8" w:rsidRPr="0006152C" w:rsidRDefault="00DD56B8" w:rsidP="00E911C8">
            <w:pPr>
              <w:jc w:val="right"/>
            </w:pPr>
            <w:r w:rsidRPr="0006152C">
              <w:t>0.87</w:t>
            </w:r>
          </w:p>
        </w:tc>
        <w:tc>
          <w:tcPr>
            <w:tcW w:w="824" w:type="pct"/>
            <w:noWrap/>
            <w:hideMark/>
          </w:tcPr>
          <w:p w:rsidR="00DD56B8" w:rsidRPr="0006152C" w:rsidRDefault="00DD56B8" w:rsidP="00E911C8">
            <w:pPr>
              <w:jc w:val="right"/>
            </w:pPr>
            <w:r w:rsidRPr="0006152C">
              <w:t>0.43</w:t>
            </w:r>
          </w:p>
        </w:tc>
      </w:tr>
      <w:tr w:rsidR="00DD56B8" w:rsidTr="00E911C8">
        <w:trPr>
          <w:trHeight w:val="113"/>
        </w:trPr>
        <w:tc>
          <w:tcPr>
            <w:tcW w:w="1817" w:type="pct"/>
            <w:noWrap/>
            <w:hideMark/>
          </w:tcPr>
          <w:p w:rsidR="00DD56B8" w:rsidRDefault="00DD56B8" w:rsidP="00E911C8">
            <w:pPr>
              <w:rPr>
                <w:sz w:val="18"/>
                <w:szCs w:val="18"/>
              </w:rPr>
            </w:pPr>
            <w:r>
              <w:rPr>
                <w:sz w:val="18"/>
                <w:szCs w:val="18"/>
              </w:rPr>
              <w:t>Interest coverage</w:t>
            </w:r>
          </w:p>
        </w:tc>
        <w:tc>
          <w:tcPr>
            <w:tcW w:w="823" w:type="pct"/>
            <w:noWrap/>
            <w:hideMark/>
          </w:tcPr>
          <w:p w:rsidR="00DD56B8" w:rsidRPr="0006152C" w:rsidRDefault="00DD56B8" w:rsidP="00E911C8">
            <w:pPr>
              <w:jc w:val="right"/>
            </w:pPr>
            <w:r w:rsidRPr="0006152C">
              <w:t>22.3 times</w:t>
            </w:r>
          </w:p>
        </w:tc>
        <w:tc>
          <w:tcPr>
            <w:tcW w:w="773" w:type="pct"/>
            <w:noWrap/>
            <w:hideMark/>
          </w:tcPr>
          <w:p w:rsidR="00DD56B8" w:rsidRPr="0006152C" w:rsidRDefault="00DD56B8" w:rsidP="00E911C8">
            <w:pPr>
              <w:jc w:val="right"/>
            </w:pPr>
            <w:r w:rsidRPr="0006152C">
              <w:t>7.9 times</w:t>
            </w:r>
          </w:p>
        </w:tc>
        <w:tc>
          <w:tcPr>
            <w:tcW w:w="763" w:type="pct"/>
            <w:noWrap/>
            <w:hideMark/>
          </w:tcPr>
          <w:p w:rsidR="00DD56B8" w:rsidRPr="0006152C" w:rsidRDefault="00D8721E" w:rsidP="00E911C8">
            <w:pPr>
              <w:jc w:val="right"/>
            </w:pPr>
            <w:r>
              <w:t>–2</w:t>
            </w:r>
            <w:r w:rsidR="00DD56B8" w:rsidRPr="0006152C">
              <w:t>5.5 times</w:t>
            </w:r>
          </w:p>
        </w:tc>
        <w:tc>
          <w:tcPr>
            <w:tcW w:w="824" w:type="pct"/>
            <w:noWrap/>
            <w:hideMark/>
          </w:tcPr>
          <w:p w:rsidR="00DD56B8" w:rsidRPr="0006152C" w:rsidRDefault="00DD56B8" w:rsidP="00E911C8">
            <w:pPr>
              <w:jc w:val="right"/>
            </w:pPr>
            <w:r w:rsidRPr="0006152C">
              <w:t>12.1 times</w:t>
            </w:r>
          </w:p>
        </w:tc>
      </w:tr>
      <w:tr w:rsidR="00DD56B8" w:rsidTr="00E911C8">
        <w:trPr>
          <w:trHeight w:val="113"/>
        </w:trPr>
        <w:tc>
          <w:tcPr>
            <w:tcW w:w="1817" w:type="pct"/>
            <w:noWrap/>
          </w:tcPr>
          <w:p w:rsidR="00DD56B8" w:rsidRDefault="00DD56B8" w:rsidP="00E911C8">
            <w:pPr>
              <w:rPr>
                <w:sz w:val="18"/>
                <w:szCs w:val="18"/>
              </w:rPr>
            </w:pPr>
            <w:r>
              <w:rPr>
                <w:sz w:val="18"/>
                <w:szCs w:val="18"/>
              </w:rPr>
              <w:t>NPBT margin</w:t>
            </w:r>
          </w:p>
        </w:tc>
        <w:tc>
          <w:tcPr>
            <w:tcW w:w="823" w:type="pct"/>
            <w:noWrap/>
          </w:tcPr>
          <w:p w:rsidR="00DD56B8" w:rsidRPr="0006152C" w:rsidRDefault="00DD56B8" w:rsidP="00E911C8">
            <w:pPr>
              <w:jc w:val="right"/>
            </w:pPr>
            <w:r w:rsidRPr="0006152C">
              <w:t>5.4%</w:t>
            </w:r>
          </w:p>
        </w:tc>
        <w:tc>
          <w:tcPr>
            <w:tcW w:w="773" w:type="pct"/>
            <w:noWrap/>
          </w:tcPr>
          <w:p w:rsidR="00DD56B8" w:rsidRPr="0006152C" w:rsidRDefault="00DD56B8" w:rsidP="00E911C8">
            <w:pPr>
              <w:jc w:val="right"/>
            </w:pPr>
            <w:r w:rsidRPr="0006152C">
              <w:t>7.9%</w:t>
            </w:r>
          </w:p>
        </w:tc>
        <w:tc>
          <w:tcPr>
            <w:tcW w:w="763" w:type="pct"/>
            <w:noWrap/>
          </w:tcPr>
          <w:p w:rsidR="00DD56B8" w:rsidRPr="0006152C" w:rsidRDefault="00D8721E" w:rsidP="00E911C8">
            <w:pPr>
              <w:jc w:val="right"/>
            </w:pPr>
            <w:r>
              <w:rPr>
                <w:color w:val="FF0000"/>
              </w:rPr>
              <w:t>–9</w:t>
            </w:r>
            <w:r w:rsidR="00DD56B8" w:rsidRPr="0006152C">
              <w:rPr>
                <w:color w:val="FF0000"/>
              </w:rPr>
              <w:t>.7%</w:t>
            </w:r>
          </w:p>
        </w:tc>
        <w:tc>
          <w:tcPr>
            <w:tcW w:w="824" w:type="pct"/>
            <w:noWrap/>
          </w:tcPr>
          <w:p w:rsidR="00DD56B8" w:rsidRPr="0006152C" w:rsidRDefault="00DD56B8" w:rsidP="00E911C8">
            <w:pPr>
              <w:jc w:val="right"/>
            </w:pPr>
            <w:r w:rsidRPr="0006152C">
              <w:t>5.7%</w:t>
            </w:r>
          </w:p>
        </w:tc>
      </w:tr>
      <w:tr w:rsidR="00DD56B8" w:rsidTr="00E911C8">
        <w:trPr>
          <w:trHeight w:val="113"/>
        </w:trPr>
        <w:tc>
          <w:tcPr>
            <w:tcW w:w="1817" w:type="pct"/>
            <w:noWrap/>
            <w:hideMark/>
          </w:tcPr>
          <w:p w:rsidR="00DD56B8" w:rsidRDefault="00DD56B8" w:rsidP="00E911C8">
            <w:r>
              <w:t>Occupancy</w:t>
            </w:r>
          </w:p>
        </w:tc>
        <w:tc>
          <w:tcPr>
            <w:tcW w:w="823" w:type="pct"/>
            <w:noWrap/>
            <w:hideMark/>
          </w:tcPr>
          <w:p w:rsidR="00DD56B8" w:rsidRPr="0006152C" w:rsidRDefault="00DD56B8" w:rsidP="00E911C8">
            <w:pPr>
              <w:jc w:val="right"/>
            </w:pPr>
            <w:r w:rsidRPr="0006152C">
              <w:t>93.1%</w:t>
            </w:r>
          </w:p>
        </w:tc>
        <w:tc>
          <w:tcPr>
            <w:tcW w:w="773" w:type="pct"/>
            <w:noWrap/>
            <w:hideMark/>
          </w:tcPr>
          <w:p w:rsidR="00DD56B8" w:rsidRPr="0006152C" w:rsidRDefault="00DD56B8" w:rsidP="00E911C8">
            <w:pPr>
              <w:jc w:val="right"/>
            </w:pPr>
            <w:r w:rsidRPr="0006152C">
              <w:t>90.1%</w:t>
            </w:r>
          </w:p>
        </w:tc>
        <w:tc>
          <w:tcPr>
            <w:tcW w:w="763" w:type="pct"/>
            <w:noWrap/>
            <w:hideMark/>
          </w:tcPr>
          <w:p w:rsidR="00DD56B8" w:rsidRPr="0006152C" w:rsidRDefault="00DD56B8" w:rsidP="00E911C8">
            <w:pPr>
              <w:jc w:val="right"/>
            </w:pPr>
            <w:r w:rsidRPr="0006152C">
              <w:t>90.3%</w:t>
            </w:r>
          </w:p>
        </w:tc>
        <w:tc>
          <w:tcPr>
            <w:tcW w:w="824" w:type="pct"/>
            <w:noWrap/>
            <w:hideMark/>
          </w:tcPr>
          <w:p w:rsidR="00DD56B8" w:rsidRPr="0006152C" w:rsidRDefault="00DD56B8" w:rsidP="00E911C8">
            <w:pPr>
              <w:jc w:val="right"/>
            </w:pPr>
            <w:r w:rsidRPr="0006152C">
              <w:t>91.8%</w:t>
            </w:r>
          </w:p>
        </w:tc>
      </w:tr>
      <w:tr w:rsidR="00DD56B8" w:rsidTr="00E911C8">
        <w:trPr>
          <w:trHeight w:val="113"/>
        </w:trPr>
        <w:tc>
          <w:tcPr>
            <w:tcW w:w="1817" w:type="pct"/>
            <w:noWrap/>
            <w:hideMark/>
          </w:tcPr>
          <w:p w:rsidR="00DD56B8" w:rsidRPr="001C1414" w:rsidRDefault="00DD56B8" w:rsidP="00E911C8">
            <w:pPr>
              <w:rPr>
                <w:sz w:val="18"/>
                <w:szCs w:val="18"/>
              </w:rPr>
            </w:pPr>
            <w:r w:rsidRPr="001C1414">
              <w:rPr>
                <w:sz w:val="18"/>
                <w:szCs w:val="18"/>
              </w:rPr>
              <w:t>%</w:t>
            </w:r>
            <w:r>
              <w:rPr>
                <w:sz w:val="18"/>
                <w:szCs w:val="18"/>
              </w:rPr>
              <w:t xml:space="preserve"> </w:t>
            </w:r>
            <w:r w:rsidRPr="001C1414">
              <w:rPr>
                <w:sz w:val="18"/>
                <w:szCs w:val="18"/>
              </w:rPr>
              <w:t xml:space="preserve">EBITDA to </w:t>
            </w:r>
            <w:r>
              <w:rPr>
                <w:sz w:val="18"/>
                <w:szCs w:val="18"/>
              </w:rPr>
              <w:t>total a</w:t>
            </w:r>
            <w:r w:rsidRPr="001C1414">
              <w:rPr>
                <w:sz w:val="18"/>
                <w:szCs w:val="18"/>
              </w:rPr>
              <w:t>ssets</w:t>
            </w:r>
          </w:p>
        </w:tc>
        <w:tc>
          <w:tcPr>
            <w:tcW w:w="823" w:type="pct"/>
            <w:noWrap/>
            <w:hideMark/>
          </w:tcPr>
          <w:p w:rsidR="00DD56B8" w:rsidRPr="0006152C" w:rsidRDefault="00DD56B8" w:rsidP="00E911C8">
            <w:pPr>
              <w:jc w:val="right"/>
            </w:pPr>
            <w:r w:rsidRPr="0006152C">
              <w:t>4.9%</w:t>
            </w:r>
          </w:p>
        </w:tc>
        <w:tc>
          <w:tcPr>
            <w:tcW w:w="773" w:type="pct"/>
            <w:noWrap/>
            <w:hideMark/>
          </w:tcPr>
          <w:p w:rsidR="00DD56B8" w:rsidRPr="0006152C" w:rsidRDefault="00DD56B8" w:rsidP="00E911C8">
            <w:pPr>
              <w:jc w:val="right"/>
            </w:pPr>
            <w:r w:rsidRPr="0006152C">
              <w:t>4.8%</w:t>
            </w:r>
          </w:p>
        </w:tc>
        <w:tc>
          <w:tcPr>
            <w:tcW w:w="763" w:type="pct"/>
            <w:noWrap/>
            <w:hideMark/>
          </w:tcPr>
          <w:p w:rsidR="00DD56B8" w:rsidRPr="0006152C" w:rsidRDefault="00D8721E" w:rsidP="00E911C8">
            <w:pPr>
              <w:jc w:val="right"/>
              <w:rPr>
                <w:color w:val="FF0000"/>
              </w:rPr>
            </w:pPr>
            <w:r>
              <w:rPr>
                <w:color w:val="FF0000"/>
              </w:rPr>
              <w:t>–1</w:t>
            </w:r>
            <w:r w:rsidR="00DD56B8" w:rsidRPr="0006152C">
              <w:rPr>
                <w:color w:val="FF0000"/>
              </w:rPr>
              <w:t>.9%</w:t>
            </w:r>
          </w:p>
        </w:tc>
        <w:tc>
          <w:tcPr>
            <w:tcW w:w="824" w:type="pct"/>
            <w:noWrap/>
            <w:hideMark/>
          </w:tcPr>
          <w:p w:rsidR="00DD56B8" w:rsidRPr="0006152C" w:rsidRDefault="00DD56B8" w:rsidP="00E911C8">
            <w:pPr>
              <w:jc w:val="right"/>
            </w:pPr>
            <w:r w:rsidRPr="0006152C">
              <w:t>4.6%</w:t>
            </w:r>
          </w:p>
        </w:tc>
      </w:tr>
      <w:tr w:rsidR="00DD56B8" w:rsidTr="00E911C8">
        <w:trPr>
          <w:trHeight w:val="113"/>
        </w:trPr>
        <w:tc>
          <w:tcPr>
            <w:tcW w:w="1817" w:type="pct"/>
            <w:noWrap/>
            <w:hideMark/>
          </w:tcPr>
          <w:p w:rsidR="00DD56B8" w:rsidRDefault="00DD56B8" w:rsidP="00E911C8">
            <w:pPr>
              <w:rPr>
                <w:sz w:val="18"/>
                <w:szCs w:val="18"/>
              </w:rPr>
            </w:pPr>
            <w:r>
              <w:rPr>
                <w:sz w:val="18"/>
                <w:szCs w:val="18"/>
              </w:rPr>
              <w:t>% EBITDA to net worth</w:t>
            </w:r>
          </w:p>
        </w:tc>
        <w:tc>
          <w:tcPr>
            <w:tcW w:w="823" w:type="pct"/>
            <w:noWrap/>
            <w:hideMark/>
          </w:tcPr>
          <w:p w:rsidR="00DD56B8" w:rsidRPr="0006152C" w:rsidRDefault="00DD56B8" w:rsidP="00E911C8">
            <w:pPr>
              <w:jc w:val="right"/>
            </w:pPr>
            <w:r w:rsidRPr="0006152C">
              <w:t>14.2%</w:t>
            </w:r>
          </w:p>
        </w:tc>
        <w:tc>
          <w:tcPr>
            <w:tcW w:w="773" w:type="pct"/>
            <w:noWrap/>
            <w:hideMark/>
          </w:tcPr>
          <w:p w:rsidR="00DD56B8" w:rsidRPr="0006152C" w:rsidRDefault="00DD56B8" w:rsidP="00E911C8">
            <w:pPr>
              <w:jc w:val="right"/>
            </w:pPr>
            <w:r w:rsidRPr="0006152C">
              <w:t>43.7%</w:t>
            </w:r>
          </w:p>
        </w:tc>
        <w:tc>
          <w:tcPr>
            <w:tcW w:w="763" w:type="pct"/>
            <w:noWrap/>
            <w:hideMark/>
          </w:tcPr>
          <w:p w:rsidR="00DD56B8" w:rsidRPr="0006152C" w:rsidRDefault="00D8721E" w:rsidP="00E911C8">
            <w:pPr>
              <w:jc w:val="right"/>
              <w:rPr>
                <w:color w:val="FF0000"/>
              </w:rPr>
            </w:pPr>
            <w:r>
              <w:rPr>
                <w:color w:val="FF0000"/>
              </w:rPr>
              <w:t>–3</w:t>
            </w:r>
            <w:r w:rsidR="00DD56B8" w:rsidRPr="0006152C">
              <w:rPr>
                <w:color w:val="FF0000"/>
              </w:rPr>
              <w:t>.2%</w:t>
            </w:r>
          </w:p>
        </w:tc>
        <w:tc>
          <w:tcPr>
            <w:tcW w:w="824" w:type="pct"/>
            <w:noWrap/>
            <w:hideMark/>
          </w:tcPr>
          <w:p w:rsidR="00DD56B8" w:rsidRPr="0006152C" w:rsidRDefault="00DD56B8" w:rsidP="00E911C8">
            <w:pPr>
              <w:jc w:val="right"/>
            </w:pPr>
            <w:r w:rsidRPr="0006152C">
              <w:t>18.3%</w:t>
            </w:r>
          </w:p>
        </w:tc>
      </w:tr>
      <w:tr w:rsidR="00DD56B8" w:rsidTr="00E911C8">
        <w:trPr>
          <w:trHeight w:val="113"/>
        </w:trPr>
        <w:tc>
          <w:tcPr>
            <w:tcW w:w="1817" w:type="pct"/>
            <w:noWrap/>
            <w:hideMark/>
          </w:tcPr>
          <w:p w:rsidR="00DD56B8" w:rsidRDefault="00DD56B8" w:rsidP="00E911C8">
            <w:pPr>
              <w:rPr>
                <w:sz w:val="18"/>
                <w:szCs w:val="18"/>
              </w:rPr>
            </w:pPr>
            <w:r>
              <w:rPr>
                <w:sz w:val="18"/>
                <w:szCs w:val="18"/>
              </w:rPr>
              <w:t>RADs asset cover (T.A.)</w:t>
            </w:r>
          </w:p>
        </w:tc>
        <w:tc>
          <w:tcPr>
            <w:tcW w:w="823" w:type="pct"/>
            <w:noWrap/>
            <w:hideMark/>
          </w:tcPr>
          <w:p w:rsidR="00DD56B8" w:rsidRPr="0006152C" w:rsidRDefault="00DD56B8" w:rsidP="00E911C8">
            <w:pPr>
              <w:jc w:val="right"/>
            </w:pPr>
            <w:r w:rsidRPr="0006152C">
              <w:t>1.9 times</w:t>
            </w:r>
          </w:p>
        </w:tc>
        <w:tc>
          <w:tcPr>
            <w:tcW w:w="773" w:type="pct"/>
            <w:noWrap/>
            <w:hideMark/>
          </w:tcPr>
          <w:p w:rsidR="00DD56B8" w:rsidRPr="0006152C" w:rsidRDefault="00DD56B8" w:rsidP="00E911C8">
            <w:pPr>
              <w:jc w:val="right"/>
            </w:pPr>
            <w:r w:rsidRPr="0006152C">
              <w:t>1.7 times</w:t>
            </w:r>
          </w:p>
        </w:tc>
        <w:tc>
          <w:tcPr>
            <w:tcW w:w="763" w:type="pct"/>
            <w:noWrap/>
            <w:hideMark/>
          </w:tcPr>
          <w:p w:rsidR="00DD56B8" w:rsidRPr="0006152C" w:rsidRDefault="00DD56B8" w:rsidP="00E911C8">
            <w:pPr>
              <w:jc w:val="right"/>
            </w:pPr>
            <w:r w:rsidRPr="0006152C">
              <w:t>3.0 times</w:t>
            </w:r>
          </w:p>
        </w:tc>
        <w:tc>
          <w:tcPr>
            <w:tcW w:w="824" w:type="pct"/>
            <w:noWrap/>
            <w:hideMark/>
          </w:tcPr>
          <w:p w:rsidR="00DD56B8" w:rsidRPr="0006152C" w:rsidRDefault="00DD56B8" w:rsidP="00E911C8">
            <w:pPr>
              <w:jc w:val="right"/>
            </w:pPr>
            <w:r w:rsidRPr="0006152C">
              <w:t>1.8 times</w:t>
            </w:r>
          </w:p>
        </w:tc>
      </w:tr>
    </w:tbl>
    <w:p w:rsidR="00E911C8" w:rsidRDefault="00E911C8" w:rsidP="00E911C8"/>
    <w:p w:rsidR="00E911C8" w:rsidRDefault="00E911C8">
      <w:pPr>
        <w:suppressAutoHyphens w:val="0"/>
        <w:spacing w:before="60" w:after="0"/>
        <w:jc w:val="both"/>
      </w:pPr>
      <w:r>
        <w:br w:type="page"/>
      </w:r>
    </w:p>
    <w:p w:rsidR="005E65C6" w:rsidRPr="00596D01" w:rsidRDefault="00B76326" w:rsidP="00E911C8">
      <w:pPr>
        <w:pStyle w:val="AppendixTable"/>
      </w:pPr>
      <w:r w:rsidRPr="00596D01">
        <w:lastRenderedPageBreak/>
        <w:t xml:space="preserve">Financial ratios </w:t>
      </w:r>
      <w:r w:rsidR="008E31D3" w:rsidRPr="00596D01">
        <w:t>for not-for-profit providers,</w:t>
      </w:r>
      <w:r w:rsidR="00A261F3" w:rsidRPr="00596D01">
        <w:t> 201</w:t>
      </w:r>
      <w:r w:rsidR="00D85650" w:rsidRPr="00596D01">
        <w:t>6</w:t>
      </w:r>
      <w:r w:rsidR="00D8721E" w:rsidRPr="00596D01">
        <w:t>–1</w:t>
      </w:r>
      <w:r w:rsidR="00D85650"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48"/>
        <w:gridCol w:w="1361"/>
        <w:gridCol w:w="1246"/>
        <w:gridCol w:w="1515"/>
        <w:gridCol w:w="1323"/>
        <w:gridCol w:w="1535"/>
      </w:tblGrid>
      <w:tr w:rsidR="00D8565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375" w:type="pct"/>
            <w:noWrap/>
            <w:hideMark/>
          </w:tcPr>
          <w:p w:rsidR="00D85650" w:rsidRDefault="00D85650" w:rsidP="00E911C8">
            <w:r>
              <w:t> </w:t>
            </w:r>
          </w:p>
        </w:tc>
        <w:tc>
          <w:tcPr>
            <w:tcW w:w="707" w:type="pct"/>
            <w:hideMark/>
          </w:tcPr>
          <w:p w:rsidR="00D85650" w:rsidRDefault="00D85650" w:rsidP="00E911C8">
            <w:pPr>
              <w:jc w:val="right"/>
              <w:rPr>
                <w:sz w:val="22"/>
                <w:szCs w:val="22"/>
              </w:rPr>
            </w:pPr>
            <w:r w:rsidRPr="00596D01">
              <w:t>Top</w:t>
            </w:r>
          </w:p>
        </w:tc>
        <w:tc>
          <w:tcPr>
            <w:tcW w:w="647" w:type="pct"/>
            <w:hideMark/>
          </w:tcPr>
          <w:p w:rsidR="00D85650" w:rsidRDefault="00D85650" w:rsidP="00E911C8">
            <w:pPr>
              <w:jc w:val="right"/>
              <w:rPr>
                <w:sz w:val="22"/>
                <w:szCs w:val="22"/>
              </w:rPr>
            </w:pPr>
            <w:r w:rsidRPr="00596D01">
              <w:t>Next top</w:t>
            </w:r>
          </w:p>
        </w:tc>
        <w:tc>
          <w:tcPr>
            <w:tcW w:w="787" w:type="pct"/>
            <w:hideMark/>
          </w:tcPr>
          <w:p w:rsidR="00D85650" w:rsidRDefault="00D85650" w:rsidP="00E911C8">
            <w:pPr>
              <w:jc w:val="right"/>
              <w:rPr>
                <w:sz w:val="22"/>
                <w:szCs w:val="22"/>
              </w:rPr>
            </w:pPr>
            <w:r w:rsidRPr="00596D01">
              <w:t>Next bottom</w:t>
            </w:r>
          </w:p>
        </w:tc>
        <w:tc>
          <w:tcPr>
            <w:tcW w:w="687" w:type="pct"/>
            <w:hideMark/>
          </w:tcPr>
          <w:p w:rsidR="00D85650" w:rsidRDefault="00D85650" w:rsidP="00E911C8">
            <w:pPr>
              <w:jc w:val="right"/>
              <w:rPr>
                <w:sz w:val="22"/>
                <w:szCs w:val="22"/>
              </w:rPr>
            </w:pPr>
            <w:r w:rsidRPr="00596D01">
              <w:t>Bottom</w:t>
            </w:r>
          </w:p>
        </w:tc>
        <w:tc>
          <w:tcPr>
            <w:tcW w:w="797" w:type="pct"/>
            <w:hideMark/>
          </w:tcPr>
          <w:p w:rsidR="00D85650" w:rsidRPr="00596D01" w:rsidRDefault="00D85650" w:rsidP="00E911C8">
            <w:pPr>
              <w:jc w:val="right"/>
            </w:pPr>
            <w:r w:rsidRPr="00596D01">
              <w:t>Total</w:t>
            </w:r>
          </w:p>
        </w:tc>
      </w:tr>
      <w:tr w:rsidR="00DD56B8" w:rsidTr="00E911C8">
        <w:trPr>
          <w:trHeight w:val="113"/>
        </w:trPr>
        <w:tc>
          <w:tcPr>
            <w:tcW w:w="1375" w:type="pct"/>
            <w:noWrap/>
            <w:hideMark/>
          </w:tcPr>
          <w:p w:rsidR="00DD56B8" w:rsidRDefault="00DD56B8" w:rsidP="00E911C8">
            <w:r>
              <w:t>No. of providers</w:t>
            </w:r>
          </w:p>
        </w:tc>
        <w:tc>
          <w:tcPr>
            <w:tcW w:w="707" w:type="pct"/>
            <w:noWrap/>
            <w:hideMark/>
          </w:tcPr>
          <w:p w:rsidR="00DD56B8" w:rsidRDefault="00DD56B8" w:rsidP="00E911C8">
            <w:pPr>
              <w:jc w:val="right"/>
            </w:pPr>
            <w:r>
              <w:t>113</w:t>
            </w:r>
          </w:p>
        </w:tc>
        <w:tc>
          <w:tcPr>
            <w:tcW w:w="647" w:type="pct"/>
            <w:noWrap/>
            <w:hideMark/>
          </w:tcPr>
          <w:p w:rsidR="00DD56B8" w:rsidRDefault="00DD56B8" w:rsidP="00E911C8">
            <w:pPr>
              <w:jc w:val="right"/>
            </w:pPr>
            <w:r>
              <w:t>135</w:t>
            </w:r>
          </w:p>
        </w:tc>
        <w:tc>
          <w:tcPr>
            <w:tcW w:w="787" w:type="pct"/>
            <w:noWrap/>
            <w:hideMark/>
          </w:tcPr>
          <w:p w:rsidR="00DD56B8" w:rsidRDefault="00DD56B8" w:rsidP="00E911C8">
            <w:pPr>
              <w:jc w:val="right"/>
            </w:pPr>
            <w:r>
              <w:t>144</w:t>
            </w:r>
          </w:p>
        </w:tc>
        <w:tc>
          <w:tcPr>
            <w:tcW w:w="687" w:type="pct"/>
            <w:noWrap/>
            <w:hideMark/>
          </w:tcPr>
          <w:p w:rsidR="00DD56B8" w:rsidRDefault="00DD56B8" w:rsidP="00E911C8">
            <w:pPr>
              <w:jc w:val="right"/>
            </w:pPr>
            <w:r>
              <w:t>106</w:t>
            </w:r>
          </w:p>
        </w:tc>
        <w:tc>
          <w:tcPr>
            <w:tcW w:w="797" w:type="pct"/>
            <w:noWrap/>
            <w:hideMark/>
          </w:tcPr>
          <w:p w:rsidR="00DD56B8" w:rsidRDefault="00DD56B8" w:rsidP="00E911C8">
            <w:pPr>
              <w:jc w:val="right"/>
            </w:pPr>
            <w:r>
              <w:t>498</w:t>
            </w:r>
          </w:p>
        </w:tc>
      </w:tr>
      <w:tr w:rsidR="00DD56B8" w:rsidTr="00E911C8">
        <w:trPr>
          <w:trHeight w:val="113"/>
        </w:trPr>
        <w:tc>
          <w:tcPr>
            <w:tcW w:w="1375" w:type="pct"/>
            <w:noWrap/>
            <w:hideMark/>
          </w:tcPr>
          <w:p w:rsidR="00DD56B8" w:rsidRDefault="00DD56B8" w:rsidP="00E911C8">
            <w:r>
              <w:t xml:space="preserve">EBITDA </w:t>
            </w:r>
            <w:proofErr w:type="spellStart"/>
            <w:r>
              <w:t>p.r.p.a</w:t>
            </w:r>
            <w:proofErr w:type="spellEnd"/>
          </w:p>
        </w:tc>
        <w:tc>
          <w:tcPr>
            <w:tcW w:w="707" w:type="pct"/>
            <w:noWrap/>
            <w:hideMark/>
          </w:tcPr>
          <w:p w:rsidR="00DD56B8" w:rsidRPr="0006152C" w:rsidRDefault="00DD56B8" w:rsidP="00E911C8">
            <w:pPr>
              <w:jc w:val="right"/>
            </w:pPr>
            <w:r w:rsidRPr="0006152C">
              <w:t>$29,206</w:t>
            </w:r>
          </w:p>
        </w:tc>
        <w:tc>
          <w:tcPr>
            <w:tcW w:w="647" w:type="pct"/>
            <w:noWrap/>
            <w:hideMark/>
          </w:tcPr>
          <w:p w:rsidR="00DD56B8" w:rsidRPr="0006152C" w:rsidRDefault="00DD56B8" w:rsidP="00E911C8">
            <w:pPr>
              <w:jc w:val="right"/>
            </w:pPr>
            <w:r w:rsidRPr="0006152C">
              <w:t>$11,941</w:t>
            </w:r>
          </w:p>
        </w:tc>
        <w:tc>
          <w:tcPr>
            <w:tcW w:w="787" w:type="pct"/>
            <w:noWrap/>
            <w:hideMark/>
          </w:tcPr>
          <w:p w:rsidR="00DD56B8" w:rsidRPr="0006152C" w:rsidRDefault="00DD56B8" w:rsidP="00E911C8">
            <w:pPr>
              <w:jc w:val="right"/>
            </w:pPr>
            <w:r w:rsidRPr="0006152C">
              <w:t>$5,794</w:t>
            </w:r>
          </w:p>
        </w:tc>
        <w:tc>
          <w:tcPr>
            <w:tcW w:w="687" w:type="pct"/>
            <w:noWrap/>
            <w:hideMark/>
          </w:tcPr>
          <w:p w:rsidR="00DD56B8" w:rsidRPr="0006152C" w:rsidRDefault="00DD56B8" w:rsidP="00E911C8">
            <w:pPr>
              <w:jc w:val="right"/>
            </w:pPr>
            <w:r w:rsidRPr="0006152C">
              <w:t>($2,113)</w:t>
            </w:r>
          </w:p>
        </w:tc>
        <w:tc>
          <w:tcPr>
            <w:tcW w:w="797" w:type="pct"/>
            <w:noWrap/>
            <w:hideMark/>
          </w:tcPr>
          <w:p w:rsidR="00DD56B8" w:rsidRPr="0006152C" w:rsidRDefault="00DD56B8" w:rsidP="00E911C8">
            <w:pPr>
              <w:jc w:val="right"/>
            </w:pPr>
            <w:r w:rsidRPr="0006152C">
              <w:t>$11,408</w:t>
            </w:r>
          </w:p>
        </w:tc>
      </w:tr>
      <w:tr w:rsidR="00DD56B8" w:rsidTr="00E911C8">
        <w:trPr>
          <w:trHeight w:val="113"/>
        </w:trPr>
        <w:tc>
          <w:tcPr>
            <w:tcW w:w="1375" w:type="pct"/>
            <w:shd w:val="clear" w:color="auto" w:fill="E8E8E8" w:themeFill="background2"/>
            <w:noWrap/>
            <w:hideMark/>
          </w:tcPr>
          <w:p w:rsidR="00DD56B8" w:rsidRPr="00596D01" w:rsidRDefault="00DD56B8" w:rsidP="00E911C8">
            <w:pPr>
              <w:rPr>
                <w:rStyle w:val="Strong"/>
              </w:rPr>
            </w:pPr>
            <w:r w:rsidRPr="00596D01">
              <w:rPr>
                <w:rStyle w:val="Strong"/>
              </w:rPr>
              <w:t>Capital structure</w:t>
            </w:r>
          </w:p>
        </w:tc>
        <w:tc>
          <w:tcPr>
            <w:tcW w:w="707" w:type="pct"/>
            <w:shd w:val="clear" w:color="auto" w:fill="E8E8E8" w:themeFill="background2"/>
            <w:noWrap/>
            <w:hideMark/>
          </w:tcPr>
          <w:p w:rsidR="00DD56B8" w:rsidRPr="0006152C" w:rsidRDefault="00DD56B8" w:rsidP="00E911C8">
            <w:pPr>
              <w:jc w:val="right"/>
            </w:pPr>
            <w:r w:rsidRPr="0006152C">
              <w:t> </w:t>
            </w:r>
          </w:p>
        </w:tc>
        <w:tc>
          <w:tcPr>
            <w:tcW w:w="647" w:type="pct"/>
            <w:shd w:val="clear" w:color="auto" w:fill="E8E8E8" w:themeFill="background2"/>
            <w:noWrap/>
            <w:hideMark/>
          </w:tcPr>
          <w:p w:rsidR="00DD56B8" w:rsidRPr="0006152C" w:rsidRDefault="00DD56B8" w:rsidP="00E911C8">
            <w:pPr>
              <w:jc w:val="right"/>
            </w:pPr>
            <w:r w:rsidRPr="0006152C">
              <w:t> </w:t>
            </w:r>
          </w:p>
        </w:tc>
        <w:tc>
          <w:tcPr>
            <w:tcW w:w="787" w:type="pct"/>
            <w:shd w:val="clear" w:color="auto" w:fill="E8E8E8" w:themeFill="background2"/>
            <w:noWrap/>
            <w:hideMark/>
          </w:tcPr>
          <w:p w:rsidR="00DD56B8" w:rsidRPr="0006152C" w:rsidRDefault="00DD56B8" w:rsidP="00E911C8">
            <w:pPr>
              <w:jc w:val="right"/>
            </w:pPr>
            <w:r w:rsidRPr="0006152C">
              <w:t> </w:t>
            </w:r>
          </w:p>
        </w:tc>
        <w:tc>
          <w:tcPr>
            <w:tcW w:w="687" w:type="pct"/>
            <w:shd w:val="clear" w:color="auto" w:fill="E8E8E8" w:themeFill="background2"/>
            <w:noWrap/>
            <w:hideMark/>
          </w:tcPr>
          <w:p w:rsidR="00DD56B8" w:rsidRPr="0006152C" w:rsidRDefault="00DD56B8" w:rsidP="00E911C8">
            <w:pPr>
              <w:jc w:val="right"/>
            </w:pPr>
            <w:r w:rsidRPr="0006152C">
              <w:t> </w:t>
            </w:r>
          </w:p>
        </w:tc>
        <w:tc>
          <w:tcPr>
            <w:tcW w:w="797"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375" w:type="pct"/>
            <w:hideMark/>
          </w:tcPr>
          <w:p w:rsidR="00DD56B8" w:rsidRDefault="00DD56B8" w:rsidP="00E911C8">
            <w:pPr>
              <w:rPr>
                <w:sz w:val="18"/>
                <w:szCs w:val="18"/>
              </w:rPr>
            </w:pPr>
            <w:r>
              <w:rPr>
                <w:sz w:val="18"/>
                <w:szCs w:val="18"/>
              </w:rPr>
              <w:t xml:space="preserve">T. Assets </w:t>
            </w:r>
            <w:proofErr w:type="spellStart"/>
            <w:r>
              <w:rPr>
                <w:sz w:val="18"/>
                <w:szCs w:val="18"/>
              </w:rPr>
              <w:t>p.r.p.a</w:t>
            </w:r>
            <w:proofErr w:type="spellEnd"/>
          </w:p>
        </w:tc>
        <w:tc>
          <w:tcPr>
            <w:tcW w:w="707" w:type="pct"/>
            <w:noWrap/>
            <w:hideMark/>
          </w:tcPr>
          <w:p w:rsidR="00DD56B8" w:rsidRPr="0006152C" w:rsidRDefault="00DD56B8" w:rsidP="00E911C8">
            <w:pPr>
              <w:jc w:val="right"/>
            </w:pPr>
            <w:r w:rsidRPr="0006152C">
              <w:t>$324,680</w:t>
            </w:r>
          </w:p>
        </w:tc>
        <w:tc>
          <w:tcPr>
            <w:tcW w:w="647" w:type="pct"/>
            <w:noWrap/>
            <w:hideMark/>
          </w:tcPr>
          <w:p w:rsidR="00DD56B8" w:rsidRPr="0006152C" w:rsidRDefault="00DD56B8" w:rsidP="00E911C8">
            <w:pPr>
              <w:jc w:val="right"/>
            </w:pPr>
            <w:r w:rsidRPr="0006152C">
              <w:t>$213,434</w:t>
            </w:r>
          </w:p>
        </w:tc>
        <w:tc>
          <w:tcPr>
            <w:tcW w:w="787" w:type="pct"/>
            <w:noWrap/>
            <w:hideMark/>
          </w:tcPr>
          <w:p w:rsidR="00DD56B8" w:rsidRPr="0006152C" w:rsidRDefault="00DD56B8" w:rsidP="00E911C8">
            <w:pPr>
              <w:jc w:val="right"/>
            </w:pPr>
            <w:r w:rsidRPr="0006152C">
              <w:t>$220,868</w:t>
            </w:r>
          </w:p>
        </w:tc>
        <w:tc>
          <w:tcPr>
            <w:tcW w:w="687" w:type="pct"/>
            <w:noWrap/>
            <w:hideMark/>
          </w:tcPr>
          <w:p w:rsidR="00DD56B8" w:rsidRPr="0006152C" w:rsidRDefault="00DD56B8" w:rsidP="00E911C8">
            <w:pPr>
              <w:jc w:val="right"/>
            </w:pPr>
            <w:r w:rsidRPr="0006152C">
              <w:t>$231,756</w:t>
            </w:r>
          </w:p>
        </w:tc>
        <w:tc>
          <w:tcPr>
            <w:tcW w:w="797" w:type="pct"/>
            <w:noWrap/>
            <w:hideMark/>
          </w:tcPr>
          <w:p w:rsidR="00DD56B8" w:rsidRPr="0006152C" w:rsidRDefault="00DD56B8" w:rsidP="00E911C8">
            <w:pPr>
              <w:jc w:val="right"/>
            </w:pPr>
            <w:r w:rsidRPr="0006152C">
              <w:t>$235,290</w:t>
            </w:r>
          </w:p>
        </w:tc>
      </w:tr>
      <w:tr w:rsidR="00DD56B8" w:rsidTr="00E911C8">
        <w:trPr>
          <w:trHeight w:val="113"/>
        </w:trPr>
        <w:tc>
          <w:tcPr>
            <w:tcW w:w="1375" w:type="pct"/>
            <w:noWrap/>
            <w:hideMark/>
          </w:tcPr>
          <w:p w:rsidR="00DD56B8" w:rsidRDefault="00DD56B8" w:rsidP="00E911C8">
            <w:r>
              <w:t>No. of RADs</w:t>
            </w:r>
          </w:p>
        </w:tc>
        <w:tc>
          <w:tcPr>
            <w:tcW w:w="707" w:type="pct"/>
            <w:noWrap/>
            <w:hideMark/>
          </w:tcPr>
          <w:p w:rsidR="00DD56B8" w:rsidRPr="0006152C" w:rsidRDefault="00DD56B8" w:rsidP="00E911C8">
            <w:pPr>
              <w:jc w:val="right"/>
            </w:pPr>
            <w:r w:rsidRPr="0006152C">
              <w:t>8,178</w:t>
            </w:r>
          </w:p>
        </w:tc>
        <w:tc>
          <w:tcPr>
            <w:tcW w:w="647" w:type="pct"/>
            <w:noWrap/>
            <w:hideMark/>
          </w:tcPr>
          <w:p w:rsidR="00DD56B8" w:rsidRPr="0006152C" w:rsidRDefault="00DD56B8" w:rsidP="00E911C8">
            <w:pPr>
              <w:jc w:val="right"/>
            </w:pPr>
            <w:r w:rsidRPr="0006152C">
              <w:t>21,279</w:t>
            </w:r>
          </w:p>
        </w:tc>
        <w:tc>
          <w:tcPr>
            <w:tcW w:w="787" w:type="pct"/>
            <w:noWrap/>
            <w:hideMark/>
          </w:tcPr>
          <w:p w:rsidR="00DD56B8" w:rsidRPr="0006152C" w:rsidRDefault="00DD56B8" w:rsidP="00E911C8">
            <w:pPr>
              <w:jc w:val="right"/>
            </w:pPr>
            <w:r w:rsidRPr="0006152C">
              <w:t>13,035</w:t>
            </w:r>
          </w:p>
        </w:tc>
        <w:tc>
          <w:tcPr>
            <w:tcW w:w="687" w:type="pct"/>
            <w:noWrap/>
            <w:hideMark/>
          </w:tcPr>
          <w:p w:rsidR="00DD56B8" w:rsidRPr="0006152C" w:rsidRDefault="00DD56B8" w:rsidP="00E911C8">
            <w:pPr>
              <w:jc w:val="right"/>
            </w:pPr>
            <w:r w:rsidRPr="0006152C">
              <w:t>5,118</w:t>
            </w:r>
          </w:p>
        </w:tc>
        <w:tc>
          <w:tcPr>
            <w:tcW w:w="797" w:type="pct"/>
            <w:noWrap/>
            <w:hideMark/>
          </w:tcPr>
          <w:p w:rsidR="00DD56B8" w:rsidRPr="0006152C" w:rsidRDefault="00DD56B8" w:rsidP="00E911C8">
            <w:pPr>
              <w:jc w:val="right"/>
            </w:pPr>
            <w:r w:rsidRPr="0006152C">
              <w:t>47,610</w:t>
            </w:r>
          </w:p>
        </w:tc>
      </w:tr>
      <w:tr w:rsidR="00DD56B8" w:rsidTr="00E911C8">
        <w:trPr>
          <w:trHeight w:val="113"/>
        </w:trPr>
        <w:tc>
          <w:tcPr>
            <w:tcW w:w="1375" w:type="pct"/>
            <w:hideMark/>
          </w:tcPr>
          <w:p w:rsidR="00DD56B8" w:rsidRDefault="00DD56B8" w:rsidP="00E911C8">
            <w:pPr>
              <w:rPr>
                <w:sz w:val="18"/>
                <w:szCs w:val="18"/>
              </w:rPr>
            </w:pPr>
            <w:proofErr w:type="spellStart"/>
            <w:r>
              <w:rPr>
                <w:sz w:val="18"/>
                <w:szCs w:val="18"/>
              </w:rPr>
              <w:t>Avg</w:t>
            </w:r>
            <w:proofErr w:type="spellEnd"/>
            <w:r>
              <w:rPr>
                <w:sz w:val="18"/>
                <w:szCs w:val="18"/>
              </w:rPr>
              <w:t xml:space="preserve"> RAD per resident</w:t>
            </w:r>
          </w:p>
        </w:tc>
        <w:tc>
          <w:tcPr>
            <w:tcW w:w="707" w:type="pct"/>
            <w:noWrap/>
            <w:hideMark/>
          </w:tcPr>
          <w:p w:rsidR="00DD56B8" w:rsidRPr="0006152C" w:rsidRDefault="00DD56B8" w:rsidP="00E911C8">
            <w:pPr>
              <w:jc w:val="right"/>
            </w:pPr>
            <w:r w:rsidRPr="0006152C">
              <w:t>$283,349</w:t>
            </w:r>
          </w:p>
        </w:tc>
        <w:tc>
          <w:tcPr>
            <w:tcW w:w="647" w:type="pct"/>
            <w:noWrap/>
            <w:hideMark/>
          </w:tcPr>
          <w:p w:rsidR="00DD56B8" w:rsidRPr="0006152C" w:rsidRDefault="00DD56B8" w:rsidP="00E911C8">
            <w:pPr>
              <w:jc w:val="right"/>
            </w:pPr>
            <w:r w:rsidRPr="0006152C">
              <w:t>$265,298</w:t>
            </w:r>
          </w:p>
        </w:tc>
        <w:tc>
          <w:tcPr>
            <w:tcW w:w="787" w:type="pct"/>
            <w:noWrap/>
            <w:hideMark/>
          </w:tcPr>
          <w:p w:rsidR="00DD56B8" w:rsidRPr="0006152C" w:rsidRDefault="00DD56B8" w:rsidP="00E911C8">
            <w:pPr>
              <w:jc w:val="right"/>
            </w:pPr>
            <w:r w:rsidRPr="0006152C">
              <w:t>$264,951</w:t>
            </w:r>
          </w:p>
        </w:tc>
        <w:tc>
          <w:tcPr>
            <w:tcW w:w="687" w:type="pct"/>
            <w:noWrap/>
            <w:hideMark/>
          </w:tcPr>
          <w:p w:rsidR="00DD56B8" w:rsidRPr="0006152C" w:rsidRDefault="00DD56B8" w:rsidP="00E911C8">
            <w:pPr>
              <w:jc w:val="right"/>
            </w:pPr>
            <w:r w:rsidRPr="0006152C">
              <w:t>$266,320</w:t>
            </w:r>
          </w:p>
        </w:tc>
        <w:tc>
          <w:tcPr>
            <w:tcW w:w="797" w:type="pct"/>
            <w:noWrap/>
            <w:hideMark/>
          </w:tcPr>
          <w:p w:rsidR="00DD56B8" w:rsidRPr="0006152C" w:rsidRDefault="00DD56B8" w:rsidP="00E911C8">
            <w:pPr>
              <w:jc w:val="right"/>
            </w:pPr>
            <w:r w:rsidRPr="0006152C">
              <w:t>$268,413</w:t>
            </w:r>
          </w:p>
        </w:tc>
      </w:tr>
      <w:tr w:rsidR="00DD56B8" w:rsidTr="00E911C8">
        <w:trPr>
          <w:trHeight w:val="113"/>
        </w:trPr>
        <w:tc>
          <w:tcPr>
            <w:tcW w:w="1375" w:type="pct"/>
            <w:hideMark/>
          </w:tcPr>
          <w:p w:rsidR="00DD56B8" w:rsidRDefault="00DD56B8" w:rsidP="00E911C8">
            <w:pPr>
              <w:rPr>
                <w:sz w:val="18"/>
                <w:szCs w:val="18"/>
              </w:rPr>
            </w:pPr>
            <w:r>
              <w:rPr>
                <w:sz w:val="18"/>
                <w:szCs w:val="18"/>
              </w:rPr>
              <w:t xml:space="preserve">Net Worth </w:t>
            </w:r>
            <w:proofErr w:type="spellStart"/>
            <w:r>
              <w:rPr>
                <w:sz w:val="18"/>
                <w:szCs w:val="18"/>
              </w:rPr>
              <w:t>p.r.p.a</w:t>
            </w:r>
            <w:proofErr w:type="spellEnd"/>
          </w:p>
        </w:tc>
        <w:tc>
          <w:tcPr>
            <w:tcW w:w="707" w:type="pct"/>
            <w:noWrap/>
            <w:hideMark/>
          </w:tcPr>
          <w:p w:rsidR="00DD56B8" w:rsidRPr="0006152C" w:rsidRDefault="00DD56B8" w:rsidP="00E911C8">
            <w:pPr>
              <w:jc w:val="right"/>
            </w:pPr>
            <w:r w:rsidRPr="0006152C">
              <w:t>$149,916</w:t>
            </w:r>
          </w:p>
        </w:tc>
        <w:tc>
          <w:tcPr>
            <w:tcW w:w="647" w:type="pct"/>
            <w:noWrap/>
            <w:hideMark/>
          </w:tcPr>
          <w:p w:rsidR="00DD56B8" w:rsidRPr="0006152C" w:rsidRDefault="00DD56B8" w:rsidP="00E911C8">
            <w:pPr>
              <w:jc w:val="right"/>
            </w:pPr>
            <w:r w:rsidRPr="0006152C">
              <w:t>$64,739</w:t>
            </w:r>
          </w:p>
        </w:tc>
        <w:tc>
          <w:tcPr>
            <w:tcW w:w="787" w:type="pct"/>
            <w:noWrap/>
            <w:hideMark/>
          </w:tcPr>
          <w:p w:rsidR="00DD56B8" w:rsidRPr="0006152C" w:rsidRDefault="00DD56B8" w:rsidP="00E911C8">
            <w:pPr>
              <w:jc w:val="right"/>
            </w:pPr>
            <w:r w:rsidRPr="0006152C">
              <w:t>$69,679</w:t>
            </w:r>
          </w:p>
        </w:tc>
        <w:tc>
          <w:tcPr>
            <w:tcW w:w="687" w:type="pct"/>
            <w:noWrap/>
            <w:hideMark/>
          </w:tcPr>
          <w:p w:rsidR="00DD56B8" w:rsidRPr="0006152C" w:rsidRDefault="00DD56B8" w:rsidP="00E911C8">
            <w:pPr>
              <w:jc w:val="right"/>
            </w:pPr>
            <w:r w:rsidRPr="0006152C">
              <w:t>$70,867</w:t>
            </w:r>
          </w:p>
        </w:tc>
        <w:tc>
          <w:tcPr>
            <w:tcW w:w="797" w:type="pct"/>
            <w:noWrap/>
            <w:hideMark/>
          </w:tcPr>
          <w:p w:rsidR="00DD56B8" w:rsidRPr="0006152C" w:rsidRDefault="00DD56B8" w:rsidP="00E911C8">
            <w:pPr>
              <w:jc w:val="right"/>
            </w:pPr>
            <w:r w:rsidRPr="0006152C">
              <w:t>$80,323</w:t>
            </w:r>
          </w:p>
        </w:tc>
      </w:tr>
      <w:tr w:rsidR="00DD56B8" w:rsidTr="00E911C8">
        <w:trPr>
          <w:trHeight w:val="113"/>
        </w:trPr>
        <w:tc>
          <w:tcPr>
            <w:tcW w:w="1375" w:type="pct"/>
            <w:hideMark/>
          </w:tcPr>
          <w:p w:rsidR="00DD56B8" w:rsidRDefault="00DD56B8" w:rsidP="00E911C8">
            <w:pPr>
              <w:rPr>
                <w:sz w:val="18"/>
                <w:szCs w:val="18"/>
              </w:rPr>
            </w:pPr>
            <w:r>
              <w:rPr>
                <w:sz w:val="18"/>
                <w:szCs w:val="18"/>
              </w:rPr>
              <w:t xml:space="preserve">Working Capital </w:t>
            </w:r>
            <w:proofErr w:type="spellStart"/>
            <w:r>
              <w:rPr>
                <w:sz w:val="18"/>
                <w:szCs w:val="18"/>
              </w:rPr>
              <w:t>p.r.p.a</w:t>
            </w:r>
            <w:proofErr w:type="spellEnd"/>
          </w:p>
        </w:tc>
        <w:tc>
          <w:tcPr>
            <w:tcW w:w="707" w:type="pct"/>
            <w:noWrap/>
            <w:hideMark/>
          </w:tcPr>
          <w:p w:rsidR="00DD56B8" w:rsidRPr="0006152C" w:rsidRDefault="00DD56B8" w:rsidP="00E911C8">
            <w:pPr>
              <w:jc w:val="right"/>
            </w:pPr>
            <w:r w:rsidRPr="0006152C">
              <w:t>-$42,616</w:t>
            </w:r>
          </w:p>
        </w:tc>
        <w:tc>
          <w:tcPr>
            <w:tcW w:w="647" w:type="pct"/>
            <w:noWrap/>
            <w:hideMark/>
          </w:tcPr>
          <w:p w:rsidR="00DD56B8" w:rsidRPr="0006152C" w:rsidRDefault="00DD56B8" w:rsidP="00E911C8">
            <w:pPr>
              <w:jc w:val="right"/>
            </w:pPr>
            <w:r w:rsidRPr="0006152C">
              <w:t>-$77,495</w:t>
            </w:r>
          </w:p>
        </w:tc>
        <w:tc>
          <w:tcPr>
            <w:tcW w:w="787" w:type="pct"/>
            <w:noWrap/>
            <w:hideMark/>
          </w:tcPr>
          <w:p w:rsidR="00DD56B8" w:rsidRPr="0006152C" w:rsidRDefault="00DD56B8" w:rsidP="00E911C8">
            <w:pPr>
              <w:jc w:val="right"/>
            </w:pPr>
            <w:r w:rsidRPr="0006152C">
              <w:t>-$73,983</w:t>
            </w:r>
          </w:p>
        </w:tc>
        <w:tc>
          <w:tcPr>
            <w:tcW w:w="687" w:type="pct"/>
            <w:noWrap/>
            <w:hideMark/>
          </w:tcPr>
          <w:p w:rsidR="00DD56B8" w:rsidRPr="0006152C" w:rsidRDefault="00DD56B8" w:rsidP="00E911C8">
            <w:pPr>
              <w:jc w:val="right"/>
            </w:pPr>
            <w:r w:rsidRPr="0006152C">
              <w:t>-$88,652</w:t>
            </w:r>
          </w:p>
        </w:tc>
        <w:tc>
          <w:tcPr>
            <w:tcW w:w="797" w:type="pct"/>
            <w:noWrap/>
            <w:hideMark/>
          </w:tcPr>
          <w:p w:rsidR="00DD56B8" w:rsidRPr="0006152C" w:rsidRDefault="00DD56B8" w:rsidP="00E911C8">
            <w:pPr>
              <w:jc w:val="right"/>
            </w:pPr>
            <w:r w:rsidRPr="0006152C">
              <w:t>-$72,224</w:t>
            </w:r>
          </w:p>
        </w:tc>
      </w:tr>
      <w:tr w:rsidR="00DD56B8" w:rsidTr="00E911C8">
        <w:trPr>
          <w:trHeight w:val="113"/>
        </w:trPr>
        <w:tc>
          <w:tcPr>
            <w:tcW w:w="1375" w:type="pct"/>
            <w:noWrap/>
            <w:hideMark/>
          </w:tcPr>
          <w:p w:rsidR="00DD56B8" w:rsidRDefault="00DD56B8" w:rsidP="00E911C8">
            <w:pPr>
              <w:rPr>
                <w:sz w:val="18"/>
                <w:szCs w:val="18"/>
              </w:rPr>
            </w:pPr>
            <w:proofErr w:type="spellStart"/>
            <w:r>
              <w:rPr>
                <w:sz w:val="18"/>
                <w:szCs w:val="18"/>
              </w:rPr>
              <w:t>Non.Curr</w:t>
            </w:r>
            <w:proofErr w:type="spellEnd"/>
            <w:r>
              <w:rPr>
                <w:sz w:val="18"/>
                <w:szCs w:val="18"/>
              </w:rPr>
              <w:t xml:space="preserve"> </w:t>
            </w:r>
            <w:proofErr w:type="spellStart"/>
            <w:r>
              <w:rPr>
                <w:sz w:val="18"/>
                <w:szCs w:val="18"/>
              </w:rPr>
              <w:t>Liab</w:t>
            </w:r>
            <w:proofErr w:type="spellEnd"/>
            <w:r>
              <w:rPr>
                <w:sz w:val="18"/>
                <w:szCs w:val="18"/>
              </w:rPr>
              <w:t xml:space="preserve"> as % of </w:t>
            </w:r>
            <w:proofErr w:type="spellStart"/>
            <w:r>
              <w:rPr>
                <w:sz w:val="18"/>
                <w:szCs w:val="18"/>
              </w:rPr>
              <w:t>T.Asts</w:t>
            </w:r>
            <w:proofErr w:type="spellEnd"/>
            <w:r>
              <w:rPr>
                <w:sz w:val="18"/>
                <w:szCs w:val="18"/>
              </w:rPr>
              <w:t>.</w:t>
            </w:r>
          </w:p>
        </w:tc>
        <w:tc>
          <w:tcPr>
            <w:tcW w:w="707" w:type="pct"/>
            <w:noWrap/>
            <w:hideMark/>
          </w:tcPr>
          <w:p w:rsidR="00DD56B8" w:rsidRPr="0006152C" w:rsidRDefault="00DD56B8" w:rsidP="00E911C8">
            <w:pPr>
              <w:jc w:val="right"/>
            </w:pPr>
            <w:r w:rsidRPr="0006152C">
              <w:t>5.0%</w:t>
            </w:r>
          </w:p>
        </w:tc>
        <w:tc>
          <w:tcPr>
            <w:tcW w:w="647" w:type="pct"/>
            <w:noWrap/>
            <w:hideMark/>
          </w:tcPr>
          <w:p w:rsidR="00DD56B8" w:rsidRPr="0006152C" w:rsidRDefault="00DD56B8" w:rsidP="00E911C8">
            <w:pPr>
              <w:jc w:val="right"/>
            </w:pPr>
            <w:r w:rsidRPr="0006152C">
              <w:t>2.5%</w:t>
            </w:r>
          </w:p>
        </w:tc>
        <w:tc>
          <w:tcPr>
            <w:tcW w:w="787" w:type="pct"/>
            <w:noWrap/>
            <w:hideMark/>
          </w:tcPr>
          <w:p w:rsidR="00DD56B8" w:rsidRPr="0006152C" w:rsidRDefault="00DD56B8" w:rsidP="00E911C8">
            <w:pPr>
              <w:jc w:val="right"/>
            </w:pPr>
            <w:r w:rsidRPr="0006152C">
              <w:t>3.5%</w:t>
            </w:r>
          </w:p>
        </w:tc>
        <w:tc>
          <w:tcPr>
            <w:tcW w:w="687" w:type="pct"/>
            <w:noWrap/>
            <w:hideMark/>
          </w:tcPr>
          <w:p w:rsidR="00DD56B8" w:rsidRPr="0006152C" w:rsidRDefault="00DD56B8" w:rsidP="00E911C8">
            <w:pPr>
              <w:jc w:val="right"/>
            </w:pPr>
            <w:r w:rsidRPr="0006152C">
              <w:t>4.4%</w:t>
            </w:r>
          </w:p>
        </w:tc>
        <w:tc>
          <w:tcPr>
            <w:tcW w:w="797" w:type="pct"/>
            <w:noWrap/>
            <w:hideMark/>
          </w:tcPr>
          <w:p w:rsidR="00DD56B8" w:rsidRPr="0006152C" w:rsidRDefault="00DD56B8" w:rsidP="00E911C8">
            <w:pPr>
              <w:jc w:val="right"/>
            </w:pPr>
            <w:r w:rsidRPr="0006152C">
              <w:t>3.5%</w:t>
            </w:r>
          </w:p>
        </w:tc>
      </w:tr>
      <w:tr w:rsidR="00DD56B8" w:rsidTr="00E911C8">
        <w:trPr>
          <w:trHeight w:val="113"/>
        </w:trPr>
        <w:tc>
          <w:tcPr>
            <w:tcW w:w="1375" w:type="pct"/>
            <w:noWrap/>
            <w:hideMark/>
          </w:tcPr>
          <w:p w:rsidR="00DD56B8" w:rsidRDefault="00DD56B8" w:rsidP="00E911C8">
            <w:pPr>
              <w:rPr>
                <w:sz w:val="18"/>
                <w:szCs w:val="18"/>
              </w:rPr>
            </w:pPr>
            <w:r>
              <w:rPr>
                <w:sz w:val="18"/>
                <w:szCs w:val="18"/>
              </w:rPr>
              <w:t xml:space="preserve">RADs as % of T. </w:t>
            </w:r>
            <w:proofErr w:type="spellStart"/>
            <w:r>
              <w:rPr>
                <w:sz w:val="18"/>
                <w:szCs w:val="18"/>
              </w:rPr>
              <w:t>Asts</w:t>
            </w:r>
            <w:proofErr w:type="spellEnd"/>
          </w:p>
        </w:tc>
        <w:tc>
          <w:tcPr>
            <w:tcW w:w="707" w:type="pct"/>
            <w:noWrap/>
            <w:hideMark/>
          </w:tcPr>
          <w:p w:rsidR="00DD56B8" w:rsidRPr="0006152C" w:rsidRDefault="00DD56B8" w:rsidP="00E911C8">
            <w:pPr>
              <w:jc w:val="right"/>
            </w:pPr>
            <w:r w:rsidRPr="0006152C">
              <w:t>43.8%</w:t>
            </w:r>
          </w:p>
        </w:tc>
        <w:tc>
          <w:tcPr>
            <w:tcW w:w="647" w:type="pct"/>
            <w:noWrap/>
            <w:hideMark/>
          </w:tcPr>
          <w:p w:rsidR="00DD56B8" w:rsidRPr="0006152C" w:rsidRDefault="00DD56B8" w:rsidP="00E911C8">
            <w:pPr>
              <w:jc w:val="right"/>
            </w:pPr>
            <w:r w:rsidRPr="0006152C">
              <w:t>56.9%</w:t>
            </w:r>
          </w:p>
        </w:tc>
        <w:tc>
          <w:tcPr>
            <w:tcW w:w="787" w:type="pct"/>
            <w:noWrap/>
            <w:hideMark/>
          </w:tcPr>
          <w:p w:rsidR="00DD56B8" w:rsidRPr="0006152C" w:rsidRDefault="00DD56B8" w:rsidP="00E911C8">
            <w:pPr>
              <w:jc w:val="right"/>
            </w:pPr>
            <w:r w:rsidRPr="0006152C">
              <w:t>56.2%</w:t>
            </w:r>
          </w:p>
        </w:tc>
        <w:tc>
          <w:tcPr>
            <w:tcW w:w="687" w:type="pct"/>
            <w:noWrap/>
            <w:hideMark/>
          </w:tcPr>
          <w:p w:rsidR="00DD56B8" w:rsidRPr="0006152C" w:rsidRDefault="00DD56B8" w:rsidP="00E911C8">
            <w:pPr>
              <w:jc w:val="right"/>
            </w:pPr>
            <w:r w:rsidRPr="0006152C">
              <w:t>51.3%</w:t>
            </w:r>
          </w:p>
        </w:tc>
        <w:tc>
          <w:tcPr>
            <w:tcW w:w="797" w:type="pct"/>
            <w:noWrap/>
            <w:hideMark/>
          </w:tcPr>
          <w:p w:rsidR="00DD56B8" w:rsidRPr="0006152C" w:rsidRDefault="00DD56B8" w:rsidP="00E911C8">
            <w:pPr>
              <w:jc w:val="right"/>
            </w:pPr>
            <w:r w:rsidRPr="0006152C">
              <w:t>53.2%</w:t>
            </w:r>
          </w:p>
        </w:tc>
      </w:tr>
      <w:tr w:rsidR="00DD56B8" w:rsidTr="00E911C8">
        <w:trPr>
          <w:trHeight w:val="113"/>
        </w:trPr>
        <w:tc>
          <w:tcPr>
            <w:tcW w:w="1375" w:type="pct"/>
            <w:noWrap/>
            <w:hideMark/>
          </w:tcPr>
          <w:p w:rsidR="00DD56B8" w:rsidRDefault="00DD56B8" w:rsidP="00E911C8">
            <w:pPr>
              <w:rPr>
                <w:sz w:val="18"/>
                <w:szCs w:val="18"/>
              </w:rPr>
            </w:pPr>
            <w:r>
              <w:rPr>
                <w:sz w:val="18"/>
                <w:szCs w:val="18"/>
              </w:rPr>
              <w:t xml:space="preserve">Net Worth as % </w:t>
            </w:r>
            <w:proofErr w:type="spellStart"/>
            <w:r>
              <w:rPr>
                <w:sz w:val="18"/>
                <w:szCs w:val="18"/>
              </w:rPr>
              <w:t>T.Asts</w:t>
            </w:r>
            <w:proofErr w:type="spellEnd"/>
          </w:p>
        </w:tc>
        <w:tc>
          <w:tcPr>
            <w:tcW w:w="707" w:type="pct"/>
            <w:noWrap/>
            <w:hideMark/>
          </w:tcPr>
          <w:p w:rsidR="00DD56B8" w:rsidRPr="0006152C" w:rsidRDefault="00DD56B8" w:rsidP="00E911C8">
            <w:pPr>
              <w:jc w:val="right"/>
            </w:pPr>
            <w:r w:rsidRPr="0006152C">
              <w:t>46.2%</w:t>
            </w:r>
          </w:p>
        </w:tc>
        <w:tc>
          <w:tcPr>
            <w:tcW w:w="647" w:type="pct"/>
            <w:noWrap/>
            <w:hideMark/>
          </w:tcPr>
          <w:p w:rsidR="00DD56B8" w:rsidRPr="0006152C" w:rsidRDefault="00DD56B8" w:rsidP="00E911C8">
            <w:pPr>
              <w:jc w:val="right"/>
            </w:pPr>
            <w:r w:rsidRPr="0006152C">
              <w:t>30.3%</w:t>
            </w:r>
          </w:p>
        </w:tc>
        <w:tc>
          <w:tcPr>
            <w:tcW w:w="787" w:type="pct"/>
            <w:noWrap/>
            <w:hideMark/>
          </w:tcPr>
          <w:p w:rsidR="00DD56B8" w:rsidRPr="0006152C" w:rsidRDefault="00DD56B8" w:rsidP="00E911C8">
            <w:pPr>
              <w:jc w:val="right"/>
            </w:pPr>
            <w:r w:rsidRPr="0006152C">
              <w:t>32.4%</w:t>
            </w:r>
          </w:p>
        </w:tc>
        <w:tc>
          <w:tcPr>
            <w:tcW w:w="687" w:type="pct"/>
            <w:noWrap/>
            <w:hideMark/>
          </w:tcPr>
          <w:p w:rsidR="00DD56B8" w:rsidRPr="0006152C" w:rsidRDefault="00DD56B8" w:rsidP="00E911C8">
            <w:pPr>
              <w:jc w:val="right"/>
            </w:pPr>
            <w:r w:rsidRPr="0006152C">
              <w:t>30.6%</w:t>
            </w:r>
          </w:p>
        </w:tc>
        <w:tc>
          <w:tcPr>
            <w:tcW w:w="797" w:type="pct"/>
            <w:noWrap/>
            <w:hideMark/>
          </w:tcPr>
          <w:p w:rsidR="00DD56B8" w:rsidRPr="0006152C" w:rsidRDefault="00DD56B8" w:rsidP="00E911C8">
            <w:pPr>
              <w:jc w:val="right"/>
            </w:pPr>
            <w:r w:rsidRPr="0006152C">
              <w:t>34.4%</w:t>
            </w:r>
          </w:p>
        </w:tc>
      </w:tr>
      <w:tr w:rsidR="00DD56B8" w:rsidTr="00E911C8">
        <w:trPr>
          <w:trHeight w:val="113"/>
        </w:trPr>
        <w:tc>
          <w:tcPr>
            <w:tcW w:w="1375" w:type="pct"/>
            <w:shd w:val="clear" w:color="auto" w:fill="E8E8E8" w:themeFill="background2"/>
            <w:noWrap/>
            <w:hideMark/>
          </w:tcPr>
          <w:p w:rsidR="00DD56B8" w:rsidRPr="00596D01" w:rsidRDefault="00DD56B8" w:rsidP="00E911C8">
            <w:pPr>
              <w:rPr>
                <w:rStyle w:val="Strong"/>
              </w:rPr>
            </w:pPr>
            <w:r w:rsidRPr="00596D01">
              <w:rPr>
                <w:rStyle w:val="Strong"/>
              </w:rPr>
              <w:t>Viability</w:t>
            </w:r>
          </w:p>
        </w:tc>
        <w:tc>
          <w:tcPr>
            <w:tcW w:w="707" w:type="pct"/>
            <w:shd w:val="clear" w:color="auto" w:fill="E8E8E8" w:themeFill="background2"/>
            <w:noWrap/>
            <w:hideMark/>
          </w:tcPr>
          <w:p w:rsidR="00DD56B8" w:rsidRPr="0006152C" w:rsidRDefault="00DD56B8" w:rsidP="00E911C8">
            <w:pPr>
              <w:jc w:val="right"/>
            </w:pPr>
            <w:r w:rsidRPr="0006152C">
              <w:t> </w:t>
            </w:r>
          </w:p>
        </w:tc>
        <w:tc>
          <w:tcPr>
            <w:tcW w:w="647" w:type="pct"/>
            <w:shd w:val="clear" w:color="auto" w:fill="E8E8E8" w:themeFill="background2"/>
            <w:noWrap/>
            <w:hideMark/>
          </w:tcPr>
          <w:p w:rsidR="00DD56B8" w:rsidRPr="0006152C" w:rsidRDefault="00DD56B8" w:rsidP="00E911C8">
            <w:pPr>
              <w:jc w:val="right"/>
            </w:pPr>
            <w:r w:rsidRPr="0006152C">
              <w:t> </w:t>
            </w:r>
          </w:p>
        </w:tc>
        <w:tc>
          <w:tcPr>
            <w:tcW w:w="787" w:type="pct"/>
            <w:shd w:val="clear" w:color="auto" w:fill="E8E8E8" w:themeFill="background2"/>
            <w:noWrap/>
            <w:hideMark/>
          </w:tcPr>
          <w:p w:rsidR="00DD56B8" w:rsidRPr="0006152C" w:rsidRDefault="00DD56B8" w:rsidP="00E911C8">
            <w:pPr>
              <w:jc w:val="right"/>
            </w:pPr>
            <w:r w:rsidRPr="0006152C">
              <w:t> </w:t>
            </w:r>
          </w:p>
        </w:tc>
        <w:tc>
          <w:tcPr>
            <w:tcW w:w="687" w:type="pct"/>
            <w:shd w:val="clear" w:color="auto" w:fill="E8E8E8" w:themeFill="background2"/>
            <w:noWrap/>
            <w:hideMark/>
          </w:tcPr>
          <w:p w:rsidR="00DD56B8" w:rsidRPr="0006152C" w:rsidRDefault="00DD56B8" w:rsidP="00E911C8">
            <w:pPr>
              <w:jc w:val="right"/>
            </w:pPr>
            <w:r w:rsidRPr="0006152C">
              <w:t> </w:t>
            </w:r>
          </w:p>
        </w:tc>
        <w:tc>
          <w:tcPr>
            <w:tcW w:w="797"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375" w:type="pct"/>
            <w:noWrap/>
            <w:hideMark/>
          </w:tcPr>
          <w:p w:rsidR="00DD56B8" w:rsidRDefault="00DD56B8" w:rsidP="00E911C8">
            <w:pPr>
              <w:rPr>
                <w:sz w:val="18"/>
                <w:szCs w:val="18"/>
              </w:rPr>
            </w:pPr>
            <w:r>
              <w:rPr>
                <w:sz w:val="18"/>
                <w:szCs w:val="18"/>
              </w:rPr>
              <w:t>Current ratio</w:t>
            </w:r>
          </w:p>
        </w:tc>
        <w:tc>
          <w:tcPr>
            <w:tcW w:w="707" w:type="pct"/>
            <w:noWrap/>
            <w:hideMark/>
          </w:tcPr>
          <w:p w:rsidR="00DD56B8" w:rsidRPr="0006152C" w:rsidRDefault="00DD56B8" w:rsidP="00E911C8">
            <w:pPr>
              <w:jc w:val="right"/>
            </w:pPr>
            <w:r w:rsidRPr="0006152C">
              <w:t>0.73</w:t>
            </w:r>
          </w:p>
        </w:tc>
        <w:tc>
          <w:tcPr>
            <w:tcW w:w="647" w:type="pct"/>
            <w:noWrap/>
            <w:hideMark/>
          </w:tcPr>
          <w:p w:rsidR="00DD56B8" w:rsidRPr="0006152C" w:rsidRDefault="00DD56B8" w:rsidP="00E911C8">
            <w:pPr>
              <w:jc w:val="right"/>
            </w:pPr>
            <w:r w:rsidRPr="0006152C">
              <w:t>0.46</w:t>
            </w:r>
          </w:p>
        </w:tc>
        <w:tc>
          <w:tcPr>
            <w:tcW w:w="787" w:type="pct"/>
            <w:noWrap/>
            <w:hideMark/>
          </w:tcPr>
          <w:p w:rsidR="00DD56B8" w:rsidRPr="0006152C" w:rsidRDefault="00DD56B8" w:rsidP="00E911C8">
            <w:pPr>
              <w:jc w:val="right"/>
            </w:pPr>
            <w:r w:rsidRPr="0006152C">
              <w:t>0.46</w:t>
            </w:r>
          </w:p>
        </w:tc>
        <w:tc>
          <w:tcPr>
            <w:tcW w:w="687" w:type="pct"/>
            <w:noWrap/>
            <w:hideMark/>
          </w:tcPr>
          <w:p w:rsidR="00DD56B8" w:rsidRPr="0006152C" w:rsidRDefault="00DD56B8" w:rsidP="00E911C8">
            <w:pPr>
              <w:jc w:val="right"/>
            </w:pPr>
            <w:r w:rsidRPr="0006152C">
              <w:t>0.41</w:t>
            </w:r>
          </w:p>
        </w:tc>
        <w:tc>
          <w:tcPr>
            <w:tcW w:w="797" w:type="pct"/>
            <w:noWrap/>
            <w:hideMark/>
          </w:tcPr>
          <w:p w:rsidR="00DD56B8" w:rsidRPr="0006152C" w:rsidRDefault="00DD56B8" w:rsidP="00E911C8">
            <w:pPr>
              <w:jc w:val="right"/>
            </w:pPr>
            <w:r w:rsidRPr="0006152C">
              <w:t>0.50</w:t>
            </w:r>
          </w:p>
        </w:tc>
      </w:tr>
      <w:tr w:rsidR="00DD56B8" w:rsidTr="00E911C8">
        <w:trPr>
          <w:trHeight w:val="113"/>
        </w:trPr>
        <w:tc>
          <w:tcPr>
            <w:tcW w:w="1375" w:type="pct"/>
            <w:noWrap/>
            <w:hideMark/>
          </w:tcPr>
          <w:p w:rsidR="00DD56B8" w:rsidRDefault="00DD56B8" w:rsidP="00E911C8">
            <w:pPr>
              <w:rPr>
                <w:sz w:val="18"/>
                <w:szCs w:val="18"/>
              </w:rPr>
            </w:pPr>
            <w:r>
              <w:rPr>
                <w:sz w:val="18"/>
                <w:szCs w:val="18"/>
              </w:rPr>
              <w:t>Interest coverage</w:t>
            </w:r>
          </w:p>
        </w:tc>
        <w:tc>
          <w:tcPr>
            <w:tcW w:w="707" w:type="pct"/>
            <w:noWrap/>
            <w:hideMark/>
          </w:tcPr>
          <w:p w:rsidR="00DD56B8" w:rsidRPr="0006152C" w:rsidRDefault="00DD56B8" w:rsidP="00E911C8">
            <w:pPr>
              <w:jc w:val="right"/>
            </w:pPr>
            <w:r w:rsidRPr="0006152C">
              <w:t>49.3 Times</w:t>
            </w:r>
          </w:p>
        </w:tc>
        <w:tc>
          <w:tcPr>
            <w:tcW w:w="647" w:type="pct"/>
            <w:noWrap/>
            <w:hideMark/>
          </w:tcPr>
          <w:p w:rsidR="00DD56B8" w:rsidRPr="0006152C" w:rsidRDefault="00DD56B8" w:rsidP="00E911C8">
            <w:pPr>
              <w:jc w:val="right"/>
            </w:pPr>
            <w:r w:rsidRPr="0006152C">
              <w:t>27.2 Times</w:t>
            </w:r>
          </w:p>
        </w:tc>
        <w:tc>
          <w:tcPr>
            <w:tcW w:w="787" w:type="pct"/>
            <w:noWrap/>
            <w:hideMark/>
          </w:tcPr>
          <w:p w:rsidR="00DD56B8" w:rsidRPr="0006152C" w:rsidRDefault="00DD56B8" w:rsidP="00E911C8">
            <w:pPr>
              <w:jc w:val="right"/>
            </w:pPr>
            <w:r w:rsidRPr="0006152C">
              <w:t>9.8 Times</w:t>
            </w:r>
          </w:p>
        </w:tc>
        <w:tc>
          <w:tcPr>
            <w:tcW w:w="687" w:type="pct"/>
            <w:noWrap/>
            <w:hideMark/>
          </w:tcPr>
          <w:p w:rsidR="00DD56B8" w:rsidRPr="0006152C" w:rsidRDefault="00D8721E" w:rsidP="00E911C8">
            <w:pPr>
              <w:jc w:val="right"/>
            </w:pPr>
            <w:r>
              <w:t>–4</w:t>
            </w:r>
            <w:r w:rsidR="00DD56B8" w:rsidRPr="0006152C">
              <w:t>.2 Times</w:t>
            </w:r>
          </w:p>
        </w:tc>
        <w:tc>
          <w:tcPr>
            <w:tcW w:w="797" w:type="pct"/>
            <w:noWrap/>
            <w:hideMark/>
          </w:tcPr>
          <w:p w:rsidR="00DD56B8" w:rsidRPr="0006152C" w:rsidRDefault="00DD56B8" w:rsidP="00E911C8">
            <w:pPr>
              <w:jc w:val="right"/>
            </w:pPr>
            <w:r w:rsidRPr="0006152C">
              <w:t>22.3 Times</w:t>
            </w:r>
          </w:p>
        </w:tc>
      </w:tr>
      <w:tr w:rsidR="00DD56B8" w:rsidTr="00E911C8">
        <w:trPr>
          <w:trHeight w:val="113"/>
        </w:trPr>
        <w:tc>
          <w:tcPr>
            <w:tcW w:w="1375" w:type="pct"/>
            <w:noWrap/>
            <w:hideMark/>
          </w:tcPr>
          <w:p w:rsidR="00DD56B8" w:rsidRDefault="00DD56B8" w:rsidP="00E911C8">
            <w:pPr>
              <w:rPr>
                <w:sz w:val="18"/>
                <w:szCs w:val="18"/>
              </w:rPr>
            </w:pPr>
            <w:r>
              <w:rPr>
                <w:sz w:val="18"/>
                <w:szCs w:val="18"/>
              </w:rPr>
              <w:t>NPBT margin</w:t>
            </w:r>
          </w:p>
        </w:tc>
        <w:tc>
          <w:tcPr>
            <w:tcW w:w="707" w:type="pct"/>
            <w:noWrap/>
            <w:hideMark/>
          </w:tcPr>
          <w:p w:rsidR="00DD56B8" w:rsidRPr="0006152C" w:rsidRDefault="00DD56B8" w:rsidP="00E911C8">
            <w:pPr>
              <w:jc w:val="right"/>
            </w:pPr>
            <w:r w:rsidRPr="0006152C">
              <w:t>21.0%</w:t>
            </w:r>
          </w:p>
        </w:tc>
        <w:tc>
          <w:tcPr>
            <w:tcW w:w="647" w:type="pct"/>
            <w:noWrap/>
            <w:hideMark/>
          </w:tcPr>
          <w:p w:rsidR="00DD56B8" w:rsidRPr="0006152C" w:rsidRDefault="00DD56B8" w:rsidP="00E911C8">
            <w:pPr>
              <w:jc w:val="right"/>
            </w:pPr>
            <w:r w:rsidRPr="0006152C">
              <w:t>5.6%</w:t>
            </w:r>
          </w:p>
        </w:tc>
        <w:tc>
          <w:tcPr>
            <w:tcW w:w="787" w:type="pct"/>
            <w:noWrap/>
            <w:hideMark/>
          </w:tcPr>
          <w:p w:rsidR="00DD56B8" w:rsidRPr="0006152C" w:rsidRDefault="00DD56B8" w:rsidP="00E911C8">
            <w:pPr>
              <w:jc w:val="right"/>
            </w:pPr>
            <w:r w:rsidRPr="0006152C">
              <w:t>0.6%</w:t>
            </w:r>
          </w:p>
        </w:tc>
        <w:tc>
          <w:tcPr>
            <w:tcW w:w="687" w:type="pct"/>
            <w:noWrap/>
            <w:hideMark/>
          </w:tcPr>
          <w:p w:rsidR="00DD56B8" w:rsidRPr="0006152C" w:rsidRDefault="00DD56B8" w:rsidP="00E911C8">
            <w:pPr>
              <w:jc w:val="right"/>
            </w:pPr>
            <w:r w:rsidRPr="0006152C">
              <w:t>(9.1%)</w:t>
            </w:r>
          </w:p>
        </w:tc>
        <w:tc>
          <w:tcPr>
            <w:tcW w:w="797" w:type="pct"/>
            <w:noWrap/>
            <w:hideMark/>
          </w:tcPr>
          <w:p w:rsidR="00DD56B8" w:rsidRPr="0006152C" w:rsidRDefault="00DD56B8" w:rsidP="00E911C8">
            <w:pPr>
              <w:jc w:val="right"/>
            </w:pPr>
            <w:r w:rsidRPr="0006152C">
              <w:t>5.4%</w:t>
            </w:r>
          </w:p>
        </w:tc>
      </w:tr>
      <w:tr w:rsidR="00DD56B8" w:rsidTr="00E911C8">
        <w:trPr>
          <w:trHeight w:val="113"/>
        </w:trPr>
        <w:tc>
          <w:tcPr>
            <w:tcW w:w="1375" w:type="pct"/>
            <w:noWrap/>
            <w:hideMark/>
          </w:tcPr>
          <w:p w:rsidR="00DD56B8" w:rsidRDefault="00DD56B8" w:rsidP="00E911C8">
            <w:r>
              <w:t>Occupancy</w:t>
            </w:r>
          </w:p>
        </w:tc>
        <w:tc>
          <w:tcPr>
            <w:tcW w:w="707" w:type="pct"/>
            <w:noWrap/>
            <w:hideMark/>
          </w:tcPr>
          <w:p w:rsidR="00DD56B8" w:rsidRPr="0006152C" w:rsidRDefault="00DD56B8" w:rsidP="00E911C8">
            <w:pPr>
              <w:jc w:val="right"/>
            </w:pPr>
            <w:r w:rsidRPr="0006152C">
              <w:t>94.7%</w:t>
            </w:r>
          </w:p>
        </w:tc>
        <w:tc>
          <w:tcPr>
            <w:tcW w:w="647" w:type="pct"/>
            <w:noWrap/>
            <w:hideMark/>
          </w:tcPr>
          <w:p w:rsidR="00DD56B8" w:rsidRPr="0006152C" w:rsidRDefault="00DD56B8" w:rsidP="00E911C8">
            <w:pPr>
              <w:jc w:val="right"/>
            </w:pPr>
            <w:r w:rsidRPr="0006152C">
              <w:t>93.2%</w:t>
            </w:r>
          </w:p>
        </w:tc>
        <w:tc>
          <w:tcPr>
            <w:tcW w:w="787" w:type="pct"/>
            <w:noWrap/>
            <w:hideMark/>
          </w:tcPr>
          <w:p w:rsidR="00DD56B8" w:rsidRPr="0006152C" w:rsidRDefault="00DD56B8" w:rsidP="00E911C8">
            <w:pPr>
              <w:jc w:val="right"/>
            </w:pPr>
            <w:r w:rsidRPr="0006152C">
              <w:t>92.4%</w:t>
            </w:r>
          </w:p>
        </w:tc>
        <w:tc>
          <w:tcPr>
            <w:tcW w:w="687" w:type="pct"/>
            <w:noWrap/>
            <w:hideMark/>
          </w:tcPr>
          <w:p w:rsidR="00DD56B8" w:rsidRPr="0006152C" w:rsidRDefault="00DD56B8" w:rsidP="00E911C8">
            <w:pPr>
              <w:jc w:val="right"/>
            </w:pPr>
            <w:r w:rsidRPr="0006152C">
              <w:t>91.9%</w:t>
            </w:r>
          </w:p>
        </w:tc>
        <w:tc>
          <w:tcPr>
            <w:tcW w:w="797" w:type="pct"/>
            <w:noWrap/>
            <w:hideMark/>
          </w:tcPr>
          <w:p w:rsidR="00DD56B8" w:rsidRPr="0006152C" w:rsidRDefault="00DD56B8" w:rsidP="00E911C8">
            <w:pPr>
              <w:jc w:val="right"/>
            </w:pPr>
            <w:r w:rsidRPr="0006152C">
              <w:t>93.1%</w:t>
            </w:r>
          </w:p>
        </w:tc>
      </w:tr>
      <w:tr w:rsidR="00DD56B8" w:rsidTr="00E911C8">
        <w:trPr>
          <w:trHeight w:val="113"/>
        </w:trPr>
        <w:tc>
          <w:tcPr>
            <w:tcW w:w="1375" w:type="pct"/>
            <w:noWrap/>
            <w:hideMark/>
          </w:tcPr>
          <w:p w:rsidR="00DD56B8" w:rsidRDefault="00DD56B8" w:rsidP="00E911C8">
            <w:pPr>
              <w:rPr>
                <w:sz w:val="18"/>
                <w:szCs w:val="18"/>
              </w:rPr>
            </w:pPr>
            <w:r>
              <w:rPr>
                <w:sz w:val="18"/>
                <w:szCs w:val="18"/>
              </w:rPr>
              <w:t>%EBITDA to T. Assets</w:t>
            </w:r>
          </w:p>
        </w:tc>
        <w:tc>
          <w:tcPr>
            <w:tcW w:w="707" w:type="pct"/>
            <w:noWrap/>
            <w:hideMark/>
          </w:tcPr>
          <w:p w:rsidR="00DD56B8" w:rsidRPr="0006152C" w:rsidRDefault="00DD56B8" w:rsidP="00E911C8">
            <w:pPr>
              <w:jc w:val="right"/>
            </w:pPr>
            <w:r w:rsidRPr="0006152C">
              <w:t>9.0%</w:t>
            </w:r>
          </w:p>
        </w:tc>
        <w:tc>
          <w:tcPr>
            <w:tcW w:w="647" w:type="pct"/>
            <w:noWrap/>
            <w:hideMark/>
          </w:tcPr>
          <w:p w:rsidR="00DD56B8" w:rsidRPr="0006152C" w:rsidRDefault="00DD56B8" w:rsidP="00E911C8">
            <w:pPr>
              <w:jc w:val="right"/>
            </w:pPr>
            <w:r w:rsidRPr="0006152C">
              <w:t>5.6%</w:t>
            </w:r>
          </w:p>
        </w:tc>
        <w:tc>
          <w:tcPr>
            <w:tcW w:w="787" w:type="pct"/>
            <w:noWrap/>
            <w:hideMark/>
          </w:tcPr>
          <w:p w:rsidR="00DD56B8" w:rsidRPr="0006152C" w:rsidRDefault="00DD56B8" w:rsidP="00E911C8">
            <w:pPr>
              <w:jc w:val="right"/>
            </w:pPr>
            <w:r w:rsidRPr="0006152C">
              <w:t>2.7%</w:t>
            </w:r>
          </w:p>
        </w:tc>
        <w:tc>
          <w:tcPr>
            <w:tcW w:w="687" w:type="pct"/>
            <w:noWrap/>
            <w:hideMark/>
          </w:tcPr>
          <w:p w:rsidR="00DD56B8" w:rsidRPr="0006152C" w:rsidRDefault="00DD56B8" w:rsidP="00E911C8">
            <w:pPr>
              <w:jc w:val="right"/>
            </w:pPr>
            <w:r w:rsidRPr="0006152C">
              <w:t>(0.9%)</w:t>
            </w:r>
          </w:p>
        </w:tc>
        <w:tc>
          <w:tcPr>
            <w:tcW w:w="797" w:type="pct"/>
            <w:noWrap/>
            <w:hideMark/>
          </w:tcPr>
          <w:p w:rsidR="00DD56B8" w:rsidRPr="0006152C" w:rsidRDefault="00DD56B8" w:rsidP="00E911C8">
            <w:pPr>
              <w:jc w:val="right"/>
            </w:pPr>
            <w:r w:rsidRPr="0006152C">
              <w:t>4.9%</w:t>
            </w:r>
          </w:p>
        </w:tc>
      </w:tr>
      <w:tr w:rsidR="00DD56B8" w:rsidTr="00E911C8">
        <w:trPr>
          <w:trHeight w:val="113"/>
        </w:trPr>
        <w:tc>
          <w:tcPr>
            <w:tcW w:w="1375" w:type="pct"/>
            <w:noWrap/>
            <w:hideMark/>
          </w:tcPr>
          <w:p w:rsidR="00DD56B8" w:rsidRDefault="00DD56B8" w:rsidP="00E911C8">
            <w:pPr>
              <w:rPr>
                <w:sz w:val="18"/>
                <w:szCs w:val="18"/>
              </w:rPr>
            </w:pPr>
            <w:r>
              <w:rPr>
                <w:sz w:val="18"/>
                <w:szCs w:val="18"/>
              </w:rPr>
              <w:t>%EBITDA to Net Worth</w:t>
            </w:r>
          </w:p>
        </w:tc>
        <w:tc>
          <w:tcPr>
            <w:tcW w:w="707" w:type="pct"/>
            <w:noWrap/>
            <w:hideMark/>
          </w:tcPr>
          <w:p w:rsidR="00DD56B8" w:rsidRPr="0006152C" w:rsidRDefault="00DD56B8" w:rsidP="00E911C8">
            <w:pPr>
              <w:jc w:val="right"/>
            </w:pPr>
            <w:r w:rsidRPr="0006152C">
              <w:t>19.5%</w:t>
            </w:r>
          </w:p>
        </w:tc>
        <w:tc>
          <w:tcPr>
            <w:tcW w:w="647" w:type="pct"/>
            <w:noWrap/>
            <w:hideMark/>
          </w:tcPr>
          <w:p w:rsidR="00DD56B8" w:rsidRPr="0006152C" w:rsidRDefault="00DD56B8" w:rsidP="00E911C8">
            <w:pPr>
              <w:jc w:val="right"/>
            </w:pPr>
            <w:r w:rsidRPr="0006152C">
              <w:t>18.4%</w:t>
            </w:r>
          </w:p>
        </w:tc>
        <w:tc>
          <w:tcPr>
            <w:tcW w:w="787" w:type="pct"/>
            <w:noWrap/>
            <w:hideMark/>
          </w:tcPr>
          <w:p w:rsidR="00DD56B8" w:rsidRPr="0006152C" w:rsidRDefault="00DD56B8" w:rsidP="00E911C8">
            <w:pPr>
              <w:jc w:val="right"/>
            </w:pPr>
            <w:r w:rsidRPr="0006152C">
              <w:t>8.3%</w:t>
            </w:r>
          </w:p>
        </w:tc>
        <w:tc>
          <w:tcPr>
            <w:tcW w:w="687" w:type="pct"/>
            <w:noWrap/>
            <w:hideMark/>
          </w:tcPr>
          <w:p w:rsidR="00DD56B8" w:rsidRPr="0006152C" w:rsidRDefault="00DD56B8" w:rsidP="00E911C8">
            <w:pPr>
              <w:jc w:val="right"/>
            </w:pPr>
            <w:r w:rsidRPr="0006152C">
              <w:t>(3.0%)</w:t>
            </w:r>
          </w:p>
        </w:tc>
        <w:tc>
          <w:tcPr>
            <w:tcW w:w="797" w:type="pct"/>
            <w:noWrap/>
            <w:hideMark/>
          </w:tcPr>
          <w:p w:rsidR="00DD56B8" w:rsidRPr="0006152C" w:rsidRDefault="00DD56B8" w:rsidP="00E911C8">
            <w:pPr>
              <w:jc w:val="right"/>
            </w:pPr>
            <w:r w:rsidRPr="0006152C">
              <w:t>14.2%</w:t>
            </w:r>
          </w:p>
        </w:tc>
      </w:tr>
      <w:tr w:rsidR="00DD56B8" w:rsidTr="00E911C8">
        <w:trPr>
          <w:trHeight w:val="113"/>
        </w:trPr>
        <w:tc>
          <w:tcPr>
            <w:tcW w:w="1375" w:type="pct"/>
            <w:noWrap/>
            <w:hideMark/>
          </w:tcPr>
          <w:p w:rsidR="00DD56B8" w:rsidRDefault="00DD56B8" w:rsidP="00E911C8">
            <w:pPr>
              <w:rPr>
                <w:sz w:val="18"/>
                <w:szCs w:val="18"/>
              </w:rPr>
            </w:pPr>
            <w:r>
              <w:rPr>
                <w:sz w:val="18"/>
                <w:szCs w:val="18"/>
              </w:rPr>
              <w:t>RADs Asset Cover (T.A.)</w:t>
            </w:r>
          </w:p>
        </w:tc>
        <w:tc>
          <w:tcPr>
            <w:tcW w:w="707" w:type="pct"/>
            <w:noWrap/>
            <w:hideMark/>
          </w:tcPr>
          <w:p w:rsidR="00DD56B8" w:rsidRPr="0006152C" w:rsidRDefault="00DD56B8" w:rsidP="00E911C8">
            <w:pPr>
              <w:jc w:val="right"/>
            </w:pPr>
            <w:r w:rsidRPr="0006152C">
              <w:t>2.3 Times</w:t>
            </w:r>
          </w:p>
        </w:tc>
        <w:tc>
          <w:tcPr>
            <w:tcW w:w="647" w:type="pct"/>
            <w:noWrap/>
            <w:hideMark/>
          </w:tcPr>
          <w:p w:rsidR="00DD56B8" w:rsidRPr="0006152C" w:rsidRDefault="00DD56B8" w:rsidP="00E911C8">
            <w:pPr>
              <w:jc w:val="right"/>
            </w:pPr>
            <w:r w:rsidRPr="0006152C">
              <w:t>1.8 Times</w:t>
            </w:r>
          </w:p>
        </w:tc>
        <w:tc>
          <w:tcPr>
            <w:tcW w:w="787" w:type="pct"/>
            <w:noWrap/>
            <w:hideMark/>
          </w:tcPr>
          <w:p w:rsidR="00DD56B8" w:rsidRPr="0006152C" w:rsidRDefault="00DD56B8" w:rsidP="00E911C8">
            <w:pPr>
              <w:jc w:val="right"/>
            </w:pPr>
            <w:r w:rsidRPr="0006152C">
              <w:t>1.8 Times</w:t>
            </w:r>
          </w:p>
        </w:tc>
        <w:tc>
          <w:tcPr>
            <w:tcW w:w="687" w:type="pct"/>
            <w:noWrap/>
            <w:hideMark/>
          </w:tcPr>
          <w:p w:rsidR="00DD56B8" w:rsidRPr="0006152C" w:rsidRDefault="00DD56B8" w:rsidP="00E911C8">
            <w:pPr>
              <w:jc w:val="right"/>
            </w:pPr>
            <w:r w:rsidRPr="0006152C">
              <w:t>1.9 Times</w:t>
            </w:r>
          </w:p>
        </w:tc>
        <w:tc>
          <w:tcPr>
            <w:tcW w:w="797" w:type="pct"/>
            <w:noWrap/>
            <w:hideMark/>
          </w:tcPr>
          <w:p w:rsidR="00DD56B8" w:rsidRPr="0006152C" w:rsidRDefault="00DD56B8" w:rsidP="00E911C8">
            <w:pPr>
              <w:jc w:val="right"/>
            </w:pPr>
            <w:r w:rsidRPr="0006152C">
              <w:t>1.9 Times</w:t>
            </w:r>
          </w:p>
        </w:tc>
      </w:tr>
    </w:tbl>
    <w:p w:rsidR="00E911C8" w:rsidRDefault="00E911C8" w:rsidP="00E911C8"/>
    <w:p w:rsidR="00E911C8" w:rsidRDefault="00E911C8">
      <w:pPr>
        <w:suppressAutoHyphens w:val="0"/>
        <w:spacing w:before="60" w:after="0"/>
        <w:jc w:val="both"/>
      </w:pPr>
      <w:r>
        <w:br w:type="page"/>
      </w:r>
    </w:p>
    <w:p w:rsidR="008E31D3" w:rsidRPr="00596D01" w:rsidRDefault="00B76326" w:rsidP="00E911C8">
      <w:pPr>
        <w:pStyle w:val="AppendixTable"/>
      </w:pPr>
      <w:r w:rsidRPr="00596D01">
        <w:lastRenderedPageBreak/>
        <w:t xml:space="preserve">Financial ratios </w:t>
      </w:r>
      <w:r w:rsidR="00867B1C" w:rsidRPr="00596D01">
        <w:t>of g</w:t>
      </w:r>
      <w:r w:rsidR="00BB1EF2" w:rsidRPr="00596D01">
        <w:t>overnment providers,</w:t>
      </w:r>
      <w:r w:rsidR="00A261F3" w:rsidRPr="00596D01">
        <w:t> 201</w:t>
      </w:r>
      <w:r w:rsidR="00D85650" w:rsidRPr="00596D01">
        <w:t>6</w:t>
      </w:r>
      <w:r w:rsidR="00D8721E" w:rsidRPr="00596D01">
        <w:t>–1</w:t>
      </w:r>
      <w:r w:rsidR="00D85650"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188"/>
        <w:gridCol w:w="1369"/>
        <w:gridCol w:w="1261"/>
        <w:gridCol w:w="1196"/>
        <w:gridCol w:w="1361"/>
        <w:gridCol w:w="1253"/>
      </w:tblGrid>
      <w:tr w:rsidR="00D8565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656" w:type="pct"/>
            <w:noWrap/>
            <w:hideMark/>
          </w:tcPr>
          <w:p w:rsidR="00D85650" w:rsidRDefault="00D85650" w:rsidP="00E911C8">
            <w:r>
              <w:t> </w:t>
            </w:r>
          </w:p>
        </w:tc>
        <w:tc>
          <w:tcPr>
            <w:tcW w:w="711" w:type="pct"/>
            <w:hideMark/>
          </w:tcPr>
          <w:p w:rsidR="00D85650" w:rsidRDefault="00D85650" w:rsidP="00E911C8">
            <w:pPr>
              <w:jc w:val="right"/>
              <w:rPr>
                <w:sz w:val="22"/>
                <w:szCs w:val="22"/>
              </w:rPr>
            </w:pPr>
            <w:r w:rsidRPr="00596D01">
              <w:t>Top</w:t>
            </w:r>
          </w:p>
        </w:tc>
        <w:tc>
          <w:tcPr>
            <w:tcW w:w="655" w:type="pct"/>
            <w:hideMark/>
          </w:tcPr>
          <w:p w:rsidR="00D85650" w:rsidRDefault="00D85650" w:rsidP="00E911C8">
            <w:pPr>
              <w:jc w:val="right"/>
              <w:rPr>
                <w:sz w:val="22"/>
                <w:szCs w:val="22"/>
              </w:rPr>
            </w:pPr>
            <w:r w:rsidRPr="00596D01">
              <w:t>Next Top</w:t>
            </w:r>
          </w:p>
        </w:tc>
        <w:tc>
          <w:tcPr>
            <w:tcW w:w="621" w:type="pct"/>
            <w:hideMark/>
          </w:tcPr>
          <w:p w:rsidR="00D85650" w:rsidRDefault="00D85650" w:rsidP="00E911C8">
            <w:pPr>
              <w:jc w:val="right"/>
              <w:rPr>
                <w:sz w:val="22"/>
                <w:szCs w:val="22"/>
              </w:rPr>
            </w:pPr>
            <w:r w:rsidRPr="00596D01">
              <w:t>Next Bottom</w:t>
            </w:r>
          </w:p>
        </w:tc>
        <w:tc>
          <w:tcPr>
            <w:tcW w:w="707" w:type="pct"/>
            <w:hideMark/>
          </w:tcPr>
          <w:p w:rsidR="00D85650" w:rsidRDefault="00D85650" w:rsidP="00E911C8">
            <w:pPr>
              <w:jc w:val="right"/>
              <w:rPr>
                <w:sz w:val="22"/>
                <w:szCs w:val="22"/>
              </w:rPr>
            </w:pPr>
            <w:r w:rsidRPr="00596D01">
              <w:t>Bottom</w:t>
            </w:r>
          </w:p>
        </w:tc>
        <w:tc>
          <w:tcPr>
            <w:tcW w:w="651" w:type="pct"/>
            <w:hideMark/>
          </w:tcPr>
          <w:p w:rsidR="00D85650" w:rsidRPr="00596D01" w:rsidRDefault="00D85650" w:rsidP="00E911C8">
            <w:pPr>
              <w:jc w:val="right"/>
            </w:pPr>
            <w:r w:rsidRPr="00596D01">
              <w:t>Total</w:t>
            </w:r>
          </w:p>
        </w:tc>
      </w:tr>
      <w:tr w:rsidR="00DD56B8" w:rsidTr="00E911C8">
        <w:trPr>
          <w:trHeight w:val="113"/>
        </w:trPr>
        <w:tc>
          <w:tcPr>
            <w:tcW w:w="1656" w:type="pct"/>
            <w:noWrap/>
            <w:hideMark/>
          </w:tcPr>
          <w:p w:rsidR="00DD56B8" w:rsidRDefault="00DD56B8" w:rsidP="00E911C8">
            <w:r>
              <w:t>No. of providers</w:t>
            </w:r>
          </w:p>
        </w:tc>
        <w:tc>
          <w:tcPr>
            <w:tcW w:w="711" w:type="pct"/>
            <w:noWrap/>
            <w:hideMark/>
          </w:tcPr>
          <w:p w:rsidR="00DD56B8" w:rsidRDefault="00DD56B8" w:rsidP="00E911C8">
            <w:pPr>
              <w:jc w:val="right"/>
            </w:pPr>
            <w:r>
              <w:t>8</w:t>
            </w:r>
          </w:p>
        </w:tc>
        <w:tc>
          <w:tcPr>
            <w:tcW w:w="655" w:type="pct"/>
            <w:noWrap/>
            <w:hideMark/>
          </w:tcPr>
          <w:p w:rsidR="00DD56B8" w:rsidRDefault="00DD56B8" w:rsidP="00E911C8">
            <w:pPr>
              <w:jc w:val="right"/>
            </w:pPr>
            <w:r>
              <w:t>10</w:t>
            </w:r>
          </w:p>
        </w:tc>
        <w:tc>
          <w:tcPr>
            <w:tcW w:w="621" w:type="pct"/>
            <w:noWrap/>
            <w:hideMark/>
          </w:tcPr>
          <w:p w:rsidR="00DD56B8" w:rsidRDefault="00DD56B8" w:rsidP="00E911C8">
            <w:pPr>
              <w:jc w:val="right"/>
            </w:pPr>
            <w:r>
              <w:t>11</w:t>
            </w:r>
          </w:p>
        </w:tc>
        <w:tc>
          <w:tcPr>
            <w:tcW w:w="707" w:type="pct"/>
            <w:noWrap/>
            <w:hideMark/>
          </w:tcPr>
          <w:p w:rsidR="00DD56B8" w:rsidRDefault="00DD56B8" w:rsidP="00E911C8">
            <w:pPr>
              <w:jc w:val="right"/>
            </w:pPr>
            <w:r>
              <w:t>60</w:t>
            </w:r>
          </w:p>
        </w:tc>
        <w:tc>
          <w:tcPr>
            <w:tcW w:w="651" w:type="pct"/>
            <w:noWrap/>
            <w:hideMark/>
          </w:tcPr>
          <w:p w:rsidR="00DD56B8" w:rsidRDefault="00DD56B8" w:rsidP="00E911C8">
            <w:pPr>
              <w:jc w:val="right"/>
            </w:pPr>
            <w:r>
              <w:t>89</w:t>
            </w:r>
          </w:p>
        </w:tc>
      </w:tr>
      <w:tr w:rsidR="00DD56B8" w:rsidTr="00E911C8">
        <w:trPr>
          <w:trHeight w:val="113"/>
        </w:trPr>
        <w:tc>
          <w:tcPr>
            <w:tcW w:w="1656" w:type="pct"/>
            <w:noWrap/>
            <w:hideMark/>
          </w:tcPr>
          <w:p w:rsidR="00DD56B8" w:rsidRDefault="00DD56B8" w:rsidP="00E911C8">
            <w:r>
              <w:t xml:space="preserve">EBITDA </w:t>
            </w:r>
            <w:proofErr w:type="spellStart"/>
            <w:r>
              <w:t>p.r.p.a</w:t>
            </w:r>
            <w:proofErr w:type="spellEnd"/>
          </w:p>
        </w:tc>
        <w:tc>
          <w:tcPr>
            <w:tcW w:w="711" w:type="pct"/>
            <w:noWrap/>
            <w:hideMark/>
          </w:tcPr>
          <w:p w:rsidR="00DD56B8" w:rsidRPr="0006152C" w:rsidRDefault="00DD56B8" w:rsidP="00E911C8">
            <w:pPr>
              <w:jc w:val="right"/>
            </w:pPr>
            <w:r w:rsidRPr="0006152C">
              <w:t>$27,762</w:t>
            </w:r>
          </w:p>
        </w:tc>
        <w:tc>
          <w:tcPr>
            <w:tcW w:w="655" w:type="pct"/>
            <w:noWrap/>
            <w:hideMark/>
          </w:tcPr>
          <w:p w:rsidR="00DD56B8" w:rsidRPr="0006152C" w:rsidRDefault="00DD56B8" w:rsidP="00E911C8">
            <w:pPr>
              <w:jc w:val="right"/>
            </w:pPr>
            <w:r w:rsidRPr="0006152C">
              <w:t>$10,575</w:t>
            </w:r>
          </w:p>
        </w:tc>
        <w:tc>
          <w:tcPr>
            <w:tcW w:w="621" w:type="pct"/>
            <w:noWrap/>
            <w:hideMark/>
          </w:tcPr>
          <w:p w:rsidR="00DD56B8" w:rsidRPr="0006152C" w:rsidRDefault="00DD56B8" w:rsidP="00E911C8">
            <w:pPr>
              <w:jc w:val="right"/>
            </w:pPr>
            <w:r w:rsidRPr="0006152C">
              <w:t>$7,031</w:t>
            </w:r>
          </w:p>
        </w:tc>
        <w:tc>
          <w:tcPr>
            <w:tcW w:w="707" w:type="pct"/>
            <w:noWrap/>
            <w:hideMark/>
          </w:tcPr>
          <w:p w:rsidR="00DD56B8" w:rsidRPr="0006152C" w:rsidRDefault="00DD56B8" w:rsidP="00E911C8">
            <w:pPr>
              <w:jc w:val="right"/>
            </w:pPr>
            <w:r w:rsidRPr="0006152C">
              <w:t>($15,963)</w:t>
            </w:r>
          </w:p>
        </w:tc>
        <w:tc>
          <w:tcPr>
            <w:tcW w:w="651" w:type="pct"/>
            <w:noWrap/>
            <w:hideMark/>
          </w:tcPr>
          <w:p w:rsidR="00DD56B8" w:rsidRPr="0006152C" w:rsidRDefault="00DD56B8" w:rsidP="00E911C8">
            <w:pPr>
              <w:jc w:val="right"/>
            </w:pPr>
            <w:r w:rsidRPr="0006152C">
              <w:t>($3,791)</w:t>
            </w:r>
          </w:p>
        </w:tc>
      </w:tr>
      <w:tr w:rsidR="00DD56B8" w:rsidTr="00E911C8">
        <w:trPr>
          <w:trHeight w:val="113"/>
        </w:trPr>
        <w:tc>
          <w:tcPr>
            <w:tcW w:w="1656" w:type="pct"/>
            <w:shd w:val="clear" w:color="auto" w:fill="E8E8E8" w:themeFill="background2"/>
            <w:noWrap/>
            <w:hideMark/>
          </w:tcPr>
          <w:p w:rsidR="00DD56B8" w:rsidRPr="00596D01" w:rsidRDefault="00DD56B8" w:rsidP="00E911C8">
            <w:pPr>
              <w:rPr>
                <w:rStyle w:val="Strong"/>
              </w:rPr>
            </w:pPr>
            <w:r w:rsidRPr="00596D01">
              <w:rPr>
                <w:rStyle w:val="Strong"/>
              </w:rPr>
              <w:t>Capital structure</w:t>
            </w:r>
          </w:p>
        </w:tc>
        <w:tc>
          <w:tcPr>
            <w:tcW w:w="711" w:type="pct"/>
            <w:shd w:val="clear" w:color="auto" w:fill="E8E8E8" w:themeFill="background2"/>
            <w:noWrap/>
            <w:hideMark/>
          </w:tcPr>
          <w:p w:rsidR="00DD56B8" w:rsidRPr="0006152C" w:rsidRDefault="00DD56B8" w:rsidP="00E911C8">
            <w:pPr>
              <w:jc w:val="right"/>
            </w:pPr>
            <w:r w:rsidRPr="0006152C">
              <w:t> </w:t>
            </w:r>
          </w:p>
        </w:tc>
        <w:tc>
          <w:tcPr>
            <w:tcW w:w="655" w:type="pct"/>
            <w:shd w:val="clear" w:color="auto" w:fill="E8E8E8" w:themeFill="background2"/>
            <w:noWrap/>
            <w:hideMark/>
          </w:tcPr>
          <w:p w:rsidR="00DD56B8" w:rsidRPr="0006152C" w:rsidRDefault="00DD56B8" w:rsidP="00E911C8">
            <w:pPr>
              <w:jc w:val="right"/>
            </w:pPr>
            <w:r w:rsidRPr="0006152C">
              <w:t> </w:t>
            </w:r>
          </w:p>
        </w:tc>
        <w:tc>
          <w:tcPr>
            <w:tcW w:w="621" w:type="pct"/>
            <w:shd w:val="clear" w:color="auto" w:fill="E8E8E8" w:themeFill="background2"/>
            <w:noWrap/>
            <w:hideMark/>
          </w:tcPr>
          <w:p w:rsidR="00DD56B8" w:rsidRPr="0006152C" w:rsidRDefault="00DD56B8" w:rsidP="00E911C8">
            <w:pPr>
              <w:jc w:val="right"/>
            </w:pPr>
            <w:r w:rsidRPr="0006152C">
              <w:t> </w:t>
            </w:r>
          </w:p>
        </w:tc>
        <w:tc>
          <w:tcPr>
            <w:tcW w:w="707" w:type="pct"/>
            <w:shd w:val="clear" w:color="auto" w:fill="E8E8E8" w:themeFill="background2"/>
            <w:noWrap/>
            <w:hideMark/>
          </w:tcPr>
          <w:p w:rsidR="00DD56B8" w:rsidRPr="0006152C" w:rsidRDefault="00DD56B8" w:rsidP="00E911C8">
            <w:pPr>
              <w:jc w:val="right"/>
            </w:pPr>
            <w:r w:rsidRPr="0006152C">
              <w:t> </w:t>
            </w:r>
          </w:p>
        </w:tc>
        <w:tc>
          <w:tcPr>
            <w:tcW w:w="651"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656" w:type="pct"/>
            <w:hideMark/>
          </w:tcPr>
          <w:p w:rsidR="00DD56B8" w:rsidRDefault="00DD56B8" w:rsidP="00E911C8">
            <w:pPr>
              <w:rPr>
                <w:sz w:val="18"/>
                <w:szCs w:val="18"/>
              </w:rPr>
            </w:pPr>
            <w:r>
              <w:rPr>
                <w:sz w:val="18"/>
                <w:szCs w:val="18"/>
              </w:rPr>
              <w:t xml:space="preserve">T. Assets </w:t>
            </w:r>
            <w:proofErr w:type="spellStart"/>
            <w:r>
              <w:rPr>
                <w:sz w:val="18"/>
                <w:szCs w:val="18"/>
              </w:rPr>
              <w:t>p.r.p.a</w:t>
            </w:r>
            <w:proofErr w:type="spellEnd"/>
          </w:p>
        </w:tc>
        <w:tc>
          <w:tcPr>
            <w:tcW w:w="711" w:type="pct"/>
            <w:noWrap/>
            <w:hideMark/>
          </w:tcPr>
          <w:p w:rsidR="00DD56B8" w:rsidRPr="0006152C" w:rsidRDefault="00DD56B8" w:rsidP="00E911C8">
            <w:pPr>
              <w:jc w:val="right"/>
            </w:pPr>
            <w:r w:rsidRPr="0006152C">
              <w:t>$323,246</w:t>
            </w:r>
          </w:p>
        </w:tc>
        <w:tc>
          <w:tcPr>
            <w:tcW w:w="655" w:type="pct"/>
            <w:noWrap/>
            <w:hideMark/>
          </w:tcPr>
          <w:p w:rsidR="00DD56B8" w:rsidRPr="0006152C" w:rsidRDefault="00DD56B8" w:rsidP="00E911C8">
            <w:pPr>
              <w:jc w:val="right"/>
            </w:pPr>
            <w:r w:rsidRPr="0006152C">
              <w:t>$187,711</w:t>
            </w:r>
          </w:p>
        </w:tc>
        <w:tc>
          <w:tcPr>
            <w:tcW w:w="621" w:type="pct"/>
            <w:noWrap/>
            <w:hideMark/>
          </w:tcPr>
          <w:p w:rsidR="00DD56B8" w:rsidRPr="0006152C" w:rsidRDefault="00DD56B8" w:rsidP="00E911C8">
            <w:pPr>
              <w:jc w:val="right"/>
            </w:pPr>
            <w:r w:rsidRPr="0006152C">
              <w:t>$183,532</w:t>
            </w:r>
          </w:p>
        </w:tc>
        <w:tc>
          <w:tcPr>
            <w:tcW w:w="707" w:type="pct"/>
            <w:noWrap/>
            <w:hideMark/>
          </w:tcPr>
          <w:p w:rsidR="00DD56B8" w:rsidRPr="0006152C" w:rsidRDefault="00DD56B8" w:rsidP="00E911C8">
            <w:pPr>
              <w:jc w:val="right"/>
            </w:pPr>
            <w:r w:rsidRPr="0006152C">
              <w:t>$195,888</w:t>
            </w:r>
          </w:p>
        </w:tc>
        <w:tc>
          <w:tcPr>
            <w:tcW w:w="651" w:type="pct"/>
            <w:noWrap/>
            <w:hideMark/>
          </w:tcPr>
          <w:p w:rsidR="00DD56B8" w:rsidRPr="0006152C" w:rsidRDefault="00DD56B8" w:rsidP="00E911C8">
            <w:pPr>
              <w:jc w:val="right"/>
            </w:pPr>
            <w:r w:rsidRPr="0006152C">
              <w:t>$199,896</w:t>
            </w:r>
          </w:p>
        </w:tc>
      </w:tr>
      <w:tr w:rsidR="00DD56B8" w:rsidTr="00E911C8">
        <w:trPr>
          <w:trHeight w:val="113"/>
        </w:trPr>
        <w:tc>
          <w:tcPr>
            <w:tcW w:w="1656" w:type="pct"/>
            <w:noWrap/>
            <w:hideMark/>
          </w:tcPr>
          <w:p w:rsidR="00DD56B8" w:rsidRDefault="00DD56B8" w:rsidP="00E911C8">
            <w:r>
              <w:t>No. of RADs</w:t>
            </w:r>
          </w:p>
        </w:tc>
        <w:tc>
          <w:tcPr>
            <w:tcW w:w="711" w:type="pct"/>
            <w:noWrap/>
            <w:hideMark/>
          </w:tcPr>
          <w:p w:rsidR="00DD56B8" w:rsidRPr="0006152C" w:rsidRDefault="00DD56B8" w:rsidP="00E911C8">
            <w:pPr>
              <w:jc w:val="right"/>
            </w:pPr>
            <w:r w:rsidRPr="0006152C">
              <w:t>181</w:t>
            </w:r>
          </w:p>
        </w:tc>
        <w:tc>
          <w:tcPr>
            <w:tcW w:w="655" w:type="pct"/>
            <w:noWrap/>
            <w:hideMark/>
          </w:tcPr>
          <w:p w:rsidR="00DD56B8" w:rsidRPr="0006152C" w:rsidRDefault="00DD56B8" w:rsidP="00E911C8">
            <w:pPr>
              <w:jc w:val="right"/>
            </w:pPr>
            <w:r w:rsidRPr="0006152C">
              <w:t>362</w:t>
            </w:r>
          </w:p>
        </w:tc>
        <w:tc>
          <w:tcPr>
            <w:tcW w:w="621" w:type="pct"/>
            <w:noWrap/>
            <w:hideMark/>
          </w:tcPr>
          <w:p w:rsidR="00DD56B8" w:rsidRPr="0006152C" w:rsidRDefault="00DD56B8" w:rsidP="00E911C8">
            <w:pPr>
              <w:jc w:val="right"/>
            </w:pPr>
            <w:r w:rsidRPr="0006152C">
              <w:t>464</w:t>
            </w:r>
          </w:p>
        </w:tc>
        <w:tc>
          <w:tcPr>
            <w:tcW w:w="707" w:type="pct"/>
            <w:noWrap/>
            <w:hideMark/>
          </w:tcPr>
          <w:p w:rsidR="00DD56B8" w:rsidRPr="0006152C" w:rsidRDefault="00DD56B8" w:rsidP="00E911C8">
            <w:pPr>
              <w:jc w:val="right"/>
            </w:pPr>
            <w:r w:rsidRPr="0006152C">
              <w:t>1,518</w:t>
            </w:r>
          </w:p>
        </w:tc>
        <w:tc>
          <w:tcPr>
            <w:tcW w:w="651" w:type="pct"/>
            <w:noWrap/>
            <w:hideMark/>
          </w:tcPr>
          <w:p w:rsidR="00DD56B8" w:rsidRPr="0006152C" w:rsidRDefault="00DD56B8" w:rsidP="00E911C8">
            <w:pPr>
              <w:jc w:val="right"/>
            </w:pPr>
            <w:r w:rsidRPr="0006152C">
              <w:t>2,525</w:t>
            </w:r>
          </w:p>
        </w:tc>
      </w:tr>
      <w:tr w:rsidR="00DD56B8" w:rsidTr="00E911C8">
        <w:trPr>
          <w:trHeight w:val="113"/>
        </w:trPr>
        <w:tc>
          <w:tcPr>
            <w:tcW w:w="1656" w:type="pct"/>
            <w:hideMark/>
          </w:tcPr>
          <w:p w:rsidR="00DD56B8" w:rsidRDefault="00DD56B8" w:rsidP="00E911C8">
            <w:pPr>
              <w:rPr>
                <w:sz w:val="18"/>
                <w:szCs w:val="18"/>
              </w:rPr>
            </w:pPr>
            <w:proofErr w:type="spellStart"/>
            <w:r>
              <w:rPr>
                <w:sz w:val="18"/>
                <w:szCs w:val="18"/>
              </w:rPr>
              <w:t>Avg</w:t>
            </w:r>
            <w:proofErr w:type="spellEnd"/>
            <w:r>
              <w:rPr>
                <w:sz w:val="18"/>
                <w:szCs w:val="18"/>
              </w:rPr>
              <w:t xml:space="preserve"> RAD per resident</w:t>
            </w:r>
          </w:p>
        </w:tc>
        <w:tc>
          <w:tcPr>
            <w:tcW w:w="711" w:type="pct"/>
            <w:noWrap/>
            <w:hideMark/>
          </w:tcPr>
          <w:p w:rsidR="00DD56B8" w:rsidRPr="0006152C" w:rsidRDefault="00DD56B8" w:rsidP="00E911C8">
            <w:pPr>
              <w:jc w:val="right"/>
            </w:pPr>
            <w:r w:rsidRPr="0006152C">
              <w:t>$198,726</w:t>
            </w:r>
          </w:p>
        </w:tc>
        <w:tc>
          <w:tcPr>
            <w:tcW w:w="655" w:type="pct"/>
            <w:noWrap/>
            <w:hideMark/>
          </w:tcPr>
          <w:p w:rsidR="00DD56B8" w:rsidRPr="0006152C" w:rsidRDefault="00DD56B8" w:rsidP="00E911C8">
            <w:pPr>
              <w:jc w:val="right"/>
            </w:pPr>
            <w:r w:rsidRPr="0006152C">
              <w:t>$169,687</w:t>
            </w:r>
          </w:p>
        </w:tc>
        <w:tc>
          <w:tcPr>
            <w:tcW w:w="621" w:type="pct"/>
            <w:noWrap/>
            <w:hideMark/>
          </w:tcPr>
          <w:p w:rsidR="00DD56B8" w:rsidRPr="0006152C" w:rsidRDefault="00DD56B8" w:rsidP="00E911C8">
            <w:pPr>
              <w:jc w:val="right"/>
            </w:pPr>
            <w:r w:rsidRPr="0006152C">
              <w:t>$227,405</w:t>
            </w:r>
          </w:p>
        </w:tc>
        <w:tc>
          <w:tcPr>
            <w:tcW w:w="707" w:type="pct"/>
            <w:noWrap/>
            <w:hideMark/>
          </w:tcPr>
          <w:p w:rsidR="00DD56B8" w:rsidRPr="0006152C" w:rsidRDefault="00DD56B8" w:rsidP="00E911C8">
            <w:pPr>
              <w:jc w:val="right"/>
            </w:pPr>
            <w:r w:rsidRPr="0006152C">
              <w:t>$203,719</w:t>
            </w:r>
          </w:p>
        </w:tc>
        <w:tc>
          <w:tcPr>
            <w:tcW w:w="651" w:type="pct"/>
            <w:noWrap/>
            <w:hideMark/>
          </w:tcPr>
          <w:p w:rsidR="00DD56B8" w:rsidRPr="0006152C" w:rsidRDefault="00DD56B8" w:rsidP="00E911C8">
            <w:pPr>
              <w:jc w:val="right"/>
            </w:pPr>
            <w:r w:rsidRPr="0006152C">
              <w:t>$202,834</w:t>
            </w:r>
          </w:p>
        </w:tc>
      </w:tr>
      <w:tr w:rsidR="00DD56B8" w:rsidTr="00E911C8">
        <w:trPr>
          <w:trHeight w:val="113"/>
        </w:trPr>
        <w:tc>
          <w:tcPr>
            <w:tcW w:w="1656" w:type="pct"/>
            <w:hideMark/>
          </w:tcPr>
          <w:p w:rsidR="00DD56B8" w:rsidRDefault="00DD56B8" w:rsidP="00E911C8">
            <w:pPr>
              <w:rPr>
                <w:sz w:val="18"/>
                <w:szCs w:val="18"/>
              </w:rPr>
            </w:pPr>
            <w:r>
              <w:rPr>
                <w:sz w:val="18"/>
                <w:szCs w:val="18"/>
              </w:rPr>
              <w:t xml:space="preserve">Net Worth </w:t>
            </w:r>
            <w:proofErr w:type="spellStart"/>
            <w:r>
              <w:rPr>
                <w:sz w:val="18"/>
                <w:szCs w:val="18"/>
              </w:rPr>
              <w:t>p.r.p.a</w:t>
            </w:r>
            <w:proofErr w:type="spellEnd"/>
          </w:p>
        </w:tc>
        <w:tc>
          <w:tcPr>
            <w:tcW w:w="711" w:type="pct"/>
            <w:noWrap/>
            <w:hideMark/>
          </w:tcPr>
          <w:p w:rsidR="00DD56B8" w:rsidRPr="0006152C" w:rsidRDefault="00DD56B8" w:rsidP="00E911C8">
            <w:pPr>
              <w:jc w:val="right"/>
            </w:pPr>
            <w:r w:rsidRPr="0006152C">
              <w:t>$234,775</w:t>
            </w:r>
          </w:p>
        </w:tc>
        <w:tc>
          <w:tcPr>
            <w:tcW w:w="655" w:type="pct"/>
            <w:noWrap/>
            <w:hideMark/>
          </w:tcPr>
          <w:p w:rsidR="00DD56B8" w:rsidRPr="0006152C" w:rsidRDefault="00DD56B8" w:rsidP="00E911C8">
            <w:pPr>
              <w:jc w:val="right"/>
            </w:pPr>
            <w:r w:rsidRPr="0006152C">
              <w:t>$143,467</w:t>
            </w:r>
          </w:p>
        </w:tc>
        <w:tc>
          <w:tcPr>
            <w:tcW w:w="621" w:type="pct"/>
            <w:noWrap/>
            <w:hideMark/>
          </w:tcPr>
          <w:p w:rsidR="00DD56B8" w:rsidRPr="0006152C" w:rsidRDefault="00DD56B8" w:rsidP="00E911C8">
            <w:pPr>
              <w:jc w:val="right"/>
            </w:pPr>
            <w:r w:rsidRPr="0006152C">
              <w:t>$89,331</w:t>
            </w:r>
          </w:p>
        </w:tc>
        <w:tc>
          <w:tcPr>
            <w:tcW w:w="707" w:type="pct"/>
            <w:noWrap/>
            <w:hideMark/>
          </w:tcPr>
          <w:p w:rsidR="00DD56B8" w:rsidRPr="0006152C" w:rsidRDefault="00DD56B8" w:rsidP="00E911C8">
            <w:pPr>
              <w:jc w:val="right"/>
            </w:pPr>
            <w:r w:rsidRPr="0006152C">
              <w:t>$107,113</w:t>
            </w:r>
          </w:p>
        </w:tc>
        <w:tc>
          <w:tcPr>
            <w:tcW w:w="651" w:type="pct"/>
            <w:noWrap/>
            <w:hideMark/>
          </w:tcPr>
          <w:p w:rsidR="00DD56B8" w:rsidRPr="0006152C" w:rsidRDefault="00DD56B8" w:rsidP="00E911C8">
            <w:pPr>
              <w:jc w:val="right"/>
            </w:pPr>
            <w:r w:rsidRPr="0006152C">
              <w:t>$119,438</w:t>
            </w:r>
          </w:p>
        </w:tc>
      </w:tr>
      <w:tr w:rsidR="00DD56B8" w:rsidTr="00E911C8">
        <w:trPr>
          <w:trHeight w:val="113"/>
        </w:trPr>
        <w:tc>
          <w:tcPr>
            <w:tcW w:w="1656" w:type="pct"/>
            <w:hideMark/>
          </w:tcPr>
          <w:p w:rsidR="00DD56B8" w:rsidRDefault="00DD56B8" w:rsidP="00E911C8">
            <w:pPr>
              <w:rPr>
                <w:sz w:val="18"/>
                <w:szCs w:val="18"/>
              </w:rPr>
            </w:pPr>
            <w:r>
              <w:rPr>
                <w:sz w:val="18"/>
                <w:szCs w:val="18"/>
              </w:rPr>
              <w:t xml:space="preserve">Working Capital </w:t>
            </w:r>
            <w:proofErr w:type="spellStart"/>
            <w:r>
              <w:rPr>
                <w:sz w:val="18"/>
                <w:szCs w:val="18"/>
              </w:rPr>
              <w:t>p.r.p.a</w:t>
            </w:r>
            <w:proofErr w:type="spellEnd"/>
          </w:p>
        </w:tc>
        <w:tc>
          <w:tcPr>
            <w:tcW w:w="711" w:type="pct"/>
            <w:noWrap/>
            <w:hideMark/>
          </w:tcPr>
          <w:p w:rsidR="00DD56B8" w:rsidRPr="0006152C" w:rsidRDefault="00DD56B8" w:rsidP="00E911C8">
            <w:pPr>
              <w:jc w:val="right"/>
            </w:pPr>
            <w:r w:rsidRPr="0006152C">
              <w:t>$11,295</w:t>
            </w:r>
          </w:p>
        </w:tc>
        <w:tc>
          <w:tcPr>
            <w:tcW w:w="655" w:type="pct"/>
            <w:noWrap/>
            <w:hideMark/>
          </w:tcPr>
          <w:p w:rsidR="00DD56B8" w:rsidRPr="0006152C" w:rsidRDefault="00DD56B8" w:rsidP="00E911C8">
            <w:pPr>
              <w:jc w:val="right"/>
            </w:pPr>
            <w:r w:rsidRPr="0006152C">
              <w:t>$4,659</w:t>
            </w:r>
          </w:p>
        </w:tc>
        <w:tc>
          <w:tcPr>
            <w:tcW w:w="621" w:type="pct"/>
            <w:noWrap/>
            <w:hideMark/>
          </w:tcPr>
          <w:p w:rsidR="00DD56B8" w:rsidRPr="0006152C" w:rsidRDefault="00DD56B8" w:rsidP="00E911C8">
            <w:pPr>
              <w:jc w:val="right"/>
            </w:pPr>
            <w:r w:rsidRPr="0006152C">
              <w:t>-$1,317</w:t>
            </w:r>
          </w:p>
        </w:tc>
        <w:tc>
          <w:tcPr>
            <w:tcW w:w="707" w:type="pct"/>
            <w:noWrap/>
            <w:hideMark/>
          </w:tcPr>
          <w:p w:rsidR="00DD56B8" w:rsidRPr="0006152C" w:rsidRDefault="00DD56B8" w:rsidP="00E911C8">
            <w:pPr>
              <w:jc w:val="right"/>
            </w:pPr>
            <w:r w:rsidRPr="0006152C">
              <w:t>-$19,459</w:t>
            </w:r>
          </w:p>
        </w:tc>
        <w:tc>
          <w:tcPr>
            <w:tcW w:w="651" w:type="pct"/>
            <w:noWrap/>
            <w:hideMark/>
          </w:tcPr>
          <w:p w:rsidR="00DD56B8" w:rsidRPr="0006152C" w:rsidRDefault="00DD56B8" w:rsidP="00E911C8">
            <w:pPr>
              <w:jc w:val="right"/>
            </w:pPr>
            <w:r w:rsidRPr="0006152C">
              <w:t>-$9,416</w:t>
            </w:r>
          </w:p>
        </w:tc>
      </w:tr>
      <w:tr w:rsidR="00DD56B8" w:rsidTr="00E911C8">
        <w:trPr>
          <w:trHeight w:val="113"/>
        </w:trPr>
        <w:tc>
          <w:tcPr>
            <w:tcW w:w="1656" w:type="pct"/>
            <w:noWrap/>
            <w:hideMark/>
          </w:tcPr>
          <w:p w:rsidR="00DD56B8" w:rsidRDefault="00DD56B8" w:rsidP="00E911C8">
            <w:pPr>
              <w:rPr>
                <w:sz w:val="18"/>
                <w:szCs w:val="18"/>
              </w:rPr>
            </w:pPr>
            <w:proofErr w:type="spellStart"/>
            <w:r>
              <w:rPr>
                <w:sz w:val="18"/>
                <w:szCs w:val="18"/>
              </w:rPr>
              <w:t>Non.Curr</w:t>
            </w:r>
            <w:proofErr w:type="spellEnd"/>
            <w:r>
              <w:rPr>
                <w:sz w:val="18"/>
                <w:szCs w:val="18"/>
              </w:rPr>
              <w:t xml:space="preserve"> </w:t>
            </w:r>
            <w:proofErr w:type="spellStart"/>
            <w:r>
              <w:rPr>
                <w:sz w:val="18"/>
                <w:szCs w:val="18"/>
              </w:rPr>
              <w:t>Liab</w:t>
            </w:r>
            <w:proofErr w:type="spellEnd"/>
            <w:r>
              <w:rPr>
                <w:sz w:val="18"/>
                <w:szCs w:val="18"/>
              </w:rPr>
              <w:t xml:space="preserve"> as % of </w:t>
            </w:r>
            <w:proofErr w:type="spellStart"/>
            <w:r>
              <w:rPr>
                <w:sz w:val="18"/>
                <w:szCs w:val="18"/>
              </w:rPr>
              <w:t>T.Asts</w:t>
            </w:r>
            <w:proofErr w:type="spellEnd"/>
            <w:r>
              <w:rPr>
                <w:sz w:val="18"/>
                <w:szCs w:val="18"/>
              </w:rPr>
              <w:t>.</w:t>
            </w:r>
          </w:p>
        </w:tc>
        <w:tc>
          <w:tcPr>
            <w:tcW w:w="711" w:type="pct"/>
            <w:noWrap/>
            <w:hideMark/>
          </w:tcPr>
          <w:p w:rsidR="00DD56B8" w:rsidRPr="0006152C" w:rsidRDefault="00DD56B8" w:rsidP="00E911C8">
            <w:pPr>
              <w:jc w:val="right"/>
            </w:pPr>
            <w:r w:rsidRPr="0006152C">
              <w:t>5.1%</w:t>
            </w:r>
          </w:p>
        </w:tc>
        <w:tc>
          <w:tcPr>
            <w:tcW w:w="655" w:type="pct"/>
            <w:noWrap/>
            <w:hideMark/>
          </w:tcPr>
          <w:p w:rsidR="00DD56B8" w:rsidRPr="0006152C" w:rsidRDefault="00DD56B8" w:rsidP="00E911C8">
            <w:pPr>
              <w:jc w:val="right"/>
            </w:pPr>
            <w:r w:rsidRPr="0006152C">
              <w:t>4.7%</w:t>
            </w:r>
          </w:p>
        </w:tc>
        <w:tc>
          <w:tcPr>
            <w:tcW w:w="621" w:type="pct"/>
            <w:noWrap/>
            <w:hideMark/>
          </w:tcPr>
          <w:p w:rsidR="00DD56B8" w:rsidRPr="0006152C" w:rsidRDefault="00DD56B8" w:rsidP="00E911C8">
            <w:pPr>
              <w:jc w:val="right"/>
            </w:pPr>
            <w:r w:rsidRPr="0006152C">
              <w:t>3.2%</w:t>
            </w:r>
          </w:p>
        </w:tc>
        <w:tc>
          <w:tcPr>
            <w:tcW w:w="707" w:type="pct"/>
            <w:noWrap/>
            <w:hideMark/>
          </w:tcPr>
          <w:p w:rsidR="00DD56B8" w:rsidRPr="0006152C" w:rsidRDefault="00DD56B8" w:rsidP="00E911C8">
            <w:pPr>
              <w:jc w:val="right"/>
            </w:pPr>
            <w:r w:rsidRPr="0006152C">
              <w:t>2.1%</w:t>
            </w:r>
          </w:p>
        </w:tc>
        <w:tc>
          <w:tcPr>
            <w:tcW w:w="651" w:type="pct"/>
            <w:noWrap/>
            <w:hideMark/>
          </w:tcPr>
          <w:p w:rsidR="00DD56B8" w:rsidRPr="0006152C" w:rsidRDefault="00DD56B8" w:rsidP="00E911C8">
            <w:pPr>
              <w:jc w:val="right"/>
            </w:pPr>
            <w:r w:rsidRPr="0006152C">
              <w:t>3.1%</w:t>
            </w:r>
          </w:p>
        </w:tc>
      </w:tr>
      <w:tr w:rsidR="00DD56B8" w:rsidTr="00E911C8">
        <w:trPr>
          <w:trHeight w:val="113"/>
        </w:trPr>
        <w:tc>
          <w:tcPr>
            <w:tcW w:w="1656" w:type="pct"/>
            <w:noWrap/>
            <w:hideMark/>
          </w:tcPr>
          <w:p w:rsidR="00DD56B8" w:rsidRDefault="00DD56B8" w:rsidP="00E911C8">
            <w:pPr>
              <w:rPr>
                <w:sz w:val="18"/>
                <w:szCs w:val="18"/>
              </w:rPr>
            </w:pPr>
            <w:r>
              <w:rPr>
                <w:sz w:val="18"/>
                <w:szCs w:val="18"/>
              </w:rPr>
              <w:t xml:space="preserve">RADs as % of T. </w:t>
            </w:r>
            <w:proofErr w:type="spellStart"/>
            <w:r>
              <w:rPr>
                <w:sz w:val="18"/>
                <w:szCs w:val="18"/>
              </w:rPr>
              <w:t>Asts</w:t>
            </w:r>
            <w:proofErr w:type="spellEnd"/>
          </w:p>
        </w:tc>
        <w:tc>
          <w:tcPr>
            <w:tcW w:w="711" w:type="pct"/>
            <w:noWrap/>
            <w:hideMark/>
          </w:tcPr>
          <w:p w:rsidR="00DD56B8" w:rsidRPr="0006152C" w:rsidRDefault="00DD56B8" w:rsidP="00E911C8">
            <w:pPr>
              <w:jc w:val="right"/>
            </w:pPr>
            <w:r w:rsidRPr="0006152C">
              <w:t>23.2%</w:t>
            </w:r>
          </w:p>
        </w:tc>
        <w:tc>
          <w:tcPr>
            <w:tcW w:w="655" w:type="pct"/>
            <w:noWrap/>
            <w:hideMark/>
          </w:tcPr>
          <w:p w:rsidR="00DD56B8" w:rsidRPr="0006152C" w:rsidRDefault="00DD56B8" w:rsidP="00E911C8">
            <w:pPr>
              <w:jc w:val="right"/>
            </w:pPr>
            <w:r w:rsidRPr="0006152C">
              <w:t>20.1%</w:t>
            </w:r>
          </w:p>
        </w:tc>
        <w:tc>
          <w:tcPr>
            <w:tcW w:w="621" w:type="pct"/>
            <w:noWrap/>
            <w:hideMark/>
          </w:tcPr>
          <w:p w:rsidR="00DD56B8" w:rsidRPr="0006152C" w:rsidRDefault="00DD56B8" w:rsidP="00E911C8">
            <w:pPr>
              <w:jc w:val="right"/>
            </w:pPr>
            <w:r w:rsidRPr="0006152C">
              <w:t>42.4%</w:t>
            </w:r>
          </w:p>
        </w:tc>
        <w:tc>
          <w:tcPr>
            <w:tcW w:w="707" w:type="pct"/>
            <w:noWrap/>
            <w:hideMark/>
          </w:tcPr>
          <w:p w:rsidR="00DD56B8" w:rsidRPr="0006152C" w:rsidRDefault="00DD56B8" w:rsidP="00E911C8">
            <w:pPr>
              <w:jc w:val="right"/>
            </w:pPr>
            <w:r w:rsidRPr="0006152C">
              <w:t>37.0%</w:t>
            </w:r>
          </w:p>
        </w:tc>
        <w:tc>
          <w:tcPr>
            <w:tcW w:w="651" w:type="pct"/>
            <w:noWrap/>
            <w:hideMark/>
          </w:tcPr>
          <w:p w:rsidR="00DD56B8" w:rsidRPr="0006152C" w:rsidRDefault="00DD56B8" w:rsidP="00E911C8">
            <w:pPr>
              <w:jc w:val="right"/>
            </w:pPr>
            <w:r w:rsidRPr="0006152C">
              <w:t>33.1%</w:t>
            </w:r>
          </w:p>
        </w:tc>
      </w:tr>
      <w:tr w:rsidR="00DD56B8" w:rsidTr="00E911C8">
        <w:trPr>
          <w:trHeight w:val="113"/>
        </w:trPr>
        <w:tc>
          <w:tcPr>
            <w:tcW w:w="1656" w:type="pct"/>
            <w:noWrap/>
            <w:hideMark/>
          </w:tcPr>
          <w:p w:rsidR="00DD56B8" w:rsidRDefault="00DD56B8" w:rsidP="00E911C8">
            <w:pPr>
              <w:rPr>
                <w:sz w:val="18"/>
                <w:szCs w:val="18"/>
              </w:rPr>
            </w:pPr>
            <w:r>
              <w:rPr>
                <w:sz w:val="18"/>
                <w:szCs w:val="18"/>
              </w:rPr>
              <w:t xml:space="preserve">Net Worth as % </w:t>
            </w:r>
            <w:proofErr w:type="spellStart"/>
            <w:r>
              <w:rPr>
                <w:sz w:val="18"/>
                <w:szCs w:val="18"/>
              </w:rPr>
              <w:t>T.Asts</w:t>
            </w:r>
            <w:proofErr w:type="spellEnd"/>
          </w:p>
        </w:tc>
        <w:tc>
          <w:tcPr>
            <w:tcW w:w="711" w:type="pct"/>
            <w:noWrap/>
            <w:hideMark/>
          </w:tcPr>
          <w:p w:rsidR="00DD56B8" w:rsidRPr="0006152C" w:rsidRDefault="00DD56B8" w:rsidP="00E911C8">
            <w:pPr>
              <w:jc w:val="right"/>
            </w:pPr>
            <w:r w:rsidRPr="0006152C">
              <w:t>72.6%</w:t>
            </w:r>
          </w:p>
        </w:tc>
        <w:tc>
          <w:tcPr>
            <w:tcW w:w="655" w:type="pct"/>
            <w:noWrap/>
            <w:hideMark/>
          </w:tcPr>
          <w:p w:rsidR="00DD56B8" w:rsidRPr="0006152C" w:rsidRDefault="00DD56B8" w:rsidP="00E911C8">
            <w:pPr>
              <w:jc w:val="right"/>
            </w:pPr>
            <w:r w:rsidRPr="0006152C">
              <w:t>77.6%</w:t>
            </w:r>
          </w:p>
        </w:tc>
        <w:tc>
          <w:tcPr>
            <w:tcW w:w="621" w:type="pct"/>
            <w:noWrap/>
            <w:hideMark/>
          </w:tcPr>
          <w:p w:rsidR="00DD56B8" w:rsidRPr="0006152C" w:rsidRDefault="00DD56B8" w:rsidP="00E911C8">
            <w:pPr>
              <w:jc w:val="right"/>
            </w:pPr>
            <w:r w:rsidRPr="0006152C">
              <w:t>48.7%</w:t>
            </w:r>
          </w:p>
        </w:tc>
        <w:tc>
          <w:tcPr>
            <w:tcW w:w="707" w:type="pct"/>
            <w:noWrap/>
            <w:hideMark/>
          </w:tcPr>
          <w:p w:rsidR="00DD56B8" w:rsidRPr="0006152C" w:rsidRDefault="00DD56B8" w:rsidP="00E911C8">
            <w:pPr>
              <w:jc w:val="right"/>
            </w:pPr>
            <w:r w:rsidRPr="0006152C">
              <w:t>57.5%</w:t>
            </w:r>
          </w:p>
        </w:tc>
        <w:tc>
          <w:tcPr>
            <w:tcW w:w="651" w:type="pct"/>
            <w:noWrap/>
            <w:hideMark/>
          </w:tcPr>
          <w:p w:rsidR="00DD56B8" w:rsidRPr="0006152C" w:rsidRDefault="00DD56B8" w:rsidP="00E911C8">
            <w:pPr>
              <w:jc w:val="right"/>
            </w:pPr>
            <w:r w:rsidRPr="0006152C">
              <w:t>61.6%</w:t>
            </w:r>
          </w:p>
        </w:tc>
      </w:tr>
      <w:tr w:rsidR="00DD56B8" w:rsidTr="00E911C8">
        <w:trPr>
          <w:trHeight w:val="113"/>
        </w:trPr>
        <w:tc>
          <w:tcPr>
            <w:tcW w:w="1656" w:type="pct"/>
            <w:shd w:val="clear" w:color="auto" w:fill="E8E8E8" w:themeFill="background2"/>
            <w:noWrap/>
            <w:hideMark/>
          </w:tcPr>
          <w:p w:rsidR="00DD56B8" w:rsidRPr="00596D01" w:rsidRDefault="00DD56B8" w:rsidP="00E911C8">
            <w:pPr>
              <w:rPr>
                <w:rStyle w:val="Strong"/>
              </w:rPr>
            </w:pPr>
            <w:r w:rsidRPr="00596D01">
              <w:rPr>
                <w:rStyle w:val="Strong"/>
              </w:rPr>
              <w:t>Viability</w:t>
            </w:r>
          </w:p>
        </w:tc>
        <w:tc>
          <w:tcPr>
            <w:tcW w:w="711" w:type="pct"/>
            <w:shd w:val="clear" w:color="auto" w:fill="E8E8E8" w:themeFill="background2"/>
            <w:noWrap/>
            <w:hideMark/>
          </w:tcPr>
          <w:p w:rsidR="00DD56B8" w:rsidRPr="0006152C" w:rsidRDefault="00DD56B8" w:rsidP="00E911C8">
            <w:pPr>
              <w:jc w:val="right"/>
            </w:pPr>
            <w:r w:rsidRPr="0006152C">
              <w:t> </w:t>
            </w:r>
          </w:p>
        </w:tc>
        <w:tc>
          <w:tcPr>
            <w:tcW w:w="655" w:type="pct"/>
            <w:shd w:val="clear" w:color="auto" w:fill="E8E8E8" w:themeFill="background2"/>
            <w:noWrap/>
            <w:hideMark/>
          </w:tcPr>
          <w:p w:rsidR="00DD56B8" w:rsidRPr="0006152C" w:rsidRDefault="00DD56B8" w:rsidP="00E911C8">
            <w:pPr>
              <w:jc w:val="right"/>
            </w:pPr>
            <w:r w:rsidRPr="0006152C">
              <w:t> </w:t>
            </w:r>
          </w:p>
        </w:tc>
        <w:tc>
          <w:tcPr>
            <w:tcW w:w="621" w:type="pct"/>
            <w:shd w:val="clear" w:color="auto" w:fill="E8E8E8" w:themeFill="background2"/>
            <w:noWrap/>
            <w:hideMark/>
          </w:tcPr>
          <w:p w:rsidR="00DD56B8" w:rsidRPr="0006152C" w:rsidRDefault="00DD56B8" w:rsidP="00E911C8">
            <w:pPr>
              <w:jc w:val="right"/>
            </w:pPr>
            <w:r w:rsidRPr="0006152C">
              <w:t> </w:t>
            </w:r>
          </w:p>
        </w:tc>
        <w:tc>
          <w:tcPr>
            <w:tcW w:w="707" w:type="pct"/>
            <w:shd w:val="clear" w:color="auto" w:fill="E8E8E8" w:themeFill="background2"/>
            <w:noWrap/>
            <w:hideMark/>
          </w:tcPr>
          <w:p w:rsidR="00DD56B8" w:rsidRPr="0006152C" w:rsidRDefault="00DD56B8" w:rsidP="00E911C8">
            <w:pPr>
              <w:jc w:val="right"/>
            </w:pPr>
            <w:r w:rsidRPr="0006152C">
              <w:t> </w:t>
            </w:r>
          </w:p>
        </w:tc>
        <w:tc>
          <w:tcPr>
            <w:tcW w:w="651"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656" w:type="pct"/>
            <w:noWrap/>
            <w:hideMark/>
          </w:tcPr>
          <w:p w:rsidR="00DD56B8" w:rsidRDefault="00DD56B8" w:rsidP="00E911C8">
            <w:pPr>
              <w:rPr>
                <w:sz w:val="18"/>
                <w:szCs w:val="18"/>
              </w:rPr>
            </w:pPr>
            <w:r>
              <w:rPr>
                <w:sz w:val="18"/>
                <w:szCs w:val="18"/>
              </w:rPr>
              <w:t>Current ratio</w:t>
            </w:r>
          </w:p>
        </w:tc>
        <w:tc>
          <w:tcPr>
            <w:tcW w:w="711" w:type="pct"/>
            <w:noWrap/>
            <w:hideMark/>
          </w:tcPr>
          <w:p w:rsidR="00DD56B8" w:rsidRPr="0006152C" w:rsidRDefault="00DD56B8" w:rsidP="00E911C8">
            <w:pPr>
              <w:jc w:val="right"/>
            </w:pPr>
            <w:r w:rsidRPr="0006152C">
              <w:t>1.16</w:t>
            </w:r>
          </w:p>
        </w:tc>
        <w:tc>
          <w:tcPr>
            <w:tcW w:w="655" w:type="pct"/>
            <w:noWrap/>
            <w:hideMark/>
          </w:tcPr>
          <w:p w:rsidR="00DD56B8" w:rsidRPr="0006152C" w:rsidRDefault="00DD56B8" w:rsidP="00E911C8">
            <w:pPr>
              <w:jc w:val="right"/>
            </w:pPr>
            <w:r w:rsidRPr="0006152C">
              <w:t>1.14</w:t>
            </w:r>
          </w:p>
        </w:tc>
        <w:tc>
          <w:tcPr>
            <w:tcW w:w="621" w:type="pct"/>
            <w:noWrap/>
            <w:hideMark/>
          </w:tcPr>
          <w:p w:rsidR="00DD56B8" w:rsidRPr="0006152C" w:rsidRDefault="00DD56B8" w:rsidP="00E911C8">
            <w:pPr>
              <w:jc w:val="right"/>
            </w:pPr>
            <w:r w:rsidRPr="0006152C">
              <w:t>0.99</w:t>
            </w:r>
          </w:p>
        </w:tc>
        <w:tc>
          <w:tcPr>
            <w:tcW w:w="707" w:type="pct"/>
            <w:noWrap/>
            <w:hideMark/>
          </w:tcPr>
          <w:p w:rsidR="00DD56B8" w:rsidRPr="0006152C" w:rsidRDefault="00DD56B8" w:rsidP="00E911C8">
            <w:pPr>
              <w:jc w:val="right"/>
            </w:pPr>
            <w:r w:rsidRPr="0006152C">
              <w:t>0.75</w:t>
            </w:r>
          </w:p>
        </w:tc>
        <w:tc>
          <w:tcPr>
            <w:tcW w:w="651" w:type="pct"/>
            <w:noWrap/>
            <w:hideMark/>
          </w:tcPr>
          <w:p w:rsidR="00DD56B8" w:rsidRPr="0006152C" w:rsidRDefault="00DD56B8" w:rsidP="00E911C8">
            <w:pPr>
              <w:jc w:val="right"/>
            </w:pPr>
            <w:r w:rsidRPr="0006152C">
              <w:t>0.87</w:t>
            </w:r>
          </w:p>
        </w:tc>
      </w:tr>
      <w:tr w:rsidR="00DD56B8" w:rsidTr="00E911C8">
        <w:trPr>
          <w:trHeight w:val="113"/>
        </w:trPr>
        <w:tc>
          <w:tcPr>
            <w:tcW w:w="1656" w:type="pct"/>
            <w:noWrap/>
            <w:hideMark/>
          </w:tcPr>
          <w:p w:rsidR="00DD56B8" w:rsidRDefault="00DD56B8" w:rsidP="00E911C8">
            <w:pPr>
              <w:rPr>
                <w:sz w:val="18"/>
                <w:szCs w:val="18"/>
              </w:rPr>
            </w:pPr>
            <w:r>
              <w:rPr>
                <w:sz w:val="18"/>
                <w:szCs w:val="18"/>
              </w:rPr>
              <w:t>Interest coverage</w:t>
            </w:r>
          </w:p>
        </w:tc>
        <w:tc>
          <w:tcPr>
            <w:tcW w:w="711" w:type="pct"/>
            <w:noWrap/>
            <w:hideMark/>
          </w:tcPr>
          <w:p w:rsidR="00DD56B8" w:rsidRPr="0006152C" w:rsidRDefault="00DD56B8" w:rsidP="00E911C8">
            <w:pPr>
              <w:jc w:val="right"/>
            </w:pPr>
            <w:r w:rsidRPr="0006152C">
              <w:t>1093.3 Times</w:t>
            </w:r>
          </w:p>
        </w:tc>
        <w:tc>
          <w:tcPr>
            <w:tcW w:w="655" w:type="pct"/>
            <w:noWrap/>
            <w:hideMark/>
          </w:tcPr>
          <w:p w:rsidR="00DD56B8" w:rsidRPr="0006152C" w:rsidRDefault="00DD56B8" w:rsidP="00E911C8">
            <w:pPr>
              <w:jc w:val="right"/>
            </w:pPr>
            <w:r w:rsidRPr="0006152C">
              <w:t>120.0 Times</w:t>
            </w:r>
          </w:p>
        </w:tc>
        <w:tc>
          <w:tcPr>
            <w:tcW w:w="621" w:type="pct"/>
            <w:noWrap/>
            <w:hideMark/>
          </w:tcPr>
          <w:p w:rsidR="00DD56B8" w:rsidRPr="0006152C" w:rsidRDefault="00DD56B8" w:rsidP="00E911C8">
            <w:pPr>
              <w:jc w:val="right"/>
            </w:pPr>
            <w:r w:rsidRPr="0006152C">
              <w:t>27.9 Times</w:t>
            </w:r>
          </w:p>
        </w:tc>
        <w:tc>
          <w:tcPr>
            <w:tcW w:w="707" w:type="pct"/>
            <w:noWrap/>
            <w:hideMark/>
          </w:tcPr>
          <w:p w:rsidR="00DD56B8" w:rsidRPr="0006152C" w:rsidRDefault="00D8721E" w:rsidP="00E911C8">
            <w:pPr>
              <w:jc w:val="right"/>
            </w:pPr>
            <w:r>
              <w:t>–1</w:t>
            </w:r>
            <w:r w:rsidR="00DD56B8" w:rsidRPr="0006152C">
              <w:t>04.5 Times</w:t>
            </w:r>
          </w:p>
        </w:tc>
        <w:tc>
          <w:tcPr>
            <w:tcW w:w="651" w:type="pct"/>
            <w:noWrap/>
            <w:hideMark/>
          </w:tcPr>
          <w:p w:rsidR="00DD56B8" w:rsidRPr="0006152C" w:rsidRDefault="00D8721E" w:rsidP="00E911C8">
            <w:pPr>
              <w:jc w:val="right"/>
            </w:pPr>
            <w:r>
              <w:t>–2</w:t>
            </w:r>
            <w:r w:rsidR="00DD56B8" w:rsidRPr="0006152C">
              <w:t>5.5 Times</w:t>
            </w:r>
          </w:p>
        </w:tc>
      </w:tr>
      <w:tr w:rsidR="00DD56B8" w:rsidTr="00E911C8">
        <w:trPr>
          <w:trHeight w:val="113"/>
        </w:trPr>
        <w:tc>
          <w:tcPr>
            <w:tcW w:w="1656" w:type="pct"/>
            <w:noWrap/>
            <w:hideMark/>
          </w:tcPr>
          <w:p w:rsidR="00DD56B8" w:rsidRDefault="00DD56B8" w:rsidP="00E911C8">
            <w:pPr>
              <w:rPr>
                <w:sz w:val="18"/>
                <w:szCs w:val="18"/>
              </w:rPr>
            </w:pPr>
            <w:r>
              <w:rPr>
                <w:sz w:val="18"/>
                <w:szCs w:val="18"/>
              </w:rPr>
              <w:t>NPBT margin</w:t>
            </w:r>
          </w:p>
        </w:tc>
        <w:tc>
          <w:tcPr>
            <w:tcW w:w="711" w:type="pct"/>
            <w:noWrap/>
            <w:hideMark/>
          </w:tcPr>
          <w:p w:rsidR="00DD56B8" w:rsidRPr="0006152C" w:rsidRDefault="00DD56B8" w:rsidP="00E911C8">
            <w:pPr>
              <w:jc w:val="right"/>
            </w:pPr>
            <w:r w:rsidRPr="0006152C">
              <w:t>14.4%</w:t>
            </w:r>
          </w:p>
        </w:tc>
        <w:tc>
          <w:tcPr>
            <w:tcW w:w="655" w:type="pct"/>
            <w:noWrap/>
            <w:hideMark/>
          </w:tcPr>
          <w:p w:rsidR="00DD56B8" w:rsidRPr="0006152C" w:rsidRDefault="00DD56B8" w:rsidP="00E911C8">
            <w:pPr>
              <w:jc w:val="right"/>
            </w:pPr>
            <w:r w:rsidRPr="0006152C">
              <w:t>2.0%</w:t>
            </w:r>
          </w:p>
        </w:tc>
        <w:tc>
          <w:tcPr>
            <w:tcW w:w="621" w:type="pct"/>
            <w:noWrap/>
            <w:hideMark/>
          </w:tcPr>
          <w:p w:rsidR="00DD56B8" w:rsidRPr="0006152C" w:rsidRDefault="00DD56B8" w:rsidP="00E911C8">
            <w:pPr>
              <w:jc w:val="right"/>
            </w:pPr>
            <w:r w:rsidRPr="0006152C">
              <w:t>3.6%</w:t>
            </w:r>
          </w:p>
        </w:tc>
        <w:tc>
          <w:tcPr>
            <w:tcW w:w="707" w:type="pct"/>
            <w:noWrap/>
            <w:hideMark/>
          </w:tcPr>
          <w:p w:rsidR="00DD56B8" w:rsidRPr="0006152C" w:rsidRDefault="00DD56B8" w:rsidP="00E911C8">
            <w:pPr>
              <w:jc w:val="right"/>
            </w:pPr>
            <w:r w:rsidRPr="0006152C">
              <w:t>(22.4%)</w:t>
            </w:r>
          </w:p>
        </w:tc>
        <w:tc>
          <w:tcPr>
            <w:tcW w:w="651" w:type="pct"/>
            <w:noWrap/>
            <w:hideMark/>
          </w:tcPr>
          <w:p w:rsidR="00DD56B8" w:rsidRPr="0006152C" w:rsidRDefault="00DD56B8" w:rsidP="00E911C8">
            <w:pPr>
              <w:jc w:val="right"/>
            </w:pPr>
            <w:r w:rsidRPr="0006152C">
              <w:t>(9.7%)</w:t>
            </w:r>
          </w:p>
        </w:tc>
      </w:tr>
      <w:tr w:rsidR="00DD56B8" w:rsidTr="00E911C8">
        <w:trPr>
          <w:trHeight w:val="113"/>
        </w:trPr>
        <w:tc>
          <w:tcPr>
            <w:tcW w:w="1656" w:type="pct"/>
            <w:noWrap/>
            <w:hideMark/>
          </w:tcPr>
          <w:p w:rsidR="00DD56B8" w:rsidRDefault="00DD56B8" w:rsidP="00E911C8">
            <w:r>
              <w:t>Occupancy</w:t>
            </w:r>
          </w:p>
        </w:tc>
        <w:tc>
          <w:tcPr>
            <w:tcW w:w="711" w:type="pct"/>
            <w:noWrap/>
            <w:hideMark/>
          </w:tcPr>
          <w:p w:rsidR="00DD56B8" w:rsidRPr="0006152C" w:rsidRDefault="00DD56B8" w:rsidP="00E911C8">
            <w:pPr>
              <w:jc w:val="right"/>
            </w:pPr>
            <w:r w:rsidRPr="0006152C">
              <w:t>92.0%</w:t>
            </w:r>
          </w:p>
        </w:tc>
        <w:tc>
          <w:tcPr>
            <w:tcW w:w="655" w:type="pct"/>
            <w:noWrap/>
            <w:hideMark/>
          </w:tcPr>
          <w:p w:rsidR="00DD56B8" w:rsidRPr="0006152C" w:rsidRDefault="00DD56B8" w:rsidP="00E911C8">
            <w:pPr>
              <w:jc w:val="right"/>
            </w:pPr>
            <w:r w:rsidRPr="0006152C">
              <w:t>87.4%</w:t>
            </w:r>
          </w:p>
        </w:tc>
        <w:tc>
          <w:tcPr>
            <w:tcW w:w="621" w:type="pct"/>
            <w:noWrap/>
            <w:hideMark/>
          </w:tcPr>
          <w:p w:rsidR="00DD56B8" w:rsidRPr="0006152C" w:rsidRDefault="00DD56B8" w:rsidP="00E911C8">
            <w:pPr>
              <w:jc w:val="right"/>
            </w:pPr>
            <w:r w:rsidRPr="0006152C">
              <w:t>92.6%</w:t>
            </w:r>
          </w:p>
        </w:tc>
        <w:tc>
          <w:tcPr>
            <w:tcW w:w="707" w:type="pct"/>
            <w:noWrap/>
            <w:hideMark/>
          </w:tcPr>
          <w:p w:rsidR="00DD56B8" w:rsidRPr="0006152C" w:rsidRDefault="00DD56B8" w:rsidP="00E911C8">
            <w:pPr>
              <w:jc w:val="right"/>
            </w:pPr>
            <w:r w:rsidRPr="0006152C">
              <w:t>90.5%</w:t>
            </w:r>
          </w:p>
        </w:tc>
        <w:tc>
          <w:tcPr>
            <w:tcW w:w="651" w:type="pct"/>
            <w:noWrap/>
            <w:hideMark/>
          </w:tcPr>
          <w:p w:rsidR="00DD56B8" w:rsidRPr="0006152C" w:rsidRDefault="00DD56B8" w:rsidP="00E911C8">
            <w:pPr>
              <w:jc w:val="right"/>
            </w:pPr>
            <w:r w:rsidRPr="0006152C">
              <w:t>90.3%</w:t>
            </w:r>
          </w:p>
        </w:tc>
      </w:tr>
      <w:tr w:rsidR="00DD56B8" w:rsidTr="00E911C8">
        <w:trPr>
          <w:trHeight w:val="113"/>
        </w:trPr>
        <w:tc>
          <w:tcPr>
            <w:tcW w:w="1656" w:type="pct"/>
            <w:noWrap/>
            <w:hideMark/>
          </w:tcPr>
          <w:p w:rsidR="00DD56B8" w:rsidRDefault="00DD56B8" w:rsidP="00E911C8">
            <w:pPr>
              <w:rPr>
                <w:sz w:val="18"/>
                <w:szCs w:val="18"/>
              </w:rPr>
            </w:pPr>
            <w:r>
              <w:rPr>
                <w:sz w:val="18"/>
                <w:szCs w:val="18"/>
              </w:rPr>
              <w:t>%EBITDA to T. Assets</w:t>
            </w:r>
          </w:p>
        </w:tc>
        <w:tc>
          <w:tcPr>
            <w:tcW w:w="711" w:type="pct"/>
            <w:noWrap/>
            <w:hideMark/>
          </w:tcPr>
          <w:p w:rsidR="00DD56B8" w:rsidRPr="0006152C" w:rsidRDefault="00DD56B8" w:rsidP="00E911C8">
            <w:pPr>
              <w:jc w:val="right"/>
            </w:pPr>
            <w:r w:rsidRPr="0006152C">
              <w:t>8.6%</w:t>
            </w:r>
          </w:p>
        </w:tc>
        <w:tc>
          <w:tcPr>
            <w:tcW w:w="655" w:type="pct"/>
            <w:noWrap/>
            <w:hideMark/>
          </w:tcPr>
          <w:p w:rsidR="00DD56B8" w:rsidRPr="0006152C" w:rsidRDefault="00DD56B8" w:rsidP="00E911C8">
            <w:pPr>
              <w:jc w:val="right"/>
            </w:pPr>
            <w:r w:rsidRPr="0006152C">
              <w:t>5.7%</w:t>
            </w:r>
          </w:p>
        </w:tc>
        <w:tc>
          <w:tcPr>
            <w:tcW w:w="621" w:type="pct"/>
            <w:noWrap/>
            <w:hideMark/>
          </w:tcPr>
          <w:p w:rsidR="00DD56B8" w:rsidRPr="0006152C" w:rsidRDefault="00DD56B8" w:rsidP="00E911C8">
            <w:pPr>
              <w:jc w:val="right"/>
            </w:pPr>
            <w:r w:rsidRPr="0006152C">
              <w:t>3.8%</w:t>
            </w:r>
          </w:p>
        </w:tc>
        <w:tc>
          <w:tcPr>
            <w:tcW w:w="707" w:type="pct"/>
            <w:noWrap/>
            <w:hideMark/>
          </w:tcPr>
          <w:p w:rsidR="00DD56B8" w:rsidRPr="0006152C" w:rsidRDefault="00DD56B8" w:rsidP="00E911C8">
            <w:pPr>
              <w:jc w:val="right"/>
            </w:pPr>
            <w:r w:rsidRPr="0006152C">
              <w:t>(8.4%)</w:t>
            </w:r>
          </w:p>
        </w:tc>
        <w:tc>
          <w:tcPr>
            <w:tcW w:w="651" w:type="pct"/>
            <w:noWrap/>
            <w:hideMark/>
          </w:tcPr>
          <w:p w:rsidR="00DD56B8" w:rsidRPr="0006152C" w:rsidRDefault="00DD56B8" w:rsidP="00E911C8">
            <w:pPr>
              <w:jc w:val="right"/>
            </w:pPr>
            <w:r w:rsidRPr="0006152C">
              <w:t>(1.9%)</w:t>
            </w:r>
          </w:p>
        </w:tc>
      </w:tr>
      <w:tr w:rsidR="00DD56B8" w:rsidTr="00E911C8">
        <w:trPr>
          <w:trHeight w:val="113"/>
        </w:trPr>
        <w:tc>
          <w:tcPr>
            <w:tcW w:w="1656" w:type="pct"/>
            <w:noWrap/>
            <w:hideMark/>
          </w:tcPr>
          <w:p w:rsidR="00DD56B8" w:rsidRDefault="00DD56B8" w:rsidP="00E911C8">
            <w:pPr>
              <w:rPr>
                <w:sz w:val="18"/>
                <w:szCs w:val="18"/>
              </w:rPr>
            </w:pPr>
            <w:r>
              <w:rPr>
                <w:sz w:val="18"/>
                <w:szCs w:val="18"/>
              </w:rPr>
              <w:t>%EBITDA to Net Worth</w:t>
            </w:r>
          </w:p>
        </w:tc>
        <w:tc>
          <w:tcPr>
            <w:tcW w:w="711" w:type="pct"/>
            <w:noWrap/>
            <w:hideMark/>
          </w:tcPr>
          <w:p w:rsidR="00DD56B8" w:rsidRPr="0006152C" w:rsidRDefault="00DD56B8" w:rsidP="00E911C8">
            <w:pPr>
              <w:jc w:val="right"/>
            </w:pPr>
            <w:r w:rsidRPr="0006152C">
              <w:t>11.8%</w:t>
            </w:r>
          </w:p>
        </w:tc>
        <w:tc>
          <w:tcPr>
            <w:tcW w:w="655" w:type="pct"/>
            <w:noWrap/>
            <w:hideMark/>
          </w:tcPr>
          <w:p w:rsidR="00DD56B8" w:rsidRPr="0006152C" w:rsidRDefault="00DD56B8" w:rsidP="00E911C8">
            <w:pPr>
              <w:jc w:val="right"/>
            </w:pPr>
            <w:r w:rsidRPr="0006152C">
              <w:t>7.4%</w:t>
            </w:r>
          </w:p>
        </w:tc>
        <w:tc>
          <w:tcPr>
            <w:tcW w:w="621" w:type="pct"/>
            <w:noWrap/>
            <w:hideMark/>
          </w:tcPr>
          <w:p w:rsidR="00DD56B8" w:rsidRPr="0006152C" w:rsidRDefault="00DD56B8" w:rsidP="00E911C8">
            <w:pPr>
              <w:jc w:val="right"/>
            </w:pPr>
            <w:r w:rsidRPr="0006152C">
              <w:t>7.9%</w:t>
            </w:r>
          </w:p>
        </w:tc>
        <w:tc>
          <w:tcPr>
            <w:tcW w:w="707" w:type="pct"/>
            <w:noWrap/>
            <w:hideMark/>
          </w:tcPr>
          <w:p w:rsidR="00DD56B8" w:rsidRPr="0006152C" w:rsidRDefault="00DD56B8" w:rsidP="00E911C8">
            <w:pPr>
              <w:jc w:val="right"/>
            </w:pPr>
            <w:r w:rsidRPr="0006152C">
              <w:t>(14.9%)</w:t>
            </w:r>
          </w:p>
        </w:tc>
        <w:tc>
          <w:tcPr>
            <w:tcW w:w="651" w:type="pct"/>
            <w:noWrap/>
            <w:hideMark/>
          </w:tcPr>
          <w:p w:rsidR="00DD56B8" w:rsidRPr="0006152C" w:rsidRDefault="00DD56B8" w:rsidP="00E911C8">
            <w:pPr>
              <w:jc w:val="right"/>
            </w:pPr>
            <w:r w:rsidRPr="0006152C">
              <w:t>(3.2%)</w:t>
            </w:r>
          </w:p>
        </w:tc>
      </w:tr>
      <w:tr w:rsidR="00DD56B8" w:rsidTr="00E911C8">
        <w:trPr>
          <w:trHeight w:val="113"/>
        </w:trPr>
        <w:tc>
          <w:tcPr>
            <w:tcW w:w="1656" w:type="pct"/>
            <w:noWrap/>
            <w:hideMark/>
          </w:tcPr>
          <w:p w:rsidR="00DD56B8" w:rsidRDefault="00DD56B8" w:rsidP="00E911C8">
            <w:pPr>
              <w:rPr>
                <w:sz w:val="18"/>
                <w:szCs w:val="18"/>
              </w:rPr>
            </w:pPr>
            <w:r>
              <w:rPr>
                <w:sz w:val="18"/>
                <w:szCs w:val="18"/>
              </w:rPr>
              <w:t>RADs Asset Cover (T.A.)</w:t>
            </w:r>
          </w:p>
        </w:tc>
        <w:tc>
          <w:tcPr>
            <w:tcW w:w="711" w:type="pct"/>
            <w:noWrap/>
            <w:hideMark/>
          </w:tcPr>
          <w:p w:rsidR="00DD56B8" w:rsidRPr="0006152C" w:rsidRDefault="00DD56B8" w:rsidP="00E911C8">
            <w:pPr>
              <w:jc w:val="right"/>
            </w:pPr>
            <w:r w:rsidRPr="0006152C">
              <w:t>4.3 Times</w:t>
            </w:r>
          </w:p>
        </w:tc>
        <w:tc>
          <w:tcPr>
            <w:tcW w:w="655" w:type="pct"/>
            <w:noWrap/>
            <w:hideMark/>
          </w:tcPr>
          <w:p w:rsidR="00DD56B8" w:rsidRPr="0006152C" w:rsidRDefault="00DD56B8" w:rsidP="00E911C8">
            <w:pPr>
              <w:jc w:val="right"/>
            </w:pPr>
            <w:r w:rsidRPr="0006152C">
              <w:t>5.0 Times</w:t>
            </w:r>
          </w:p>
        </w:tc>
        <w:tc>
          <w:tcPr>
            <w:tcW w:w="621" w:type="pct"/>
            <w:noWrap/>
            <w:hideMark/>
          </w:tcPr>
          <w:p w:rsidR="00DD56B8" w:rsidRPr="0006152C" w:rsidRDefault="00DD56B8" w:rsidP="00E911C8">
            <w:pPr>
              <w:jc w:val="right"/>
            </w:pPr>
            <w:r w:rsidRPr="0006152C">
              <w:t>2.4 Times</w:t>
            </w:r>
          </w:p>
        </w:tc>
        <w:tc>
          <w:tcPr>
            <w:tcW w:w="707" w:type="pct"/>
            <w:noWrap/>
            <w:hideMark/>
          </w:tcPr>
          <w:p w:rsidR="00DD56B8" w:rsidRPr="0006152C" w:rsidRDefault="00DD56B8" w:rsidP="00E911C8">
            <w:pPr>
              <w:jc w:val="right"/>
            </w:pPr>
            <w:r w:rsidRPr="0006152C">
              <w:t>2.7 Times</w:t>
            </w:r>
          </w:p>
        </w:tc>
        <w:tc>
          <w:tcPr>
            <w:tcW w:w="651" w:type="pct"/>
            <w:noWrap/>
            <w:hideMark/>
          </w:tcPr>
          <w:p w:rsidR="00DD56B8" w:rsidRPr="0006152C" w:rsidRDefault="00DD56B8" w:rsidP="00E911C8">
            <w:pPr>
              <w:jc w:val="right"/>
            </w:pPr>
            <w:r w:rsidRPr="0006152C">
              <w:t>3.0 Times</w:t>
            </w:r>
          </w:p>
        </w:tc>
      </w:tr>
    </w:tbl>
    <w:p w:rsidR="00E911C8" w:rsidRDefault="00E911C8" w:rsidP="00E911C8"/>
    <w:p w:rsidR="00E911C8" w:rsidRDefault="00E911C8">
      <w:pPr>
        <w:suppressAutoHyphens w:val="0"/>
        <w:spacing w:before="60" w:after="0"/>
        <w:jc w:val="both"/>
      </w:pPr>
      <w:r>
        <w:br w:type="page"/>
      </w:r>
    </w:p>
    <w:p w:rsidR="002A5619" w:rsidRPr="00596D01" w:rsidRDefault="00B76326" w:rsidP="00E911C8">
      <w:pPr>
        <w:pStyle w:val="AppendixTable"/>
      </w:pPr>
      <w:r w:rsidRPr="00596D01">
        <w:lastRenderedPageBreak/>
        <w:t xml:space="preserve">Financial ratios </w:t>
      </w:r>
      <w:r w:rsidR="00BB1EF2" w:rsidRPr="00596D01">
        <w:t>of for-profit providers,</w:t>
      </w:r>
      <w:r w:rsidR="00A261F3" w:rsidRPr="00596D01">
        <w:t> 201</w:t>
      </w:r>
      <w:r w:rsidR="00D85650" w:rsidRPr="00596D01">
        <w:t>6</w:t>
      </w:r>
      <w:r w:rsidR="00D8721E" w:rsidRPr="00596D01">
        <w:t>–1</w:t>
      </w:r>
      <w:r w:rsidR="00D85650"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243"/>
        <w:gridCol w:w="1277"/>
        <w:gridCol w:w="1277"/>
        <w:gridCol w:w="1277"/>
        <w:gridCol w:w="1277"/>
        <w:gridCol w:w="1277"/>
      </w:tblGrid>
      <w:tr w:rsidR="00D85650"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684" w:type="pct"/>
            <w:noWrap/>
            <w:hideMark/>
          </w:tcPr>
          <w:p w:rsidR="00D85650" w:rsidRDefault="00D85650" w:rsidP="00E911C8">
            <w:r>
              <w:t> </w:t>
            </w:r>
          </w:p>
        </w:tc>
        <w:tc>
          <w:tcPr>
            <w:tcW w:w="663" w:type="pct"/>
            <w:hideMark/>
          </w:tcPr>
          <w:p w:rsidR="00D85650" w:rsidRDefault="00D85650" w:rsidP="00E911C8">
            <w:pPr>
              <w:jc w:val="right"/>
              <w:rPr>
                <w:sz w:val="22"/>
                <w:szCs w:val="22"/>
              </w:rPr>
            </w:pPr>
            <w:r w:rsidRPr="00596D01">
              <w:t>Top</w:t>
            </w:r>
          </w:p>
        </w:tc>
        <w:tc>
          <w:tcPr>
            <w:tcW w:w="663" w:type="pct"/>
            <w:hideMark/>
          </w:tcPr>
          <w:p w:rsidR="00D85650" w:rsidRDefault="00D85650" w:rsidP="00E911C8">
            <w:pPr>
              <w:jc w:val="right"/>
              <w:rPr>
                <w:sz w:val="22"/>
                <w:szCs w:val="22"/>
              </w:rPr>
            </w:pPr>
            <w:r w:rsidRPr="00596D01">
              <w:t>Next Top</w:t>
            </w:r>
          </w:p>
        </w:tc>
        <w:tc>
          <w:tcPr>
            <w:tcW w:w="663" w:type="pct"/>
            <w:hideMark/>
          </w:tcPr>
          <w:p w:rsidR="00D85650" w:rsidRDefault="00D85650" w:rsidP="00E911C8">
            <w:pPr>
              <w:jc w:val="right"/>
              <w:rPr>
                <w:sz w:val="22"/>
                <w:szCs w:val="22"/>
              </w:rPr>
            </w:pPr>
            <w:r w:rsidRPr="00596D01">
              <w:t>Next Bottom</w:t>
            </w:r>
          </w:p>
        </w:tc>
        <w:tc>
          <w:tcPr>
            <w:tcW w:w="663" w:type="pct"/>
            <w:hideMark/>
          </w:tcPr>
          <w:p w:rsidR="00D85650" w:rsidRDefault="00D85650" w:rsidP="00E911C8">
            <w:pPr>
              <w:jc w:val="right"/>
              <w:rPr>
                <w:sz w:val="22"/>
                <w:szCs w:val="22"/>
              </w:rPr>
            </w:pPr>
            <w:r w:rsidRPr="00596D01">
              <w:t>Bottom</w:t>
            </w:r>
          </w:p>
        </w:tc>
        <w:tc>
          <w:tcPr>
            <w:tcW w:w="663" w:type="pct"/>
            <w:hideMark/>
          </w:tcPr>
          <w:p w:rsidR="00D85650" w:rsidRPr="00596D01" w:rsidRDefault="00D85650" w:rsidP="00E911C8">
            <w:pPr>
              <w:jc w:val="right"/>
            </w:pPr>
            <w:r w:rsidRPr="00596D01">
              <w:t>Total</w:t>
            </w:r>
          </w:p>
        </w:tc>
      </w:tr>
      <w:tr w:rsidR="00DD56B8" w:rsidTr="00E911C8">
        <w:trPr>
          <w:trHeight w:val="113"/>
        </w:trPr>
        <w:tc>
          <w:tcPr>
            <w:tcW w:w="1684" w:type="pct"/>
            <w:noWrap/>
            <w:hideMark/>
          </w:tcPr>
          <w:p w:rsidR="00DD56B8" w:rsidRDefault="00DD56B8" w:rsidP="00E911C8">
            <w:r>
              <w:t>No. of providers</w:t>
            </w:r>
          </w:p>
        </w:tc>
        <w:tc>
          <w:tcPr>
            <w:tcW w:w="663" w:type="pct"/>
            <w:noWrap/>
            <w:hideMark/>
          </w:tcPr>
          <w:p w:rsidR="00DD56B8" w:rsidRDefault="00DD56B8" w:rsidP="00E911C8">
            <w:pPr>
              <w:jc w:val="right"/>
            </w:pPr>
            <w:r>
              <w:t>100</w:t>
            </w:r>
          </w:p>
        </w:tc>
        <w:tc>
          <w:tcPr>
            <w:tcW w:w="663" w:type="pct"/>
            <w:noWrap/>
            <w:hideMark/>
          </w:tcPr>
          <w:p w:rsidR="00DD56B8" w:rsidRDefault="00DD56B8" w:rsidP="00E911C8">
            <w:pPr>
              <w:jc w:val="right"/>
            </w:pPr>
            <w:r>
              <w:t>74</w:t>
            </w:r>
          </w:p>
        </w:tc>
        <w:tc>
          <w:tcPr>
            <w:tcW w:w="663" w:type="pct"/>
            <w:noWrap/>
            <w:hideMark/>
          </w:tcPr>
          <w:p w:rsidR="00DD56B8" w:rsidRDefault="00DD56B8" w:rsidP="00E911C8">
            <w:pPr>
              <w:jc w:val="right"/>
            </w:pPr>
            <w:r>
              <w:t>65</w:t>
            </w:r>
          </w:p>
        </w:tc>
        <w:tc>
          <w:tcPr>
            <w:tcW w:w="663" w:type="pct"/>
            <w:noWrap/>
            <w:hideMark/>
          </w:tcPr>
          <w:p w:rsidR="00DD56B8" w:rsidRDefault="00DD56B8" w:rsidP="00E911C8">
            <w:pPr>
              <w:jc w:val="right"/>
            </w:pPr>
            <w:r>
              <w:t>53</w:t>
            </w:r>
          </w:p>
        </w:tc>
        <w:tc>
          <w:tcPr>
            <w:tcW w:w="663" w:type="pct"/>
            <w:noWrap/>
            <w:hideMark/>
          </w:tcPr>
          <w:p w:rsidR="00DD56B8" w:rsidRDefault="00DD56B8" w:rsidP="00E911C8">
            <w:pPr>
              <w:jc w:val="right"/>
            </w:pPr>
            <w:r>
              <w:t>292</w:t>
            </w:r>
          </w:p>
        </w:tc>
      </w:tr>
      <w:tr w:rsidR="00DD56B8" w:rsidTr="00E911C8">
        <w:trPr>
          <w:trHeight w:val="113"/>
        </w:trPr>
        <w:tc>
          <w:tcPr>
            <w:tcW w:w="1684" w:type="pct"/>
            <w:noWrap/>
            <w:hideMark/>
          </w:tcPr>
          <w:p w:rsidR="00DD56B8" w:rsidRDefault="00DD56B8" w:rsidP="00E911C8">
            <w:r>
              <w:t xml:space="preserve">EBITDA </w:t>
            </w:r>
            <w:proofErr w:type="spellStart"/>
            <w:r>
              <w:t>p.r.p.a</w:t>
            </w:r>
            <w:proofErr w:type="spellEnd"/>
          </w:p>
        </w:tc>
        <w:tc>
          <w:tcPr>
            <w:tcW w:w="663" w:type="pct"/>
            <w:noWrap/>
            <w:hideMark/>
          </w:tcPr>
          <w:p w:rsidR="00DD56B8" w:rsidRPr="0006152C" w:rsidRDefault="00DD56B8" w:rsidP="00E911C8">
            <w:pPr>
              <w:jc w:val="right"/>
            </w:pPr>
            <w:r w:rsidRPr="0006152C">
              <w:t>$21,929</w:t>
            </w:r>
          </w:p>
        </w:tc>
        <w:tc>
          <w:tcPr>
            <w:tcW w:w="663" w:type="pct"/>
            <w:noWrap/>
            <w:hideMark/>
          </w:tcPr>
          <w:p w:rsidR="00DD56B8" w:rsidRPr="0006152C" w:rsidRDefault="00DD56B8" w:rsidP="00E911C8">
            <w:pPr>
              <w:jc w:val="right"/>
            </w:pPr>
            <w:r w:rsidRPr="0006152C">
              <w:t>$11,872</w:t>
            </w:r>
          </w:p>
        </w:tc>
        <w:tc>
          <w:tcPr>
            <w:tcW w:w="663" w:type="pct"/>
            <w:noWrap/>
            <w:hideMark/>
          </w:tcPr>
          <w:p w:rsidR="00DD56B8" w:rsidRPr="0006152C" w:rsidRDefault="00DD56B8" w:rsidP="00E911C8">
            <w:pPr>
              <w:jc w:val="right"/>
            </w:pPr>
            <w:r w:rsidRPr="0006152C">
              <w:t>$6,528</w:t>
            </w:r>
          </w:p>
        </w:tc>
        <w:tc>
          <w:tcPr>
            <w:tcW w:w="663" w:type="pct"/>
            <w:noWrap/>
            <w:hideMark/>
          </w:tcPr>
          <w:p w:rsidR="00DD56B8" w:rsidRPr="0006152C" w:rsidRDefault="00DD56B8" w:rsidP="00E911C8">
            <w:pPr>
              <w:jc w:val="right"/>
            </w:pPr>
            <w:r w:rsidRPr="0006152C">
              <w:t>($3,543)</w:t>
            </w:r>
          </w:p>
        </w:tc>
        <w:tc>
          <w:tcPr>
            <w:tcW w:w="663" w:type="pct"/>
            <w:noWrap/>
            <w:hideMark/>
          </w:tcPr>
          <w:p w:rsidR="00DD56B8" w:rsidRPr="0006152C" w:rsidRDefault="00DD56B8" w:rsidP="00E911C8">
            <w:pPr>
              <w:jc w:val="right"/>
            </w:pPr>
            <w:r w:rsidRPr="0006152C">
              <w:t>$13,316</w:t>
            </w:r>
          </w:p>
        </w:tc>
      </w:tr>
      <w:tr w:rsidR="00DD56B8" w:rsidTr="00E911C8">
        <w:trPr>
          <w:trHeight w:val="113"/>
        </w:trPr>
        <w:tc>
          <w:tcPr>
            <w:tcW w:w="1684" w:type="pct"/>
            <w:shd w:val="clear" w:color="auto" w:fill="E8E8E8" w:themeFill="background2"/>
            <w:noWrap/>
            <w:hideMark/>
          </w:tcPr>
          <w:p w:rsidR="00DD56B8" w:rsidRPr="00596D01" w:rsidRDefault="00DD56B8" w:rsidP="00E911C8">
            <w:pPr>
              <w:rPr>
                <w:rStyle w:val="Strong"/>
              </w:rPr>
            </w:pPr>
            <w:r w:rsidRPr="00596D01">
              <w:rPr>
                <w:rStyle w:val="Strong"/>
              </w:rPr>
              <w:t>Capital structure</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684" w:type="pct"/>
            <w:hideMark/>
          </w:tcPr>
          <w:p w:rsidR="00DD56B8" w:rsidRDefault="00DD56B8" w:rsidP="00E911C8">
            <w:pPr>
              <w:rPr>
                <w:sz w:val="18"/>
                <w:szCs w:val="18"/>
              </w:rPr>
            </w:pPr>
            <w:r>
              <w:rPr>
                <w:sz w:val="18"/>
                <w:szCs w:val="18"/>
              </w:rPr>
              <w:t xml:space="preserve">T. Assets </w:t>
            </w:r>
            <w:proofErr w:type="spellStart"/>
            <w:r>
              <w:rPr>
                <w:sz w:val="18"/>
                <w:szCs w:val="18"/>
              </w:rPr>
              <w:t>p.r.p.a</w:t>
            </w:r>
            <w:proofErr w:type="spellEnd"/>
          </w:p>
        </w:tc>
        <w:tc>
          <w:tcPr>
            <w:tcW w:w="663" w:type="pct"/>
            <w:noWrap/>
            <w:hideMark/>
          </w:tcPr>
          <w:p w:rsidR="00DD56B8" w:rsidRPr="0006152C" w:rsidRDefault="00DD56B8" w:rsidP="00E911C8">
            <w:pPr>
              <w:jc w:val="right"/>
            </w:pPr>
            <w:r w:rsidRPr="0006152C">
              <w:t>$302,525</w:t>
            </w:r>
          </w:p>
        </w:tc>
        <w:tc>
          <w:tcPr>
            <w:tcW w:w="663" w:type="pct"/>
            <w:noWrap/>
            <w:hideMark/>
          </w:tcPr>
          <w:p w:rsidR="00DD56B8" w:rsidRPr="0006152C" w:rsidRDefault="00DD56B8" w:rsidP="00E911C8">
            <w:pPr>
              <w:jc w:val="right"/>
            </w:pPr>
            <w:r w:rsidRPr="0006152C">
              <w:t>$250,040</w:t>
            </w:r>
          </w:p>
        </w:tc>
        <w:tc>
          <w:tcPr>
            <w:tcW w:w="663" w:type="pct"/>
            <w:noWrap/>
            <w:hideMark/>
          </w:tcPr>
          <w:p w:rsidR="00DD56B8" w:rsidRPr="0006152C" w:rsidRDefault="00DD56B8" w:rsidP="00E911C8">
            <w:pPr>
              <w:jc w:val="right"/>
            </w:pPr>
            <w:r w:rsidRPr="0006152C">
              <w:t>$274,603</w:t>
            </w:r>
          </w:p>
        </w:tc>
        <w:tc>
          <w:tcPr>
            <w:tcW w:w="663" w:type="pct"/>
            <w:noWrap/>
            <w:hideMark/>
          </w:tcPr>
          <w:p w:rsidR="00DD56B8" w:rsidRPr="0006152C" w:rsidRDefault="00DD56B8" w:rsidP="00E911C8">
            <w:pPr>
              <w:jc w:val="right"/>
            </w:pPr>
            <w:r w:rsidRPr="0006152C">
              <w:t>$302,215</w:t>
            </w:r>
          </w:p>
        </w:tc>
        <w:tc>
          <w:tcPr>
            <w:tcW w:w="663" w:type="pct"/>
            <w:noWrap/>
            <w:hideMark/>
          </w:tcPr>
          <w:p w:rsidR="00DD56B8" w:rsidRPr="0006152C" w:rsidRDefault="00DD56B8" w:rsidP="00E911C8">
            <w:pPr>
              <w:jc w:val="right"/>
            </w:pPr>
            <w:r w:rsidRPr="0006152C">
              <w:t>$279,133</w:t>
            </w:r>
          </w:p>
        </w:tc>
      </w:tr>
      <w:tr w:rsidR="00DD56B8" w:rsidTr="00E911C8">
        <w:trPr>
          <w:trHeight w:val="113"/>
        </w:trPr>
        <w:tc>
          <w:tcPr>
            <w:tcW w:w="1684" w:type="pct"/>
            <w:noWrap/>
            <w:hideMark/>
          </w:tcPr>
          <w:p w:rsidR="00DD56B8" w:rsidRDefault="00DD56B8" w:rsidP="00E911C8">
            <w:r>
              <w:t>No. of RADs</w:t>
            </w:r>
          </w:p>
        </w:tc>
        <w:tc>
          <w:tcPr>
            <w:tcW w:w="663" w:type="pct"/>
            <w:noWrap/>
            <w:hideMark/>
          </w:tcPr>
          <w:p w:rsidR="00DD56B8" w:rsidRPr="0006152C" w:rsidRDefault="00DD56B8" w:rsidP="00E911C8">
            <w:pPr>
              <w:jc w:val="right"/>
            </w:pPr>
            <w:r w:rsidRPr="0006152C">
              <w:t>14,353</w:t>
            </w:r>
          </w:p>
        </w:tc>
        <w:tc>
          <w:tcPr>
            <w:tcW w:w="663" w:type="pct"/>
            <w:noWrap/>
            <w:hideMark/>
          </w:tcPr>
          <w:p w:rsidR="00DD56B8" w:rsidRPr="0006152C" w:rsidRDefault="00DD56B8" w:rsidP="00E911C8">
            <w:pPr>
              <w:jc w:val="right"/>
            </w:pPr>
            <w:r w:rsidRPr="0006152C">
              <w:t>11,605</w:t>
            </w:r>
          </w:p>
        </w:tc>
        <w:tc>
          <w:tcPr>
            <w:tcW w:w="663" w:type="pct"/>
            <w:noWrap/>
            <w:hideMark/>
          </w:tcPr>
          <w:p w:rsidR="00DD56B8" w:rsidRPr="0006152C" w:rsidRDefault="00DD56B8" w:rsidP="00E911C8">
            <w:pPr>
              <w:jc w:val="right"/>
            </w:pPr>
            <w:r w:rsidRPr="0006152C">
              <w:t>8,471</w:t>
            </w:r>
          </w:p>
        </w:tc>
        <w:tc>
          <w:tcPr>
            <w:tcW w:w="663" w:type="pct"/>
            <w:noWrap/>
            <w:hideMark/>
          </w:tcPr>
          <w:p w:rsidR="00DD56B8" w:rsidRPr="0006152C" w:rsidRDefault="00DD56B8" w:rsidP="00E911C8">
            <w:pPr>
              <w:jc w:val="right"/>
            </w:pPr>
            <w:r w:rsidRPr="0006152C">
              <w:t>2,596</w:t>
            </w:r>
          </w:p>
        </w:tc>
        <w:tc>
          <w:tcPr>
            <w:tcW w:w="663" w:type="pct"/>
            <w:noWrap/>
            <w:hideMark/>
          </w:tcPr>
          <w:p w:rsidR="00DD56B8" w:rsidRPr="0006152C" w:rsidRDefault="00DD56B8" w:rsidP="00E911C8">
            <w:pPr>
              <w:jc w:val="right"/>
            </w:pPr>
            <w:r w:rsidRPr="0006152C">
              <w:t>37,025</w:t>
            </w:r>
          </w:p>
        </w:tc>
      </w:tr>
      <w:tr w:rsidR="00DD56B8" w:rsidTr="00E911C8">
        <w:trPr>
          <w:trHeight w:val="113"/>
        </w:trPr>
        <w:tc>
          <w:tcPr>
            <w:tcW w:w="1684" w:type="pct"/>
            <w:hideMark/>
          </w:tcPr>
          <w:p w:rsidR="00DD56B8" w:rsidRDefault="00DD56B8" w:rsidP="00E911C8">
            <w:pPr>
              <w:rPr>
                <w:sz w:val="18"/>
                <w:szCs w:val="18"/>
              </w:rPr>
            </w:pPr>
            <w:proofErr w:type="spellStart"/>
            <w:r>
              <w:rPr>
                <w:sz w:val="18"/>
                <w:szCs w:val="18"/>
              </w:rPr>
              <w:t>Avg</w:t>
            </w:r>
            <w:proofErr w:type="spellEnd"/>
            <w:r>
              <w:rPr>
                <w:sz w:val="18"/>
                <w:szCs w:val="18"/>
              </w:rPr>
              <w:t xml:space="preserve"> RAD per resident</w:t>
            </w:r>
          </w:p>
        </w:tc>
        <w:tc>
          <w:tcPr>
            <w:tcW w:w="663" w:type="pct"/>
            <w:noWrap/>
            <w:hideMark/>
          </w:tcPr>
          <w:p w:rsidR="00DD56B8" w:rsidRPr="0006152C" w:rsidRDefault="00DD56B8" w:rsidP="00E911C8">
            <w:pPr>
              <w:jc w:val="right"/>
            </w:pPr>
            <w:r w:rsidRPr="0006152C">
              <w:t>$320,435</w:t>
            </w:r>
          </w:p>
        </w:tc>
        <w:tc>
          <w:tcPr>
            <w:tcW w:w="663" w:type="pct"/>
            <w:noWrap/>
            <w:hideMark/>
          </w:tcPr>
          <w:p w:rsidR="00DD56B8" w:rsidRPr="0006152C" w:rsidRDefault="00DD56B8" w:rsidP="00E911C8">
            <w:pPr>
              <w:jc w:val="right"/>
            </w:pPr>
            <w:r w:rsidRPr="0006152C">
              <w:t>$294,290</w:t>
            </w:r>
          </w:p>
        </w:tc>
        <w:tc>
          <w:tcPr>
            <w:tcW w:w="663" w:type="pct"/>
            <w:noWrap/>
            <w:hideMark/>
          </w:tcPr>
          <w:p w:rsidR="00DD56B8" w:rsidRPr="0006152C" w:rsidRDefault="00DD56B8" w:rsidP="00E911C8">
            <w:pPr>
              <w:jc w:val="right"/>
            </w:pPr>
            <w:r w:rsidRPr="0006152C">
              <w:t>$298,515</w:t>
            </w:r>
          </w:p>
        </w:tc>
        <w:tc>
          <w:tcPr>
            <w:tcW w:w="663" w:type="pct"/>
            <w:noWrap/>
            <w:hideMark/>
          </w:tcPr>
          <w:p w:rsidR="00DD56B8" w:rsidRPr="0006152C" w:rsidRDefault="00DD56B8" w:rsidP="00E911C8">
            <w:pPr>
              <w:jc w:val="right"/>
            </w:pPr>
            <w:r w:rsidRPr="0006152C">
              <w:t>$337,161</w:t>
            </w:r>
          </w:p>
        </w:tc>
        <w:tc>
          <w:tcPr>
            <w:tcW w:w="663" w:type="pct"/>
            <w:noWrap/>
            <w:hideMark/>
          </w:tcPr>
          <w:p w:rsidR="00DD56B8" w:rsidRPr="0006152C" w:rsidRDefault="00DD56B8" w:rsidP="00E911C8">
            <w:pPr>
              <w:jc w:val="right"/>
            </w:pPr>
            <w:r w:rsidRPr="0006152C">
              <w:t>$308,398</w:t>
            </w:r>
          </w:p>
        </w:tc>
      </w:tr>
      <w:tr w:rsidR="00DD56B8" w:rsidTr="00E911C8">
        <w:trPr>
          <w:trHeight w:val="113"/>
        </w:trPr>
        <w:tc>
          <w:tcPr>
            <w:tcW w:w="1684" w:type="pct"/>
            <w:hideMark/>
          </w:tcPr>
          <w:p w:rsidR="00DD56B8" w:rsidRDefault="00DD56B8" w:rsidP="00E911C8">
            <w:pPr>
              <w:rPr>
                <w:sz w:val="18"/>
                <w:szCs w:val="18"/>
              </w:rPr>
            </w:pPr>
            <w:r>
              <w:rPr>
                <w:sz w:val="18"/>
                <w:szCs w:val="18"/>
              </w:rPr>
              <w:t xml:space="preserve">Net Worth </w:t>
            </w:r>
            <w:proofErr w:type="spellStart"/>
            <w:r>
              <w:rPr>
                <w:sz w:val="18"/>
                <w:szCs w:val="18"/>
              </w:rPr>
              <w:t>p.r.p.a</w:t>
            </w:r>
            <w:proofErr w:type="spellEnd"/>
          </w:p>
        </w:tc>
        <w:tc>
          <w:tcPr>
            <w:tcW w:w="663" w:type="pct"/>
            <w:noWrap/>
            <w:hideMark/>
          </w:tcPr>
          <w:p w:rsidR="00DD56B8" w:rsidRPr="0006152C" w:rsidRDefault="00DD56B8" w:rsidP="00E911C8">
            <w:pPr>
              <w:jc w:val="right"/>
            </w:pPr>
            <w:r w:rsidRPr="0006152C">
              <w:t>$25,969</w:t>
            </w:r>
          </w:p>
        </w:tc>
        <w:tc>
          <w:tcPr>
            <w:tcW w:w="663" w:type="pct"/>
            <w:noWrap/>
            <w:hideMark/>
          </w:tcPr>
          <w:p w:rsidR="00DD56B8" w:rsidRPr="0006152C" w:rsidRDefault="00DD56B8" w:rsidP="00E911C8">
            <w:pPr>
              <w:jc w:val="right"/>
            </w:pPr>
            <w:r w:rsidRPr="0006152C">
              <w:t>$31,692</w:t>
            </w:r>
          </w:p>
        </w:tc>
        <w:tc>
          <w:tcPr>
            <w:tcW w:w="663" w:type="pct"/>
            <w:noWrap/>
            <w:hideMark/>
          </w:tcPr>
          <w:p w:rsidR="00DD56B8" w:rsidRPr="0006152C" w:rsidRDefault="00DD56B8" w:rsidP="00E911C8">
            <w:pPr>
              <w:jc w:val="right"/>
            </w:pPr>
            <w:r w:rsidRPr="0006152C">
              <w:t>$42,115</w:t>
            </w:r>
          </w:p>
        </w:tc>
        <w:tc>
          <w:tcPr>
            <w:tcW w:w="663" w:type="pct"/>
            <w:noWrap/>
            <w:hideMark/>
          </w:tcPr>
          <w:p w:rsidR="00DD56B8" w:rsidRPr="0006152C" w:rsidRDefault="00DD56B8" w:rsidP="00E911C8">
            <w:pPr>
              <w:jc w:val="right"/>
            </w:pPr>
            <w:r w:rsidRPr="0006152C">
              <w:t>$14,310</w:t>
            </w:r>
          </w:p>
        </w:tc>
        <w:tc>
          <w:tcPr>
            <w:tcW w:w="663" w:type="pct"/>
            <w:noWrap/>
            <w:hideMark/>
          </w:tcPr>
          <w:p w:rsidR="00DD56B8" w:rsidRPr="0006152C" w:rsidRDefault="00DD56B8" w:rsidP="00E911C8">
            <w:pPr>
              <w:jc w:val="right"/>
            </w:pPr>
            <w:r w:rsidRPr="0006152C">
              <w:t>$30,455</w:t>
            </w:r>
          </w:p>
        </w:tc>
      </w:tr>
      <w:tr w:rsidR="00DD56B8" w:rsidTr="00E911C8">
        <w:trPr>
          <w:trHeight w:val="113"/>
        </w:trPr>
        <w:tc>
          <w:tcPr>
            <w:tcW w:w="1684" w:type="pct"/>
            <w:hideMark/>
          </w:tcPr>
          <w:p w:rsidR="00DD56B8" w:rsidRDefault="00DD56B8" w:rsidP="00E911C8">
            <w:pPr>
              <w:rPr>
                <w:sz w:val="18"/>
                <w:szCs w:val="18"/>
              </w:rPr>
            </w:pPr>
            <w:r>
              <w:rPr>
                <w:sz w:val="18"/>
                <w:szCs w:val="18"/>
              </w:rPr>
              <w:t xml:space="preserve">Working Capital </w:t>
            </w:r>
            <w:proofErr w:type="spellStart"/>
            <w:r>
              <w:rPr>
                <w:sz w:val="18"/>
                <w:szCs w:val="18"/>
              </w:rPr>
              <w:t>p.r.p.a</w:t>
            </w:r>
            <w:proofErr w:type="spellEnd"/>
          </w:p>
        </w:tc>
        <w:tc>
          <w:tcPr>
            <w:tcW w:w="663" w:type="pct"/>
            <w:noWrap/>
            <w:hideMark/>
          </w:tcPr>
          <w:p w:rsidR="00DD56B8" w:rsidRPr="0006152C" w:rsidRDefault="00DD56B8" w:rsidP="00E911C8">
            <w:pPr>
              <w:jc w:val="right"/>
            </w:pPr>
            <w:r w:rsidRPr="0006152C">
              <w:t>-$164,919</w:t>
            </w:r>
          </w:p>
        </w:tc>
        <w:tc>
          <w:tcPr>
            <w:tcW w:w="663" w:type="pct"/>
            <w:noWrap/>
            <w:hideMark/>
          </w:tcPr>
          <w:p w:rsidR="00DD56B8" w:rsidRPr="0006152C" w:rsidRDefault="00DD56B8" w:rsidP="00E911C8">
            <w:pPr>
              <w:jc w:val="right"/>
            </w:pPr>
            <w:r w:rsidRPr="0006152C">
              <w:t>-$100,397</w:t>
            </w:r>
          </w:p>
        </w:tc>
        <w:tc>
          <w:tcPr>
            <w:tcW w:w="663" w:type="pct"/>
            <w:noWrap/>
            <w:hideMark/>
          </w:tcPr>
          <w:p w:rsidR="00DD56B8" w:rsidRPr="0006152C" w:rsidRDefault="00DD56B8" w:rsidP="00E911C8">
            <w:pPr>
              <w:jc w:val="right"/>
            </w:pPr>
            <w:r w:rsidRPr="0006152C">
              <w:t>-$164,943</w:t>
            </w:r>
          </w:p>
        </w:tc>
        <w:tc>
          <w:tcPr>
            <w:tcW w:w="663" w:type="pct"/>
            <w:noWrap/>
            <w:hideMark/>
          </w:tcPr>
          <w:p w:rsidR="00DD56B8" w:rsidRPr="0006152C" w:rsidRDefault="00DD56B8" w:rsidP="00E911C8">
            <w:pPr>
              <w:jc w:val="right"/>
            </w:pPr>
            <w:r w:rsidRPr="0006152C">
              <w:t>-$106,904</w:t>
            </w:r>
          </w:p>
        </w:tc>
        <w:tc>
          <w:tcPr>
            <w:tcW w:w="663" w:type="pct"/>
            <w:noWrap/>
            <w:hideMark/>
          </w:tcPr>
          <w:p w:rsidR="00DD56B8" w:rsidRPr="0006152C" w:rsidRDefault="00DD56B8" w:rsidP="00E911C8">
            <w:pPr>
              <w:jc w:val="right"/>
            </w:pPr>
            <w:r w:rsidRPr="0006152C">
              <w:t>-$139,194</w:t>
            </w:r>
          </w:p>
        </w:tc>
      </w:tr>
      <w:tr w:rsidR="00DD56B8" w:rsidTr="00E911C8">
        <w:trPr>
          <w:trHeight w:val="113"/>
        </w:trPr>
        <w:tc>
          <w:tcPr>
            <w:tcW w:w="1684" w:type="pct"/>
            <w:noWrap/>
            <w:hideMark/>
          </w:tcPr>
          <w:p w:rsidR="00DD56B8" w:rsidRDefault="00DD56B8" w:rsidP="00E911C8">
            <w:pPr>
              <w:rPr>
                <w:sz w:val="18"/>
                <w:szCs w:val="18"/>
              </w:rPr>
            </w:pPr>
            <w:proofErr w:type="spellStart"/>
            <w:r>
              <w:rPr>
                <w:sz w:val="18"/>
                <w:szCs w:val="18"/>
              </w:rPr>
              <w:t>Non.Curr</w:t>
            </w:r>
            <w:proofErr w:type="spellEnd"/>
            <w:r>
              <w:rPr>
                <w:sz w:val="18"/>
                <w:szCs w:val="18"/>
              </w:rPr>
              <w:t xml:space="preserve"> </w:t>
            </w:r>
            <w:proofErr w:type="spellStart"/>
            <w:r>
              <w:rPr>
                <w:sz w:val="18"/>
                <w:szCs w:val="18"/>
              </w:rPr>
              <w:t>Liab</w:t>
            </w:r>
            <w:proofErr w:type="spellEnd"/>
            <w:r>
              <w:rPr>
                <w:sz w:val="18"/>
                <w:szCs w:val="18"/>
              </w:rPr>
              <w:t xml:space="preserve"> as % of </w:t>
            </w:r>
            <w:proofErr w:type="spellStart"/>
            <w:r>
              <w:rPr>
                <w:sz w:val="18"/>
                <w:szCs w:val="18"/>
              </w:rPr>
              <w:t>T.Asts</w:t>
            </w:r>
            <w:proofErr w:type="spellEnd"/>
            <w:r>
              <w:rPr>
                <w:sz w:val="18"/>
                <w:szCs w:val="18"/>
              </w:rPr>
              <w:t>.</w:t>
            </w:r>
          </w:p>
        </w:tc>
        <w:tc>
          <w:tcPr>
            <w:tcW w:w="663" w:type="pct"/>
            <w:noWrap/>
            <w:hideMark/>
          </w:tcPr>
          <w:p w:rsidR="00DD56B8" w:rsidRPr="0006152C" w:rsidRDefault="00DD56B8" w:rsidP="00E911C8">
            <w:pPr>
              <w:jc w:val="right"/>
            </w:pPr>
            <w:r w:rsidRPr="0006152C">
              <w:t>13.1%</w:t>
            </w:r>
          </w:p>
        </w:tc>
        <w:tc>
          <w:tcPr>
            <w:tcW w:w="663" w:type="pct"/>
            <w:noWrap/>
            <w:hideMark/>
          </w:tcPr>
          <w:p w:rsidR="00DD56B8" w:rsidRPr="0006152C" w:rsidRDefault="00DD56B8" w:rsidP="00E911C8">
            <w:pPr>
              <w:jc w:val="right"/>
            </w:pPr>
            <w:r w:rsidRPr="0006152C">
              <w:t>13.7%</w:t>
            </w:r>
          </w:p>
        </w:tc>
        <w:tc>
          <w:tcPr>
            <w:tcW w:w="663" w:type="pct"/>
            <w:noWrap/>
            <w:hideMark/>
          </w:tcPr>
          <w:p w:rsidR="00DD56B8" w:rsidRPr="0006152C" w:rsidRDefault="00DD56B8" w:rsidP="00E911C8">
            <w:pPr>
              <w:jc w:val="right"/>
            </w:pPr>
            <w:r w:rsidRPr="0006152C">
              <w:t>6.1%</w:t>
            </w:r>
          </w:p>
        </w:tc>
        <w:tc>
          <w:tcPr>
            <w:tcW w:w="663" w:type="pct"/>
            <w:noWrap/>
            <w:hideMark/>
          </w:tcPr>
          <w:p w:rsidR="00DD56B8" w:rsidRPr="0006152C" w:rsidRDefault="00DD56B8" w:rsidP="00E911C8">
            <w:pPr>
              <w:jc w:val="right"/>
            </w:pPr>
            <w:r w:rsidRPr="0006152C">
              <w:t>22.4%</w:t>
            </w:r>
          </w:p>
        </w:tc>
        <w:tc>
          <w:tcPr>
            <w:tcW w:w="663" w:type="pct"/>
            <w:noWrap/>
            <w:hideMark/>
          </w:tcPr>
          <w:p w:rsidR="00DD56B8" w:rsidRPr="0006152C" w:rsidRDefault="00DD56B8" w:rsidP="00E911C8">
            <w:pPr>
              <w:jc w:val="right"/>
            </w:pPr>
            <w:r w:rsidRPr="0006152C">
              <w:t>12.6%</w:t>
            </w:r>
          </w:p>
        </w:tc>
      </w:tr>
      <w:tr w:rsidR="00DD56B8" w:rsidTr="00E911C8">
        <w:trPr>
          <w:trHeight w:val="113"/>
        </w:trPr>
        <w:tc>
          <w:tcPr>
            <w:tcW w:w="1684" w:type="pct"/>
            <w:noWrap/>
            <w:hideMark/>
          </w:tcPr>
          <w:p w:rsidR="00DD56B8" w:rsidRDefault="00DD56B8" w:rsidP="00E911C8">
            <w:pPr>
              <w:rPr>
                <w:sz w:val="18"/>
                <w:szCs w:val="18"/>
              </w:rPr>
            </w:pPr>
            <w:r>
              <w:rPr>
                <w:sz w:val="18"/>
                <w:szCs w:val="18"/>
              </w:rPr>
              <w:t xml:space="preserve">RADs as % of T. </w:t>
            </w:r>
            <w:proofErr w:type="spellStart"/>
            <w:r>
              <w:rPr>
                <w:sz w:val="18"/>
                <w:szCs w:val="18"/>
              </w:rPr>
              <w:t>Asts</w:t>
            </w:r>
            <w:proofErr w:type="spellEnd"/>
          </w:p>
        </w:tc>
        <w:tc>
          <w:tcPr>
            <w:tcW w:w="663" w:type="pct"/>
            <w:noWrap/>
            <w:hideMark/>
          </w:tcPr>
          <w:p w:rsidR="00DD56B8" w:rsidRPr="0006152C" w:rsidRDefault="00DD56B8" w:rsidP="00E911C8">
            <w:pPr>
              <w:jc w:val="right"/>
            </w:pPr>
            <w:r w:rsidRPr="0006152C">
              <w:t>58.0%</w:t>
            </w:r>
          </w:p>
        </w:tc>
        <w:tc>
          <w:tcPr>
            <w:tcW w:w="663" w:type="pct"/>
            <w:noWrap/>
            <w:hideMark/>
          </w:tcPr>
          <w:p w:rsidR="00DD56B8" w:rsidRPr="0006152C" w:rsidRDefault="00DD56B8" w:rsidP="00E911C8">
            <w:pPr>
              <w:jc w:val="right"/>
            </w:pPr>
            <w:r w:rsidRPr="0006152C">
              <w:t>59.4%</w:t>
            </w:r>
          </w:p>
        </w:tc>
        <w:tc>
          <w:tcPr>
            <w:tcW w:w="663" w:type="pct"/>
            <w:noWrap/>
            <w:hideMark/>
          </w:tcPr>
          <w:p w:rsidR="00DD56B8" w:rsidRPr="0006152C" w:rsidRDefault="00DD56B8" w:rsidP="00E911C8">
            <w:pPr>
              <w:jc w:val="right"/>
            </w:pPr>
            <w:r w:rsidRPr="0006152C">
              <w:t>60.9%</w:t>
            </w:r>
          </w:p>
        </w:tc>
        <w:tc>
          <w:tcPr>
            <w:tcW w:w="663" w:type="pct"/>
            <w:noWrap/>
            <w:hideMark/>
          </w:tcPr>
          <w:p w:rsidR="00DD56B8" w:rsidRPr="0006152C" w:rsidRDefault="00DD56B8" w:rsidP="00E911C8">
            <w:pPr>
              <w:jc w:val="right"/>
            </w:pPr>
            <w:r w:rsidRPr="0006152C">
              <w:t>53.9%</w:t>
            </w:r>
          </w:p>
        </w:tc>
        <w:tc>
          <w:tcPr>
            <w:tcW w:w="663" w:type="pct"/>
            <w:noWrap/>
            <w:hideMark/>
          </w:tcPr>
          <w:p w:rsidR="00DD56B8" w:rsidRPr="0006152C" w:rsidRDefault="00DD56B8" w:rsidP="00E911C8">
            <w:pPr>
              <w:jc w:val="right"/>
            </w:pPr>
            <w:r w:rsidRPr="0006152C">
              <w:t>58.7%</w:t>
            </w:r>
          </w:p>
        </w:tc>
      </w:tr>
      <w:tr w:rsidR="00DD56B8" w:rsidTr="00E911C8">
        <w:trPr>
          <w:trHeight w:val="113"/>
        </w:trPr>
        <w:tc>
          <w:tcPr>
            <w:tcW w:w="1684" w:type="pct"/>
            <w:noWrap/>
            <w:hideMark/>
          </w:tcPr>
          <w:p w:rsidR="00DD56B8" w:rsidRDefault="00DD56B8" w:rsidP="00E911C8">
            <w:pPr>
              <w:rPr>
                <w:sz w:val="18"/>
                <w:szCs w:val="18"/>
              </w:rPr>
            </w:pPr>
            <w:r>
              <w:rPr>
                <w:sz w:val="18"/>
                <w:szCs w:val="18"/>
              </w:rPr>
              <w:t xml:space="preserve">Net Worth as % </w:t>
            </w:r>
            <w:proofErr w:type="spellStart"/>
            <w:r>
              <w:rPr>
                <w:sz w:val="18"/>
                <w:szCs w:val="18"/>
              </w:rPr>
              <w:t>T.Asts</w:t>
            </w:r>
            <w:proofErr w:type="spellEnd"/>
          </w:p>
        </w:tc>
        <w:tc>
          <w:tcPr>
            <w:tcW w:w="663" w:type="pct"/>
            <w:noWrap/>
            <w:hideMark/>
          </w:tcPr>
          <w:p w:rsidR="00DD56B8" w:rsidRPr="0006152C" w:rsidRDefault="00DD56B8" w:rsidP="00E911C8">
            <w:pPr>
              <w:jc w:val="right"/>
            </w:pPr>
            <w:r w:rsidRPr="0006152C">
              <w:t>8.6%</w:t>
            </w:r>
          </w:p>
        </w:tc>
        <w:tc>
          <w:tcPr>
            <w:tcW w:w="663" w:type="pct"/>
            <w:noWrap/>
            <w:hideMark/>
          </w:tcPr>
          <w:p w:rsidR="00DD56B8" w:rsidRPr="0006152C" w:rsidRDefault="00DD56B8" w:rsidP="00E911C8">
            <w:pPr>
              <w:jc w:val="right"/>
            </w:pPr>
            <w:r w:rsidRPr="0006152C">
              <w:t>12.7%</w:t>
            </w:r>
          </w:p>
        </w:tc>
        <w:tc>
          <w:tcPr>
            <w:tcW w:w="663" w:type="pct"/>
            <w:noWrap/>
            <w:hideMark/>
          </w:tcPr>
          <w:p w:rsidR="00DD56B8" w:rsidRPr="0006152C" w:rsidRDefault="00DD56B8" w:rsidP="00E911C8">
            <w:pPr>
              <w:jc w:val="right"/>
            </w:pPr>
            <w:r w:rsidRPr="0006152C">
              <w:t>15.3%</w:t>
            </w:r>
          </w:p>
        </w:tc>
        <w:tc>
          <w:tcPr>
            <w:tcW w:w="663" w:type="pct"/>
            <w:noWrap/>
            <w:hideMark/>
          </w:tcPr>
          <w:p w:rsidR="00DD56B8" w:rsidRPr="0006152C" w:rsidRDefault="00DD56B8" w:rsidP="00E911C8">
            <w:pPr>
              <w:jc w:val="right"/>
            </w:pPr>
            <w:r w:rsidRPr="0006152C">
              <w:t>4.9%</w:t>
            </w:r>
          </w:p>
        </w:tc>
        <w:tc>
          <w:tcPr>
            <w:tcW w:w="663" w:type="pct"/>
            <w:noWrap/>
            <w:hideMark/>
          </w:tcPr>
          <w:p w:rsidR="00DD56B8" w:rsidRPr="0006152C" w:rsidRDefault="00DD56B8" w:rsidP="00E911C8">
            <w:pPr>
              <w:jc w:val="right"/>
            </w:pPr>
            <w:r w:rsidRPr="0006152C">
              <w:t>11.0%</w:t>
            </w:r>
          </w:p>
        </w:tc>
      </w:tr>
      <w:tr w:rsidR="00DD56B8" w:rsidTr="00E911C8">
        <w:trPr>
          <w:trHeight w:val="113"/>
        </w:trPr>
        <w:tc>
          <w:tcPr>
            <w:tcW w:w="1684" w:type="pct"/>
            <w:shd w:val="clear" w:color="auto" w:fill="E8E8E8" w:themeFill="background2"/>
            <w:noWrap/>
            <w:hideMark/>
          </w:tcPr>
          <w:p w:rsidR="00DD56B8" w:rsidRPr="00596D01" w:rsidRDefault="00DD56B8" w:rsidP="00E911C8">
            <w:pPr>
              <w:rPr>
                <w:rStyle w:val="Strong"/>
              </w:rPr>
            </w:pPr>
            <w:r w:rsidRPr="00596D01">
              <w:rPr>
                <w:rStyle w:val="Strong"/>
              </w:rPr>
              <w:t>Viability</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c>
          <w:tcPr>
            <w:tcW w:w="663" w:type="pct"/>
            <w:shd w:val="clear" w:color="auto" w:fill="E8E8E8" w:themeFill="background2"/>
            <w:noWrap/>
            <w:hideMark/>
          </w:tcPr>
          <w:p w:rsidR="00DD56B8" w:rsidRPr="0006152C" w:rsidRDefault="00DD56B8" w:rsidP="00E911C8">
            <w:pPr>
              <w:jc w:val="right"/>
            </w:pPr>
            <w:r w:rsidRPr="0006152C">
              <w:t> </w:t>
            </w:r>
          </w:p>
        </w:tc>
      </w:tr>
      <w:tr w:rsidR="00DD56B8" w:rsidTr="00E911C8">
        <w:trPr>
          <w:trHeight w:val="113"/>
        </w:trPr>
        <w:tc>
          <w:tcPr>
            <w:tcW w:w="1684" w:type="pct"/>
            <w:noWrap/>
            <w:hideMark/>
          </w:tcPr>
          <w:p w:rsidR="00DD56B8" w:rsidRDefault="00DD56B8" w:rsidP="00E911C8">
            <w:pPr>
              <w:rPr>
                <w:sz w:val="18"/>
                <w:szCs w:val="18"/>
              </w:rPr>
            </w:pPr>
            <w:r>
              <w:rPr>
                <w:sz w:val="18"/>
                <w:szCs w:val="18"/>
              </w:rPr>
              <w:t>Current ratio</w:t>
            </w:r>
          </w:p>
        </w:tc>
        <w:tc>
          <w:tcPr>
            <w:tcW w:w="663" w:type="pct"/>
            <w:noWrap/>
            <w:hideMark/>
          </w:tcPr>
          <w:p w:rsidR="00DD56B8" w:rsidRPr="0006152C" w:rsidRDefault="00DD56B8" w:rsidP="00E911C8">
            <w:pPr>
              <w:jc w:val="right"/>
            </w:pPr>
            <w:r w:rsidRPr="0006152C">
              <w:t>0.30</w:t>
            </w:r>
          </w:p>
        </w:tc>
        <w:tc>
          <w:tcPr>
            <w:tcW w:w="663" w:type="pct"/>
            <w:noWrap/>
            <w:hideMark/>
          </w:tcPr>
          <w:p w:rsidR="00DD56B8" w:rsidRPr="0006152C" w:rsidRDefault="00DD56B8" w:rsidP="00E911C8">
            <w:pPr>
              <w:jc w:val="right"/>
            </w:pPr>
            <w:r w:rsidRPr="0006152C">
              <w:t>0.45</w:t>
            </w:r>
          </w:p>
        </w:tc>
        <w:tc>
          <w:tcPr>
            <w:tcW w:w="663" w:type="pct"/>
            <w:noWrap/>
            <w:hideMark/>
          </w:tcPr>
          <w:p w:rsidR="00DD56B8" w:rsidRPr="0006152C" w:rsidRDefault="00DD56B8" w:rsidP="00E911C8">
            <w:pPr>
              <w:jc w:val="right"/>
            </w:pPr>
            <w:r w:rsidRPr="0006152C">
              <w:t>0.24</w:t>
            </w:r>
          </w:p>
        </w:tc>
        <w:tc>
          <w:tcPr>
            <w:tcW w:w="663" w:type="pct"/>
            <w:noWrap/>
            <w:hideMark/>
          </w:tcPr>
          <w:p w:rsidR="00DD56B8" w:rsidRPr="0006152C" w:rsidRDefault="00DD56B8" w:rsidP="00E911C8">
            <w:pPr>
              <w:jc w:val="right"/>
            </w:pPr>
            <w:r w:rsidRPr="0006152C">
              <w:t>0.51</w:t>
            </w:r>
          </w:p>
        </w:tc>
        <w:tc>
          <w:tcPr>
            <w:tcW w:w="663" w:type="pct"/>
            <w:noWrap/>
            <w:hideMark/>
          </w:tcPr>
          <w:p w:rsidR="00DD56B8" w:rsidRPr="0006152C" w:rsidRDefault="00DD56B8" w:rsidP="00E911C8">
            <w:pPr>
              <w:jc w:val="right"/>
            </w:pPr>
            <w:r w:rsidRPr="0006152C">
              <w:t>0.35</w:t>
            </w:r>
          </w:p>
        </w:tc>
      </w:tr>
      <w:tr w:rsidR="00DD56B8" w:rsidTr="00E911C8">
        <w:trPr>
          <w:trHeight w:val="113"/>
        </w:trPr>
        <w:tc>
          <w:tcPr>
            <w:tcW w:w="1684" w:type="pct"/>
            <w:noWrap/>
            <w:hideMark/>
          </w:tcPr>
          <w:p w:rsidR="00DD56B8" w:rsidRDefault="00DD56B8" w:rsidP="00E911C8">
            <w:pPr>
              <w:rPr>
                <w:sz w:val="18"/>
                <w:szCs w:val="18"/>
              </w:rPr>
            </w:pPr>
            <w:r>
              <w:rPr>
                <w:sz w:val="18"/>
                <w:szCs w:val="18"/>
              </w:rPr>
              <w:t>Interest coverage</w:t>
            </w:r>
          </w:p>
        </w:tc>
        <w:tc>
          <w:tcPr>
            <w:tcW w:w="663" w:type="pct"/>
            <w:noWrap/>
            <w:hideMark/>
          </w:tcPr>
          <w:p w:rsidR="00DD56B8" w:rsidRPr="0006152C" w:rsidRDefault="00DD56B8" w:rsidP="00E911C8">
            <w:pPr>
              <w:jc w:val="right"/>
            </w:pPr>
            <w:r w:rsidRPr="0006152C">
              <w:t>9.8 Times</w:t>
            </w:r>
          </w:p>
        </w:tc>
        <w:tc>
          <w:tcPr>
            <w:tcW w:w="663" w:type="pct"/>
            <w:noWrap/>
            <w:hideMark/>
          </w:tcPr>
          <w:p w:rsidR="00DD56B8" w:rsidRPr="0006152C" w:rsidRDefault="00DD56B8" w:rsidP="00E911C8">
            <w:pPr>
              <w:jc w:val="right"/>
            </w:pPr>
            <w:r w:rsidRPr="0006152C">
              <w:t>7.2 Times</w:t>
            </w:r>
          </w:p>
        </w:tc>
        <w:tc>
          <w:tcPr>
            <w:tcW w:w="663" w:type="pct"/>
            <w:noWrap/>
            <w:hideMark/>
          </w:tcPr>
          <w:p w:rsidR="00DD56B8" w:rsidRPr="0006152C" w:rsidRDefault="00DD56B8" w:rsidP="00E911C8">
            <w:pPr>
              <w:jc w:val="right"/>
            </w:pPr>
            <w:r w:rsidRPr="0006152C">
              <w:t>7.7 Times</w:t>
            </w:r>
          </w:p>
        </w:tc>
        <w:tc>
          <w:tcPr>
            <w:tcW w:w="663" w:type="pct"/>
            <w:noWrap/>
            <w:hideMark/>
          </w:tcPr>
          <w:p w:rsidR="00DD56B8" w:rsidRPr="0006152C" w:rsidRDefault="00D8721E" w:rsidP="00E911C8">
            <w:pPr>
              <w:jc w:val="right"/>
            </w:pPr>
            <w:r>
              <w:t>–2</w:t>
            </w:r>
            <w:r w:rsidR="00DD56B8" w:rsidRPr="0006152C">
              <w:t>.5 Times</w:t>
            </w:r>
          </w:p>
        </w:tc>
        <w:tc>
          <w:tcPr>
            <w:tcW w:w="663" w:type="pct"/>
            <w:noWrap/>
            <w:hideMark/>
          </w:tcPr>
          <w:p w:rsidR="00DD56B8" w:rsidRPr="0006152C" w:rsidRDefault="00DD56B8" w:rsidP="00E911C8">
            <w:pPr>
              <w:jc w:val="right"/>
            </w:pPr>
            <w:r w:rsidRPr="0006152C">
              <w:t>7.9 Times</w:t>
            </w:r>
          </w:p>
        </w:tc>
      </w:tr>
      <w:tr w:rsidR="00DD56B8" w:rsidTr="00E911C8">
        <w:trPr>
          <w:trHeight w:val="113"/>
        </w:trPr>
        <w:tc>
          <w:tcPr>
            <w:tcW w:w="1684" w:type="pct"/>
            <w:noWrap/>
            <w:hideMark/>
          </w:tcPr>
          <w:p w:rsidR="00DD56B8" w:rsidRDefault="00DD56B8" w:rsidP="00E911C8">
            <w:pPr>
              <w:rPr>
                <w:sz w:val="18"/>
                <w:szCs w:val="18"/>
              </w:rPr>
            </w:pPr>
            <w:r>
              <w:rPr>
                <w:sz w:val="18"/>
                <w:szCs w:val="18"/>
              </w:rPr>
              <w:t>NPBT margin</w:t>
            </w:r>
          </w:p>
        </w:tc>
        <w:tc>
          <w:tcPr>
            <w:tcW w:w="663" w:type="pct"/>
            <w:noWrap/>
            <w:hideMark/>
          </w:tcPr>
          <w:p w:rsidR="00DD56B8" w:rsidRPr="0006152C" w:rsidRDefault="00DD56B8" w:rsidP="00E911C8">
            <w:pPr>
              <w:jc w:val="right"/>
            </w:pPr>
            <w:r w:rsidRPr="0006152C">
              <w:t>14.0%</w:t>
            </w:r>
          </w:p>
        </w:tc>
        <w:tc>
          <w:tcPr>
            <w:tcW w:w="663" w:type="pct"/>
            <w:noWrap/>
            <w:hideMark/>
          </w:tcPr>
          <w:p w:rsidR="00DD56B8" w:rsidRPr="0006152C" w:rsidRDefault="00DD56B8" w:rsidP="00E911C8">
            <w:pPr>
              <w:jc w:val="right"/>
            </w:pPr>
            <w:r w:rsidRPr="0006152C">
              <w:t>6.9%</w:t>
            </w:r>
          </w:p>
        </w:tc>
        <w:tc>
          <w:tcPr>
            <w:tcW w:w="663" w:type="pct"/>
            <w:noWrap/>
            <w:hideMark/>
          </w:tcPr>
          <w:p w:rsidR="00DD56B8" w:rsidRPr="0006152C" w:rsidRDefault="00DD56B8" w:rsidP="00E911C8">
            <w:pPr>
              <w:jc w:val="right"/>
            </w:pPr>
            <w:r w:rsidRPr="0006152C">
              <w:t>3.3%</w:t>
            </w:r>
          </w:p>
        </w:tc>
        <w:tc>
          <w:tcPr>
            <w:tcW w:w="663" w:type="pct"/>
            <w:noWrap/>
            <w:hideMark/>
          </w:tcPr>
          <w:p w:rsidR="00DD56B8" w:rsidRPr="0006152C" w:rsidRDefault="00DD56B8" w:rsidP="00E911C8">
            <w:pPr>
              <w:jc w:val="right"/>
            </w:pPr>
            <w:r w:rsidRPr="0006152C">
              <w:t>(8.3%)</w:t>
            </w:r>
          </w:p>
        </w:tc>
        <w:tc>
          <w:tcPr>
            <w:tcW w:w="663" w:type="pct"/>
            <w:noWrap/>
            <w:hideMark/>
          </w:tcPr>
          <w:p w:rsidR="00DD56B8" w:rsidRPr="0006152C" w:rsidRDefault="00DD56B8" w:rsidP="00E911C8">
            <w:pPr>
              <w:jc w:val="right"/>
            </w:pPr>
            <w:r w:rsidRPr="0006152C">
              <w:t>7.9%</w:t>
            </w:r>
          </w:p>
        </w:tc>
      </w:tr>
      <w:tr w:rsidR="00DD56B8" w:rsidTr="00E911C8">
        <w:trPr>
          <w:trHeight w:val="113"/>
        </w:trPr>
        <w:tc>
          <w:tcPr>
            <w:tcW w:w="1684" w:type="pct"/>
            <w:noWrap/>
            <w:hideMark/>
          </w:tcPr>
          <w:p w:rsidR="00DD56B8" w:rsidRDefault="00DD56B8" w:rsidP="00E911C8">
            <w:r>
              <w:t>Occupancy</w:t>
            </w:r>
          </w:p>
        </w:tc>
        <w:tc>
          <w:tcPr>
            <w:tcW w:w="663" w:type="pct"/>
            <w:noWrap/>
            <w:hideMark/>
          </w:tcPr>
          <w:p w:rsidR="00DD56B8" w:rsidRPr="0006152C" w:rsidRDefault="00DD56B8" w:rsidP="00E911C8">
            <w:pPr>
              <w:jc w:val="right"/>
            </w:pPr>
            <w:r w:rsidRPr="0006152C">
              <w:t>91.0%</w:t>
            </w:r>
          </w:p>
        </w:tc>
        <w:tc>
          <w:tcPr>
            <w:tcW w:w="663" w:type="pct"/>
            <w:noWrap/>
            <w:hideMark/>
          </w:tcPr>
          <w:p w:rsidR="00DD56B8" w:rsidRPr="0006152C" w:rsidRDefault="00DD56B8" w:rsidP="00E911C8">
            <w:pPr>
              <w:jc w:val="right"/>
            </w:pPr>
            <w:r w:rsidRPr="0006152C">
              <w:t>90.6%</w:t>
            </w:r>
          </w:p>
        </w:tc>
        <w:tc>
          <w:tcPr>
            <w:tcW w:w="663" w:type="pct"/>
            <w:noWrap/>
            <w:hideMark/>
          </w:tcPr>
          <w:p w:rsidR="00DD56B8" w:rsidRPr="0006152C" w:rsidRDefault="00DD56B8" w:rsidP="00E911C8">
            <w:pPr>
              <w:jc w:val="right"/>
            </w:pPr>
            <w:r w:rsidRPr="0006152C">
              <w:t>90.7%</w:t>
            </w:r>
          </w:p>
        </w:tc>
        <w:tc>
          <w:tcPr>
            <w:tcW w:w="663" w:type="pct"/>
            <w:noWrap/>
            <w:hideMark/>
          </w:tcPr>
          <w:p w:rsidR="00DD56B8" w:rsidRPr="0006152C" w:rsidRDefault="00DD56B8" w:rsidP="00E911C8">
            <w:pPr>
              <w:jc w:val="right"/>
            </w:pPr>
            <w:r w:rsidRPr="0006152C">
              <w:t>82.0%</w:t>
            </w:r>
          </w:p>
        </w:tc>
        <w:tc>
          <w:tcPr>
            <w:tcW w:w="663" w:type="pct"/>
            <w:noWrap/>
            <w:hideMark/>
          </w:tcPr>
          <w:p w:rsidR="00DD56B8" w:rsidRPr="0006152C" w:rsidRDefault="00DD56B8" w:rsidP="00E911C8">
            <w:pPr>
              <w:jc w:val="right"/>
            </w:pPr>
            <w:r w:rsidRPr="0006152C">
              <w:t>90.1%</w:t>
            </w:r>
          </w:p>
        </w:tc>
      </w:tr>
      <w:tr w:rsidR="00DD56B8" w:rsidTr="00E911C8">
        <w:trPr>
          <w:trHeight w:val="113"/>
        </w:trPr>
        <w:tc>
          <w:tcPr>
            <w:tcW w:w="1684" w:type="pct"/>
            <w:noWrap/>
            <w:hideMark/>
          </w:tcPr>
          <w:p w:rsidR="00DD56B8" w:rsidRDefault="00DD56B8" w:rsidP="00E911C8">
            <w:pPr>
              <w:rPr>
                <w:sz w:val="18"/>
                <w:szCs w:val="18"/>
              </w:rPr>
            </w:pPr>
            <w:r>
              <w:rPr>
                <w:sz w:val="18"/>
                <w:szCs w:val="18"/>
              </w:rPr>
              <w:t>%EBITDA to T. Assets</w:t>
            </w:r>
          </w:p>
        </w:tc>
        <w:tc>
          <w:tcPr>
            <w:tcW w:w="663" w:type="pct"/>
            <w:noWrap/>
            <w:hideMark/>
          </w:tcPr>
          <w:p w:rsidR="00DD56B8" w:rsidRPr="0006152C" w:rsidRDefault="00DD56B8" w:rsidP="00E911C8">
            <w:pPr>
              <w:jc w:val="right"/>
            </w:pPr>
            <w:r w:rsidRPr="0006152C">
              <w:t>7.3%</w:t>
            </w:r>
          </w:p>
        </w:tc>
        <w:tc>
          <w:tcPr>
            <w:tcW w:w="663" w:type="pct"/>
            <w:noWrap/>
            <w:hideMark/>
          </w:tcPr>
          <w:p w:rsidR="00DD56B8" w:rsidRPr="0006152C" w:rsidRDefault="00DD56B8" w:rsidP="00E911C8">
            <w:pPr>
              <w:jc w:val="right"/>
            </w:pPr>
            <w:r w:rsidRPr="0006152C">
              <w:t>4.7%</w:t>
            </w:r>
          </w:p>
        </w:tc>
        <w:tc>
          <w:tcPr>
            <w:tcW w:w="663" w:type="pct"/>
            <w:noWrap/>
            <w:hideMark/>
          </w:tcPr>
          <w:p w:rsidR="00DD56B8" w:rsidRPr="0006152C" w:rsidRDefault="00DD56B8" w:rsidP="00E911C8">
            <w:pPr>
              <w:jc w:val="right"/>
            </w:pPr>
            <w:r w:rsidRPr="0006152C">
              <w:t>2.4%</w:t>
            </w:r>
          </w:p>
        </w:tc>
        <w:tc>
          <w:tcPr>
            <w:tcW w:w="663" w:type="pct"/>
            <w:noWrap/>
            <w:hideMark/>
          </w:tcPr>
          <w:p w:rsidR="00DD56B8" w:rsidRPr="0006152C" w:rsidRDefault="00DD56B8" w:rsidP="00E911C8">
            <w:pPr>
              <w:jc w:val="right"/>
            </w:pPr>
            <w:r w:rsidRPr="0006152C">
              <w:t>(1.2%)</w:t>
            </w:r>
          </w:p>
        </w:tc>
        <w:tc>
          <w:tcPr>
            <w:tcW w:w="663" w:type="pct"/>
            <w:noWrap/>
            <w:hideMark/>
          </w:tcPr>
          <w:p w:rsidR="00DD56B8" w:rsidRPr="0006152C" w:rsidRDefault="00DD56B8" w:rsidP="00E911C8">
            <w:pPr>
              <w:jc w:val="right"/>
            </w:pPr>
            <w:r w:rsidRPr="0006152C">
              <w:t>4.8%</w:t>
            </w:r>
          </w:p>
        </w:tc>
      </w:tr>
      <w:tr w:rsidR="00DD56B8" w:rsidTr="00E911C8">
        <w:trPr>
          <w:trHeight w:val="113"/>
        </w:trPr>
        <w:tc>
          <w:tcPr>
            <w:tcW w:w="1684" w:type="pct"/>
            <w:noWrap/>
            <w:hideMark/>
          </w:tcPr>
          <w:p w:rsidR="00DD56B8" w:rsidRDefault="00DD56B8" w:rsidP="00E911C8">
            <w:pPr>
              <w:rPr>
                <w:sz w:val="18"/>
                <w:szCs w:val="18"/>
              </w:rPr>
            </w:pPr>
            <w:r>
              <w:rPr>
                <w:sz w:val="18"/>
                <w:szCs w:val="18"/>
              </w:rPr>
              <w:t>%EBITDA to Net Worth</w:t>
            </w:r>
          </w:p>
        </w:tc>
        <w:tc>
          <w:tcPr>
            <w:tcW w:w="663" w:type="pct"/>
            <w:noWrap/>
            <w:hideMark/>
          </w:tcPr>
          <w:p w:rsidR="00DD56B8" w:rsidRPr="0006152C" w:rsidRDefault="00DD56B8" w:rsidP="00E911C8">
            <w:pPr>
              <w:jc w:val="right"/>
            </w:pPr>
            <w:r w:rsidRPr="0006152C">
              <w:t>84.4%</w:t>
            </w:r>
          </w:p>
        </w:tc>
        <w:tc>
          <w:tcPr>
            <w:tcW w:w="663" w:type="pct"/>
            <w:noWrap/>
            <w:hideMark/>
          </w:tcPr>
          <w:p w:rsidR="00DD56B8" w:rsidRPr="0006152C" w:rsidRDefault="00DD56B8" w:rsidP="00E911C8">
            <w:pPr>
              <w:jc w:val="right"/>
            </w:pPr>
            <w:r w:rsidRPr="0006152C">
              <w:t>37.5%</w:t>
            </w:r>
          </w:p>
        </w:tc>
        <w:tc>
          <w:tcPr>
            <w:tcW w:w="663" w:type="pct"/>
            <w:noWrap/>
            <w:hideMark/>
          </w:tcPr>
          <w:p w:rsidR="00DD56B8" w:rsidRPr="0006152C" w:rsidRDefault="00DD56B8" w:rsidP="00E911C8">
            <w:pPr>
              <w:jc w:val="right"/>
            </w:pPr>
            <w:r w:rsidRPr="0006152C">
              <w:t>15.5%</w:t>
            </w:r>
          </w:p>
        </w:tc>
        <w:tc>
          <w:tcPr>
            <w:tcW w:w="663" w:type="pct"/>
            <w:noWrap/>
            <w:hideMark/>
          </w:tcPr>
          <w:p w:rsidR="00DD56B8" w:rsidRPr="0006152C" w:rsidRDefault="00DD56B8" w:rsidP="00E911C8">
            <w:pPr>
              <w:jc w:val="right"/>
            </w:pPr>
            <w:r w:rsidRPr="0006152C">
              <w:t>(24.8%)</w:t>
            </w:r>
          </w:p>
        </w:tc>
        <w:tc>
          <w:tcPr>
            <w:tcW w:w="663" w:type="pct"/>
            <w:noWrap/>
            <w:hideMark/>
          </w:tcPr>
          <w:p w:rsidR="00DD56B8" w:rsidRPr="0006152C" w:rsidRDefault="00DD56B8" w:rsidP="00E911C8">
            <w:pPr>
              <w:jc w:val="right"/>
            </w:pPr>
            <w:r w:rsidRPr="0006152C">
              <w:t>43.7%</w:t>
            </w:r>
          </w:p>
        </w:tc>
      </w:tr>
      <w:tr w:rsidR="00DD56B8" w:rsidTr="00E911C8">
        <w:trPr>
          <w:trHeight w:val="113"/>
        </w:trPr>
        <w:tc>
          <w:tcPr>
            <w:tcW w:w="1684" w:type="pct"/>
            <w:noWrap/>
            <w:hideMark/>
          </w:tcPr>
          <w:p w:rsidR="00DD56B8" w:rsidRDefault="00DD56B8" w:rsidP="00E911C8">
            <w:pPr>
              <w:rPr>
                <w:sz w:val="18"/>
                <w:szCs w:val="18"/>
              </w:rPr>
            </w:pPr>
            <w:r>
              <w:rPr>
                <w:sz w:val="18"/>
                <w:szCs w:val="18"/>
              </w:rPr>
              <w:t>RADs Asset Cover (T.A.)</w:t>
            </w:r>
          </w:p>
        </w:tc>
        <w:tc>
          <w:tcPr>
            <w:tcW w:w="663" w:type="pct"/>
            <w:noWrap/>
            <w:hideMark/>
          </w:tcPr>
          <w:p w:rsidR="00DD56B8" w:rsidRPr="0006152C" w:rsidRDefault="00DD56B8" w:rsidP="00E911C8">
            <w:pPr>
              <w:jc w:val="right"/>
            </w:pPr>
            <w:r w:rsidRPr="0006152C">
              <w:t>1.7 Times</w:t>
            </w:r>
          </w:p>
        </w:tc>
        <w:tc>
          <w:tcPr>
            <w:tcW w:w="663" w:type="pct"/>
            <w:noWrap/>
            <w:hideMark/>
          </w:tcPr>
          <w:p w:rsidR="00DD56B8" w:rsidRPr="0006152C" w:rsidRDefault="00DD56B8" w:rsidP="00E911C8">
            <w:pPr>
              <w:jc w:val="right"/>
            </w:pPr>
            <w:r w:rsidRPr="0006152C">
              <w:t>1.7 Times</w:t>
            </w:r>
          </w:p>
        </w:tc>
        <w:tc>
          <w:tcPr>
            <w:tcW w:w="663" w:type="pct"/>
            <w:noWrap/>
            <w:hideMark/>
          </w:tcPr>
          <w:p w:rsidR="00DD56B8" w:rsidRPr="0006152C" w:rsidRDefault="00DD56B8" w:rsidP="00E911C8">
            <w:pPr>
              <w:jc w:val="right"/>
            </w:pPr>
            <w:r w:rsidRPr="0006152C">
              <w:t>1.6 Times</w:t>
            </w:r>
          </w:p>
        </w:tc>
        <w:tc>
          <w:tcPr>
            <w:tcW w:w="663" w:type="pct"/>
            <w:noWrap/>
            <w:hideMark/>
          </w:tcPr>
          <w:p w:rsidR="00DD56B8" w:rsidRPr="0006152C" w:rsidRDefault="00DD56B8" w:rsidP="00E911C8">
            <w:pPr>
              <w:jc w:val="right"/>
            </w:pPr>
            <w:r w:rsidRPr="0006152C">
              <w:t>1.9 Times</w:t>
            </w:r>
          </w:p>
        </w:tc>
        <w:tc>
          <w:tcPr>
            <w:tcW w:w="663" w:type="pct"/>
            <w:noWrap/>
            <w:hideMark/>
          </w:tcPr>
          <w:p w:rsidR="00DD56B8" w:rsidRPr="0006152C" w:rsidRDefault="00DD56B8" w:rsidP="00E911C8">
            <w:pPr>
              <w:jc w:val="right"/>
            </w:pPr>
            <w:r w:rsidRPr="0006152C">
              <w:t>1.7 Times</w:t>
            </w:r>
          </w:p>
        </w:tc>
      </w:tr>
    </w:tbl>
    <w:p w:rsidR="00D8721E" w:rsidRDefault="00D8721E" w:rsidP="00E911C8"/>
    <w:p w:rsidR="00DB20DB" w:rsidRPr="006C33D4" w:rsidRDefault="002B789A" w:rsidP="00E911C8">
      <w:pPr>
        <w:pStyle w:val="AppendixNumbered"/>
      </w:pPr>
      <w:bookmarkStart w:id="1065" w:name="_Ref425414714"/>
      <w:bookmarkStart w:id="1066" w:name="_Toc457549947"/>
      <w:r>
        <w:lastRenderedPageBreak/>
        <w:t xml:space="preserve"> </w:t>
      </w:r>
      <w:bookmarkStart w:id="1067" w:name="_Toc524424837"/>
      <w:r w:rsidR="00DB20DB" w:rsidRPr="00557C8E">
        <w:t>Residential</w:t>
      </w:r>
      <w:r w:rsidR="008F5A3E">
        <w:t xml:space="preserve"> aged</w:t>
      </w:r>
      <w:r w:rsidR="00DB20DB" w:rsidRPr="00557C8E">
        <w:t xml:space="preserve"> care </w:t>
      </w:r>
      <w:r w:rsidR="00E41295">
        <w:t>subsidies and supplements</w:t>
      </w:r>
      <w:bookmarkEnd w:id="1065"/>
      <w:bookmarkEnd w:id="1066"/>
      <w:bookmarkEnd w:id="1067"/>
      <w:r w:rsidR="005F29C4">
        <w:t xml:space="preserve"> </w:t>
      </w:r>
    </w:p>
    <w:p w:rsidR="00DB20DB" w:rsidRPr="00596D01" w:rsidRDefault="00DB20DB" w:rsidP="00E911C8">
      <w:pPr>
        <w:pStyle w:val="AppendixTable"/>
        <w:rPr>
          <w:rStyle w:val="Strong"/>
        </w:rPr>
      </w:pPr>
      <w:r w:rsidRPr="00596D01">
        <w:t xml:space="preserve">Summary of </w:t>
      </w:r>
      <w:r w:rsidR="00B305CF" w:rsidRPr="00596D01">
        <w:t xml:space="preserve">funding amounts for </w:t>
      </w:r>
      <w:r w:rsidR="00867B1C" w:rsidRPr="00596D01">
        <w:t>subsid</w:t>
      </w:r>
      <w:r w:rsidR="002B789A" w:rsidRPr="00596D01">
        <w:t>ies</w:t>
      </w:r>
      <w:r w:rsidR="00867B1C" w:rsidRPr="00596D01">
        <w:t xml:space="preserve"> and supplements in residential aged c</w:t>
      </w:r>
      <w:r w:rsidRPr="00596D01">
        <w:t>are</w:t>
      </w:r>
      <w:r w:rsidR="00BB1EF2" w:rsidRPr="00596D01">
        <w:t>,</w:t>
      </w:r>
      <w:r w:rsidR="00E911C8">
        <w:t xml:space="preserve"> </w:t>
      </w:r>
      <w:r w:rsidR="00E911C8">
        <w:br/>
      </w:r>
      <w:r w:rsidR="00A261F3" w:rsidRPr="00596D01">
        <w:t>201</w:t>
      </w:r>
      <w:r w:rsidR="00BB1EF2" w:rsidRPr="00596D01">
        <w:t>5</w:t>
      </w:r>
      <w:r w:rsidR="00D8721E" w:rsidRPr="00596D01">
        <w:t>–1</w:t>
      </w:r>
      <w:r w:rsidR="00BB1EF2" w:rsidRPr="00596D01">
        <w:t>6</w:t>
      </w:r>
      <w:r w:rsidR="00EF2D64" w:rsidRPr="00596D01">
        <w:t xml:space="preserve"> to</w:t>
      </w:r>
      <w:r w:rsidR="00A261F3" w:rsidRPr="00596D01">
        <w:t> 201</w:t>
      </w:r>
      <w:r w:rsidR="00EF2D64" w:rsidRPr="00596D01">
        <w:t>6</w:t>
      </w:r>
      <w:r w:rsidR="00D8721E" w:rsidRPr="00596D01">
        <w:t>–1</w:t>
      </w:r>
      <w:r w:rsidR="00EF2D64"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374"/>
        <w:gridCol w:w="1627"/>
        <w:gridCol w:w="1627"/>
      </w:tblGrid>
      <w:tr w:rsidR="00E911C8" w:rsidRPr="00E911C8" w:rsidTr="0006074C">
        <w:trPr>
          <w:cnfStyle w:val="100000000000" w:firstRow="1" w:lastRow="0" w:firstColumn="0" w:lastColumn="0" w:oddVBand="0" w:evenVBand="0" w:oddHBand="0" w:evenHBand="0" w:firstRowFirstColumn="0" w:firstRowLastColumn="0" w:lastRowFirstColumn="0" w:lastRowLastColumn="0"/>
          <w:trHeight w:val="113"/>
          <w:tblHeader/>
        </w:trPr>
        <w:tc>
          <w:tcPr>
            <w:tcW w:w="3310" w:type="pct"/>
            <w:noWrap/>
          </w:tcPr>
          <w:p w:rsidR="00E911C8" w:rsidRPr="00E911C8" w:rsidRDefault="00E911C8" w:rsidP="00E911C8"/>
        </w:tc>
        <w:tc>
          <w:tcPr>
            <w:tcW w:w="845" w:type="pct"/>
            <w:noWrap/>
          </w:tcPr>
          <w:p w:rsidR="00E911C8" w:rsidRPr="00E911C8" w:rsidRDefault="00E911C8" w:rsidP="0006074C">
            <w:pPr>
              <w:jc w:val="right"/>
            </w:pPr>
            <w:r w:rsidRPr="00E911C8">
              <w:t>2015–16</w:t>
            </w:r>
            <w:r w:rsidR="0006074C">
              <w:br/>
              <w:t>$m</w:t>
            </w:r>
          </w:p>
        </w:tc>
        <w:tc>
          <w:tcPr>
            <w:tcW w:w="845" w:type="pct"/>
          </w:tcPr>
          <w:p w:rsidR="00E911C8" w:rsidRPr="00E911C8" w:rsidRDefault="00E911C8" w:rsidP="0006074C">
            <w:pPr>
              <w:jc w:val="right"/>
            </w:pPr>
            <w:r w:rsidRPr="00E911C8">
              <w:t>2016–17</w:t>
            </w:r>
            <w:r w:rsidR="0006074C">
              <w:br/>
              <w:t>$m</w:t>
            </w:r>
          </w:p>
        </w:tc>
      </w:tr>
      <w:tr w:rsidR="00AB4964" w:rsidTr="0006074C">
        <w:trPr>
          <w:trHeight w:val="113"/>
        </w:trPr>
        <w:tc>
          <w:tcPr>
            <w:tcW w:w="3310" w:type="pct"/>
            <w:shd w:val="clear" w:color="auto" w:fill="E8E8E8" w:themeFill="background2"/>
            <w:noWrap/>
            <w:hideMark/>
          </w:tcPr>
          <w:p w:rsidR="00AB4964" w:rsidRDefault="00AB4964" w:rsidP="00E911C8">
            <w:pPr>
              <w:rPr>
                <w:rFonts w:ascii="Arial" w:hAnsi="Arial" w:cs="Arial"/>
                <w:b/>
                <w:bCs/>
                <w:color w:val="000000"/>
                <w:sz w:val="22"/>
                <w:szCs w:val="22"/>
              </w:rPr>
            </w:pPr>
            <w:bookmarkStart w:id="1068" w:name="_Ref453181783"/>
            <w:bookmarkStart w:id="1069" w:name="_Toc457549948"/>
            <w:r w:rsidRPr="00596D01">
              <w:rPr>
                <w:rStyle w:val="Strong"/>
              </w:rPr>
              <w:t>Basic Care subsidies</w:t>
            </w:r>
          </w:p>
        </w:tc>
        <w:tc>
          <w:tcPr>
            <w:tcW w:w="845" w:type="pct"/>
            <w:shd w:val="clear" w:color="auto" w:fill="E8E8E8" w:themeFill="background2"/>
            <w:noWrap/>
          </w:tcPr>
          <w:p w:rsidR="00AB4964" w:rsidRPr="00EF2D64" w:rsidRDefault="00AB4964" w:rsidP="0006074C">
            <w:pPr>
              <w:jc w:val="right"/>
              <w:rPr>
                <w:rFonts w:ascii="Arial" w:hAnsi="Arial" w:cs="Arial"/>
                <w:b/>
                <w:color w:val="000000"/>
              </w:rPr>
            </w:pPr>
          </w:p>
        </w:tc>
        <w:tc>
          <w:tcPr>
            <w:tcW w:w="845" w:type="pct"/>
            <w:shd w:val="clear" w:color="auto" w:fill="E8E8E8" w:themeFill="background2"/>
          </w:tcPr>
          <w:p w:rsidR="00AB4964" w:rsidRPr="00596D01" w:rsidRDefault="00AB4964" w:rsidP="0006074C">
            <w:pPr>
              <w:jc w:val="right"/>
              <w:rPr>
                <w:rStyle w:val="Strong"/>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Permanent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10,507.7</w:t>
            </w:r>
            <w:r w:rsidR="00D8721E">
              <w:rPr>
                <w:rFonts w:ascii="Arial" w:hAnsi="Arial" w:cs="Arial"/>
                <w:color w:val="221E1F"/>
              </w:rPr>
              <w:t xml:space="preserve"> </w:t>
            </w:r>
          </w:p>
        </w:tc>
        <w:tc>
          <w:tcPr>
            <w:tcW w:w="845" w:type="pct"/>
          </w:tcPr>
          <w:p w:rsidR="00AB4964" w:rsidRDefault="00AB4964" w:rsidP="0006074C">
            <w:pPr>
              <w:jc w:val="right"/>
              <w:rPr>
                <w:rFonts w:ascii="Arial" w:hAnsi="Arial" w:cs="Arial"/>
                <w:color w:val="221E1F"/>
              </w:rPr>
            </w:pPr>
            <w:r>
              <w:rPr>
                <w:rFonts w:ascii="Arial" w:hAnsi="Arial" w:cs="Arial"/>
                <w:color w:val="221E1F"/>
              </w:rPr>
              <w:t>11,024.2</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Respite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264.4</w:t>
            </w:r>
          </w:p>
        </w:tc>
        <w:tc>
          <w:tcPr>
            <w:tcW w:w="845" w:type="pct"/>
          </w:tcPr>
          <w:p w:rsidR="00AB4964" w:rsidRDefault="00AB4964" w:rsidP="0006074C">
            <w:pPr>
              <w:jc w:val="right"/>
              <w:rPr>
                <w:rFonts w:ascii="Arial" w:hAnsi="Arial" w:cs="Arial"/>
                <w:color w:val="221E1F"/>
              </w:rPr>
            </w:pPr>
            <w:r>
              <w:rPr>
                <w:rFonts w:ascii="Arial" w:hAnsi="Arial" w:cs="Arial"/>
                <w:color w:val="221E1F"/>
              </w:rPr>
              <w:t>280.6</w:t>
            </w:r>
          </w:p>
        </w:tc>
      </w:tr>
      <w:tr w:rsidR="00AB4964" w:rsidTr="0006074C">
        <w:trPr>
          <w:trHeight w:val="113"/>
        </w:trPr>
        <w:tc>
          <w:tcPr>
            <w:tcW w:w="3310" w:type="pct"/>
            <w:shd w:val="clear" w:color="auto" w:fill="E8E8E8" w:themeFill="background2"/>
            <w:noWrap/>
            <w:hideMark/>
          </w:tcPr>
          <w:p w:rsidR="00AB4964" w:rsidRPr="00596D01" w:rsidRDefault="00AB4964" w:rsidP="00E911C8">
            <w:pPr>
              <w:rPr>
                <w:rStyle w:val="Strong"/>
              </w:rPr>
            </w:pPr>
            <w:r w:rsidRPr="00596D01">
              <w:rPr>
                <w:rStyle w:val="Strong"/>
              </w:rPr>
              <w:t>Primary care supplements</w:t>
            </w:r>
          </w:p>
        </w:tc>
        <w:tc>
          <w:tcPr>
            <w:tcW w:w="845" w:type="pct"/>
            <w:shd w:val="clear" w:color="auto" w:fill="E8E8E8" w:themeFill="background2"/>
            <w:noWrap/>
          </w:tcPr>
          <w:p w:rsidR="00AB4964" w:rsidRPr="00AB4964" w:rsidRDefault="00AB4964" w:rsidP="0006074C">
            <w:pPr>
              <w:jc w:val="right"/>
              <w:rPr>
                <w:rFonts w:ascii="Arial" w:hAnsi="Arial" w:cs="Arial"/>
                <w:b/>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Oxygen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16.5</w:t>
            </w:r>
          </w:p>
        </w:tc>
        <w:tc>
          <w:tcPr>
            <w:tcW w:w="845" w:type="pct"/>
          </w:tcPr>
          <w:p w:rsidR="00AB4964" w:rsidRDefault="00AB4964" w:rsidP="0006074C">
            <w:pPr>
              <w:jc w:val="right"/>
              <w:rPr>
                <w:rFonts w:ascii="Arial" w:hAnsi="Arial" w:cs="Arial"/>
                <w:color w:val="221E1F"/>
              </w:rPr>
            </w:pPr>
            <w:r>
              <w:rPr>
                <w:rFonts w:ascii="Arial" w:hAnsi="Arial" w:cs="Arial"/>
                <w:color w:val="221E1F"/>
              </w:rPr>
              <w:t>17.5</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Enteral feeding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6.3</w:t>
            </w:r>
          </w:p>
        </w:tc>
        <w:tc>
          <w:tcPr>
            <w:tcW w:w="845" w:type="pct"/>
          </w:tcPr>
          <w:p w:rsidR="00AB4964" w:rsidRDefault="00AB4964" w:rsidP="0006074C">
            <w:pPr>
              <w:jc w:val="right"/>
              <w:rPr>
                <w:rFonts w:ascii="Arial" w:hAnsi="Arial" w:cs="Arial"/>
                <w:color w:val="221E1F"/>
              </w:rPr>
            </w:pPr>
            <w:r>
              <w:rPr>
                <w:rFonts w:ascii="Arial" w:hAnsi="Arial" w:cs="Arial"/>
                <w:color w:val="221E1F"/>
              </w:rPr>
              <w:t>5.9</w:t>
            </w:r>
          </w:p>
        </w:tc>
      </w:tr>
      <w:tr w:rsidR="00AB4964" w:rsidTr="0006074C">
        <w:trPr>
          <w:trHeight w:val="113"/>
        </w:trPr>
        <w:tc>
          <w:tcPr>
            <w:tcW w:w="3310" w:type="pct"/>
            <w:noWrap/>
          </w:tcPr>
          <w:p w:rsidR="00AB4964" w:rsidRDefault="00AB4964" w:rsidP="00E911C8">
            <w:pPr>
              <w:rPr>
                <w:rFonts w:ascii="Arial" w:hAnsi="Arial" w:cs="Arial"/>
                <w:color w:val="221E1F"/>
              </w:rPr>
            </w:pPr>
            <w:r>
              <w:rPr>
                <w:rFonts w:ascii="Arial" w:hAnsi="Arial" w:cs="Arial"/>
                <w:color w:val="221E1F"/>
              </w:rPr>
              <w:t>Respite incentive</w:t>
            </w:r>
          </w:p>
        </w:tc>
        <w:tc>
          <w:tcPr>
            <w:tcW w:w="845" w:type="pct"/>
            <w:noWrap/>
          </w:tcPr>
          <w:p w:rsidR="00AB4964" w:rsidRDefault="00AB4964" w:rsidP="0006074C">
            <w:pPr>
              <w:jc w:val="right"/>
              <w:rPr>
                <w:rFonts w:ascii="Arial" w:hAnsi="Arial" w:cs="Arial"/>
                <w:color w:val="221E1F"/>
              </w:rPr>
            </w:pPr>
            <w:r>
              <w:rPr>
                <w:rFonts w:ascii="Arial" w:hAnsi="Arial" w:cs="Arial"/>
                <w:color w:val="221E1F"/>
              </w:rPr>
              <w:t>29.0</w:t>
            </w:r>
          </w:p>
        </w:tc>
        <w:tc>
          <w:tcPr>
            <w:tcW w:w="845" w:type="pct"/>
          </w:tcPr>
          <w:p w:rsidR="00AB4964" w:rsidRDefault="00AB4964" w:rsidP="0006074C">
            <w:pPr>
              <w:jc w:val="right"/>
              <w:rPr>
                <w:rFonts w:ascii="Arial" w:hAnsi="Arial" w:cs="Arial"/>
                <w:color w:val="221E1F"/>
              </w:rPr>
            </w:pPr>
            <w:r>
              <w:rPr>
                <w:rFonts w:ascii="Arial" w:hAnsi="Arial" w:cs="Arial"/>
                <w:color w:val="221E1F"/>
              </w:rPr>
              <w:t>30.1</w:t>
            </w:r>
          </w:p>
        </w:tc>
      </w:tr>
      <w:tr w:rsidR="00AB4964" w:rsidTr="0006074C">
        <w:trPr>
          <w:trHeight w:val="113"/>
        </w:trPr>
        <w:tc>
          <w:tcPr>
            <w:tcW w:w="3310" w:type="pct"/>
            <w:shd w:val="clear" w:color="auto" w:fill="E8E8E8" w:themeFill="background2"/>
            <w:noWrap/>
            <w:hideMark/>
          </w:tcPr>
          <w:p w:rsidR="00AB4964" w:rsidRDefault="00AB4964" w:rsidP="00E911C8">
            <w:pPr>
              <w:rPr>
                <w:rFonts w:ascii="Arial" w:hAnsi="Arial" w:cs="Arial"/>
                <w:b/>
                <w:bCs/>
                <w:color w:val="000000"/>
                <w:sz w:val="22"/>
                <w:szCs w:val="22"/>
              </w:rPr>
            </w:pPr>
            <w:r w:rsidRPr="00596D01">
              <w:rPr>
                <w:rStyle w:val="Strong"/>
              </w:rPr>
              <w:t>Hardship</w:t>
            </w:r>
          </w:p>
        </w:tc>
        <w:tc>
          <w:tcPr>
            <w:tcW w:w="845" w:type="pct"/>
            <w:shd w:val="clear" w:color="auto" w:fill="E8E8E8" w:themeFill="background2"/>
            <w:noWrap/>
          </w:tcPr>
          <w:p w:rsidR="00AB4964" w:rsidRPr="00AB4964" w:rsidRDefault="00AB4964" w:rsidP="0006074C">
            <w:pPr>
              <w:jc w:val="right"/>
              <w:rPr>
                <w:rFonts w:ascii="Arial" w:hAnsi="Arial" w:cs="Arial"/>
                <w:b/>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Hardship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5.2</w:t>
            </w:r>
          </w:p>
        </w:tc>
        <w:tc>
          <w:tcPr>
            <w:tcW w:w="845" w:type="pct"/>
          </w:tcPr>
          <w:p w:rsidR="00AB4964" w:rsidRDefault="00AB4964" w:rsidP="0006074C">
            <w:pPr>
              <w:jc w:val="right"/>
              <w:rPr>
                <w:rFonts w:ascii="Arial" w:hAnsi="Arial" w:cs="Arial"/>
                <w:color w:val="221E1F"/>
              </w:rPr>
            </w:pPr>
            <w:r>
              <w:rPr>
                <w:rFonts w:ascii="Arial" w:hAnsi="Arial" w:cs="Arial"/>
                <w:color w:val="221E1F"/>
              </w:rPr>
              <w:t>4.9</w:t>
            </w:r>
          </w:p>
        </w:tc>
      </w:tr>
      <w:tr w:rsidR="00AB4964" w:rsidTr="0006074C">
        <w:trPr>
          <w:trHeight w:val="113"/>
        </w:trPr>
        <w:tc>
          <w:tcPr>
            <w:tcW w:w="3310" w:type="pct"/>
            <w:shd w:val="clear" w:color="auto" w:fill="E8E8E8" w:themeFill="background2"/>
            <w:noWrap/>
            <w:hideMark/>
          </w:tcPr>
          <w:p w:rsidR="00AB4964" w:rsidRPr="00596D01" w:rsidRDefault="00AB4964" w:rsidP="00E911C8">
            <w:pPr>
              <w:rPr>
                <w:rStyle w:val="Strong"/>
              </w:rPr>
            </w:pPr>
            <w:r w:rsidRPr="00596D01">
              <w:rPr>
                <w:rStyle w:val="Strong"/>
              </w:rPr>
              <w:t>Accommodation supplements</w:t>
            </w:r>
          </w:p>
        </w:tc>
        <w:tc>
          <w:tcPr>
            <w:tcW w:w="845" w:type="pct"/>
            <w:shd w:val="clear" w:color="auto" w:fill="E8E8E8" w:themeFill="background2"/>
            <w:noWrap/>
          </w:tcPr>
          <w:p w:rsidR="00AB4964" w:rsidRDefault="00AB4964" w:rsidP="0006074C">
            <w:pPr>
              <w:jc w:val="right"/>
              <w:rPr>
                <w:rFonts w:ascii="Arial" w:hAnsi="Arial" w:cs="Arial"/>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Accommodation supplement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845.7</w:t>
            </w:r>
          </w:p>
        </w:tc>
        <w:tc>
          <w:tcPr>
            <w:tcW w:w="845" w:type="pct"/>
          </w:tcPr>
          <w:p w:rsidR="00AB4964" w:rsidRDefault="00AB4964" w:rsidP="0006074C">
            <w:pPr>
              <w:jc w:val="right"/>
              <w:rPr>
                <w:rFonts w:ascii="Arial" w:hAnsi="Arial" w:cs="Arial"/>
                <w:color w:val="221E1F"/>
              </w:rPr>
            </w:pPr>
            <w:r>
              <w:rPr>
                <w:rFonts w:ascii="Arial" w:hAnsi="Arial" w:cs="Arial"/>
                <w:color w:val="221E1F"/>
              </w:rPr>
              <w:t>907.5</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Hardship accommodation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3.6</w:t>
            </w:r>
          </w:p>
        </w:tc>
        <w:tc>
          <w:tcPr>
            <w:tcW w:w="845" w:type="pct"/>
          </w:tcPr>
          <w:p w:rsidR="00AB4964" w:rsidRDefault="00AB4964" w:rsidP="0006074C">
            <w:pPr>
              <w:jc w:val="right"/>
              <w:rPr>
                <w:rFonts w:ascii="Arial" w:hAnsi="Arial" w:cs="Arial"/>
                <w:color w:val="221E1F"/>
              </w:rPr>
            </w:pPr>
            <w:r>
              <w:rPr>
                <w:rFonts w:ascii="Arial" w:hAnsi="Arial" w:cs="Arial"/>
                <w:color w:val="221E1F"/>
              </w:rPr>
              <w:t>2.9</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Transitional accommodation Supplement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22.3</w:t>
            </w:r>
          </w:p>
        </w:tc>
        <w:tc>
          <w:tcPr>
            <w:tcW w:w="845" w:type="pct"/>
          </w:tcPr>
          <w:p w:rsidR="00AB4964" w:rsidRDefault="00AB4964" w:rsidP="0006074C">
            <w:pPr>
              <w:jc w:val="right"/>
              <w:rPr>
                <w:rFonts w:ascii="Arial" w:hAnsi="Arial" w:cs="Arial"/>
                <w:color w:val="221E1F"/>
              </w:rPr>
            </w:pPr>
            <w:r>
              <w:rPr>
                <w:rFonts w:ascii="Arial" w:hAnsi="Arial" w:cs="Arial"/>
                <w:color w:val="221E1F"/>
              </w:rPr>
              <w:t>15.5</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Concessional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64.0</w:t>
            </w:r>
          </w:p>
        </w:tc>
        <w:tc>
          <w:tcPr>
            <w:tcW w:w="845" w:type="pct"/>
          </w:tcPr>
          <w:p w:rsidR="00AB4964" w:rsidRDefault="00AB4964" w:rsidP="0006074C">
            <w:pPr>
              <w:jc w:val="right"/>
              <w:rPr>
                <w:rFonts w:ascii="Arial" w:hAnsi="Arial" w:cs="Arial"/>
                <w:color w:val="221E1F"/>
              </w:rPr>
            </w:pPr>
            <w:r>
              <w:rPr>
                <w:rFonts w:ascii="Arial" w:hAnsi="Arial" w:cs="Arial"/>
                <w:color w:val="221E1F"/>
              </w:rPr>
              <w:t>55.6</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Accommodation charge top-up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2.1</w:t>
            </w:r>
          </w:p>
        </w:tc>
        <w:tc>
          <w:tcPr>
            <w:tcW w:w="845" w:type="pct"/>
          </w:tcPr>
          <w:p w:rsidR="00AB4964" w:rsidRDefault="00AB4964" w:rsidP="0006074C">
            <w:pPr>
              <w:jc w:val="right"/>
              <w:rPr>
                <w:rFonts w:ascii="Arial" w:hAnsi="Arial" w:cs="Arial"/>
                <w:color w:val="221E1F"/>
              </w:rPr>
            </w:pPr>
            <w:r>
              <w:rPr>
                <w:rFonts w:ascii="Arial" w:hAnsi="Arial" w:cs="Arial"/>
                <w:color w:val="221E1F"/>
              </w:rPr>
              <w:t>1.4</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Pensioner supplement</w:t>
            </w:r>
            <w:r w:rsidR="00D8721E">
              <w:rPr>
                <w:rFonts w:ascii="Arial" w:hAnsi="Arial" w:cs="Arial"/>
                <w:color w:val="221E1F"/>
              </w:rPr>
              <w:t xml:space="preserve">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36.3</w:t>
            </w:r>
          </w:p>
        </w:tc>
        <w:tc>
          <w:tcPr>
            <w:tcW w:w="845" w:type="pct"/>
          </w:tcPr>
          <w:p w:rsidR="00AB4964" w:rsidRDefault="00AB4964" w:rsidP="0006074C">
            <w:pPr>
              <w:jc w:val="right"/>
              <w:rPr>
                <w:rFonts w:ascii="Arial" w:hAnsi="Arial" w:cs="Arial"/>
                <w:color w:val="221E1F"/>
              </w:rPr>
            </w:pPr>
            <w:r>
              <w:rPr>
                <w:rFonts w:ascii="Arial" w:hAnsi="Arial" w:cs="Arial"/>
                <w:color w:val="221E1F"/>
              </w:rPr>
              <w:t>27.2</w:t>
            </w:r>
          </w:p>
        </w:tc>
      </w:tr>
      <w:tr w:rsidR="00AB4964" w:rsidTr="0006074C">
        <w:trPr>
          <w:trHeight w:val="113"/>
        </w:trPr>
        <w:tc>
          <w:tcPr>
            <w:tcW w:w="3310" w:type="pct"/>
            <w:shd w:val="clear" w:color="auto" w:fill="E8E8E8" w:themeFill="background2"/>
            <w:noWrap/>
            <w:hideMark/>
          </w:tcPr>
          <w:p w:rsidR="00AB4964" w:rsidRPr="00596D01" w:rsidRDefault="00AB4964" w:rsidP="00E911C8">
            <w:pPr>
              <w:rPr>
                <w:rStyle w:val="Strong"/>
              </w:rPr>
            </w:pPr>
            <w:r w:rsidRPr="00596D01">
              <w:rPr>
                <w:rStyle w:val="Strong"/>
              </w:rPr>
              <w:t>Viability Supplement</w:t>
            </w:r>
          </w:p>
        </w:tc>
        <w:tc>
          <w:tcPr>
            <w:tcW w:w="845" w:type="pct"/>
            <w:shd w:val="clear" w:color="auto" w:fill="E8E8E8" w:themeFill="background2"/>
            <w:noWrap/>
          </w:tcPr>
          <w:p w:rsidR="00AB4964" w:rsidRDefault="00AB4964" w:rsidP="0006074C">
            <w:pPr>
              <w:jc w:val="right"/>
              <w:rPr>
                <w:rFonts w:ascii="Arial" w:hAnsi="Arial" w:cs="Arial"/>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Viability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35.6</w:t>
            </w:r>
          </w:p>
        </w:tc>
        <w:tc>
          <w:tcPr>
            <w:tcW w:w="845" w:type="pct"/>
          </w:tcPr>
          <w:p w:rsidR="00AB4964" w:rsidRDefault="00AB4964" w:rsidP="0006074C">
            <w:pPr>
              <w:jc w:val="right"/>
              <w:rPr>
                <w:rFonts w:ascii="Arial" w:hAnsi="Arial" w:cs="Arial"/>
                <w:color w:val="221E1F"/>
              </w:rPr>
            </w:pPr>
            <w:r>
              <w:rPr>
                <w:rFonts w:ascii="Arial" w:hAnsi="Arial" w:cs="Arial"/>
                <w:color w:val="221E1F"/>
              </w:rPr>
              <w:t>43.2</w:t>
            </w:r>
          </w:p>
        </w:tc>
      </w:tr>
      <w:tr w:rsidR="0006074C" w:rsidTr="0006074C">
        <w:trPr>
          <w:trHeight w:val="113"/>
        </w:trPr>
        <w:tc>
          <w:tcPr>
            <w:tcW w:w="3310" w:type="pct"/>
            <w:shd w:val="clear" w:color="auto" w:fill="E8E8E8" w:themeFill="background2"/>
            <w:noWrap/>
          </w:tcPr>
          <w:p w:rsidR="0006074C" w:rsidRDefault="0006074C" w:rsidP="00E911C8">
            <w:pPr>
              <w:rPr>
                <w:rFonts w:ascii="Arial" w:hAnsi="Arial" w:cs="Arial"/>
                <w:color w:val="221E1F"/>
              </w:rPr>
            </w:pPr>
            <w:r w:rsidRPr="00596D01">
              <w:rPr>
                <w:rStyle w:val="Strong"/>
              </w:rPr>
              <w:t>Supplements relating to grand parenting</w:t>
            </w:r>
          </w:p>
        </w:tc>
        <w:tc>
          <w:tcPr>
            <w:tcW w:w="845" w:type="pct"/>
            <w:shd w:val="clear" w:color="auto" w:fill="E8E8E8" w:themeFill="background2"/>
            <w:noWrap/>
          </w:tcPr>
          <w:p w:rsidR="0006074C" w:rsidRDefault="0006074C" w:rsidP="0006074C">
            <w:pPr>
              <w:jc w:val="right"/>
              <w:rPr>
                <w:rFonts w:ascii="Arial" w:hAnsi="Arial" w:cs="Arial"/>
                <w:color w:val="221E1F"/>
              </w:rPr>
            </w:pPr>
          </w:p>
        </w:tc>
        <w:tc>
          <w:tcPr>
            <w:tcW w:w="845" w:type="pct"/>
            <w:shd w:val="clear" w:color="auto" w:fill="E8E8E8" w:themeFill="background2"/>
          </w:tcPr>
          <w:p w:rsidR="0006074C" w:rsidRDefault="0006074C" w:rsidP="0006074C">
            <w:pPr>
              <w:jc w:val="right"/>
              <w:rPr>
                <w:rFonts w:ascii="Arial" w:hAnsi="Arial" w:cs="Arial"/>
                <w:color w:val="221E1F"/>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Transitional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6.0</w:t>
            </w:r>
          </w:p>
        </w:tc>
        <w:tc>
          <w:tcPr>
            <w:tcW w:w="845" w:type="pct"/>
          </w:tcPr>
          <w:p w:rsidR="00AB4964" w:rsidRDefault="00AB4964" w:rsidP="0006074C">
            <w:pPr>
              <w:jc w:val="right"/>
              <w:rPr>
                <w:rFonts w:ascii="Arial" w:hAnsi="Arial" w:cs="Arial"/>
                <w:color w:val="221E1F"/>
              </w:rPr>
            </w:pPr>
            <w:r>
              <w:rPr>
                <w:rFonts w:ascii="Arial" w:hAnsi="Arial" w:cs="Arial"/>
                <w:color w:val="221E1F"/>
              </w:rPr>
              <w:t>4.8</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Charge exempt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3.8</w:t>
            </w:r>
          </w:p>
        </w:tc>
        <w:tc>
          <w:tcPr>
            <w:tcW w:w="845" w:type="pct"/>
          </w:tcPr>
          <w:p w:rsidR="00AB4964" w:rsidRDefault="00AB4964" w:rsidP="0006074C">
            <w:pPr>
              <w:jc w:val="right"/>
              <w:rPr>
                <w:rFonts w:ascii="Arial" w:hAnsi="Arial" w:cs="Arial"/>
                <w:color w:val="221E1F"/>
              </w:rPr>
            </w:pPr>
            <w:r>
              <w:rPr>
                <w:rFonts w:ascii="Arial" w:hAnsi="Arial" w:cs="Arial"/>
                <w:color w:val="221E1F"/>
              </w:rPr>
              <w:t>2.0</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Basic daily fee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0.6</w:t>
            </w:r>
          </w:p>
        </w:tc>
        <w:tc>
          <w:tcPr>
            <w:tcW w:w="845" w:type="pct"/>
          </w:tcPr>
          <w:p w:rsidR="00AB4964" w:rsidRDefault="00AB4964" w:rsidP="0006074C">
            <w:pPr>
              <w:jc w:val="right"/>
              <w:rPr>
                <w:rFonts w:ascii="Arial" w:hAnsi="Arial" w:cs="Arial"/>
                <w:color w:val="221E1F"/>
              </w:rPr>
            </w:pPr>
            <w:r>
              <w:rPr>
                <w:rFonts w:ascii="Arial" w:hAnsi="Arial" w:cs="Arial"/>
                <w:color w:val="221E1F"/>
              </w:rPr>
              <w:t>0.4</w:t>
            </w:r>
          </w:p>
        </w:tc>
      </w:tr>
      <w:tr w:rsidR="00AB4964" w:rsidTr="0006074C">
        <w:trPr>
          <w:trHeight w:val="113"/>
        </w:trPr>
        <w:tc>
          <w:tcPr>
            <w:tcW w:w="3310" w:type="pct"/>
            <w:shd w:val="clear" w:color="auto" w:fill="E8E8E8" w:themeFill="background2"/>
            <w:noWrap/>
            <w:hideMark/>
          </w:tcPr>
          <w:p w:rsidR="00AB4964" w:rsidRPr="00596D01" w:rsidRDefault="00AB4964" w:rsidP="0006074C">
            <w:pPr>
              <w:keepNext/>
              <w:rPr>
                <w:rStyle w:val="Strong"/>
              </w:rPr>
            </w:pPr>
            <w:r w:rsidRPr="00596D01">
              <w:rPr>
                <w:rStyle w:val="Strong"/>
              </w:rPr>
              <w:lastRenderedPageBreak/>
              <w:t>Other supplements</w:t>
            </w:r>
          </w:p>
        </w:tc>
        <w:tc>
          <w:tcPr>
            <w:tcW w:w="845" w:type="pct"/>
            <w:shd w:val="clear" w:color="auto" w:fill="E8E8E8" w:themeFill="background2"/>
            <w:noWrap/>
          </w:tcPr>
          <w:p w:rsidR="00AB4964" w:rsidRDefault="00AB4964" w:rsidP="0006074C">
            <w:pPr>
              <w:jc w:val="right"/>
              <w:rPr>
                <w:rFonts w:ascii="Arial" w:hAnsi="Arial" w:cs="Arial"/>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Veterans’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1.8</w:t>
            </w:r>
          </w:p>
        </w:tc>
        <w:tc>
          <w:tcPr>
            <w:tcW w:w="845" w:type="pct"/>
          </w:tcPr>
          <w:p w:rsidR="00AB4964" w:rsidRDefault="00AB4964" w:rsidP="0006074C">
            <w:pPr>
              <w:jc w:val="right"/>
              <w:rPr>
                <w:rFonts w:ascii="Arial" w:hAnsi="Arial" w:cs="Arial"/>
                <w:color w:val="221E1F"/>
              </w:rPr>
            </w:pPr>
            <w:r>
              <w:rPr>
                <w:rFonts w:ascii="Arial" w:hAnsi="Arial" w:cs="Arial"/>
                <w:color w:val="221E1F"/>
              </w:rPr>
              <w:t>1.1</w:t>
            </w:r>
          </w:p>
        </w:tc>
      </w:tr>
      <w:tr w:rsidR="00AB4964" w:rsidTr="0006074C">
        <w:trPr>
          <w:trHeight w:val="113"/>
        </w:trPr>
        <w:tc>
          <w:tcPr>
            <w:tcW w:w="3310" w:type="pct"/>
            <w:noWrap/>
            <w:hideMark/>
          </w:tcPr>
          <w:p w:rsidR="00AB4964" w:rsidRDefault="00AB4964" w:rsidP="00E911C8">
            <w:pPr>
              <w:rPr>
                <w:rFonts w:ascii="Arial" w:hAnsi="Arial" w:cs="Arial"/>
                <w:color w:val="221E1F"/>
              </w:rPr>
            </w:pPr>
            <w:r>
              <w:rPr>
                <w:rFonts w:ascii="Arial" w:hAnsi="Arial" w:cs="Arial"/>
                <w:color w:val="221E1F"/>
              </w:rPr>
              <w:t xml:space="preserve">Homeless </w:t>
            </w:r>
          </w:p>
        </w:tc>
        <w:tc>
          <w:tcPr>
            <w:tcW w:w="845" w:type="pct"/>
            <w:noWrap/>
            <w:hideMark/>
          </w:tcPr>
          <w:p w:rsidR="00AB4964" w:rsidRDefault="00AB4964" w:rsidP="0006074C">
            <w:pPr>
              <w:jc w:val="right"/>
              <w:rPr>
                <w:rFonts w:ascii="Arial" w:hAnsi="Arial" w:cs="Arial"/>
                <w:color w:val="221E1F"/>
              </w:rPr>
            </w:pPr>
            <w:r>
              <w:rPr>
                <w:rFonts w:ascii="Arial" w:hAnsi="Arial" w:cs="Arial"/>
                <w:color w:val="221E1F"/>
              </w:rPr>
              <w:t>7.6</w:t>
            </w:r>
          </w:p>
        </w:tc>
        <w:tc>
          <w:tcPr>
            <w:tcW w:w="845" w:type="pct"/>
          </w:tcPr>
          <w:p w:rsidR="00AB4964" w:rsidRDefault="00AB4964" w:rsidP="0006074C">
            <w:pPr>
              <w:jc w:val="right"/>
              <w:rPr>
                <w:rFonts w:ascii="Arial" w:hAnsi="Arial" w:cs="Arial"/>
                <w:color w:val="221E1F"/>
              </w:rPr>
            </w:pPr>
            <w:r>
              <w:rPr>
                <w:rFonts w:ascii="Arial" w:hAnsi="Arial" w:cs="Arial"/>
                <w:color w:val="221E1F"/>
              </w:rPr>
              <w:t>8.3</w:t>
            </w:r>
          </w:p>
        </w:tc>
      </w:tr>
      <w:tr w:rsidR="00AB4964" w:rsidTr="0006074C">
        <w:trPr>
          <w:trHeight w:val="113"/>
        </w:trPr>
        <w:tc>
          <w:tcPr>
            <w:tcW w:w="3310" w:type="pct"/>
            <w:shd w:val="clear" w:color="auto" w:fill="E8E8E8" w:themeFill="background2"/>
            <w:noWrap/>
            <w:hideMark/>
          </w:tcPr>
          <w:p w:rsidR="00AB4964" w:rsidRPr="00596D01" w:rsidRDefault="00AB4964" w:rsidP="00E911C8">
            <w:pPr>
              <w:rPr>
                <w:rStyle w:val="Strong"/>
              </w:rPr>
            </w:pPr>
            <w:r w:rsidRPr="00596D01">
              <w:rPr>
                <w:rStyle w:val="Strong"/>
              </w:rPr>
              <w:t>Reductions</w:t>
            </w:r>
          </w:p>
        </w:tc>
        <w:tc>
          <w:tcPr>
            <w:tcW w:w="845" w:type="pct"/>
            <w:shd w:val="clear" w:color="auto" w:fill="E8E8E8" w:themeFill="background2"/>
            <w:noWrap/>
          </w:tcPr>
          <w:p w:rsidR="00AB4964" w:rsidRDefault="00AB4964" w:rsidP="0006074C">
            <w:pPr>
              <w:jc w:val="right"/>
              <w:rPr>
                <w:rFonts w:ascii="Arial" w:hAnsi="Arial" w:cs="Arial"/>
                <w:color w:val="000000"/>
              </w:rPr>
            </w:pPr>
          </w:p>
        </w:tc>
        <w:tc>
          <w:tcPr>
            <w:tcW w:w="845" w:type="pct"/>
            <w:shd w:val="clear" w:color="auto" w:fill="E8E8E8" w:themeFill="background2"/>
          </w:tcPr>
          <w:p w:rsidR="00AB4964" w:rsidRDefault="00AB4964" w:rsidP="0006074C">
            <w:pPr>
              <w:jc w:val="right"/>
              <w:rPr>
                <w:rFonts w:ascii="Arial" w:hAnsi="Arial" w:cs="Arial"/>
                <w:color w:val="000000"/>
              </w:rPr>
            </w:pPr>
          </w:p>
        </w:tc>
      </w:tr>
      <w:tr w:rsidR="00AB4964" w:rsidTr="0006074C">
        <w:trPr>
          <w:trHeight w:val="113"/>
        </w:trPr>
        <w:tc>
          <w:tcPr>
            <w:tcW w:w="3310" w:type="pct"/>
            <w:noWrap/>
            <w:hideMark/>
          </w:tcPr>
          <w:p w:rsidR="00AB4964" w:rsidRDefault="00AB4964" w:rsidP="00E911C8">
            <w:pPr>
              <w:rPr>
                <w:rFonts w:ascii="Arial" w:hAnsi="Arial" w:cs="Arial"/>
              </w:rPr>
            </w:pPr>
            <w:r>
              <w:rPr>
                <w:rFonts w:ascii="Arial" w:hAnsi="Arial" w:cs="Arial"/>
              </w:rPr>
              <w:t>Means testing reduction</w:t>
            </w:r>
          </w:p>
        </w:tc>
        <w:tc>
          <w:tcPr>
            <w:tcW w:w="845" w:type="pct"/>
            <w:noWrap/>
            <w:hideMark/>
          </w:tcPr>
          <w:p w:rsidR="00AB4964" w:rsidRDefault="00D8721E" w:rsidP="0006074C">
            <w:pPr>
              <w:jc w:val="right"/>
              <w:rPr>
                <w:rFonts w:ascii="Arial" w:hAnsi="Arial" w:cs="Arial"/>
              </w:rPr>
            </w:pPr>
            <w:r>
              <w:rPr>
                <w:rFonts w:ascii="Arial" w:hAnsi="Arial" w:cs="Arial"/>
              </w:rPr>
              <w:t>–4</w:t>
            </w:r>
            <w:r w:rsidR="00AB4964">
              <w:rPr>
                <w:rFonts w:ascii="Arial" w:hAnsi="Arial" w:cs="Arial"/>
              </w:rPr>
              <w:t>55.7</w:t>
            </w:r>
          </w:p>
        </w:tc>
        <w:tc>
          <w:tcPr>
            <w:tcW w:w="845" w:type="pct"/>
          </w:tcPr>
          <w:p w:rsidR="00AB4964" w:rsidRDefault="00D8721E" w:rsidP="0006074C">
            <w:pPr>
              <w:jc w:val="right"/>
              <w:rPr>
                <w:rFonts w:ascii="Arial" w:hAnsi="Arial" w:cs="Arial"/>
              </w:rPr>
            </w:pPr>
            <w:r>
              <w:rPr>
                <w:rFonts w:ascii="Arial" w:hAnsi="Arial" w:cs="Arial"/>
              </w:rPr>
              <w:t>–5</w:t>
            </w:r>
            <w:r w:rsidR="00AB4964">
              <w:rPr>
                <w:rFonts w:ascii="Arial" w:hAnsi="Arial" w:cs="Arial"/>
              </w:rPr>
              <w:t>60.8</w:t>
            </w:r>
          </w:p>
        </w:tc>
      </w:tr>
      <w:tr w:rsidR="00AB4964" w:rsidTr="0006074C">
        <w:trPr>
          <w:trHeight w:val="113"/>
        </w:trPr>
        <w:tc>
          <w:tcPr>
            <w:tcW w:w="3310" w:type="pct"/>
            <w:noWrap/>
            <w:hideMark/>
          </w:tcPr>
          <w:p w:rsidR="00AB4964" w:rsidRDefault="00AB4964" w:rsidP="00E911C8">
            <w:pPr>
              <w:rPr>
                <w:rFonts w:ascii="Arial" w:hAnsi="Arial" w:cs="Arial"/>
              </w:rPr>
            </w:pPr>
            <w:r>
              <w:rPr>
                <w:rFonts w:ascii="Arial" w:hAnsi="Arial" w:cs="Arial"/>
              </w:rPr>
              <w:t xml:space="preserve">Other </w:t>
            </w:r>
          </w:p>
        </w:tc>
        <w:tc>
          <w:tcPr>
            <w:tcW w:w="845" w:type="pct"/>
            <w:noWrap/>
            <w:hideMark/>
          </w:tcPr>
          <w:p w:rsidR="00AB4964" w:rsidRDefault="00D8721E" w:rsidP="0006074C">
            <w:pPr>
              <w:jc w:val="right"/>
              <w:rPr>
                <w:rFonts w:ascii="Arial" w:hAnsi="Arial" w:cs="Arial"/>
              </w:rPr>
            </w:pPr>
            <w:r>
              <w:rPr>
                <w:rFonts w:ascii="Arial" w:hAnsi="Arial" w:cs="Arial"/>
              </w:rPr>
              <w:t>–3</w:t>
            </w:r>
            <w:r w:rsidR="00AB4964">
              <w:rPr>
                <w:rFonts w:ascii="Arial" w:hAnsi="Arial" w:cs="Arial"/>
              </w:rPr>
              <w:t>1.5</w:t>
            </w:r>
          </w:p>
        </w:tc>
        <w:tc>
          <w:tcPr>
            <w:tcW w:w="845" w:type="pct"/>
          </w:tcPr>
          <w:p w:rsidR="00AB4964" w:rsidRDefault="00D8721E" w:rsidP="0006074C">
            <w:pPr>
              <w:jc w:val="right"/>
              <w:rPr>
                <w:rFonts w:ascii="Arial" w:hAnsi="Arial" w:cs="Arial"/>
              </w:rPr>
            </w:pPr>
            <w:r>
              <w:rPr>
                <w:rFonts w:ascii="Arial" w:hAnsi="Arial" w:cs="Arial"/>
              </w:rPr>
              <w:t>–1</w:t>
            </w:r>
            <w:r w:rsidR="00AB4964">
              <w:rPr>
                <w:rFonts w:ascii="Arial" w:hAnsi="Arial" w:cs="Arial"/>
              </w:rPr>
              <w:t>.5</w:t>
            </w:r>
          </w:p>
        </w:tc>
      </w:tr>
      <w:tr w:rsidR="00AB4964" w:rsidTr="0006074C">
        <w:trPr>
          <w:trHeight w:val="113"/>
        </w:trPr>
        <w:tc>
          <w:tcPr>
            <w:tcW w:w="3310" w:type="pct"/>
            <w:shd w:val="clear" w:color="auto" w:fill="E8E8E8" w:themeFill="background2"/>
            <w:noWrap/>
            <w:hideMark/>
          </w:tcPr>
          <w:p w:rsidR="00AB4964" w:rsidRDefault="00AB4964" w:rsidP="00E911C8">
            <w:pPr>
              <w:rPr>
                <w:rFonts w:ascii="Arial" w:hAnsi="Arial" w:cs="Arial"/>
                <w:b/>
                <w:bCs/>
                <w:color w:val="FFFFFF"/>
                <w:sz w:val="22"/>
                <w:szCs w:val="22"/>
              </w:rPr>
            </w:pPr>
            <w:r w:rsidRPr="00596D01">
              <w:rPr>
                <w:rStyle w:val="Strong"/>
              </w:rPr>
              <w:t>TOTAL</w:t>
            </w:r>
          </w:p>
        </w:tc>
        <w:tc>
          <w:tcPr>
            <w:tcW w:w="845" w:type="pct"/>
            <w:shd w:val="clear" w:color="auto" w:fill="E8E8E8" w:themeFill="background2"/>
            <w:noWrap/>
            <w:hideMark/>
          </w:tcPr>
          <w:p w:rsidR="00AB4964" w:rsidRDefault="00AB4964" w:rsidP="0006074C">
            <w:pPr>
              <w:jc w:val="right"/>
              <w:rPr>
                <w:rFonts w:ascii="Arial" w:hAnsi="Arial" w:cs="Arial"/>
                <w:b/>
                <w:bCs/>
                <w:color w:val="FFFFFF"/>
                <w:sz w:val="22"/>
                <w:szCs w:val="22"/>
              </w:rPr>
            </w:pPr>
            <w:r w:rsidRPr="00596D01">
              <w:rPr>
                <w:rStyle w:val="Strong"/>
              </w:rPr>
              <w:t>11,372.3</w:t>
            </w:r>
          </w:p>
        </w:tc>
        <w:tc>
          <w:tcPr>
            <w:tcW w:w="845" w:type="pct"/>
            <w:shd w:val="clear" w:color="auto" w:fill="E8E8E8" w:themeFill="background2"/>
          </w:tcPr>
          <w:p w:rsidR="00AB4964" w:rsidRPr="00596D01" w:rsidRDefault="00AB4964" w:rsidP="0006074C">
            <w:pPr>
              <w:jc w:val="right"/>
              <w:rPr>
                <w:rStyle w:val="Strong"/>
              </w:rPr>
            </w:pPr>
            <w:r w:rsidRPr="00596D01">
              <w:rPr>
                <w:rStyle w:val="Strong"/>
              </w:rPr>
              <w:t>11,903.8</w:t>
            </w:r>
          </w:p>
        </w:tc>
      </w:tr>
    </w:tbl>
    <w:p w:rsidR="00147A71" w:rsidRPr="006C33D4" w:rsidRDefault="00867B1C" w:rsidP="0006074C">
      <w:pPr>
        <w:pStyle w:val="AppendixNumbered"/>
      </w:pPr>
      <w:bookmarkStart w:id="1070" w:name="_Toc524424838"/>
      <w:bookmarkStart w:id="1071" w:name="_Ref524429977"/>
      <w:r>
        <w:lastRenderedPageBreak/>
        <w:t xml:space="preserve">Residential </w:t>
      </w:r>
      <w:r w:rsidR="008F5A3E">
        <w:t xml:space="preserve">aged </w:t>
      </w:r>
      <w:r>
        <w:t>care s</w:t>
      </w:r>
      <w:r w:rsidR="00B305CF" w:rsidRPr="00557C8E">
        <w:t xml:space="preserve">ubsidy and </w:t>
      </w:r>
      <w:r>
        <w:t>s</w:t>
      </w:r>
      <w:r w:rsidR="00B305CF" w:rsidRPr="00557C8E">
        <w:t xml:space="preserve">upplements </w:t>
      </w:r>
      <w:r w:rsidR="008147B1" w:rsidRPr="00557C8E">
        <w:t>rates</w:t>
      </w:r>
      <w:bookmarkEnd w:id="1068"/>
      <w:bookmarkEnd w:id="1069"/>
      <w:bookmarkEnd w:id="1070"/>
      <w:bookmarkEnd w:id="1071"/>
      <w:r w:rsidR="005F29C4">
        <w:t xml:space="preserve"> </w:t>
      </w:r>
    </w:p>
    <w:p w:rsidR="004F3ADA" w:rsidRPr="00596D01" w:rsidRDefault="004F3ADA" w:rsidP="0006074C">
      <w:pPr>
        <w:pStyle w:val="AppendixTable"/>
      </w:pPr>
      <w:r w:rsidRPr="00596D01">
        <w:t>ACFI</w:t>
      </w:r>
      <w:r w:rsidR="008147B1" w:rsidRPr="00596D01">
        <w:t xml:space="preserve"> rates ($ per day)</w:t>
      </w:r>
      <w:r w:rsidRPr="00596D01">
        <w:t>,</w:t>
      </w:r>
      <w:r w:rsidR="00A261F3" w:rsidRPr="00596D01">
        <w:t> 201</w:t>
      </w:r>
      <w:r w:rsidR="00D03A4E" w:rsidRPr="00596D01">
        <w:t>6</w:t>
      </w:r>
      <w:r w:rsidR="00D8721E" w:rsidRPr="00596D01">
        <w:t>–1</w:t>
      </w:r>
      <w:r w:rsidR="00D03A4E" w:rsidRPr="00596D01">
        <w:t>7</w:t>
      </w:r>
      <w:r w:rsidR="00BB1EF2" w:rsidRPr="00596D01">
        <w:t xml:space="preserve"> to</w:t>
      </w:r>
      <w:r w:rsidR="00A261F3" w:rsidRPr="00596D01">
        <w:t> 201</w:t>
      </w:r>
      <w:r w:rsidR="00D03A4E" w:rsidRPr="00596D01">
        <w:t>8</w:t>
      </w:r>
      <w:r w:rsidR="00D8721E" w:rsidRPr="00596D01">
        <w:t>–1</w:t>
      </w:r>
      <w:r w:rsidR="00D03A4E" w:rsidRPr="00596D01">
        <w:t>9</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7"/>
        <w:gridCol w:w="1227"/>
        <w:gridCol w:w="1227"/>
        <w:gridCol w:w="1227"/>
      </w:tblGrid>
      <w:tr w:rsidR="00AC15D5" w:rsidRPr="00557C8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089" w:type="pct"/>
            <w:noWrap/>
            <w:hideMark/>
          </w:tcPr>
          <w:p w:rsidR="00AC15D5" w:rsidRPr="006431C2" w:rsidRDefault="00AC15D5" w:rsidP="0006074C">
            <w:pPr>
              <w:rPr>
                <w:rFonts w:ascii="Segoe UI" w:hAnsi="Segoe UI" w:cs="Segoe UI"/>
              </w:rPr>
            </w:pPr>
            <w:r w:rsidRPr="00596D01">
              <w:t>ACFI</w:t>
            </w:r>
          </w:p>
        </w:tc>
        <w:tc>
          <w:tcPr>
            <w:tcW w:w="637" w:type="pct"/>
          </w:tcPr>
          <w:p w:rsidR="00AC15D5" w:rsidRPr="006431C2" w:rsidRDefault="00146717" w:rsidP="0006074C">
            <w:pPr>
              <w:jc w:val="right"/>
              <w:rPr>
                <w:rFonts w:ascii="Segoe UI" w:hAnsi="Segoe UI" w:cs="Segoe UI"/>
              </w:rPr>
            </w:pPr>
            <w:r w:rsidRPr="00596D01">
              <w:t>201</w:t>
            </w:r>
            <w:r w:rsidR="00D03A4E" w:rsidRPr="00596D01">
              <w:t>6</w:t>
            </w:r>
            <w:r w:rsidR="00D8721E" w:rsidRPr="00596D01">
              <w:t>–1</w:t>
            </w:r>
            <w:r w:rsidR="00D03A4E" w:rsidRPr="00596D01">
              <w:t>7</w:t>
            </w:r>
          </w:p>
        </w:tc>
        <w:tc>
          <w:tcPr>
            <w:tcW w:w="637" w:type="pct"/>
            <w:noWrap/>
            <w:hideMark/>
          </w:tcPr>
          <w:p w:rsidR="00AC15D5" w:rsidRPr="006431C2" w:rsidRDefault="00146717" w:rsidP="0006074C">
            <w:pPr>
              <w:jc w:val="right"/>
              <w:rPr>
                <w:rFonts w:ascii="Segoe UI" w:hAnsi="Segoe UI" w:cs="Segoe UI"/>
              </w:rPr>
            </w:pPr>
            <w:r w:rsidRPr="00596D01">
              <w:t>201</w:t>
            </w:r>
            <w:r w:rsidR="00D03A4E" w:rsidRPr="00596D01">
              <w:t>7</w:t>
            </w:r>
            <w:r w:rsidR="00D8721E" w:rsidRPr="00596D01">
              <w:t>–1</w:t>
            </w:r>
            <w:r w:rsidR="00D03A4E" w:rsidRPr="00596D01">
              <w:t>8</w:t>
            </w:r>
          </w:p>
        </w:tc>
        <w:tc>
          <w:tcPr>
            <w:tcW w:w="637" w:type="pct"/>
          </w:tcPr>
          <w:p w:rsidR="00AC15D5" w:rsidRPr="00596D01" w:rsidRDefault="00146717" w:rsidP="0006074C">
            <w:pPr>
              <w:jc w:val="right"/>
            </w:pPr>
            <w:r w:rsidRPr="00596D01">
              <w:t>201</w:t>
            </w:r>
            <w:r w:rsidR="00D03A4E" w:rsidRPr="00596D01">
              <w:t>8</w:t>
            </w:r>
            <w:r w:rsidR="00D8721E" w:rsidRPr="00596D01">
              <w:t>–1</w:t>
            </w:r>
            <w:r w:rsidR="00D03A4E" w:rsidRPr="00596D01">
              <w:t>9</w:t>
            </w:r>
          </w:p>
        </w:tc>
      </w:tr>
      <w:tr w:rsidR="00AC15D5" w:rsidRPr="00557C8E" w:rsidTr="0006074C">
        <w:trPr>
          <w:trHeight w:val="113"/>
        </w:trPr>
        <w:tc>
          <w:tcPr>
            <w:tcW w:w="3089" w:type="pct"/>
            <w:shd w:val="clear" w:color="auto" w:fill="E8E8E8" w:themeFill="background2"/>
            <w:noWrap/>
            <w:hideMark/>
          </w:tcPr>
          <w:p w:rsidR="00AC15D5" w:rsidRPr="00D03A4E" w:rsidRDefault="00AC15D5" w:rsidP="0006074C">
            <w:pPr>
              <w:rPr>
                <w:rFonts w:ascii="Segoe UI" w:hAnsi="Segoe UI" w:cs="Segoe UI"/>
                <w:b/>
                <w:u w:val="single"/>
              </w:rPr>
            </w:pPr>
            <w:r w:rsidRPr="00596D01">
              <w:rPr>
                <w:rStyle w:val="Strong"/>
              </w:rPr>
              <w:t>Activities of daily living (ADL)</w:t>
            </w:r>
          </w:p>
        </w:tc>
        <w:tc>
          <w:tcPr>
            <w:tcW w:w="637" w:type="pct"/>
            <w:shd w:val="clear" w:color="auto" w:fill="E8E8E8" w:themeFill="background2"/>
          </w:tcPr>
          <w:p w:rsidR="00AC15D5" w:rsidRPr="00557C8E" w:rsidRDefault="00AC15D5" w:rsidP="0006074C">
            <w:pPr>
              <w:jc w:val="right"/>
              <w:rPr>
                <w:rFonts w:ascii="Segoe UI" w:hAnsi="Segoe UI" w:cs="Segoe UI"/>
                <w:b/>
              </w:rPr>
            </w:pPr>
          </w:p>
        </w:tc>
        <w:tc>
          <w:tcPr>
            <w:tcW w:w="637" w:type="pct"/>
            <w:shd w:val="clear" w:color="auto" w:fill="E8E8E8" w:themeFill="background2"/>
          </w:tcPr>
          <w:p w:rsidR="00AC15D5" w:rsidRPr="00557C8E" w:rsidRDefault="00AC15D5" w:rsidP="0006074C">
            <w:pPr>
              <w:jc w:val="right"/>
              <w:rPr>
                <w:rFonts w:ascii="Segoe UI" w:hAnsi="Segoe UI" w:cs="Segoe UI"/>
                <w:b/>
              </w:rPr>
            </w:pPr>
          </w:p>
        </w:tc>
        <w:tc>
          <w:tcPr>
            <w:tcW w:w="637" w:type="pct"/>
            <w:shd w:val="clear" w:color="auto" w:fill="E8E8E8" w:themeFill="background2"/>
          </w:tcPr>
          <w:p w:rsidR="00AC15D5" w:rsidRPr="00596D01" w:rsidRDefault="00AC15D5" w:rsidP="0006074C">
            <w:pPr>
              <w:jc w:val="right"/>
              <w:rPr>
                <w:rStyle w:val="Strong"/>
              </w:rPr>
            </w:pP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Low</w:t>
            </w:r>
          </w:p>
        </w:tc>
        <w:tc>
          <w:tcPr>
            <w:tcW w:w="637" w:type="pct"/>
            <w:noWrap/>
          </w:tcPr>
          <w:p w:rsidR="00096A34" w:rsidRPr="00557C8E" w:rsidRDefault="00096A34" w:rsidP="0006074C">
            <w:pPr>
              <w:jc w:val="right"/>
              <w:rPr>
                <w:rFonts w:ascii="Segoe UI" w:hAnsi="Segoe UI" w:cs="Segoe UI"/>
              </w:rPr>
            </w:pPr>
            <w:r>
              <w:rPr>
                <w:rFonts w:ascii="Segoe UI" w:hAnsi="Segoe UI" w:cs="Segoe UI"/>
              </w:rPr>
              <w:t>$36.65</w:t>
            </w:r>
          </w:p>
        </w:tc>
        <w:tc>
          <w:tcPr>
            <w:tcW w:w="637" w:type="pct"/>
            <w:noWrap/>
          </w:tcPr>
          <w:p w:rsidR="00096A34" w:rsidRPr="00557C8E" w:rsidRDefault="00096A34" w:rsidP="0006074C">
            <w:pPr>
              <w:jc w:val="right"/>
              <w:rPr>
                <w:rFonts w:ascii="Segoe UI" w:hAnsi="Segoe UI" w:cs="Segoe UI"/>
              </w:rPr>
            </w:pPr>
            <w:r>
              <w:rPr>
                <w:rFonts w:ascii="Segoe UI" w:hAnsi="Segoe UI" w:cs="Segoe UI"/>
              </w:rPr>
              <w:t>$36.65</w:t>
            </w:r>
          </w:p>
        </w:tc>
        <w:tc>
          <w:tcPr>
            <w:tcW w:w="637" w:type="pct"/>
          </w:tcPr>
          <w:p w:rsidR="00096A34" w:rsidRPr="00557C8E" w:rsidRDefault="00096A34" w:rsidP="0006074C">
            <w:pPr>
              <w:jc w:val="right"/>
              <w:rPr>
                <w:rFonts w:ascii="Segoe UI" w:hAnsi="Segoe UI" w:cs="Segoe UI"/>
              </w:rPr>
            </w:pPr>
            <w:r>
              <w:rPr>
                <w:rFonts w:ascii="Segoe UI" w:hAnsi="Segoe UI" w:cs="Segoe UI"/>
              </w:rPr>
              <w:t>$37.16</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Medium</w:t>
            </w:r>
          </w:p>
        </w:tc>
        <w:tc>
          <w:tcPr>
            <w:tcW w:w="637" w:type="pct"/>
            <w:noWrap/>
          </w:tcPr>
          <w:p w:rsidR="00096A34" w:rsidRPr="00557C8E" w:rsidRDefault="00096A34" w:rsidP="0006074C">
            <w:pPr>
              <w:jc w:val="right"/>
              <w:rPr>
                <w:rFonts w:ascii="Segoe UI" w:hAnsi="Segoe UI" w:cs="Segoe UI"/>
              </w:rPr>
            </w:pPr>
            <w:r>
              <w:rPr>
                <w:rFonts w:ascii="Segoe UI" w:hAnsi="Segoe UI" w:cs="Segoe UI"/>
              </w:rPr>
              <w:t>$79.80</w:t>
            </w:r>
          </w:p>
        </w:tc>
        <w:tc>
          <w:tcPr>
            <w:tcW w:w="637" w:type="pct"/>
            <w:noWrap/>
          </w:tcPr>
          <w:p w:rsidR="00096A34" w:rsidRPr="00557C8E" w:rsidRDefault="00096A34" w:rsidP="0006074C">
            <w:pPr>
              <w:jc w:val="right"/>
              <w:rPr>
                <w:rFonts w:ascii="Segoe UI" w:hAnsi="Segoe UI" w:cs="Segoe UI"/>
              </w:rPr>
            </w:pPr>
            <w:r>
              <w:rPr>
                <w:rFonts w:ascii="Segoe UI" w:hAnsi="Segoe UI" w:cs="Segoe UI"/>
              </w:rPr>
              <w:t>$79.80</w:t>
            </w:r>
          </w:p>
        </w:tc>
        <w:tc>
          <w:tcPr>
            <w:tcW w:w="637" w:type="pct"/>
          </w:tcPr>
          <w:p w:rsidR="00096A34" w:rsidRPr="00557C8E" w:rsidRDefault="00096A34" w:rsidP="0006074C">
            <w:pPr>
              <w:jc w:val="right"/>
              <w:rPr>
                <w:rFonts w:ascii="Segoe UI" w:hAnsi="Segoe UI" w:cs="Segoe UI"/>
              </w:rPr>
            </w:pPr>
            <w:r>
              <w:rPr>
                <w:rFonts w:ascii="Segoe UI" w:hAnsi="Segoe UI" w:cs="Segoe UI"/>
              </w:rPr>
              <w:t>$80.92</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High</w:t>
            </w:r>
          </w:p>
        </w:tc>
        <w:tc>
          <w:tcPr>
            <w:tcW w:w="637" w:type="pct"/>
            <w:noWrap/>
          </w:tcPr>
          <w:p w:rsidR="00096A34" w:rsidRPr="00557C8E" w:rsidRDefault="00096A34" w:rsidP="0006074C">
            <w:pPr>
              <w:jc w:val="right"/>
              <w:rPr>
                <w:rFonts w:ascii="Segoe UI" w:hAnsi="Segoe UI" w:cs="Segoe UI"/>
              </w:rPr>
            </w:pPr>
            <w:r>
              <w:rPr>
                <w:rFonts w:ascii="Segoe UI" w:hAnsi="Segoe UI" w:cs="Segoe UI"/>
              </w:rPr>
              <w:t>$110.55</w:t>
            </w:r>
          </w:p>
        </w:tc>
        <w:tc>
          <w:tcPr>
            <w:tcW w:w="637" w:type="pct"/>
            <w:noWrap/>
          </w:tcPr>
          <w:p w:rsidR="00096A34" w:rsidRPr="00557C8E" w:rsidRDefault="00096A34" w:rsidP="0006074C">
            <w:pPr>
              <w:jc w:val="right"/>
              <w:rPr>
                <w:rFonts w:ascii="Segoe UI" w:hAnsi="Segoe UI" w:cs="Segoe UI"/>
              </w:rPr>
            </w:pPr>
            <w:r>
              <w:rPr>
                <w:rFonts w:ascii="Segoe UI" w:hAnsi="Segoe UI" w:cs="Segoe UI"/>
              </w:rPr>
              <w:t>$110.55</w:t>
            </w:r>
          </w:p>
        </w:tc>
        <w:tc>
          <w:tcPr>
            <w:tcW w:w="637" w:type="pct"/>
          </w:tcPr>
          <w:p w:rsidR="00096A34" w:rsidRPr="00557C8E" w:rsidRDefault="00096A34" w:rsidP="0006074C">
            <w:pPr>
              <w:jc w:val="right"/>
              <w:rPr>
                <w:rFonts w:ascii="Segoe UI" w:hAnsi="Segoe UI" w:cs="Segoe UI"/>
              </w:rPr>
            </w:pPr>
            <w:r>
              <w:rPr>
                <w:rFonts w:ascii="Segoe UI" w:hAnsi="Segoe UI" w:cs="Segoe UI"/>
              </w:rPr>
              <w:t>$112.10</w:t>
            </w:r>
          </w:p>
        </w:tc>
      </w:tr>
      <w:tr w:rsidR="00096A34" w:rsidRPr="00557C8E" w:rsidTr="0006074C">
        <w:trPr>
          <w:trHeight w:val="113"/>
        </w:trPr>
        <w:tc>
          <w:tcPr>
            <w:tcW w:w="3089" w:type="pct"/>
            <w:shd w:val="clear" w:color="auto" w:fill="E8E8E8" w:themeFill="background2"/>
            <w:noWrap/>
            <w:hideMark/>
          </w:tcPr>
          <w:p w:rsidR="00096A34" w:rsidRPr="00D03A4E" w:rsidRDefault="00096A34" w:rsidP="0006074C">
            <w:pPr>
              <w:rPr>
                <w:rFonts w:ascii="Segoe UI" w:hAnsi="Segoe UI" w:cs="Segoe UI"/>
                <w:b/>
                <w:u w:val="single"/>
              </w:rPr>
            </w:pPr>
            <w:r w:rsidRPr="00596D01">
              <w:rPr>
                <w:rStyle w:val="Strong"/>
              </w:rPr>
              <w:t>Behaviour (BEH)</w:t>
            </w:r>
          </w:p>
        </w:tc>
        <w:tc>
          <w:tcPr>
            <w:tcW w:w="637" w:type="pct"/>
            <w:shd w:val="clear" w:color="auto" w:fill="E8E8E8" w:themeFill="background2"/>
          </w:tcPr>
          <w:p w:rsidR="00096A34" w:rsidRPr="00557C8E" w:rsidRDefault="00096A34" w:rsidP="0006074C">
            <w:pPr>
              <w:jc w:val="right"/>
              <w:rPr>
                <w:rFonts w:ascii="Segoe UI" w:hAnsi="Segoe UI" w:cs="Segoe UI"/>
                <w:b/>
              </w:rPr>
            </w:pPr>
          </w:p>
        </w:tc>
        <w:tc>
          <w:tcPr>
            <w:tcW w:w="637" w:type="pct"/>
            <w:shd w:val="clear" w:color="auto" w:fill="E8E8E8" w:themeFill="background2"/>
          </w:tcPr>
          <w:p w:rsidR="00096A34" w:rsidRPr="00557C8E" w:rsidRDefault="00096A34" w:rsidP="0006074C">
            <w:pPr>
              <w:jc w:val="right"/>
              <w:rPr>
                <w:rFonts w:ascii="Segoe UI" w:hAnsi="Segoe UI" w:cs="Segoe UI"/>
                <w:b/>
              </w:rPr>
            </w:pPr>
          </w:p>
        </w:tc>
        <w:tc>
          <w:tcPr>
            <w:tcW w:w="637" w:type="pct"/>
            <w:shd w:val="clear" w:color="auto" w:fill="E8E8E8" w:themeFill="background2"/>
          </w:tcPr>
          <w:p w:rsidR="00096A34" w:rsidRPr="00596D01" w:rsidRDefault="00096A34" w:rsidP="0006074C">
            <w:pPr>
              <w:jc w:val="right"/>
              <w:rPr>
                <w:rStyle w:val="Strong"/>
              </w:rPr>
            </w:pP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Low</w:t>
            </w:r>
          </w:p>
        </w:tc>
        <w:tc>
          <w:tcPr>
            <w:tcW w:w="637" w:type="pct"/>
            <w:noWrap/>
          </w:tcPr>
          <w:p w:rsidR="00096A34" w:rsidRPr="00557C8E" w:rsidRDefault="00096A34" w:rsidP="0006074C">
            <w:pPr>
              <w:jc w:val="right"/>
              <w:rPr>
                <w:rFonts w:ascii="Segoe UI" w:hAnsi="Segoe UI" w:cs="Segoe UI"/>
              </w:rPr>
            </w:pPr>
            <w:r>
              <w:rPr>
                <w:rFonts w:ascii="Segoe UI" w:hAnsi="Segoe UI" w:cs="Segoe UI"/>
              </w:rPr>
              <w:t>$8.37</w:t>
            </w:r>
          </w:p>
        </w:tc>
        <w:tc>
          <w:tcPr>
            <w:tcW w:w="637" w:type="pct"/>
            <w:noWrap/>
          </w:tcPr>
          <w:p w:rsidR="00096A34" w:rsidRPr="00557C8E" w:rsidRDefault="00096A34" w:rsidP="0006074C">
            <w:pPr>
              <w:jc w:val="right"/>
              <w:rPr>
                <w:rFonts w:ascii="Segoe UI" w:hAnsi="Segoe UI" w:cs="Segoe UI"/>
              </w:rPr>
            </w:pPr>
            <w:r>
              <w:rPr>
                <w:rFonts w:ascii="Segoe UI" w:hAnsi="Segoe UI" w:cs="Segoe UI"/>
              </w:rPr>
              <w:t>$8.37</w:t>
            </w:r>
          </w:p>
        </w:tc>
        <w:tc>
          <w:tcPr>
            <w:tcW w:w="637" w:type="pct"/>
          </w:tcPr>
          <w:p w:rsidR="00096A34" w:rsidRPr="00557C8E" w:rsidRDefault="00096A34" w:rsidP="0006074C">
            <w:pPr>
              <w:jc w:val="right"/>
              <w:rPr>
                <w:rFonts w:ascii="Segoe UI" w:hAnsi="Segoe UI" w:cs="Segoe UI"/>
              </w:rPr>
            </w:pPr>
            <w:r>
              <w:rPr>
                <w:rFonts w:ascii="Segoe UI" w:hAnsi="Segoe UI" w:cs="Segoe UI"/>
              </w:rPr>
              <w:t>$8.49</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Medium</w:t>
            </w:r>
          </w:p>
        </w:tc>
        <w:tc>
          <w:tcPr>
            <w:tcW w:w="637" w:type="pct"/>
            <w:noWrap/>
          </w:tcPr>
          <w:p w:rsidR="00096A34" w:rsidRPr="00557C8E" w:rsidRDefault="00096A34" w:rsidP="0006074C">
            <w:pPr>
              <w:jc w:val="right"/>
              <w:rPr>
                <w:rFonts w:ascii="Segoe UI" w:hAnsi="Segoe UI" w:cs="Segoe UI"/>
              </w:rPr>
            </w:pPr>
            <w:r>
              <w:rPr>
                <w:rFonts w:ascii="Segoe UI" w:hAnsi="Segoe UI" w:cs="Segoe UI"/>
              </w:rPr>
              <w:t>$17.36</w:t>
            </w:r>
          </w:p>
        </w:tc>
        <w:tc>
          <w:tcPr>
            <w:tcW w:w="637" w:type="pct"/>
            <w:noWrap/>
          </w:tcPr>
          <w:p w:rsidR="00096A34" w:rsidRPr="00557C8E" w:rsidRDefault="00096A34" w:rsidP="0006074C">
            <w:pPr>
              <w:jc w:val="right"/>
              <w:rPr>
                <w:rFonts w:ascii="Segoe UI" w:hAnsi="Segoe UI" w:cs="Segoe UI"/>
              </w:rPr>
            </w:pPr>
            <w:r>
              <w:rPr>
                <w:rFonts w:ascii="Segoe UI" w:hAnsi="Segoe UI" w:cs="Segoe UI"/>
              </w:rPr>
              <w:t>$17.36</w:t>
            </w:r>
          </w:p>
        </w:tc>
        <w:tc>
          <w:tcPr>
            <w:tcW w:w="637" w:type="pct"/>
          </w:tcPr>
          <w:p w:rsidR="00096A34" w:rsidRPr="00557C8E" w:rsidRDefault="00096A34" w:rsidP="0006074C">
            <w:pPr>
              <w:jc w:val="right"/>
              <w:rPr>
                <w:rFonts w:ascii="Segoe UI" w:hAnsi="Segoe UI" w:cs="Segoe UI"/>
              </w:rPr>
            </w:pPr>
            <w:r>
              <w:rPr>
                <w:rFonts w:ascii="Segoe UI" w:hAnsi="Segoe UI" w:cs="Segoe UI"/>
              </w:rPr>
              <w:t>$17.60</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High</w:t>
            </w:r>
          </w:p>
        </w:tc>
        <w:tc>
          <w:tcPr>
            <w:tcW w:w="637" w:type="pct"/>
            <w:noWrap/>
          </w:tcPr>
          <w:p w:rsidR="00096A34" w:rsidRPr="00557C8E" w:rsidRDefault="00096A34" w:rsidP="0006074C">
            <w:pPr>
              <w:jc w:val="right"/>
              <w:rPr>
                <w:rFonts w:ascii="Segoe UI" w:hAnsi="Segoe UI" w:cs="Segoe UI"/>
              </w:rPr>
            </w:pPr>
            <w:r>
              <w:rPr>
                <w:rFonts w:ascii="Segoe UI" w:hAnsi="Segoe UI" w:cs="Segoe UI"/>
              </w:rPr>
              <w:t>$36.19</w:t>
            </w:r>
          </w:p>
        </w:tc>
        <w:tc>
          <w:tcPr>
            <w:tcW w:w="637" w:type="pct"/>
            <w:noWrap/>
          </w:tcPr>
          <w:p w:rsidR="00096A34" w:rsidRPr="00557C8E" w:rsidRDefault="00096A34" w:rsidP="0006074C">
            <w:pPr>
              <w:jc w:val="right"/>
              <w:rPr>
                <w:rFonts w:ascii="Segoe UI" w:hAnsi="Segoe UI" w:cs="Segoe UI"/>
              </w:rPr>
            </w:pPr>
            <w:r>
              <w:rPr>
                <w:rFonts w:ascii="Segoe UI" w:hAnsi="Segoe UI" w:cs="Segoe UI"/>
              </w:rPr>
              <w:t>$36.19</w:t>
            </w:r>
          </w:p>
        </w:tc>
        <w:tc>
          <w:tcPr>
            <w:tcW w:w="637" w:type="pct"/>
          </w:tcPr>
          <w:p w:rsidR="00096A34" w:rsidRPr="00557C8E" w:rsidRDefault="00096A34" w:rsidP="0006074C">
            <w:pPr>
              <w:jc w:val="right"/>
              <w:rPr>
                <w:rFonts w:ascii="Segoe UI" w:hAnsi="Segoe UI" w:cs="Segoe UI"/>
              </w:rPr>
            </w:pPr>
            <w:r>
              <w:rPr>
                <w:rFonts w:ascii="Segoe UI" w:hAnsi="Segoe UI" w:cs="Segoe UI"/>
              </w:rPr>
              <w:t>$36.70</w:t>
            </w:r>
          </w:p>
        </w:tc>
      </w:tr>
      <w:tr w:rsidR="00096A34" w:rsidRPr="00557C8E" w:rsidTr="0006074C">
        <w:trPr>
          <w:trHeight w:val="113"/>
        </w:trPr>
        <w:tc>
          <w:tcPr>
            <w:tcW w:w="3089" w:type="pct"/>
            <w:shd w:val="clear" w:color="auto" w:fill="E8E8E8" w:themeFill="background2"/>
            <w:noWrap/>
            <w:hideMark/>
          </w:tcPr>
          <w:p w:rsidR="00096A34" w:rsidRPr="00D03A4E" w:rsidRDefault="00096A34" w:rsidP="0006074C">
            <w:pPr>
              <w:rPr>
                <w:rFonts w:ascii="Segoe UI" w:hAnsi="Segoe UI" w:cs="Segoe UI"/>
                <w:b/>
                <w:u w:val="single"/>
              </w:rPr>
            </w:pPr>
            <w:r w:rsidRPr="00596D01">
              <w:rPr>
                <w:rStyle w:val="Strong"/>
              </w:rPr>
              <w:t>Complex Health Care (CHC)</w:t>
            </w:r>
          </w:p>
        </w:tc>
        <w:tc>
          <w:tcPr>
            <w:tcW w:w="637" w:type="pct"/>
            <w:shd w:val="clear" w:color="auto" w:fill="E8E8E8" w:themeFill="background2"/>
          </w:tcPr>
          <w:p w:rsidR="00096A34" w:rsidRPr="00557C8E" w:rsidRDefault="00096A34" w:rsidP="0006074C">
            <w:pPr>
              <w:jc w:val="right"/>
              <w:rPr>
                <w:rFonts w:ascii="Segoe UI" w:hAnsi="Segoe UI" w:cs="Segoe UI"/>
                <w:b/>
              </w:rPr>
            </w:pPr>
          </w:p>
        </w:tc>
        <w:tc>
          <w:tcPr>
            <w:tcW w:w="637" w:type="pct"/>
            <w:shd w:val="clear" w:color="auto" w:fill="E8E8E8" w:themeFill="background2"/>
          </w:tcPr>
          <w:p w:rsidR="00096A34" w:rsidRPr="00557C8E" w:rsidRDefault="00096A34" w:rsidP="0006074C">
            <w:pPr>
              <w:jc w:val="right"/>
              <w:rPr>
                <w:rFonts w:ascii="Segoe UI" w:hAnsi="Segoe UI" w:cs="Segoe UI"/>
                <w:b/>
              </w:rPr>
            </w:pPr>
          </w:p>
        </w:tc>
        <w:tc>
          <w:tcPr>
            <w:tcW w:w="637" w:type="pct"/>
            <w:shd w:val="clear" w:color="auto" w:fill="E8E8E8" w:themeFill="background2"/>
          </w:tcPr>
          <w:p w:rsidR="00096A34" w:rsidRPr="00596D01" w:rsidRDefault="00096A34" w:rsidP="0006074C">
            <w:pPr>
              <w:jc w:val="right"/>
              <w:rPr>
                <w:rStyle w:val="Strong"/>
              </w:rPr>
            </w:pP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Low</w:t>
            </w:r>
          </w:p>
        </w:tc>
        <w:tc>
          <w:tcPr>
            <w:tcW w:w="637" w:type="pct"/>
            <w:noWrap/>
          </w:tcPr>
          <w:p w:rsidR="00096A34" w:rsidRPr="00557C8E" w:rsidRDefault="00096A34" w:rsidP="0006074C">
            <w:pPr>
              <w:jc w:val="right"/>
              <w:rPr>
                <w:rFonts w:ascii="Segoe UI" w:hAnsi="Segoe UI" w:cs="Segoe UI"/>
              </w:rPr>
            </w:pPr>
            <w:r>
              <w:rPr>
                <w:rFonts w:ascii="Segoe UI" w:hAnsi="Segoe UI" w:cs="Segoe UI"/>
              </w:rPr>
              <w:t>$16.37</w:t>
            </w:r>
          </w:p>
        </w:tc>
        <w:tc>
          <w:tcPr>
            <w:tcW w:w="637" w:type="pct"/>
            <w:noWrap/>
          </w:tcPr>
          <w:p w:rsidR="00096A34" w:rsidRPr="00557C8E" w:rsidRDefault="00096A34" w:rsidP="0006074C">
            <w:pPr>
              <w:jc w:val="right"/>
              <w:rPr>
                <w:rFonts w:ascii="Segoe UI" w:hAnsi="Segoe UI" w:cs="Segoe UI"/>
              </w:rPr>
            </w:pPr>
            <w:r>
              <w:rPr>
                <w:rFonts w:ascii="Segoe UI" w:hAnsi="Segoe UI" w:cs="Segoe UI"/>
              </w:rPr>
              <w:t>$16.37</w:t>
            </w:r>
          </w:p>
        </w:tc>
        <w:tc>
          <w:tcPr>
            <w:tcW w:w="637" w:type="pct"/>
          </w:tcPr>
          <w:p w:rsidR="00096A34" w:rsidRPr="00557C8E" w:rsidRDefault="00096A34" w:rsidP="0006074C">
            <w:pPr>
              <w:jc w:val="right"/>
              <w:rPr>
                <w:rFonts w:ascii="Segoe UI" w:hAnsi="Segoe UI" w:cs="Segoe UI"/>
              </w:rPr>
            </w:pPr>
            <w:r>
              <w:rPr>
                <w:rFonts w:ascii="Segoe UI" w:hAnsi="Segoe UI" w:cs="Segoe UI"/>
              </w:rPr>
              <w:t>$16.48</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Medium</w:t>
            </w:r>
          </w:p>
        </w:tc>
        <w:tc>
          <w:tcPr>
            <w:tcW w:w="637" w:type="pct"/>
            <w:noWrap/>
          </w:tcPr>
          <w:p w:rsidR="00096A34" w:rsidRPr="00557C8E" w:rsidRDefault="00096A34" w:rsidP="0006074C">
            <w:pPr>
              <w:jc w:val="right"/>
              <w:rPr>
                <w:rFonts w:ascii="Segoe UI" w:hAnsi="Segoe UI" w:cs="Segoe UI"/>
              </w:rPr>
            </w:pPr>
            <w:r>
              <w:rPr>
                <w:rFonts w:ascii="Segoe UI" w:hAnsi="Segoe UI" w:cs="Segoe UI"/>
              </w:rPr>
              <w:t>$46.62</w:t>
            </w:r>
          </w:p>
        </w:tc>
        <w:tc>
          <w:tcPr>
            <w:tcW w:w="637" w:type="pct"/>
            <w:noWrap/>
          </w:tcPr>
          <w:p w:rsidR="00096A34" w:rsidRPr="00557C8E" w:rsidRDefault="00096A34" w:rsidP="0006074C">
            <w:pPr>
              <w:jc w:val="right"/>
              <w:rPr>
                <w:rFonts w:ascii="Segoe UI" w:hAnsi="Segoe UI" w:cs="Segoe UI"/>
              </w:rPr>
            </w:pPr>
            <w:r>
              <w:rPr>
                <w:rFonts w:ascii="Segoe UI" w:hAnsi="Segoe UI" w:cs="Segoe UI"/>
              </w:rPr>
              <w:t>$46.62</w:t>
            </w:r>
          </w:p>
        </w:tc>
        <w:tc>
          <w:tcPr>
            <w:tcW w:w="637" w:type="pct"/>
          </w:tcPr>
          <w:p w:rsidR="00096A34" w:rsidRPr="00557C8E" w:rsidRDefault="00096A34" w:rsidP="0006074C">
            <w:pPr>
              <w:jc w:val="right"/>
              <w:rPr>
                <w:rFonts w:ascii="Segoe UI" w:hAnsi="Segoe UI" w:cs="Segoe UI"/>
              </w:rPr>
            </w:pPr>
            <w:r>
              <w:rPr>
                <w:rFonts w:ascii="Segoe UI" w:hAnsi="Segoe UI" w:cs="Segoe UI"/>
              </w:rPr>
              <w:t>$46.95</w:t>
            </w:r>
          </w:p>
        </w:tc>
      </w:tr>
      <w:tr w:rsidR="00096A34" w:rsidRPr="00557C8E" w:rsidTr="0006074C">
        <w:trPr>
          <w:trHeight w:val="113"/>
        </w:trPr>
        <w:tc>
          <w:tcPr>
            <w:tcW w:w="3089" w:type="pct"/>
            <w:noWrap/>
            <w:hideMark/>
          </w:tcPr>
          <w:p w:rsidR="00096A34" w:rsidRPr="00596D01" w:rsidRDefault="00096A34" w:rsidP="0006074C">
            <w:pPr>
              <w:rPr>
                <w:rStyle w:val="Strong"/>
              </w:rPr>
            </w:pPr>
            <w:r w:rsidRPr="00557C8E">
              <w:rPr>
                <w:rFonts w:ascii="Segoe UI" w:hAnsi="Segoe UI" w:cs="Segoe UI"/>
              </w:rPr>
              <w:t>High</w:t>
            </w:r>
          </w:p>
        </w:tc>
        <w:tc>
          <w:tcPr>
            <w:tcW w:w="637" w:type="pct"/>
            <w:noWrap/>
          </w:tcPr>
          <w:p w:rsidR="00096A34" w:rsidRPr="00557C8E" w:rsidRDefault="00096A34" w:rsidP="0006074C">
            <w:pPr>
              <w:jc w:val="right"/>
              <w:rPr>
                <w:rFonts w:ascii="Segoe UI" w:hAnsi="Segoe UI" w:cs="Segoe UI"/>
              </w:rPr>
            </w:pPr>
            <w:r>
              <w:rPr>
                <w:rFonts w:ascii="Segoe UI" w:hAnsi="Segoe UI" w:cs="Segoe UI"/>
              </w:rPr>
              <w:t>$67.32</w:t>
            </w:r>
          </w:p>
        </w:tc>
        <w:tc>
          <w:tcPr>
            <w:tcW w:w="637" w:type="pct"/>
            <w:noWrap/>
          </w:tcPr>
          <w:p w:rsidR="00096A34" w:rsidRPr="00557C8E" w:rsidRDefault="00096A34" w:rsidP="0006074C">
            <w:pPr>
              <w:jc w:val="right"/>
              <w:rPr>
                <w:rFonts w:ascii="Segoe UI" w:hAnsi="Segoe UI" w:cs="Segoe UI"/>
              </w:rPr>
            </w:pPr>
            <w:r>
              <w:rPr>
                <w:rFonts w:ascii="Segoe UI" w:hAnsi="Segoe UI" w:cs="Segoe UI"/>
              </w:rPr>
              <w:t>$67.32</w:t>
            </w:r>
          </w:p>
        </w:tc>
        <w:tc>
          <w:tcPr>
            <w:tcW w:w="637" w:type="pct"/>
          </w:tcPr>
          <w:p w:rsidR="00096A34" w:rsidRPr="00557C8E" w:rsidRDefault="00096A34" w:rsidP="0006074C">
            <w:pPr>
              <w:jc w:val="right"/>
              <w:rPr>
                <w:rFonts w:ascii="Segoe UI" w:hAnsi="Segoe UI" w:cs="Segoe UI"/>
              </w:rPr>
            </w:pPr>
            <w:r>
              <w:rPr>
                <w:rFonts w:ascii="Segoe UI" w:hAnsi="Segoe UI" w:cs="Segoe UI"/>
              </w:rPr>
              <w:t>$67.79</w:t>
            </w:r>
          </w:p>
        </w:tc>
      </w:tr>
      <w:tr w:rsidR="00096A34" w:rsidRPr="00557C8E" w:rsidTr="0006074C">
        <w:trPr>
          <w:trHeight w:val="113"/>
        </w:trPr>
        <w:tc>
          <w:tcPr>
            <w:tcW w:w="3089" w:type="pct"/>
            <w:noWrap/>
          </w:tcPr>
          <w:p w:rsidR="00096A34" w:rsidRPr="00596D01" w:rsidRDefault="00096A34" w:rsidP="0006074C">
            <w:pPr>
              <w:rPr>
                <w:rStyle w:val="Strong"/>
              </w:rPr>
            </w:pPr>
            <w:r w:rsidRPr="00557C8E">
              <w:rPr>
                <w:rFonts w:ascii="Segoe UI" w:hAnsi="Segoe UI" w:cs="Segoe UI"/>
              </w:rPr>
              <w:t>Interim rate for new residents pending ACFI assessment</w:t>
            </w:r>
          </w:p>
        </w:tc>
        <w:tc>
          <w:tcPr>
            <w:tcW w:w="637" w:type="pct"/>
            <w:noWrap/>
          </w:tcPr>
          <w:p w:rsidR="00096A34" w:rsidRPr="00557C8E" w:rsidRDefault="00096A34" w:rsidP="0006074C">
            <w:pPr>
              <w:jc w:val="right"/>
              <w:rPr>
                <w:rFonts w:ascii="Segoe UI" w:hAnsi="Segoe UI" w:cs="Segoe UI"/>
              </w:rPr>
            </w:pPr>
            <w:r>
              <w:rPr>
                <w:rFonts w:ascii="Segoe UI" w:hAnsi="Segoe UI" w:cs="Segoe UI"/>
              </w:rPr>
              <w:t>$56.22</w:t>
            </w:r>
          </w:p>
        </w:tc>
        <w:tc>
          <w:tcPr>
            <w:tcW w:w="637" w:type="pct"/>
            <w:noWrap/>
          </w:tcPr>
          <w:p w:rsidR="00096A34" w:rsidRPr="00557C8E" w:rsidRDefault="00096A34" w:rsidP="0006074C">
            <w:pPr>
              <w:jc w:val="right"/>
              <w:rPr>
                <w:rFonts w:ascii="Segoe UI" w:hAnsi="Segoe UI" w:cs="Segoe UI"/>
              </w:rPr>
            </w:pPr>
            <w:r>
              <w:rPr>
                <w:rFonts w:ascii="Segoe UI" w:hAnsi="Segoe UI" w:cs="Segoe UI"/>
              </w:rPr>
              <w:t>$56.22</w:t>
            </w:r>
          </w:p>
        </w:tc>
        <w:tc>
          <w:tcPr>
            <w:tcW w:w="637" w:type="pct"/>
          </w:tcPr>
          <w:p w:rsidR="00096A34" w:rsidRPr="0055331B" w:rsidRDefault="00096A34" w:rsidP="0006074C">
            <w:pPr>
              <w:jc w:val="right"/>
              <w:rPr>
                <w:rFonts w:ascii="Segoe UI" w:hAnsi="Segoe UI" w:cs="Segoe UI"/>
              </w:rPr>
            </w:pPr>
            <w:r w:rsidRPr="0055331B">
              <w:rPr>
                <w:rFonts w:ascii="Segoe UI" w:hAnsi="Segoe UI" w:cs="Segoe UI"/>
              </w:rPr>
              <w:t>$57.01</w:t>
            </w:r>
          </w:p>
        </w:tc>
      </w:tr>
    </w:tbl>
    <w:p w:rsidR="00AC15D5" w:rsidRPr="00557C8E" w:rsidRDefault="00AC15D5" w:rsidP="0006074C">
      <w:pPr>
        <w:rPr>
          <w:rStyle w:val="BookTitle"/>
          <w:rFonts w:ascii="Segoe UI" w:hAnsi="Segoe UI" w:cs="Segoe UI"/>
          <w:i w:val="0"/>
          <w:iCs w:val="0"/>
          <w:smallCaps w:val="0"/>
        </w:rPr>
      </w:pP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9"/>
        <w:gridCol w:w="1227"/>
        <w:gridCol w:w="1227"/>
        <w:gridCol w:w="1225"/>
      </w:tblGrid>
      <w:tr w:rsidR="009337F7" w:rsidRPr="00557C8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090" w:type="pct"/>
            <w:noWrap/>
            <w:hideMark/>
          </w:tcPr>
          <w:p w:rsidR="009337F7" w:rsidRPr="00557C8E" w:rsidRDefault="009337F7" w:rsidP="0006074C">
            <w:pPr>
              <w:rPr>
                <w:rFonts w:ascii="Segoe UI" w:hAnsi="Segoe UI" w:cs="Segoe UI"/>
                <w:b w:val="0"/>
                <w:color w:val="002776" w:themeColor="accent1"/>
              </w:rPr>
            </w:pPr>
            <w:r w:rsidRPr="00596D01">
              <w:t>Daily residential respite subsidy rates</w:t>
            </w:r>
          </w:p>
        </w:tc>
        <w:tc>
          <w:tcPr>
            <w:tcW w:w="637" w:type="pct"/>
            <w:noWrap/>
            <w:hideMark/>
          </w:tcPr>
          <w:p w:rsidR="009337F7" w:rsidRPr="00557C8E" w:rsidRDefault="009337F7" w:rsidP="0006074C">
            <w:pPr>
              <w:jc w:val="right"/>
              <w:rPr>
                <w:rFonts w:ascii="Segoe UI" w:hAnsi="Segoe UI" w:cs="Segoe UI"/>
                <w:b w:val="0"/>
                <w:color w:val="002776" w:themeColor="accent1"/>
              </w:rPr>
            </w:pPr>
            <w:r w:rsidRPr="00596D01">
              <w:t>2016</w:t>
            </w:r>
            <w:r w:rsidR="00D8721E" w:rsidRPr="00596D01">
              <w:t>–1</w:t>
            </w:r>
            <w:r w:rsidRPr="00596D01">
              <w:t>7</w:t>
            </w:r>
          </w:p>
        </w:tc>
        <w:tc>
          <w:tcPr>
            <w:tcW w:w="637" w:type="pct"/>
            <w:noWrap/>
            <w:hideMark/>
          </w:tcPr>
          <w:p w:rsidR="009337F7" w:rsidRPr="00557C8E" w:rsidRDefault="009337F7" w:rsidP="0006074C">
            <w:pPr>
              <w:jc w:val="right"/>
              <w:rPr>
                <w:rFonts w:ascii="Segoe UI" w:hAnsi="Segoe UI" w:cs="Segoe UI"/>
                <w:b w:val="0"/>
                <w:color w:val="002776" w:themeColor="accent1"/>
              </w:rPr>
            </w:pPr>
            <w:r w:rsidRPr="00596D01">
              <w:t>2017</w:t>
            </w:r>
            <w:r w:rsidR="00D8721E" w:rsidRPr="00596D01">
              <w:t>–1</w:t>
            </w:r>
            <w:r w:rsidRPr="00596D01">
              <w:t>8</w:t>
            </w:r>
          </w:p>
        </w:tc>
        <w:tc>
          <w:tcPr>
            <w:tcW w:w="637" w:type="pct"/>
          </w:tcPr>
          <w:p w:rsidR="009337F7" w:rsidRPr="00596D01" w:rsidRDefault="009337F7" w:rsidP="0006074C">
            <w:pPr>
              <w:jc w:val="right"/>
            </w:pPr>
            <w:r w:rsidRPr="00596D01">
              <w:t>2018</w:t>
            </w:r>
            <w:r w:rsidR="00D8721E" w:rsidRPr="00596D01">
              <w:t>–1</w:t>
            </w:r>
            <w:r w:rsidRPr="00596D01">
              <w:t>9</w:t>
            </w:r>
          </w:p>
        </w:tc>
      </w:tr>
      <w:tr w:rsidR="00003CAE" w:rsidRPr="00557C8E"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Low</w:t>
            </w:r>
          </w:p>
        </w:tc>
        <w:tc>
          <w:tcPr>
            <w:tcW w:w="637" w:type="pct"/>
            <w:noWrap/>
          </w:tcPr>
          <w:p w:rsidR="00003CAE" w:rsidRPr="00557C8E" w:rsidRDefault="00003CAE" w:rsidP="0006074C">
            <w:pPr>
              <w:jc w:val="right"/>
              <w:rPr>
                <w:rFonts w:ascii="Segoe UI" w:hAnsi="Segoe UI" w:cs="Segoe UI"/>
              </w:rPr>
            </w:pPr>
            <w:r>
              <w:rPr>
                <w:rFonts w:ascii="Segoe UI" w:hAnsi="Segoe UI" w:cs="Segoe UI"/>
              </w:rPr>
              <w:t>$45.45</w:t>
            </w:r>
          </w:p>
        </w:tc>
        <w:tc>
          <w:tcPr>
            <w:tcW w:w="637" w:type="pct"/>
            <w:noWrap/>
          </w:tcPr>
          <w:p w:rsidR="00003CAE" w:rsidRPr="00557C8E" w:rsidRDefault="00003CAE" w:rsidP="0006074C">
            <w:pPr>
              <w:jc w:val="right"/>
              <w:rPr>
                <w:rFonts w:ascii="Segoe UI" w:hAnsi="Segoe UI" w:cs="Segoe UI"/>
              </w:rPr>
            </w:pPr>
            <w:r>
              <w:rPr>
                <w:rFonts w:ascii="Segoe UI" w:hAnsi="Segoe UI" w:cs="Segoe UI"/>
              </w:rPr>
              <w:t>$46.09</w:t>
            </w:r>
          </w:p>
        </w:tc>
        <w:tc>
          <w:tcPr>
            <w:tcW w:w="637" w:type="pct"/>
          </w:tcPr>
          <w:p w:rsidR="00003CAE" w:rsidRPr="00557C8E" w:rsidRDefault="00003CAE" w:rsidP="0006074C">
            <w:pPr>
              <w:jc w:val="right"/>
              <w:rPr>
                <w:rFonts w:ascii="Segoe UI" w:hAnsi="Segoe UI" w:cs="Segoe UI"/>
              </w:rPr>
            </w:pPr>
            <w:r>
              <w:rPr>
                <w:rFonts w:ascii="Segoe UI" w:hAnsi="Segoe UI" w:cs="Segoe UI"/>
              </w:rPr>
              <w:t>$46.74</w:t>
            </w:r>
          </w:p>
        </w:tc>
      </w:tr>
      <w:tr w:rsidR="00003CAE" w:rsidRPr="00557C8E"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High</w:t>
            </w:r>
          </w:p>
        </w:tc>
        <w:tc>
          <w:tcPr>
            <w:tcW w:w="637" w:type="pct"/>
            <w:noWrap/>
          </w:tcPr>
          <w:p w:rsidR="00003CAE" w:rsidRPr="00557C8E" w:rsidRDefault="00003CAE" w:rsidP="0006074C">
            <w:pPr>
              <w:jc w:val="right"/>
              <w:rPr>
                <w:rFonts w:ascii="Segoe UI" w:hAnsi="Segoe UI" w:cs="Segoe UI"/>
              </w:rPr>
            </w:pPr>
            <w:r>
              <w:rPr>
                <w:rFonts w:ascii="Segoe UI" w:hAnsi="Segoe UI" w:cs="Segoe UI"/>
              </w:rPr>
              <w:t>$127.46</w:t>
            </w:r>
          </w:p>
        </w:tc>
        <w:tc>
          <w:tcPr>
            <w:tcW w:w="637" w:type="pct"/>
            <w:noWrap/>
          </w:tcPr>
          <w:p w:rsidR="00003CAE" w:rsidRPr="00557C8E" w:rsidRDefault="00003CAE" w:rsidP="0006074C">
            <w:pPr>
              <w:jc w:val="right"/>
              <w:rPr>
                <w:rFonts w:ascii="Segoe UI" w:hAnsi="Segoe UI" w:cs="Segoe UI"/>
              </w:rPr>
            </w:pPr>
            <w:r>
              <w:rPr>
                <w:rFonts w:ascii="Segoe UI" w:hAnsi="Segoe UI" w:cs="Segoe UI"/>
              </w:rPr>
              <w:t>$129.24</w:t>
            </w:r>
          </w:p>
        </w:tc>
        <w:tc>
          <w:tcPr>
            <w:tcW w:w="637" w:type="pct"/>
          </w:tcPr>
          <w:p w:rsidR="00003CAE" w:rsidRPr="00557C8E" w:rsidRDefault="00003CAE" w:rsidP="0006074C">
            <w:pPr>
              <w:jc w:val="right"/>
              <w:rPr>
                <w:rFonts w:ascii="Segoe UI" w:hAnsi="Segoe UI" w:cs="Segoe UI"/>
              </w:rPr>
            </w:pPr>
            <w:r>
              <w:rPr>
                <w:rFonts w:ascii="Segoe UI" w:hAnsi="Segoe UI" w:cs="Segoe UI"/>
              </w:rPr>
              <w:t>$131.05</w:t>
            </w:r>
          </w:p>
        </w:tc>
      </w:tr>
    </w:tbl>
    <w:p w:rsidR="0006074C" w:rsidRDefault="0006074C" w:rsidP="0006074C">
      <w:pPr>
        <w:rPr>
          <w:rStyle w:val="BookTitle"/>
          <w:rFonts w:ascii="Segoe UI" w:hAnsi="Segoe UI" w:cs="Segoe UI"/>
          <w:i w:val="0"/>
          <w:iCs w:val="0"/>
          <w:smallCaps w:val="0"/>
        </w:rPr>
      </w:pPr>
    </w:p>
    <w:p w:rsidR="0006074C" w:rsidRDefault="0006074C">
      <w:pPr>
        <w:suppressAutoHyphens w:val="0"/>
        <w:spacing w:before="60" w:after="0"/>
        <w:jc w:val="both"/>
        <w:rPr>
          <w:rStyle w:val="BookTitle"/>
          <w:rFonts w:ascii="Segoe UI" w:hAnsi="Segoe UI" w:cs="Segoe UI"/>
          <w:i w:val="0"/>
          <w:iCs w:val="0"/>
          <w:smallCaps w:val="0"/>
        </w:rPr>
      </w:pPr>
      <w:r>
        <w:rPr>
          <w:rStyle w:val="BookTitle"/>
          <w:rFonts w:ascii="Segoe UI" w:hAnsi="Segoe UI" w:cs="Segoe UI"/>
          <w:i w:val="0"/>
          <w:iCs w:val="0"/>
          <w:smallCaps w:val="0"/>
        </w:rPr>
        <w:br w:type="page"/>
      </w:r>
    </w:p>
    <w:p w:rsidR="00952783" w:rsidRPr="00596D01" w:rsidRDefault="00952783" w:rsidP="0006074C">
      <w:pPr>
        <w:pStyle w:val="AppendixTable"/>
      </w:pPr>
      <w:r w:rsidRPr="00596D01">
        <w:lastRenderedPageBreak/>
        <w:t>Residential care supplements table,</w:t>
      </w:r>
      <w:r w:rsidR="00A261F3" w:rsidRPr="00596D01">
        <w:t> 201</w:t>
      </w:r>
      <w:r w:rsidR="00F42EAB" w:rsidRPr="00596D01">
        <w:t>6</w:t>
      </w:r>
      <w:r w:rsidR="00D8721E" w:rsidRPr="00596D01">
        <w:t>–1</w:t>
      </w:r>
      <w:r w:rsidR="00F42EAB" w:rsidRPr="00596D01">
        <w:t>7</w:t>
      </w:r>
      <w:r w:rsidRPr="00596D01">
        <w:t xml:space="preserve"> to</w:t>
      </w:r>
      <w:r w:rsidR="00A261F3" w:rsidRPr="00596D01">
        <w:t> 201</w:t>
      </w:r>
      <w:r w:rsidR="00F42EAB" w:rsidRPr="00596D01">
        <w:t>8</w:t>
      </w:r>
      <w:r w:rsidR="00D8721E" w:rsidRPr="00596D01">
        <w:t>–1</w:t>
      </w:r>
      <w:r w:rsidR="00F42EAB" w:rsidRPr="00596D01">
        <w:t>9</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7"/>
        <w:gridCol w:w="1227"/>
        <w:gridCol w:w="1227"/>
        <w:gridCol w:w="1227"/>
      </w:tblGrid>
      <w:tr w:rsidR="009337F7" w:rsidRPr="00557C8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089" w:type="pct"/>
          </w:tcPr>
          <w:p w:rsidR="009337F7" w:rsidRPr="006431C2" w:rsidRDefault="009337F7" w:rsidP="0006074C">
            <w:pPr>
              <w:rPr>
                <w:rFonts w:ascii="Segoe UI" w:hAnsi="Segoe UI" w:cs="Segoe UI"/>
              </w:rPr>
            </w:pPr>
            <w:r w:rsidRPr="00596D01">
              <w:t>Residential care</w:t>
            </w:r>
          </w:p>
        </w:tc>
        <w:tc>
          <w:tcPr>
            <w:tcW w:w="637" w:type="pct"/>
          </w:tcPr>
          <w:p w:rsidR="009337F7" w:rsidRPr="006431C2" w:rsidRDefault="009337F7" w:rsidP="0006074C">
            <w:pPr>
              <w:jc w:val="right"/>
              <w:rPr>
                <w:rFonts w:ascii="Segoe UI" w:hAnsi="Segoe UI" w:cs="Segoe UI"/>
                <w:b w:val="0"/>
              </w:rPr>
            </w:pPr>
            <w:r w:rsidRPr="00596D01">
              <w:t>2016</w:t>
            </w:r>
            <w:r w:rsidR="00D8721E" w:rsidRPr="00596D01">
              <w:t>–1</w:t>
            </w:r>
            <w:r w:rsidRPr="00596D01">
              <w:t>7</w:t>
            </w:r>
          </w:p>
        </w:tc>
        <w:tc>
          <w:tcPr>
            <w:tcW w:w="637" w:type="pct"/>
          </w:tcPr>
          <w:p w:rsidR="009337F7" w:rsidRPr="006431C2" w:rsidRDefault="009337F7" w:rsidP="0006074C">
            <w:pPr>
              <w:jc w:val="right"/>
              <w:rPr>
                <w:rFonts w:ascii="Segoe UI" w:hAnsi="Segoe UI" w:cs="Segoe UI"/>
                <w:b w:val="0"/>
              </w:rPr>
            </w:pPr>
            <w:r w:rsidRPr="00596D01">
              <w:t>2017</w:t>
            </w:r>
            <w:r w:rsidR="00D8721E" w:rsidRPr="00596D01">
              <w:t>–1</w:t>
            </w:r>
            <w:r w:rsidRPr="00596D01">
              <w:t>8</w:t>
            </w:r>
          </w:p>
        </w:tc>
        <w:tc>
          <w:tcPr>
            <w:tcW w:w="637" w:type="pct"/>
          </w:tcPr>
          <w:p w:rsidR="009337F7" w:rsidRPr="00596D01" w:rsidRDefault="009337F7" w:rsidP="0006074C">
            <w:pPr>
              <w:jc w:val="right"/>
            </w:pPr>
            <w:r w:rsidRPr="00596D01">
              <w:t>2018</w:t>
            </w:r>
            <w:r w:rsidR="00D8721E" w:rsidRPr="00596D01">
              <w:t>–1</w:t>
            </w:r>
            <w:r w:rsidRPr="00596D01">
              <w:t>9</w:t>
            </w:r>
          </w:p>
        </w:tc>
      </w:tr>
      <w:tr w:rsidR="00003CAE" w:rsidRPr="00085EC0" w:rsidTr="0006074C">
        <w:trPr>
          <w:trHeight w:val="113"/>
        </w:trPr>
        <w:tc>
          <w:tcPr>
            <w:tcW w:w="3089" w:type="pct"/>
          </w:tcPr>
          <w:p w:rsidR="00003CAE" w:rsidRPr="00596D01" w:rsidRDefault="00003CAE" w:rsidP="0006074C">
            <w:pPr>
              <w:rPr>
                <w:rStyle w:val="Strong"/>
              </w:rPr>
            </w:pPr>
            <w:r>
              <w:rPr>
                <w:rFonts w:ascii="Segoe UI" w:hAnsi="Segoe UI" w:cs="Segoe UI"/>
              </w:rPr>
              <w:t>Oxygen s</w:t>
            </w:r>
            <w:r w:rsidRPr="00557C8E">
              <w:rPr>
                <w:rFonts w:ascii="Segoe UI" w:hAnsi="Segoe UI" w:cs="Segoe UI"/>
              </w:rPr>
              <w:t>upplement</w:t>
            </w:r>
            <w:r>
              <w:rPr>
                <w:rFonts w:ascii="Segoe UI" w:hAnsi="Segoe UI" w:cs="Segoe UI"/>
              </w:rPr>
              <w:t>*</w:t>
            </w:r>
          </w:p>
        </w:tc>
        <w:tc>
          <w:tcPr>
            <w:tcW w:w="637" w:type="pct"/>
          </w:tcPr>
          <w:p w:rsidR="00003CAE" w:rsidRPr="00557C8E" w:rsidRDefault="00003CAE" w:rsidP="0006074C">
            <w:pPr>
              <w:jc w:val="right"/>
              <w:rPr>
                <w:rFonts w:ascii="Segoe UI" w:hAnsi="Segoe UI" w:cs="Segoe UI"/>
              </w:rPr>
            </w:pPr>
            <w:r>
              <w:rPr>
                <w:rFonts w:ascii="Segoe UI" w:hAnsi="Segoe UI" w:cs="Segoe UI"/>
              </w:rPr>
              <w:t>$11.12</w:t>
            </w:r>
          </w:p>
        </w:tc>
        <w:tc>
          <w:tcPr>
            <w:tcW w:w="637" w:type="pct"/>
          </w:tcPr>
          <w:p w:rsidR="00003CAE" w:rsidRPr="00557C8E" w:rsidRDefault="00003CAE" w:rsidP="0006074C">
            <w:pPr>
              <w:jc w:val="right"/>
              <w:rPr>
                <w:rFonts w:ascii="Segoe UI" w:hAnsi="Segoe UI" w:cs="Segoe UI"/>
              </w:rPr>
            </w:pPr>
            <w:r>
              <w:rPr>
                <w:rFonts w:ascii="Segoe UI" w:hAnsi="Segoe UI" w:cs="Segoe UI"/>
              </w:rPr>
              <w:t>$11.35</w:t>
            </w:r>
          </w:p>
        </w:tc>
        <w:tc>
          <w:tcPr>
            <w:tcW w:w="637" w:type="pct"/>
          </w:tcPr>
          <w:p w:rsidR="00003CAE" w:rsidRPr="00557C8E" w:rsidRDefault="00003CAE" w:rsidP="0006074C">
            <w:pPr>
              <w:jc w:val="right"/>
              <w:rPr>
                <w:rFonts w:ascii="Segoe UI" w:hAnsi="Segoe UI" w:cs="Segoe UI"/>
              </w:rPr>
            </w:pPr>
            <w:r>
              <w:rPr>
                <w:rFonts w:ascii="Segoe UI" w:hAnsi="Segoe UI" w:cs="Segoe UI"/>
              </w:rPr>
              <w:t>$11.57</w:t>
            </w:r>
          </w:p>
        </w:tc>
      </w:tr>
      <w:tr w:rsidR="00003CAE" w:rsidRPr="00557C8E" w:rsidTr="0006074C">
        <w:trPr>
          <w:trHeight w:val="113"/>
        </w:trPr>
        <w:tc>
          <w:tcPr>
            <w:tcW w:w="3089" w:type="pct"/>
          </w:tcPr>
          <w:p w:rsidR="00003CAE" w:rsidRPr="00596D01" w:rsidRDefault="00003CAE" w:rsidP="0006074C">
            <w:pPr>
              <w:rPr>
                <w:rStyle w:val="Strong"/>
              </w:rPr>
            </w:pPr>
            <w:r>
              <w:rPr>
                <w:rFonts w:ascii="Segoe UI" w:hAnsi="Segoe UI" w:cs="Segoe UI"/>
              </w:rPr>
              <w:t>Enteral Feeding s</w:t>
            </w:r>
            <w:r w:rsidRPr="00557C8E">
              <w:rPr>
                <w:rFonts w:ascii="Segoe UI" w:hAnsi="Segoe UI" w:cs="Segoe UI"/>
              </w:rPr>
              <w:t>upplement – Bolus</w:t>
            </w:r>
            <w:r>
              <w:rPr>
                <w:rFonts w:ascii="Segoe UI" w:hAnsi="Segoe UI" w:cs="Segoe UI"/>
              </w:rPr>
              <w:t>*</w:t>
            </w:r>
          </w:p>
        </w:tc>
        <w:tc>
          <w:tcPr>
            <w:tcW w:w="637" w:type="pct"/>
          </w:tcPr>
          <w:p w:rsidR="00003CAE" w:rsidRPr="00557C8E" w:rsidRDefault="00003CAE" w:rsidP="0006074C">
            <w:pPr>
              <w:jc w:val="right"/>
              <w:rPr>
                <w:rFonts w:ascii="Segoe UI" w:hAnsi="Segoe UI" w:cs="Segoe UI"/>
              </w:rPr>
            </w:pPr>
            <w:r>
              <w:rPr>
                <w:rFonts w:ascii="Segoe UI" w:hAnsi="Segoe UI" w:cs="Segoe UI"/>
              </w:rPr>
              <w:t>$17.62</w:t>
            </w:r>
          </w:p>
        </w:tc>
        <w:tc>
          <w:tcPr>
            <w:tcW w:w="637" w:type="pct"/>
          </w:tcPr>
          <w:p w:rsidR="00003CAE" w:rsidRPr="00557C8E" w:rsidRDefault="00003CAE" w:rsidP="0006074C">
            <w:pPr>
              <w:jc w:val="right"/>
              <w:rPr>
                <w:rFonts w:ascii="Segoe UI" w:hAnsi="Segoe UI" w:cs="Segoe UI"/>
              </w:rPr>
            </w:pPr>
            <w:r>
              <w:rPr>
                <w:rFonts w:ascii="Segoe UI" w:hAnsi="Segoe UI" w:cs="Segoe UI"/>
              </w:rPr>
              <w:t>$17.99</w:t>
            </w:r>
          </w:p>
        </w:tc>
        <w:tc>
          <w:tcPr>
            <w:tcW w:w="637" w:type="pct"/>
          </w:tcPr>
          <w:p w:rsidR="00003CAE" w:rsidRPr="00557C8E" w:rsidRDefault="00003CAE" w:rsidP="0006074C">
            <w:pPr>
              <w:jc w:val="right"/>
              <w:rPr>
                <w:rFonts w:ascii="Segoe UI" w:hAnsi="Segoe UI" w:cs="Segoe UI"/>
              </w:rPr>
            </w:pPr>
            <w:r>
              <w:rPr>
                <w:rFonts w:ascii="Segoe UI" w:hAnsi="Segoe UI" w:cs="Segoe UI"/>
              </w:rPr>
              <w:t>$18.33</w:t>
            </w:r>
          </w:p>
        </w:tc>
      </w:tr>
      <w:tr w:rsidR="00003CAE" w:rsidRPr="00557C8E" w:rsidTr="0006074C">
        <w:trPr>
          <w:trHeight w:val="113"/>
        </w:trPr>
        <w:tc>
          <w:tcPr>
            <w:tcW w:w="3089" w:type="pct"/>
          </w:tcPr>
          <w:p w:rsidR="00003CAE" w:rsidRPr="00596D01" w:rsidRDefault="00003CAE" w:rsidP="0006074C">
            <w:pPr>
              <w:rPr>
                <w:rStyle w:val="Strong"/>
              </w:rPr>
            </w:pPr>
            <w:r>
              <w:rPr>
                <w:rFonts w:ascii="Segoe UI" w:hAnsi="Segoe UI" w:cs="Segoe UI"/>
              </w:rPr>
              <w:t>Enteral Feeding s</w:t>
            </w:r>
            <w:r w:rsidRPr="00557C8E">
              <w:rPr>
                <w:rFonts w:ascii="Segoe UI" w:hAnsi="Segoe UI" w:cs="Segoe UI"/>
              </w:rPr>
              <w:t>upplement – Non-bolus</w:t>
            </w:r>
            <w:r>
              <w:rPr>
                <w:rFonts w:ascii="Segoe UI" w:hAnsi="Segoe UI" w:cs="Segoe UI"/>
              </w:rPr>
              <w:t>*</w:t>
            </w:r>
          </w:p>
        </w:tc>
        <w:tc>
          <w:tcPr>
            <w:tcW w:w="637" w:type="pct"/>
          </w:tcPr>
          <w:p w:rsidR="00003CAE" w:rsidRPr="00557C8E" w:rsidRDefault="00003CAE" w:rsidP="0006074C">
            <w:pPr>
              <w:jc w:val="right"/>
              <w:rPr>
                <w:rFonts w:ascii="Segoe UI" w:hAnsi="Segoe UI" w:cs="Segoe UI"/>
              </w:rPr>
            </w:pPr>
            <w:r>
              <w:rPr>
                <w:rFonts w:ascii="Segoe UI" w:hAnsi="Segoe UI" w:cs="Segoe UI"/>
              </w:rPr>
              <w:t>$19.79</w:t>
            </w:r>
          </w:p>
        </w:tc>
        <w:tc>
          <w:tcPr>
            <w:tcW w:w="637" w:type="pct"/>
          </w:tcPr>
          <w:p w:rsidR="00003CAE" w:rsidRPr="00557C8E" w:rsidRDefault="00003CAE" w:rsidP="0006074C">
            <w:pPr>
              <w:jc w:val="right"/>
              <w:rPr>
                <w:rFonts w:ascii="Segoe UI" w:hAnsi="Segoe UI" w:cs="Segoe UI"/>
              </w:rPr>
            </w:pPr>
            <w:r>
              <w:rPr>
                <w:rFonts w:ascii="Segoe UI" w:hAnsi="Segoe UI" w:cs="Segoe UI"/>
              </w:rPr>
              <w:t>$20.21</w:t>
            </w:r>
          </w:p>
        </w:tc>
        <w:tc>
          <w:tcPr>
            <w:tcW w:w="637" w:type="pct"/>
          </w:tcPr>
          <w:p w:rsidR="00003CAE" w:rsidRPr="00557C8E" w:rsidRDefault="00003CAE" w:rsidP="0006074C">
            <w:pPr>
              <w:jc w:val="right"/>
              <w:rPr>
                <w:rFonts w:ascii="Segoe UI" w:hAnsi="Segoe UI" w:cs="Segoe UI"/>
              </w:rPr>
            </w:pPr>
            <w:r>
              <w:rPr>
                <w:rFonts w:ascii="Segoe UI" w:hAnsi="Segoe UI" w:cs="Segoe UI"/>
              </w:rPr>
              <w:t>$20.59</w:t>
            </w:r>
          </w:p>
        </w:tc>
      </w:tr>
      <w:tr w:rsidR="00003CAE" w:rsidRPr="00557C8E" w:rsidTr="0006074C">
        <w:trPr>
          <w:trHeight w:val="113"/>
        </w:trPr>
        <w:tc>
          <w:tcPr>
            <w:tcW w:w="3089" w:type="pct"/>
          </w:tcPr>
          <w:p w:rsidR="00003CAE" w:rsidRPr="00596D01" w:rsidRDefault="00003CAE" w:rsidP="0006074C">
            <w:pPr>
              <w:rPr>
                <w:rStyle w:val="Strong"/>
              </w:rPr>
            </w:pPr>
            <w:r w:rsidRPr="00557C8E">
              <w:rPr>
                <w:rFonts w:ascii="Segoe UI" w:hAnsi="Segoe UI" w:cs="Segoe UI"/>
              </w:rPr>
              <w:t>Adjusted Subsidy Reduction</w:t>
            </w:r>
          </w:p>
        </w:tc>
        <w:tc>
          <w:tcPr>
            <w:tcW w:w="637" w:type="pct"/>
          </w:tcPr>
          <w:p w:rsidR="00003CAE" w:rsidRPr="00557C8E" w:rsidRDefault="00003CAE" w:rsidP="0006074C">
            <w:pPr>
              <w:jc w:val="right"/>
              <w:rPr>
                <w:rFonts w:ascii="Segoe UI" w:hAnsi="Segoe UI" w:cs="Segoe UI"/>
              </w:rPr>
            </w:pPr>
            <w:r>
              <w:rPr>
                <w:rFonts w:ascii="Segoe UI" w:hAnsi="Segoe UI" w:cs="Segoe UI"/>
              </w:rPr>
              <w:t>$12.85</w:t>
            </w:r>
          </w:p>
        </w:tc>
        <w:tc>
          <w:tcPr>
            <w:tcW w:w="637" w:type="pct"/>
          </w:tcPr>
          <w:p w:rsidR="00003CAE" w:rsidRPr="00557C8E" w:rsidRDefault="00003CAE" w:rsidP="0006074C">
            <w:pPr>
              <w:jc w:val="right"/>
              <w:rPr>
                <w:rFonts w:ascii="Segoe UI" w:hAnsi="Segoe UI" w:cs="Segoe UI"/>
              </w:rPr>
            </w:pPr>
            <w:r>
              <w:rPr>
                <w:rFonts w:ascii="Segoe UI" w:hAnsi="Segoe UI" w:cs="Segoe UI"/>
              </w:rPr>
              <w:t>$13.03</w:t>
            </w:r>
          </w:p>
        </w:tc>
        <w:tc>
          <w:tcPr>
            <w:tcW w:w="637" w:type="pct"/>
          </w:tcPr>
          <w:p w:rsidR="00003CAE" w:rsidRPr="00557C8E" w:rsidRDefault="00003CAE" w:rsidP="0006074C">
            <w:pPr>
              <w:jc w:val="right"/>
              <w:rPr>
                <w:rFonts w:ascii="Segoe UI" w:hAnsi="Segoe UI" w:cs="Segoe UI"/>
              </w:rPr>
            </w:pPr>
            <w:r>
              <w:rPr>
                <w:rFonts w:ascii="Segoe UI" w:hAnsi="Segoe UI" w:cs="Segoe UI"/>
              </w:rPr>
              <w:t>$13.21</w:t>
            </w:r>
          </w:p>
        </w:tc>
      </w:tr>
      <w:tr w:rsidR="00003CAE" w:rsidRPr="00557C8E" w:rsidTr="0006074C">
        <w:trPr>
          <w:trHeight w:val="113"/>
        </w:trPr>
        <w:tc>
          <w:tcPr>
            <w:tcW w:w="3089" w:type="pct"/>
          </w:tcPr>
          <w:p w:rsidR="00003CAE" w:rsidRPr="00596D01" w:rsidRDefault="00003CAE" w:rsidP="0006074C">
            <w:pPr>
              <w:rPr>
                <w:rStyle w:val="Strong"/>
              </w:rPr>
            </w:pPr>
            <w:r>
              <w:rPr>
                <w:rFonts w:ascii="Segoe UI" w:hAnsi="Segoe UI" w:cs="Segoe UI"/>
              </w:rPr>
              <w:t>Veterans’ s</w:t>
            </w:r>
            <w:r w:rsidRPr="00557C8E">
              <w:rPr>
                <w:rFonts w:ascii="Segoe UI" w:hAnsi="Segoe UI" w:cs="Segoe UI"/>
              </w:rPr>
              <w:t>upplement</w:t>
            </w:r>
          </w:p>
        </w:tc>
        <w:tc>
          <w:tcPr>
            <w:tcW w:w="637" w:type="pct"/>
          </w:tcPr>
          <w:p w:rsidR="00003CAE" w:rsidRPr="00557C8E" w:rsidRDefault="00003CAE" w:rsidP="0006074C">
            <w:pPr>
              <w:jc w:val="right"/>
              <w:rPr>
                <w:rFonts w:ascii="Segoe UI" w:hAnsi="Segoe UI" w:cs="Segoe UI"/>
              </w:rPr>
            </w:pPr>
            <w:r>
              <w:rPr>
                <w:rFonts w:ascii="Segoe UI" w:hAnsi="Segoe UI" w:cs="Segoe UI"/>
              </w:rPr>
              <w:t>$6.88</w:t>
            </w:r>
          </w:p>
        </w:tc>
        <w:tc>
          <w:tcPr>
            <w:tcW w:w="637" w:type="pct"/>
          </w:tcPr>
          <w:p w:rsidR="00003CAE" w:rsidRPr="00557C8E" w:rsidRDefault="00003CAE" w:rsidP="0006074C">
            <w:pPr>
              <w:jc w:val="right"/>
              <w:rPr>
                <w:rFonts w:ascii="Segoe UI" w:hAnsi="Segoe UI" w:cs="Segoe UI"/>
              </w:rPr>
            </w:pPr>
            <w:r>
              <w:rPr>
                <w:rFonts w:ascii="Segoe UI" w:hAnsi="Segoe UI" w:cs="Segoe UI"/>
              </w:rPr>
              <w:t>$6.98</w:t>
            </w:r>
          </w:p>
        </w:tc>
        <w:tc>
          <w:tcPr>
            <w:tcW w:w="637" w:type="pct"/>
          </w:tcPr>
          <w:p w:rsidR="00003CAE" w:rsidRPr="00557C8E" w:rsidRDefault="00003CAE" w:rsidP="0006074C">
            <w:pPr>
              <w:jc w:val="right"/>
              <w:rPr>
                <w:rFonts w:ascii="Segoe UI" w:hAnsi="Segoe UI" w:cs="Segoe UI"/>
              </w:rPr>
            </w:pPr>
            <w:r>
              <w:rPr>
                <w:rFonts w:ascii="Segoe UI" w:hAnsi="Segoe UI" w:cs="Segoe UI"/>
              </w:rPr>
              <w:t>$7.08</w:t>
            </w:r>
          </w:p>
        </w:tc>
      </w:tr>
      <w:tr w:rsidR="00003CAE" w:rsidRPr="00557C8E" w:rsidTr="0006074C">
        <w:trPr>
          <w:trHeight w:val="113"/>
        </w:trPr>
        <w:tc>
          <w:tcPr>
            <w:tcW w:w="3089" w:type="pct"/>
          </w:tcPr>
          <w:p w:rsidR="00003CAE" w:rsidRPr="00596D01" w:rsidRDefault="00003CAE" w:rsidP="0006074C">
            <w:pPr>
              <w:rPr>
                <w:rStyle w:val="Strong"/>
              </w:rPr>
            </w:pPr>
            <w:r w:rsidRPr="00557C8E">
              <w:rPr>
                <w:rFonts w:ascii="Segoe UI" w:hAnsi="Segoe UI" w:cs="Segoe UI"/>
              </w:rPr>
              <w:t xml:space="preserve">Homeless </w:t>
            </w:r>
            <w:r>
              <w:rPr>
                <w:rFonts w:ascii="Segoe UI" w:hAnsi="Segoe UI" w:cs="Segoe UI"/>
              </w:rPr>
              <w:t>s</w:t>
            </w:r>
            <w:r w:rsidRPr="00557C8E">
              <w:rPr>
                <w:rFonts w:ascii="Segoe UI" w:hAnsi="Segoe UI" w:cs="Segoe UI"/>
              </w:rPr>
              <w:t>upplement</w:t>
            </w:r>
          </w:p>
        </w:tc>
        <w:tc>
          <w:tcPr>
            <w:tcW w:w="637" w:type="pct"/>
          </w:tcPr>
          <w:p w:rsidR="00003CAE" w:rsidRPr="00557C8E" w:rsidRDefault="00003CAE" w:rsidP="0006074C">
            <w:pPr>
              <w:jc w:val="right"/>
              <w:rPr>
                <w:rFonts w:ascii="Segoe UI" w:hAnsi="Segoe UI" w:cs="Segoe UI"/>
              </w:rPr>
            </w:pPr>
            <w:r>
              <w:rPr>
                <w:rFonts w:ascii="Segoe UI" w:hAnsi="Segoe UI" w:cs="Segoe UI"/>
              </w:rPr>
              <w:t>$15.72</w:t>
            </w:r>
          </w:p>
        </w:tc>
        <w:tc>
          <w:tcPr>
            <w:tcW w:w="637" w:type="pct"/>
          </w:tcPr>
          <w:p w:rsidR="00003CAE" w:rsidRPr="00557C8E" w:rsidRDefault="00003CAE" w:rsidP="0006074C">
            <w:pPr>
              <w:jc w:val="right"/>
              <w:rPr>
                <w:rFonts w:ascii="Segoe UI" w:hAnsi="Segoe UI" w:cs="Segoe UI"/>
              </w:rPr>
            </w:pPr>
            <w:r>
              <w:rPr>
                <w:rFonts w:ascii="Segoe UI" w:hAnsi="Segoe UI" w:cs="Segoe UI"/>
              </w:rPr>
              <w:t>$15.94</w:t>
            </w:r>
          </w:p>
        </w:tc>
        <w:tc>
          <w:tcPr>
            <w:tcW w:w="637" w:type="pct"/>
          </w:tcPr>
          <w:p w:rsidR="00003CAE" w:rsidRPr="00557C8E" w:rsidRDefault="00003CAE" w:rsidP="0006074C">
            <w:pPr>
              <w:jc w:val="right"/>
              <w:rPr>
                <w:rFonts w:ascii="Segoe UI" w:hAnsi="Segoe UI" w:cs="Segoe UI"/>
              </w:rPr>
            </w:pPr>
            <w:r>
              <w:rPr>
                <w:rFonts w:ascii="Segoe UI" w:hAnsi="Segoe UI" w:cs="Segoe UI"/>
              </w:rPr>
              <w:t>$16.16</w:t>
            </w:r>
          </w:p>
        </w:tc>
      </w:tr>
    </w:tbl>
    <w:p w:rsidR="00D8721E" w:rsidRDefault="00F24B90" w:rsidP="0006074C">
      <w:pPr>
        <w:pStyle w:val="SourceNotes"/>
      </w:pPr>
      <w:r w:rsidRPr="00FE3514">
        <w:t>*These supplements are payable in respect of eligible residential respite care recipients.</w:t>
      </w:r>
    </w:p>
    <w:p w:rsidR="00DF3FAC" w:rsidRPr="00596D01" w:rsidRDefault="00867B1C" w:rsidP="0006074C">
      <w:pPr>
        <w:pStyle w:val="AppendixTable"/>
      </w:pPr>
      <w:r w:rsidRPr="00596D01">
        <w:t>Residential aged c</w:t>
      </w:r>
      <w:r w:rsidR="00DF3FAC" w:rsidRPr="00596D01">
        <w:t xml:space="preserve">are </w:t>
      </w:r>
      <w:r w:rsidRPr="00596D01">
        <w:t>supplements (accommodation and h</w:t>
      </w:r>
      <w:r w:rsidR="00DF3FAC" w:rsidRPr="00596D01">
        <w:t>otel relate</w:t>
      </w:r>
      <w:r w:rsidR="00230A56" w:rsidRPr="00596D01">
        <w:t>d</w:t>
      </w:r>
      <w:r w:rsidR="00DF3FAC" w:rsidRPr="00596D01">
        <w:t>)</w:t>
      </w:r>
    </w:p>
    <w:tbl>
      <w:tblPr>
        <w:tblStyle w:val="DefaultTable1"/>
        <w:tblW w:w="5000" w:type="pct"/>
        <w:tblLayout w:type="fixed"/>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7"/>
        <w:gridCol w:w="1227"/>
        <w:gridCol w:w="1227"/>
        <w:gridCol w:w="1227"/>
      </w:tblGrid>
      <w:tr w:rsidR="0006074C" w:rsidRPr="00557C8E" w:rsidTr="0006074C">
        <w:trPr>
          <w:cnfStyle w:val="100000000000" w:firstRow="1" w:lastRow="0" w:firstColumn="0" w:lastColumn="0" w:oddVBand="0" w:evenVBand="0" w:oddHBand="0" w:evenHBand="0" w:firstRowFirstColumn="0" w:firstRowLastColumn="0" w:lastRowFirstColumn="0" w:lastRowLastColumn="0"/>
          <w:trHeight w:val="113"/>
          <w:tblHeader/>
        </w:trPr>
        <w:tc>
          <w:tcPr>
            <w:tcW w:w="3089" w:type="pct"/>
          </w:tcPr>
          <w:p w:rsidR="009337F7" w:rsidRPr="006431C2" w:rsidRDefault="009337F7" w:rsidP="0006074C">
            <w:pPr>
              <w:rPr>
                <w:rFonts w:ascii="Segoe UI" w:hAnsi="Segoe UI" w:cs="Segoe UI"/>
                <w:sz w:val="22"/>
              </w:rPr>
            </w:pPr>
            <w:r w:rsidRPr="00596D01">
              <w:t>Residential care</w:t>
            </w:r>
          </w:p>
        </w:tc>
        <w:tc>
          <w:tcPr>
            <w:tcW w:w="637" w:type="pct"/>
          </w:tcPr>
          <w:p w:rsidR="009337F7" w:rsidRPr="006431C2" w:rsidRDefault="009337F7" w:rsidP="0006074C">
            <w:pPr>
              <w:jc w:val="right"/>
              <w:rPr>
                <w:rFonts w:ascii="Segoe UI" w:hAnsi="Segoe UI" w:cs="Segoe UI"/>
                <w:b w:val="0"/>
              </w:rPr>
            </w:pPr>
            <w:r w:rsidRPr="00596D01">
              <w:t>20/03/17</w:t>
            </w:r>
          </w:p>
        </w:tc>
        <w:tc>
          <w:tcPr>
            <w:tcW w:w="637" w:type="pct"/>
          </w:tcPr>
          <w:p w:rsidR="009337F7" w:rsidRPr="006431C2" w:rsidRDefault="009337F7" w:rsidP="0006074C">
            <w:pPr>
              <w:jc w:val="right"/>
              <w:rPr>
                <w:rFonts w:ascii="Segoe UI" w:hAnsi="Segoe UI" w:cs="Segoe UI"/>
                <w:b w:val="0"/>
              </w:rPr>
            </w:pPr>
            <w:r w:rsidRPr="00596D01">
              <w:t>20/09/17</w:t>
            </w:r>
          </w:p>
        </w:tc>
        <w:tc>
          <w:tcPr>
            <w:tcW w:w="637" w:type="pct"/>
          </w:tcPr>
          <w:p w:rsidR="009337F7" w:rsidRPr="00596D01" w:rsidRDefault="009337F7" w:rsidP="0006074C">
            <w:pPr>
              <w:jc w:val="right"/>
            </w:pPr>
            <w:r w:rsidRPr="00596D01">
              <w:t>20/03/18</w:t>
            </w:r>
          </w:p>
        </w:tc>
      </w:tr>
      <w:tr w:rsidR="0006074C" w:rsidRPr="00557C8E" w:rsidTr="0006074C">
        <w:trPr>
          <w:trHeight w:val="113"/>
        </w:trPr>
        <w:tc>
          <w:tcPr>
            <w:tcW w:w="3089" w:type="pct"/>
          </w:tcPr>
          <w:p w:rsidR="00003CAE" w:rsidRPr="00596D01" w:rsidRDefault="00003CAE" w:rsidP="0006074C">
            <w:pPr>
              <w:rPr>
                <w:rStyle w:val="Strong"/>
              </w:rPr>
            </w:pPr>
            <w:r>
              <w:rPr>
                <w:rFonts w:ascii="Segoe UI" w:hAnsi="Segoe UI" w:cs="Segoe UI"/>
              </w:rPr>
              <w:t xml:space="preserve">Higher </w:t>
            </w:r>
            <w:r w:rsidR="00F42EAB">
              <w:rPr>
                <w:rFonts w:ascii="Segoe UI" w:hAnsi="Segoe UI" w:cs="Segoe UI"/>
              </w:rPr>
              <w:t>a</w:t>
            </w:r>
            <w:r>
              <w:rPr>
                <w:rFonts w:ascii="Segoe UI" w:hAnsi="Segoe UI" w:cs="Segoe UI"/>
              </w:rPr>
              <w:t xml:space="preserve">ccommodation </w:t>
            </w:r>
            <w:r w:rsidR="00F42EAB">
              <w:rPr>
                <w:rFonts w:ascii="Segoe UI" w:hAnsi="Segoe UI" w:cs="Segoe UI"/>
              </w:rPr>
              <w:t>s</w:t>
            </w:r>
            <w:r w:rsidRPr="00557C8E">
              <w:rPr>
                <w:rFonts w:ascii="Segoe UI" w:hAnsi="Segoe UI" w:cs="Segoe UI"/>
              </w:rPr>
              <w:t>upplement</w:t>
            </w:r>
            <w:r w:rsidR="00D8721E">
              <w:rPr>
                <w:rFonts w:ascii="Segoe UI" w:hAnsi="Segoe UI" w:cs="Segoe UI"/>
              </w:rPr>
              <w:t xml:space="preserve"> – </w:t>
            </w:r>
            <w:r>
              <w:rPr>
                <w:rFonts w:ascii="Segoe UI" w:hAnsi="Segoe UI" w:cs="Segoe UI"/>
              </w:rPr>
              <w:t xml:space="preserve">newly built or significantly refurbished </w:t>
            </w:r>
            <w:r w:rsidR="00D871E6">
              <w:rPr>
                <w:rFonts w:ascii="Segoe UI" w:hAnsi="Segoe UI" w:cs="Segoe UI"/>
              </w:rPr>
              <w:t>facilities</w:t>
            </w:r>
          </w:p>
        </w:tc>
        <w:tc>
          <w:tcPr>
            <w:tcW w:w="637" w:type="pct"/>
          </w:tcPr>
          <w:p w:rsidR="00003CAE" w:rsidRPr="00557C8E" w:rsidRDefault="00003CAE" w:rsidP="0006074C">
            <w:pPr>
              <w:jc w:val="right"/>
              <w:rPr>
                <w:rFonts w:ascii="Segoe UI" w:hAnsi="Segoe UI" w:cs="Segoe UI"/>
              </w:rPr>
            </w:pPr>
            <w:r>
              <w:rPr>
                <w:rFonts w:ascii="Segoe UI" w:hAnsi="Segoe UI" w:cs="Segoe UI"/>
              </w:rPr>
              <w:t>$55.09</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55.44</w:t>
            </w:r>
          </w:p>
        </w:tc>
        <w:tc>
          <w:tcPr>
            <w:tcW w:w="637" w:type="pct"/>
          </w:tcPr>
          <w:p w:rsidR="00003CAE" w:rsidRPr="00557C8E" w:rsidRDefault="00003CAE" w:rsidP="0006074C">
            <w:pPr>
              <w:jc w:val="right"/>
              <w:rPr>
                <w:rFonts w:ascii="Segoe UI" w:hAnsi="Segoe UI" w:cs="Segoe UI"/>
              </w:rPr>
            </w:pPr>
            <w:r>
              <w:rPr>
                <w:rFonts w:ascii="Segoe UI" w:hAnsi="Segoe UI" w:cs="Segoe UI"/>
              </w:rPr>
              <w:t>$56.14</w:t>
            </w:r>
          </w:p>
        </w:tc>
      </w:tr>
      <w:tr w:rsidR="0006074C" w:rsidRPr="00557C8E" w:rsidTr="0006074C">
        <w:trPr>
          <w:trHeight w:val="113"/>
        </w:trPr>
        <w:tc>
          <w:tcPr>
            <w:tcW w:w="3089" w:type="pct"/>
          </w:tcPr>
          <w:p w:rsidR="00003CAE" w:rsidRPr="00596D01" w:rsidRDefault="00003CAE" w:rsidP="0006074C">
            <w:pPr>
              <w:rPr>
                <w:rStyle w:val="Strong"/>
              </w:rPr>
            </w:pPr>
            <w:r>
              <w:rPr>
                <w:rFonts w:ascii="Segoe UI" w:hAnsi="Segoe UI" w:cs="Segoe UI"/>
              </w:rPr>
              <w:t>Accommodation s</w:t>
            </w:r>
            <w:r w:rsidRPr="00557C8E">
              <w:rPr>
                <w:rFonts w:ascii="Segoe UI" w:hAnsi="Segoe UI" w:cs="Segoe UI"/>
              </w:rPr>
              <w:t>upplement</w:t>
            </w:r>
            <w:r w:rsidR="00D8721E">
              <w:rPr>
                <w:rFonts w:ascii="Segoe UI" w:hAnsi="Segoe UI" w:cs="Segoe UI"/>
              </w:rPr>
              <w:t xml:space="preserve"> – </w:t>
            </w:r>
            <w:r w:rsidR="00D871E6">
              <w:rPr>
                <w:rFonts w:ascii="Segoe UI" w:hAnsi="Segoe UI" w:cs="Segoe UI"/>
              </w:rPr>
              <w:t>facilities</w:t>
            </w:r>
            <w:r>
              <w:rPr>
                <w:rFonts w:ascii="Segoe UI" w:hAnsi="Segoe UI" w:cs="Segoe UI"/>
              </w:rPr>
              <w:t xml:space="preserve"> that are not newly built or significantly refurbished but do meet set building requirements</w:t>
            </w:r>
          </w:p>
        </w:tc>
        <w:tc>
          <w:tcPr>
            <w:tcW w:w="637" w:type="pct"/>
          </w:tcPr>
          <w:p w:rsidR="00003CAE" w:rsidRPr="00557C8E" w:rsidRDefault="00003CAE" w:rsidP="0006074C">
            <w:pPr>
              <w:jc w:val="right"/>
              <w:rPr>
                <w:rFonts w:ascii="Segoe UI" w:hAnsi="Segoe UI" w:cs="Segoe UI"/>
              </w:rPr>
            </w:pPr>
            <w:r>
              <w:rPr>
                <w:rFonts w:ascii="Segoe UI" w:hAnsi="Segoe UI" w:cs="Segoe UI"/>
              </w:rPr>
              <w:t>$35.90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36.13</w:t>
            </w:r>
          </w:p>
        </w:tc>
        <w:tc>
          <w:tcPr>
            <w:tcW w:w="637" w:type="pct"/>
          </w:tcPr>
          <w:p w:rsidR="00003CAE" w:rsidRPr="00557C8E" w:rsidRDefault="00003CAE" w:rsidP="0006074C">
            <w:pPr>
              <w:jc w:val="right"/>
              <w:rPr>
                <w:rFonts w:ascii="Segoe UI" w:hAnsi="Segoe UI" w:cs="Segoe UI"/>
              </w:rPr>
            </w:pPr>
            <w:r>
              <w:rPr>
                <w:rFonts w:ascii="Segoe UI" w:hAnsi="Segoe UI" w:cs="Segoe UI"/>
              </w:rPr>
              <w:t>$36.59</w:t>
            </w:r>
          </w:p>
        </w:tc>
      </w:tr>
      <w:tr w:rsidR="0006074C" w:rsidRPr="00557C8E" w:rsidTr="0006074C">
        <w:trPr>
          <w:trHeight w:val="113"/>
        </w:trPr>
        <w:tc>
          <w:tcPr>
            <w:tcW w:w="3089" w:type="pct"/>
          </w:tcPr>
          <w:p w:rsidR="00003CAE" w:rsidRPr="00596D01" w:rsidRDefault="00003CAE" w:rsidP="0006074C">
            <w:pPr>
              <w:rPr>
                <w:rStyle w:val="Strong"/>
              </w:rPr>
            </w:pPr>
            <w:r>
              <w:rPr>
                <w:rFonts w:ascii="Segoe UI" w:hAnsi="Segoe UI" w:cs="Segoe UI"/>
              </w:rPr>
              <w:t xml:space="preserve">Accommodation supplement – </w:t>
            </w:r>
            <w:r w:rsidR="00D871E6">
              <w:rPr>
                <w:rFonts w:ascii="Segoe UI" w:hAnsi="Segoe UI" w:cs="Segoe UI"/>
              </w:rPr>
              <w:t>facilities</w:t>
            </w:r>
            <w:r>
              <w:rPr>
                <w:rFonts w:ascii="Segoe UI" w:hAnsi="Segoe UI" w:cs="Segoe UI"/>
              </w:rPr>
              <w:t xml:space="preserve"> that are not newly built or significantly refurbished and don’t meet set building requirements</w:t>
            </w:r>
            <w:r w:rsidR="00D8721E">
              <w:rPr>
                <w:rFonts w:ascii="Segoe UI" w:hAnsi="Segoe UI" w:cs="Segoe UI"/>
              </w:rPr>
              <w:t xml:space="preserve"> </w:t>
            </w:r>
          </w:p>
        </w:tc>
        <w:tc>
          <w:tcPr>
            <w:tcW w:w="637" w:type="pct"/>
          </w:tcPr>
          <w:p w:rsidR="00003CAE" w:rsidRPr="00557C8E" w:rsidRDefault="00003CAE" w:rsidP="0006074C">
            <w:pPr>
              <w:jc w:val="right"/>
              <w:rPr>
                <w:rFonts w:ascii="Segoe UI" w:hAnsi="Segoe UI" w:cs="Segoe UI"/>
              </w:rPr>
            </w:pPr>
            <w:r>
              <w:rPr>
                <w:rFonts w:ascii="Segoe UI" w:hAnsi="Segoe UI" w:cs="Segoe UI"/>
              </w:rPr>
              <w:t>$30.17</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30.36</w:t>
            </w:r>
          </w:p>
        </w:tc>
        <w:tc>
          <w:tcPr>
            <w:tcW w:w="637" w:type="pct"/>
          </w:tcPr>
          <w:p w:rsidR="00003CAE" w:rsidRPr="00557C8E" w:rsidRDefault="00003CAE" w:rsidP="0006074C">
            <w:pPr>
              <w:jc w:val="right"/>
              <w:rPr>
                <w:rFonts w:ascii="Segoe UI" w:hAnsi="Segoe UI" w:cs="Segoe UI"/>
              </w:rPr>
            </w:pPr>
            <w:r>
              <w:rPr>
                <w:rFonts w:ascii="Segoe UI" w:hAnsi="Segoe UI" w:cs="Segoe UI"/>
              </w:rPr>
              <w:t>$30.74</w:t>
            </w:r>
          </w:p>
        </w:tc>
      </w:tr>
      <w:tr w:rsidR="0006074C" w:rsidRPr="00557C8E" w:rsidTr="0006074C">
        <w:trPr>
          <w:trHeight w:val="113"/>
        </w:trPr>
        <w:tc>
          <w:tcPr>
            <w:tcW w:w="3089" w:type="pct"/>
          </w:tcPr>
          <w:p w:rsidR="00003CAE" w:rsidRPr="00557C8E" w:rsidDel="00CE415C" w:rsidRDefault="00003CAE" w:rsidP="0006074C">
            <w:pPr>
              <w:rPr>
                <w:rFonts w:ascii="Segoe UI" w:hAnsi="Segoe UI" w:cs="Segoe UI"/>
              </w:rPr>
            </w:pPr>
            <w:r>
              <w:rPr>
                <w:rFonts w:ascii="Segoe UI" w:hAnsi="Segoe UI" w:cs="Segoe UI"/>
              </w:rPr>
              <w:t>Concessional resident supplement (concessional and assisted residents)</w:t>
            </w:r>
            <w:r w:rsidR="00D8721E">
              <w:rPr>
                <w:rFonts w:ascii="Segoe UI" w:hAnsi="Segoe UI" w:cs="Segoe UI"/>
              </w:rPr>
              <w:t xml:space="preserve"> – </w:t>
            </w:r>
            <w:r>
              <w:rPr>
                <w:rFonts w:ascii="Segoe UI" w:hAnsi="Segoe UI" w:cs="Segoe UI"/>
              </w:rPr>
              <w:t xml:space="preserve">newly built or significantly refurbished </w:t>
            </w:r>
            <w:r w:rsidR="00D871E6">
              <w:rPr>
                <w:rFonts w:ascii="Segoe UI" w:hAnsi="Segoe UI" w:cs="Segoe UI"/>
              </w:rPr>
              <w:t>facilities</w:t>
            </w:r>
          </w:p>
        </w:tc>
        <w:tc>
          <w:tcPr>
            <w:tcW w:w="637" w:type="pct"/>
          </w:tcPr>
          <w:p w:rsidR="00003CAE" w:rsidRDefault="00003CAE" w:rsidP="0006074C">
            <w:pPr>
              <w:jc w:val="right"/>
              <w:rPr>
                <w:rFonts w:ascii="Segoe UI" w:hAnsi="Segoe UI" w:cs="Segoe UI"/>
              </w:rPr>
            </w:pPr>
            <w:r>
              <w:rPr>
                <w:rFonts w:ascii="Segoe UI" w:hAnsi="Segoe UI" w:cs="Segoe UI"/>
              </w:rPr>
              <w:t>$55.09</w:t>
            </w:r>
          </w:p>
        </w:tc>
        <w:tc>
          <w:tcPr>
            <w:tcW w:w="637" w:type="pct"/>
          </w:tcPr>
          <w:p w:rsidR="00003CAE" w:rsidRPr="00557C8E" w:rsidRDefault="00003CAE" w:rsidP="0006074C">
            <w:pPr>
              <w:jc w:val="right"/>
              <w:rPr>
                <w:rFonts w:ascii="Segoe UI" w:hAnsi="Segoe UI" w:cs="Segoe UI"/>
              </w:rPr>
            </w:pPr>
            <w:r>
              <w:rPr>
                <w:rFonts w:ascii="Segoe UI" w:hAnsi="Segoe UI" w:cs="Segoe UI"/>
              </w:rPr>
              <w:t>$55.44</w:t>
            </w:r>
          </w:p>
        </w:tc>
        <w:tc>
          <w:tcPr>
            <w:tcW w:w="637" w:type="pct"/>
          </w:tcPr>
          <w:p w:rsidR="00003CAE" w:rsidRDefault="00003CAE" w:rsidP="0006074C">
            <w:pPr>
              <w:jc w:val="right"/>
              <w:rPr>
                <w:rFonts w:ascii="Segoe UI" w:hAnsi="Segoe UI" w:cs="Segoe UI"/>
              </w:rPr>
            </w:pPr>
            <w:r>
              <w:rPr>
                <w:rFonts w:ascii="Segoe UI" w:hAnsi="Segoe UI" w:cs="Segoe UI"/>
              </w:rPr>
              <w:t>$56.14</w:t>
            </w:r>
          </w:p>
        </w:tc>
      </w:tr>
      <w:tr w:rsidR="0006074C" w:rsidRPr="00557C8E" w:rsidTr="0006074C">
        <w:trPr>
          <w:trHeight w:val="113"/>
        </w:trPr>
        <w:tc>
          <w:tcPr>
            <w:tcW w:w="3089" w:type="pct"/>
          </w:tcPr>
          <w:p w:rsidR="00003CAE" w:rsidRPr="00557C8E" w:rsidRDefault="00003CAE" w:rsidP="0006074C">
            <w:pPr>
              <w:rPr>
                <w:rFonts w:ascii="Segoe UI" w:hAnsi="Segoe UI" w:cs="Segoe UI"/>
              </w:rPr>
            </w:pPr>
            <w:r>
              <w:rPr>
                <w:rFonts w:ascii="Segoe UI" w:hAnsi="Segoe UI" w:cs="Segoe UI"/>
              </w:rPr>
              <w:t xml:space="preserve">Concessional resident supplement (concessional residents) – </w:t>
            </w:r>
            <w:r w:rsidR="00D871E6">
              <w:rPr>
                <w:rFonts w:ascii="Segoe UI" w:hAnsi="Segoe UI" w:cs="Segoe UI"/>
              </w:rPr>
              <w:t>facilities</w:t>
            </w:r>
            <w:r>
              <w:rPr>
                <w:rFonts w:ascii="Segoe UI" w:hAnsi="Segoe UI" w:cs="Segoe UI"/>
              </w:rPr>
              <w:t xml:space="preserve"> that are not newly built or refurbished</w:t>
            </w:r>
          </w:p>
        </w:tc>
        <w:tc>
          <w:tcPr>
            <w:tcW w:w="637" w:type="pct"/>
          </w:tcPr>
          <w:p w:rsidR="00003CAE" w:rsidRDefault="00003CAE" w:rsidP="0006074C">
            <w:pPr>
              <w:jc w:val="right"/>
              <w:rPr>
                <w:rFonts w:ascii="Segoe UI" w:hAnsi="Segoe UI" w:cs="Segoe UI"/>
              </w:rPr>
            </w:pPr>
            <w:r>
              <w:rPr>
                <w:rFonts w:ascii="Segoe UI" w:hAnsi="Segoe UI" w:cs="Segoe UI"/>
              </w:rPr>
              <w:t>$21.95</w:t>
            </w:r>
          </w:p>
        </w:tc>
        <w:tc>
          <w:tcPr>
            <w:tcW w:w="637" w:type="pct"/>
          </w:tcPr>
          <w:p w:rsidR="00003CAE" w:rsidRPr="00557C8E" w:rsidRDefault="00003CAE" w:rsidP="0006074C">
            <w:pPr>
              <w:jc w:val="right"/>
              <w:rPr>
                <w:rFonts w:ascii="Segoe UI" w:hAnsi="Segoe UI" w:cs="Segoe UI"/>
              </w:rPr>
            </w:pPr>
            <w:r>
              <w:rPr>
                <w:rFonts w:ascii="Segoe UI" w:hAnsi="Segoe UI" w:cs="Segoe UI"/>
              </w:rPr>
              <w:t>$22.09</w:t>
            </w:r>
          </w:p>
        </w:tc>
        <w:tc>
          <w:tcPr>
            <w:tcW w:w="637" w:type="pct"/>
          </w:tcPr>
          <w:p w:rsidR="00003CAE" w:rsidRDefault="00003CAE" w:rsidP="0006074C">
            <w:pPr>
              <w:jc w:val="right"/>
              <w:rPr>
                <w:rFonts w:ascii="Segoe UI" w:hAnsi="Segoe UI" w:cs="Segoe UI"/>
              </w:rPr>
            </w:pPr>
            <w:r>
              <w:rPr>
                <w:rFonts w:ascii="Segoe UI" w:hAnsi="Segoe UI" w:cs="Segoe UI"/>
              </w:rPr>
              <w:t>$22.37</w:t>
            </w:r>
          </w:p>
        </w:tc>
      </w:tr>
      <w:tr w:rsidR="0006074C" w:rsidRPr="00557C8E" w:rsidTr="0006074C">
        <w:trPr>
          <w:trHeight w:val="113"/>
        </w:trPr>
        <w:tc>
          <w:tcPr>
            <w:tcW w:w="3089" w:type="pct"/>
          </w:tcPr>
          <w:p w:rsidR="00003CAE" w:rsidRPr="00596D01" w:rsidRDefault="00003CAE" w:rsidP="0006074C">
            <w:pPr>
              <w:rPr>
                <w:rStyle w:val="Strong"/>
              </w:rPr>
            </w:pPr>
            <w:r>
              <w:rPr>
                <w:rFonts w:ascii="Segoe UI" w:hAnsi="Segoe UI" w:cs="Segoe UI"/>
              </w:rPr>
              <w:t>Concessional resident supplement (a</w:t>
            </w:r>
            <w:r w:rsidRPr="00557C8E">
              <w:rPr>
                <w:rFonts w:ascii="Segoe UI" w:hAnsi="Segoe UI" w:cs="Segoe UI"/>
              </w:rPr>
              <w:t>ssisted residents</w:t>
            </w:r>
            <w:r>
              <w:rPr>
                <w:rFonts w:ascii="Segoe UI" w:hAnsi="Segoe UI" w:cs="Segoe UI"/>
              </w:rPr>
              <w:t>)</w:t>
            </w:r>
            <w:r w:rsidR="00D8721E">
              <w:rPr>
                <w:rFonts w:ascii="Segoe UI" w:hAnsi="Segoe UI" w:cs="Segoe UI"/>
              </w:rPr>
              <w:t xml:space="preserve"> – </w:t>
            </w:r>
            <w:r w:rsidR="00D871E6">
              <w:rPr>
                <w:rFonts w:ascii="Segoe UI" w:hAnsi="Segoe UI" w:cs="Segoe UI"/>
              </w:rPr>
              <w:t>facilities</w:t>
            </w:r>
            <w:r>
              <w:rPr>
                <w:rFonts w:ascii="Segoe UI" w:hAnsi="Segoe UI" w:cs="Segoe UI"/>
              </w:rPr>
              <w:t xml:space="preserve"> that are not newly built or significantly refurbished</w:t>
            </w:r>
          </w:p>
        </w:tc>
        <w:tc>
          <w:tcPr>
            <w:tcW w:w="637" w:type="pct"/>
          </w:tcPr>
          <w:p w:rsidR="00003CAE" w:rsidRPr="00557C8E" w:rsidRDefault="00003CAE" w:rsidP="0006074C">
            <w:pPr>
              <w:jc w:val="right"/>
              <w:rPr>
                <w:rFonts w:ascii="Segoe UI" w:hAnsi="Segoe UI" w:cs="Segoe UI"/>
              </w:rPr>
            </w:pPr>
            <w:r>
              <w:rPr>
                <w:rFonts w:ascii="Segoe UI" w:hAnsi="Segoe UI" w:cs="Segoe UI"/>
              </w:rPr>
              <w:t>$9.03</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9.09</w:t>
            </w:r>
          </w:p>
        </w:tc>
        <w:tc>
          <w:tcPr>
            <w:tcW w:w="637" w:type="pct"/>
          </w:tcPr>
          <w:p w:rsidR="00003CAE" w:rsidRPr="00557C8E" w:rsidRDefault="00003CAE" w:rsidP="0006074C">
            <w:pPr>
              <w:jc w:val="right"/>
              <w:rPr>
                <w:rFonts w:ascii="Segoe UI" w:hAnsi="Segoe UI" w:cs="Segoe UI"/>
              </w:rPr>
            </w:pPr>
            <w:r>
              <w:rPr>
                <w:rFonts w:ascii="Segoe UI" w:hAnsi="Segoe UI" w:cs="Segoe UI"/>
              </w:rPr>
              <w:t>$9.20</w:t>
            </w:r>
          </w:p>
        </w:tc>
      </w:tr>
      <w:tr w:rsidR="0006074C" w:rsidRPr="00557C8E" w:rsidTr="0006074C">
        <w:trPr>
          <w:trHeight w:val="113"/>
        </w:trPr>
        <w:tc>
          <w:tcPr>
            <w:tcW w:w="3089" w:type="pct"/>
            <w:noWrap/>
          </w:tcPr>
          <w:p w:rsidR="00003CAE" w:rsidRPr="00596D01" w:rsidRDefault="00003CAE" w:rsidP="0006074C">
            <w:pPr>
              <w:rPr>
                <w:rStyle w:val="Strong"/>
              </w:rPr>
            </w:pPr>
            <w:r w:rsidRPr="00557C8E">
              <w:rPr>
                <w:rFonts w:ascii="Segoe UI" w:hAnsi="Segoe UI" w:cs="Segoe UI"/>
              </w:rPr>
              <w:t>After 19</w:t>
            </w:r>
            <w:r w:rsidRPr="00557C8E">
              <w:rPr>
                <w:rFonts w:ascii="Segoe UI" w:hAnsi="Segoe UI" w:cs="Segoe UI"/>
                <w:sz w:val="16"/>
                <w:szCs w:val="16"/>
              </w:rPr>
              <w:t> </w:t>
            </w:r>
            <w:r w:rsidRPr="00557C8E">
              <w:rPr>
                <w:rFonts w:ascii="Segoe UI" w:hAnsi="Segoe UI" w:cs="Segoe UI"/>
              </w:rPr>
              <w:t>March</w:t>
            </w:r>
            <w:r w:rsidR="00A261F3">
              <w:rPr>
                <w:rFonts w:ascii="Segoe UI" w:hAnsi="Segoe UI" w:cs="Segoe UI"/>
                <w:sz w:val="16"/>
                <w:szCs w:val="16"/>
              </w:rPr>
              <w:t> 200</w:t>
            </w:r>
            <w:r w:rsidRPr="00557C8E">
              <w:rPr>
                <w:rFonts w:ascii="Segoe UI" w:hAnsi="Segoe UI" w:cs="Segoe UI"/>
              </w:rPr>
              <w:t>8 and before 20</w:t>
            </w:r>
            <w:r w:rsidRPr="00C41EE8">
              <w:rPr>
                <w:rFonts w:ascii="Segoe UI" w:hAnsi="Segoe UI" w:cs="Segoe UI"/>
              </w:rPr>
              <w:t> September</w:t>
            </w:r>
            <w:r w:rsidR="00A261F3">
              <w:rPr>
                <w:rFonts w:ascii="Segoe UI" w:hAnsi="Segoe UI" w:cs="Segoe UI"/>
                <w:sz w:val="16"/>
                <w:szCs w:val="16"/>
              </w:rPr>
              <w:t> 201</w:t>
            </w:r>
            <w:r w:rsidRPr="00557C8E">
              <w:rPr>
                <w:rFonts w:ascii="Segoe UI" w:hAnsi="Segoe UI" w:cs="Segoe UI"/>
              </w:rPr>
              <w:t>0</w:t>
            </w:r>
          </w:p>
        </w:tc>
        <w:tc>
          <w:tcPr>
            <w:tcW w:w="637" w:type="pct"/>
          </w:tcPr>
          <w:p w:rsidR="00003CAE" w:rsidRPr="00557C8E" w:rsidRDefault="00003CAE" w:rsidP="0006074C">
            <w:pPr>
              <w:jc w:val="right"/>
              <w:rPr>
                <w:rFonts w:ascii="Segoe UI" w:hAnsi="Segoe UI" w:cs="Segoe UI"/>
              </w:rPr>
            </w:pPr>
            <w:r>
              <w:rPr>
                <w:rFonts w:ascii="Segoe UI" w:hAnsi="Segoe UI" w:cs="Segoe UI"/>
              </w:rPr>
              <w:t>$8.22</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8.27</w:t>
            </w:r>
          </w:p>
        </w:tc>
        <w:tc>
          <w:tcPr>
            <w:tcW w:w="637" w:type="pct"/>
            <w:noWrap/>
          </w:tcPr>
          <w:p w:rsidR="00003CAE" w:rsidRPr="00557C8E" w:rsidRDefault="00003CAE" w:rsidP="0006074C">
            <w:pPr>
              <w:jc w:val="right"/>
              <w:rPr>
                <w:rFonts w:ascii="Segoe UI" w:hAnsi="Segoe UI" w:cs="Segoe UI"/>
              </w:rPr>
            </w:pPr>
            <w:r>
              <w:rPr>
                <w:rFonts w:ascii="Segoe UI" w:hAnsi="Segoe UI" w:cs="Segoe UI"/>
              </w:rPr>
              <w:t>$8.37</w:t>
            </w:r>
          </w:p>
        </w:tc>
      </w:tr>
      <w:tr w:rsidR="0006074C" w:rsidRPr="00557C8E" w:rsidTr="0006074C">
        <w:trPr>
          <w:trHeight w:val="113"/>
        </w:trPr>
        <w:tc>
          <w:tcPr>
            <w:tcW w:w="3089" w:type="pct"/>
            <w:noWrap/>
          </w:tcPr>
          <w:p w:rsidR="00003CAE" w:rsidRPr="00596D01" w:rsidRDefault="00003CAE" w:rsidP="0006074C">
            <w:pPr>
              <w:rPr>
                <w:rStyle w:val="Strong"/>
              </w:rPr>
            </w:pPr>
            <w:r w:rsidRPr="00557C8E">
              <w:rPr>
                <w:rFonts w:ascii="Segoe UI" w:hAnsi="Segoe UI" w:cs="Segoe UI"/>
              </w:rPr>
              <w:t>After 19</w:t>
            </w:r>
            <w:r w:rsidRPr="00C41EE8">
              <w:rPr>
                <w:rFonts w:ascii="Segoe UI" w:hAnsi="Segoe UI" w:cs="Segoe UI"/>
              </w:rPr>
              <w:t> September</w:t>
            </w:r>
            <w:r w:rsidR="00A261F3">
              <w:rPr>
                <w:rFonts w:ascii="Segoe UI" w:hAnsi="Segoe UI" w:cs="Segoe UI"/>
                <w:sz w:val="16"/>
                <w:szCs w:val="16"/>
              </w:rPr>
              <w:t> 201</w:t>
            </w:r>
            <w:r w:rsidRPr="00557C8E">
              <w:rPr>
                <w:rFonts w:ascii="Segoe UI" w:hAnsi="Segoe UI" w:cs="Segoe UI"/>
              </w:rPr>
              <w:t>0 and before 20</w:t>
            </w:r>
            <w:r w:rsidRPr="00557C8E">
              <w:rPr>
                <w:rFonts w:ascii="Segoe UI" w:hAnsi="Segoe UI" w:cs="Segoe UI"/>
                <w:sz w:val="16"/>
                <w:szCs w:val="16"/>
              </w:rPr>
              <w:t> </w:t>
            </w:r>
            <w:r w:rsidRPr="00557C8E">
              <w:rPr>
                <w:rFonts w:ascii="Segoe UI" w:hAnsi="Segoe UI" w:cs="Segoe UI"/>
              </w:rPr>
              <w:t>March</w:t>
            </w:r>
            <w:r w:rsidR="00A261F3">
              <w:rPr>
                <w:rFonts w:ascii="Segoe UI" w:hAnsi="Segoe UI" w:cs="Segoe UI"/>
                <w:sz w:val="16"/>
                <w:szCs w:val="16"/>
              </w:rPr>
              <w:t> 201</w:t>
            </w:r>
            <w:r w:rsidRPr="00557C8E">
              <w:rPr>
                <w:rFonts w:ascii="Segoe UI" w:hAnsi="Segoe UI" w:cs="Segoe UI"/>
              </w:rPr>
              <w:t>1</w:t>
            </w:r>
          </w:p>
        </w:tc>
        <w:tc>
          <w:tcPr>
            <w:tcW w:w="637" w:type="pct"/>
          </w:tcPr>
          <w:p w:rsidR="00003CAE" w:rsidRPr="00557C8E" w:rsidRDefault="00003CAE" w:rsidP="0006074C">
            <w:pPr>
              <w:jc w:val="right"/>
              <w:rPr>
                <w:rFonts w:ascii="Segoe UI" w:hAnsi="Segoe UI" w:cs="Segoe UI"/>
              </w:rPr>
            </w:pPr>
            <w:r>
              <w:rPr>
                <w:rFonts w:ascii="Segoe UI" w:hAnsi="Segoe UI" w:cs="Segoe UI"/>
              </w:rPr>
              <w:t>$5.48</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5.51</w:t>
            </w:r>
          </w:p>
        </w:tc>
        <w:tc>
          <w:tcPr>
            <w:tcW w:w="637" w:type="pct"/>
            <w:noWrap/>
          </w:tcPr>
          <w:p w:rsidR="00003CAE" w:rsidRPr="00557C8E" w:rsidRDefault="00003CAE" w:rsidP="0006074C">
            <w:pPr>
              <w:jc w:val="right"/>
              <w:rPr>
                <w:rFonts w:ascii="Segoe UI" w:hAnsi="Segoe UI" w:cs="Segoe UI"/>
              </w:rPr>
            </w:pPr>
            <w:r>
              <w:rPr>
                <w:rFonts w:ascii="Segoe UI" w:hAnsi="Segoe UI" w:cs="Segoe UI"/>
              </w:rPr>
              <w:t>$5.58</w:t>
            </w:r>
          </w:p>
        </w:tc>
      </w:tr>
      <w:tr w:rsidR="0006074C" w:rsidRPr="00557C8E" w:rsidTr="0006074C">
        <w:trPr>
          <w:trHeight w:val="113"/>
        </w:trPr>
        <w:tc>
          <w:tcPr>
            <w:tcW w:w="3089" w:type="pct"/>
            <w:noWrap/>
          </w:tcPr>
          <w:p w:rsidR="00003CAE" w:rsidRPr="00596D01" w:rsidRDefault="00003CAE" w:rsidP="0006074C">
            <w:pPr>
              <w:rPr>
                <w:rStyle w:val="Strong"/>
              </w:rPr>
            </w:pPr>
            <w:r w:rsidRPr="00557C8E">
              <w:rPr>
                <w:rFonts w:ascii="Segoe UI" w:hAnsi="Segoe UI" w:cs="Segoe UI"/>
              </w:rPr>
              <w:t>After 19</w:t>
            </w:r>
            <w:r w:rsidRPr="00557C8E">
              <w:rPr>
                <w:rFonts w:ascii="Segoe UI" w:hAnsi="Segoe UI" w:cs="Segoe UI"/>
                <w:sz w:val="16"/>
                <w:szCs w:val="16"/>
              </w:rPr>
              <w:t> </w:t>
            </w:r>
            <w:r w:rsidRPr="00557C8E">
              <w:rPr>
                <w:rFonts w:ascii="Segoe UI" w:hAnsi="Segoe UI" w:cs="Segoe UI"/>
              </w:rPr>
              <w:t>March</w:t>
            </w:r>
            <w:r w:rsidR="00A261F3">
              <w:rPr>
                <w:rFonts w:ascii="Segoe UI" w:hAnsi="Segoe UI" w:cs="Segoe UI"/>
                <w:sz w:val="16"/>
                <w:szCs w:val="16"/>
              </w:rPr>
              <w:t> 201</w:t>
            </w:r>
            <w:r w:rsidRPr="00557C8E">
              <w:rPr>
                <w:rFonts w:ascii="Segoe UI" w:hAnsi="Segoe UI" w:cs="Segoe UI"/>
              </w:rPr>
              <w:t>1 and before 20 September</w:t>
            </w:r>
            <w:r w:rsidR="00A261F3">
              <w:rPr>
                <w:rFonts w:ascii="Segoe UI" w:hAnsi="Segoe UI" w:cs="Segoe UI"/>
              </w:rPr>
              <w:t> 201</w:t>
            </w:r>
            <w:r w:rsidRPr="00557C8E">
              <w:rPr>
                <w:rFonts w:ascii="Segoe UI" w:hAnsi="Segoe UI" w:cs="Segoe UI"/>
              </w:rPr>
              <w:t>1</w:t>
            </w:r>
          </w:p>
        </w:tc>
        <w:tc>
          <w:tcPr>
            <w:tcW w:w="637" w:type="pct"/>
          </w:tcPr>
          <w:p w:rsidR="00003CAE" w:rsidRPr="00557C8E" w:rsidRDefault="00003CAE" w:rsidP="0006074C">
            <w:pPr>
              <w:jc w:val="right"/>
              <w:rPr>
                <w:rFonts w:ascii="Segoe UI" w:hAnsi="Segoe UI" w:cs="Segoe UI"/>
              </w:rPr>
            </w:pPr>
            <w:r>
              <w:rPr>
                <w:rFonts w:ascii="Segoe UI" w:hAnsi="Segoe UI" w:cs="Segoe UI"/>
              </w:rPr>
              <w:t>$2.74</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2.76</w:t>
            </w:r>
          </w:p>
        </w:tc>
        <w:tc>
          <w:tcPr>
            <w:tcW w:w="637" w:type="pct"/>
            <w:noWrap/>
          </w:tcPr>
          <w:p w:rsidR="00003CAE" w:rsidRPr="00557C8E" w:rsidRDefault="00003CAE" w:rsidP="0006074C">
            <w:pPr>
              <w:jc w:val="right"/>
              <w:rPr>
                <w:rFonts w:ascii="Segoe UI" w:hAnsi="Segoe UI" w:cs="Segoe UI"/>
              </w:rPr>
            </w:pPr>
            <w:r>
              <w:rPr>
                <w:rFonts w:ascii="Segoe UI" w:hAnsi="Segoe UI" w:cs="Segoe UI"/>
              </w:rPr>
              <w:t>$2.79</w:t>
            </w:r>
          </w:p>
        </w:tc>
      </w:tr>
      <w:tr w:rsidR="0006074C" w:rsidRPr="00557C8E" w:rsidTr="0006074C">
        <w:trPr>
          <w:trHeight w:val="113"/>
        </w:trPr>
        <w:tc>
          <w:tcPr>
            <w:tcW w:w="3089" w:type="pct"/>
            <w:noWrap/>
          </w:tcPr>
          <w:p w:rsidR="00003CAE" w:rsidRPr="00596D01" w:rsidRDefault="00003CAE" w:rsidP="0006074C">
            <w:pPr>
              <w:rPr>
                <w:rStyle w:val="Strong"/>
              </w:rPr>
            </w:pPr>
            <w:r>
              <w:rPr>
                <w:rFonts w:ascii="Segoe UI" w:hAnsi="Segoe UI" w:cs="Segoe UI"/>
              </w:rPr>
              <w:t>Transitional s</w:t>
            </w:r>
            <w:r w:rsidRPr="00557C8E">
              <w:rPr>
                <w:rFonts w:ascii="Segoe UI" w:hAnsi="Segoe UI" w:cs="Segoe UI"/>
              </w:rPr>
              <w:t>upplement</w:t>
            </w:r>
          </w:p>
        </w:tc>
        <w:tc>
          <w:tcPr>
            <w:tcW w:w="637" w:type="pct"/>
          </w:tcPr>
          <w:p w:rsidR="00003CAE" w:rsidRPr="00557C8E" w:rsidRDefault="00003CAE" w:rsidP="0006074C">
            <w:pPr>
              <w:jc w:val="right"/>
              <w:rPr>
                <w:rFonts w:ascii="Segoe UI" w:hAnsi="Segoe UI" w:cs="Segoe UI"/>
              </w:rPr>
            </w:pPr>
            <w:r>
              <w:rPr>
                <w:rFonts w:ascii="Segoe UI" w:hAnsi="Segoe UI" w:cs="Segoe UI"/>
              </w:rPr>
              <w:t>$21.95</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22.09</w:t>
            </w:r>
          </w:p>
        </w:tc>
        <w:tc>
          <w:tcPr>
            <w:tcW w:w="637" w:type="pct"/>
            <w:noWrap/>
          </w:tcPr>
          <w:p w:rsidR="00003CAE" w:rsidRPr="00557C8E" w:rsidRDefault="00003CAE" w:rsidP="0006074C">
            <w:pPr>
              <w:jc w:val="right"/>
              <w:rPr>
                <w:rFonts w:ascii="Segoe UI" w:hAnsi="Segoe UI" w:cs="Segoe UI"/>
              </w:rPr>
            </w:pPr>
            <w:r>
              <w:rPr>
                <w:rFonts w:ascii="Segoe UI" w:hAnsi="Segoe UI" w:cs="Segoe UI"/>
              </w:rPr>
              <w:t>$22.37</w:t>
            </w:r>
          </w:p>
        </w:tc>
      </w:tr>
      <w:tr w:rsidR="0006074C" w:rsidRPr="00557C8E" w:rsidTr="0006074C">
        <w:trPr>
          <w:trHeight w:val="113"/>
        </w:trPr>
        <w:tc>
          <w:tcPr>
            <w:tcW w:w="3089" w:type="pct"/>
            <w:noWrap/>
          </w:tcPr>
          <w:p w:rsidR="00003CAE" w:rsidRPr="00596D01" w:rsidRDefault="00003CAE" w:rsidP="0006074C">
            <w:pPr>
              <w:rPr>
                <w:rStyle w:val="Strong"/>
              </w:rPr>
            </w:pPr>
            <w:r>
              <w:rPr>
                <w:rFonts w:ascii="Segoe UI" w:hAnsi="Segoe UI" w:cs="Segoe UI"/>
              </w:rPr>
              <w:t>Basic Daily Fee s</w:t>
            </w:r>
            <w:r w:rsidRPr="00557C8E">
              <w:rPr>
                <w:rFonts w:ascii="Segoe UI" w:hAnsi="Segoe UI" w:cs="Segoe UI"/>
              </w:rPr>
              <w:t>upplement</w:t>
            </w:r>
          </w:p>
        </w:tc>
        <w:tc>
          <w:tcPr>
            <w:tcW w:w="637" w:type="pct"/>
          </w:tcPr>
          <w:p w:rsidR="00003CAE" w:rsidRPr="00557C8E" w:rsidRDefault="00003CAE" w:rsidP="0006074C">
            <w:pPr>
              <w:jc w:val="right"/>
              <w:rPr>
                <w:rFonts w:ascii="Segoe UI" w:hAnsi="Segoe UI" w:cs="Segoe UI"/>
              </w:rPr>
            </w:pPr>
            <w:r>
              <w:rPr>
                <w:rFonts w:ascii="Segoe UI" w:hAnsi="Segoe UI" w:cs="Segoe UI"/>
              </w:rPr>
              <w:t>$0.57</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$0.5</w:t>
            </w:r>
            <w:r>
              <w:rPr>
                <w:rFonts w:ascii="Segoe UI" w:hAnsi="Segoe UI" w:cs="Segoe UI"/>
              </w:rPr>
              <w:t>8</w:t>
            </w:r>
          </w:p>
        </w:tc>
        <w:tc>
          <w:tcPr>
            <w:tcW w:w="637" w:type="pct"/>
            <w:noWrap/>
          </w:tcPr>
          <w:p w:rsidR="00003CAE" w:rsidRPr="00557C8E" w:rsidRDefault="00003CAE" w:rsidP="0006074C">
            <w:pPr>
              <w:jc w:val="right"/>
              <w:rPr>
                <w:rFonts w:ascii="Segoe UI" w:hAnsi="Segoe UI" w:cs="Segoe UI"/>
              </w:rPr>
            </w:pPr>
            <w:r>
              <w:rPr>
                <w:rFonts w:ascii="Segoe UI" w:hAnsi="Segoe UI" w:cs="Segoe UI"/>
              </w:rPr>
              <w:t>$0.59</w:t>
            </w:r>
          </w:p>
        </w:tc>
      </w:tr>
      <w:tr w:rsidR="0006074C" w:rsidRPr="00557C8E" w:rsidTr="0006074C">
        <w:trPr>
          <w:trHeight w:val="113"/>
        </w:trPr>
        <w:tc>
          <w:tcPr>
            <w:tcW w:w="3089" w:type="pct"/>
            <w:noWrap/>
          </w:tcPr>
          <w:p w:rsidR="00003CAE" w:rsidRPr="00596D01" w:rsidRDefault="00003CAE" w:rsidP="0006074C">
            <w:pPr>
              <w:rPr>
                <w:rStyle w:val="Strong"/>
              </w:rPr>
            </w:pPr>
            <w:r>
              <w:rPr>
                <w:rFonts w:ascii="Segoe UI" w:hAnsi="Segoe UI" w:cs="Segoe UI"/>
              </w:rPr>
              <w:lastRenderedPageBreak/>
              <w:t>Respite s</w:t>
            </w:r>
            <w:r w:rsidRPr="00557C8E">
              <w:rPr>
                <w:rFonts w:ascii="Segoe UI" w:hAnsi="Segoe UI" w:cs="Segoe UI"/>
              </w:rPr>
              <w:t xml:space="preserve">upplement – </w:t>
            </w:r>
            <w:r>
              <w:rPr>
                <w:rFonts w:ascii="Segoe UI" w:hAnsi="Segoe UI" w:cs="Segoe UI"/>
              </w:rPr>
              <w:t>h</w:t>
            </w:r>
            <w:r w:rsidRPr="00557C8E">
              <w:rPr>
                <w:rFonts w:ascii="Segoe UI" w:hAnsi="Segoe UI" w:cs="Segoe UI"/>
              </w:rPr>
              <w:t xml:space="preserve">igh </w:t>
            </w:r>
            <w:r>
              <w:rPr>
                <w:rFonts w:ascii="Segoe UI" w:hAnsi="Segoe UI" w:cs="Segoe UI"/>
              </w:rPr>
              <w:t>l</w:t>
            </w:r>
            <w:r w:rsidRPr="00557C8E">
              <w:rPr>
                <w:rFonts w:ascii="Segoe UI" w:hAnsi="Segoe UI" w:cs="Segoe UI"/>
              </w:rPr>
              <w:t>evel is equal to or greater than 70% of the specified proportion of respite</w:t>
            </w:r>
            <w:r w:rsidR="004F37D3">
              <w:rPr>
                <w:rFonts w:ascii="Segoe UI" w:hAnsi="Segoe UI" w:cs="Segoe UI"/>
              </w:rPr>
              <w:t xml:space="preserve"> care for the approved provider</w:t>
            </w:r>
          </w:p>
        </w:tc>
        <w:tc>
          <w:tcPr>
            <w:tcW w:w="637" w:type="pct"/>
          </w:tcPr>
          <w:p w:rsidR="00003CAE" w:rsidRPr="00557C8E" w:rsidRDefault="00003CAE" w:rsidP="0006074C">
            <w:pPr>
              <w:jc w:val="right"/>
              <w:rPr>
                <w:rFonts w:ascii="Segoe UI" w:hAnsi="Segoe UI" w:cs="Segoe UI"/>
              </w:rPr>
            </w:pPr>
            <w:r>
              <w:rPr>
                <w:rFonts w:ascii="Segoe UI" w:hAnsi="Segoe UI" w:cs="Segoe UI"/>
              </w:rPr>
              <w:t>$90.01</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90.59</w:t>
            </w:r>
          </w:p>
        </w:tc>
        <w:tc>
          <w:tcPr>
            <w:tcW w:w="637" w:type="pct"/>
            <w:noWrap/>
          </w:tcPr>
          <w:p w:rsidR="00003CAE" w:rsidRPr="00557C8E" w:rsidRDefault="00003CAE" w:rsidP="0006074C">
            <w:pPr>
              <w:jc w:val="right"/>
              <w:rPr>
                <w:rFonts w:ascii="Segoe UI" w:hAnsi="Segoe UI" w:cs="Segoe UI"/>
              </w:rPr>
            </w:pPr>
            <w:r>
              <w:rPr>
                <w:rFonts w:ascii="Segoe UI" w:hAnsi="Segoe UI" w:cs="Segoe UI"/>
              </w:rPr>
              <w:t>$91.73</w:t>
            </w:r>
          </w:p>
        </w:tc>
      </w:tr>
      <w:tr w:rsidR="0006074C" w:rsidRPr="00557C8E" w:rsidTr="0006074C">
        <w:trPr>
          <w:trHeight w:val="113"/>
        </w:trPr>
        <w:tc>
          <w:tcPr>
            <w:tcW w:w="3089" w:type="pct"/>
            <w:noWrap/>
          </w:tcPr>
          <w:p w:rsidR="00003CAE" w:rsidRPr="00596D01" w:rsidRDefault="00003CAE" w:rsidP="0006074C">
            <w:pPr>
              <w:rPr>
                <w:rStyle w:val="Strong"/>
              </w:rPr>
            </w:pPr>
            <w:r>
              <w:rPr>
                <w:rFonts w:ascii="Segoe UI" w:hAnsi="Segoe UI" w:cs="Segoe UI"/>
              </w:rPr>
              <w:t>Respite s</w:t>
            </w:r>
            <w:r w:rsidRPr="00557C8E">
              <w:rPr>
                <w:rFonts w:ascii="Segoe UI" w:hAnsi="Segoe UI" w:cs="Segoe UI"/>
              </w:rPr>
              <w:t xml:space="preserve">upplement – </w:t>
            </w:r>
            <w:r>
              <w:rPr>
                <w:rFonts w:ascii="Segoe UI" w:hAnsi="Segoe UI" w:cs="Segoe UI"/>
              </w:rPr>
              <w:t>h</w:t>
            </w:r>
            <w:r w:rsidRPr="00557C8E">
              <w:rPr>
                <w:rFonts w:ascii="Segoe UI" w:hAnsi="Segoe UI" w:cs="Segoe UI"/>
              </w:rPr>
              <w:t xml:space="preserve">igh </w:t>
            </w:r>
            <w:r>
              <w:rPr>
                <w:rFonts w:ascii="Segoe UI" w:hAnsi="Segoe UI" w:cs="Segoe UI"/>
              </w:rPr>
              <w:t>l</w:t>
            </w:r>
            <w:r w:rsidRPr="00557C8E">
              <w:rPr>
                <w:rFonts w:ascii="Segoe UI" w:hAnsi="Segoe UI" w:cs="Segoe UI"/>
              </w:rPr>
              <w:t>evel is less than 70% of the specified proportion of respite</w:t>
            </w:r>
            <w:r w:rsidR="004F37D3">
              <w:rPr>
                <w:rFonts w:ascii="Segoe UI" w:hAnsi="Segoe UI" w:cs="Segoe UI"/>
              </w:rPr>
              <w:t xml:space="preserve"> care for the approved provider</w:t>
            </w:r>
          </w:p>
        </w:tc>
        <w:tc>
          <w:tcPr>
            <w:tcW w:w="637" w:type="pct"/>
          </w:tcPr>
          <w:p w:rsidR="00003CAE" w:rsidRPr="00557C8E" w:rsidRDefault="00003CAE" w:rsidP="0006074C">
            <w:pPr>
              <w:jc w:val="right"/>
              <w:rPr>
                <w:rFonts w:ascii="Segoe UI" w:hAnsi="Segoe UI" w:cs="Segoe UI"/>
              </w:rPr>
            </w:pPr>
            <w:r>
              <w:rPr>
                <w:rFonts w:ascii="Segoe UI" w:hAnsi="Segoe UI" w:cs="Segoe UI"/>
              </w:rPr>
              <w:t>$52.90</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53.24</w:t>
            </w:r>
          </w:p>
        </w:tc>
        <w:tc>
          <w:tcPr>
            <w:tcW w:w="637" w:type="pct"/>
            <w:noWrap/>
          </w:tcPr>
          <w:p w:rsidR="00003CAE" w:rsidRPr="00557C8E" w:rsidRDefault="00003CAE" w:rsidP="0006074C">
            <w:pPr>
              <w:jc w:val="right"/>
              <w:rPr>
                <w:rFonts w:ascii="Segoe UI" w:hAnsi="Segoe UI" w:cs="Segoe UI"/>
              </w:rPr>
            </w:pPr>
            <w:r>
              <w:rPr>
                <w:rFonts w:ascii="Segoe UI" w:hAnsi="Segoe UI" w:cs="Segoe UI"/>
              </w:rPr>
              <w:t>$53.91</w:t>
            </w:r>
          </w:p>
        </w:tc>
      </w:tr>
      <w:tr w:rsidR="0006074C" w:rsidRPr="00557C8E" w:rsidTr="0006074C">
        <w:trPr>
          <w:trHeight w:val="113"/>
        </w:trPr>
        <w:tc>
          <w:tcPr>
            <w:tcW w:w="3089" w:type="pct"/>
            <w:noWrap/>
          </w:tcPr>
          <w:p w:rsidR="00003CAE" w:rsidRPr="00596D01" w:rsidRDefault="00003CAE" w:rsidP="0006074C">
            <w:pPr>
              <w:rPr>
                <w:rStyle w:val="Strong"/>
              </w:rPr>
            </w:pPr>
            <w:r>
              <w:rPr>
                <w:rFonts w:ascii="Segoe UI" w:hAnsi="Segoe UI" w:cs="Segoe UI"/>
              </w:rPr>
              <w:t>Respite s</w:t>
            </w:r>
            <w:r w:rsidRPr="00557C8E">
              <w:rPr>
                <w:rFonts w:ascii="Segoe UI" w:hAnsi="Segoe UI" w:cs="Segoe UI"/>
              </w:rPr>
              <w:t xml:space="preserve">upplement – </w:t>
            </w:r>
            <w:r>
              <w:rPr>
                <w:rFonts w:ascii="Segoe UI" w:hAnsi="Segoe UI" w:cs="Segoe UI"/>
              </w:rPr>
              <w:t>l</w:t>
            </w:r>
            <w:r w:rsidRPr="00557C8E">
              <w:rPr>
                <w:rFonts w:ascii="Segoe UI" w:hAnsi="Segoe UI" w:cs="Segoe UI"/>
              </w:rPr>
              <w:t xml:space="preserve">ow </w:t>
            </w:r>
            <w:r>
              <w:rPr>
                <w:rFonts w:ascii="Segoe UI" w:hAnsi="Segoe UI" w:cs="Segoe UI"/>
              </w:rPr>
              <w:t>l</w:t>
            </w:r>
            <w:r w:rsidRPr="00557C8E">
              <w:rPr>
                <w:rFonts w:ascii="Segoe UI" w:hAnsi="Segoe UI" w:cs="Segoe UI"/>
              </w:rPr>
              <w:t>evel</w:t>
            </w:r>
          </w:p>
        </w:tc>
        <w:tc>
          <w:tcPr>
            <w:tcW w:w="637" w:type="pct"/>
          </w:tcPr>
          <w:p w:rsidR="00003CAE" w:rsidRPr="00557C8E" w:rsidRDefault="00003CAE" w:rsidP="0006074C">
            <w:pPr>
              <w:jc w:val="right"/>
              <w:rPr>
                <w:rFonts w:ascii="Segoe UI" w:hAnsi="Segoe UI" w:cs="Segoe UI"/>
              </w:rPr>
            </w:pPr>
            <w:r>
              <w:rPr>
                <w:rFonts w:ascii="Segoe UI" w:hAnsi="Segoe UI" w:cs="Segoe UI"/>
              </w:rPr>
              <w:t>$37.74</w:t>
            </w:r>
          </w:p>
        </w:tc>
        <w:tc>
          <w:tcPr>
            <w:tcW w:w="637" w:type="pct"/>
            <w:noWrap/>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37.98</w:t>
            </w:r>
          </w:p>
        </w:tc>
        <w:tc>
          <w:tcPr>
            <w:tcW w:w="637" w:type="pct"/>
            <w:noWrap/>
          </w:tcPr>
          <w:p w:rsidR="00003CAE" w:rsidRPr="00557C8E" w:rsidRDefault="00003CAE" w:rsidP="0006074C">
            <w:pPr>
              <w:jc w:val="right"/>
              <w:rPr>
                <w:rFonts w:ascii="Segoe UI" w:hAnsi="Segoe UI" w:cs="Segoe UI"/>
              </w:rPr>
            </w:pPr>
            <w:r>
              <w:rPr>
                <w:rFonts w:ascii="Segoe UI" w:hAnsi="Segoe UI" w:cs="Segoe UI"/>
              </w:rPr>
              <w:t>$38.46</w:t>
            </w:r>
          </w:p>
        </w:tc>
      </w:tr>
    </w:tbl>
    <w:p w:rsidR="00DF3FAC" w:rsidRPr="00557C8E" w:rsidRDefault="00DF3FAC" w:rsidP="0006074C">
      <w:pPr>
        <w:rPr>
          <w:rStyle w:val="BookTitle"/>
          <w:rFonts w:ascii="Segoe UI" w:hAnsi="Segoe UI" w:cs="Segoe UI"/>
          <w:i w:val="0"/>
          <w:iCs w:val="0"/>
          <w:smallCaps w:val="0"/>
        </w:rPr>
      </w:pPr>
    </w:p>
    <w:p w:rsidR="00352591" w:rsidRPr="00596D01" w:rsidRDefault="00CF39DF" w:rsidP="0006074C">
      <w:pPr>
        <w:pStyle w:val="AppendixTable"/>
      </w:pPr>
      <w:r w:rsidRPr="00596D01">
        <w:t>Residential aged care viability supplement</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9"/>
        <w:gridCol w:w="1227"/>
        <w:gridCol w:w="1227"/>
        <w:gridCol w:w="1225"/>
      </w:tblGrid>
      <w:tr w:rsidR="00DD3E08" w:rsidRPr="00557C8E"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090" w:type="pct"/>
            <w:noWrap/>
            <w:hideMark/>
          </w:tcPr>
          <w:p w:rsidR="00DD3E08" w:rsidRPr="006431C2" w:rsidRDefault="00DD3E08" w:rsidP="0006074C">
            <w:pPr>
              <w:rPr>
                <w:rFonts w:ascii="Segoe UI" w:hAnsi="Segoe UI" w:cs="Segoe UI"/>
              </w:rPr>
            </w:pPr>
            <w:r w:rsidRPr="00596D01">
              <w:t>Residential aged care viability supplement*</w:t>
            </w:r>
          </w:p>
        </w:tc>
        <w:tc>
          <w:tcPr>
            <w:tcW w:w="637" w:type="pct"/>
          </w:tcPr>
          <w:p w:rsidR="00DD3E08" w:rsidRDefault="00DD3E08" w:rsidP="0006074C">
            <w:pPr>
              <w:jc w:val="right"/>
              <w:rPr>
                <w:rFonts w:ascii="Segoe UI" w:hAnsi="Segoe UI" w:cs="Segoe UI"/>
              </w:rPr>
            </w:pPr>
            <w:r w:rsidRPr="00596D01">
              <w:t>2016</w:t>
            </w:r>
            <w:r w:rsidR="00D8721E" w:rsidRPr="00596D01">
              <w:t>–1</w:t>
            </w:r>
            <w:r w:rsidRPr="00596D01">
              <w:t>7</w:t>
            </w:r>
          </w:p>
        </w:tc>
        <w:tc>
          <w:tcPr>
            <w:tcW w:w="637" w:type="pct"/>
          </w:tcPr>
          <w:p w:rsidR="00DD3E08" w:rsidRPr="006431C2" w:rsidRDefault="00DD3E08" w:rsidP="0006074C">
            <w:pPr>
              <w:jc w:val="right"/>
              <w:rPr>
                <w:rFonts w:ascii="Segoe UI" w:hAnsi="Segoe UI" w:cs="Segoe UI"/>
              </w:rPr>
            </w:pPr>
            <w:r w:rsidRPr="00596D01">
              <w:t>2017</w:t>
            </w:r>
            <w:r w:rsidR="00D8721E" w:rsidRPr="00596D01">
              <w:t>–1</w:t>
            </w:r>
            <w:r w:rsidRPr="00596D01">
              <w:t>8</w:t>
            </w:r>
          </w:p>
        </w:tc>
        <w:tc>
          <w:tcPr>
            <w:tcW w:w="637" w:type="pct"/>
            <w:noWrap/>
            <w:hideMark/>
          </w:tcPr>
          <w:p w:rsidR="00DD3E08" w:rsidRPr="00596D01" w:rsidRDefault="00DD3E08" w:rsidP="0006074C">
            <w:pPr>
              <w:jc w:val="right"/>
            </w:pPr>
            <w:r w:rsidRPr="00596D01">
              <w:t>2018</w:t>
            </w:r>
            <w:r w:rsidR="00D8721E" w:rsidRPr="00596D01">
              <w:t>–1</w:t>
            </w:r>
            <w:r w:rsidRPr="00596D01">
              <w:t>9</w:t>
            </w:r>
          </w:p>
        </w:tc>
      </w:tr>
      <w:tr w:rsidR="00DD3E08" w:rsidRPr="00557C8E" w:rsidTr="0006074C">
        <w:trPr>
          <w:trHeight w:val="113"/>
        </w:trPr>
        <w:tc>
          <w:tcPr>
            <w:tcW w:w="3090" w:type="pct"/>
            <w:noWrap/>
            <w:hideMark/>
          </w:tcPr>
          <w:p w:rsidR="00DD3E08" w:rsidRPr="00596D01" w:rsidRDefault="00DD3E08" w:rsidP="0006074C">
            <w:pPr>
              <w:rPr>
                <w:rStyle w:val="Strong"/>
              </w:rPr>
            </w:pPr>
            <w:r w:rsidRPr="00596D01">
              <w:rPr>
                <w:rStyle w:val="Strong"/>
              </w:rPr>
              <w:t>2017 Scheme Services</w:t>
            </w:r>
          </w:p>
        </w:tc>
        <w:tc>
          <w:tcPr>
            <w:tcW w:w="637" w:type="pct"/>
          </w:tcPr>
          <w:p w:rsidR="00DD3E08" w:rsidRPr="00557C8E" w:rsidRDefault="00DD3E08" w:rsidP="0006074C">
            <w:pPr>
              <w:jc w:val="right"/>
              <w:rPr>
                <w:rFonts w:ascii="Segoe UI" w:hAnsi="Segoe UI" w:cs="Segoe UI"/>
              </w:rPr>
            </w:pPr>
          </w:p>
        </w:tc>
        <w:tc>
          <w:tcPr>
            <w:tcW w:w="637" w:type="pct"/>
          </w:tcPr>
          <w:p w:rsidR="00DD3E08" w:rsidRPr="00557C8E" w:rsidRDefault="00DD3E08" w:rsidP="0006074C">
            <w:pPr>
              <w:jc w:val="right"/>
              <w:rPr>
                <w:rFonts w:ascii="Segoe UI" w:hAnsi="Segoe UI" w:cs="Segoe UI"/>
              </w:rPr>
            </w:pPr>
          </w:p>
        </w:tc>
        <w:tc>
          <w:tcPr>
            <w:tcW w:w="637" w:type="pct"/>
            <w:noWrap/>
          </w:tcPr>
          <w:p w:rsidR="00DD3E08" w:rsidRPr="00557C8E" w:rsidRDefault="00DD3E08" w:rsidP="0006074C">
            <w:pPr>
              <w:jc w:val="right"/>
              <w:rPr>
                <w:rFonts w:ascii="Segoe UI" w:hAnsi="Segoe UI" w:cs="Segoe UI"/>
              </w:rPr>
            </w:pP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100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53.22</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$56.09</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$56.</w:t>
            </w:r>
            <w:r>
              <w:rPr>
                <w:rFonts w:ascii="Segoe UI" w:hAnsi="Segoe UI" w:cs="Segoe UI"/>
              </w:rPr>
              <w:t>88</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95</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$4</w:t>
            </w:r>
            <w:r>
              <w:rPr>
                <w:rFonts w:ascii="Segoe UI" w:hAnsi="Segoe UI" w:cs="Segoe UI"/>
              </w:rPr>
              <w:t>7.17</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$49.95</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w:t>
            </w:r>
            <w:r>
              <w:rPr>
                <w:rFonts w:ascii="Segoe UI" w:hAnsi="Segoe UI" w:cs="Segoe UI"/>
              </w:rPr>
              <w:t>50.65</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90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42.35</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$45.06</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$45.</w:t>
            </w:r>
            <w:r>
              <w:rPr>
                <w:rFonts w:ascii="Segoe UI" w:hAnsi="Segoe UI" w:cs="Segoe UI"/>
              </w:rPr>
              <w:t>69</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85</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36.31</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$38.94</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$3</w:t>
            </w:r>
            <w:r>
              <w:rPr>
                <w:rFonts w:ascii="Segoe UI" w:hAnsi="Segoe UI" w:cs="Segoe UI"/>
              </w:rPr>
              <w:t>9.49</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80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30.22</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$32.76</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$3</w:t>
            </w:r>
            <w:r>
              <w:rPr>
                <w:rFonts w:ascii="Segoe UI" w:hAnsi="Segoe UI" w:cs="Segoe UI"/>
              </w:rPr>
              <w:t>3.22</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75</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23.03</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$25.47</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$25.</w:t>
            </w:r>
            <w:r>
              <w:rPr>
                <w:rFonts w:ascii="Segoe UI" w:hAnsi="Segoe UI" w:cs="Segoe UI"/>
              </w:rPr>
              <w:t>83</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70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16.74</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$19.09</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$19.</w:t>
            </w:r>
            <w:r>
              <w:rPr>
                <w:rFonts w:ascii="Segoe UI" w:hAnsi="Segoe UI" w:cs="Segoe UI"/>
              </w:rPr>
              <w:t>36</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65</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$1</w:t>
            </w:r>
            <w:r>
              <w:rPr>
                <w:rFonts w:ascii="Segoe UI" w:hAnsi="Segoe UI" w:cs="Segoe UI"/>
              </w:rPr>
              <w:t>1.47</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$13.75</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$13.</w:t>
            </w:r>
            <w:r>
              <w:rPr>
                <w:rFonts w:ascii="Segoe UI" w:hAnsi="Segoe UI" w:cs="Segoe UI"/>
              </w:rPr>
              <w:t>94</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60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9.38</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$11.63</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$11.</w:t>
            </w:r>
            <w:r>
              <w:rPr>
                <w:rFonts w:ascii="Segoe UI" w:hAnsi="Segoe UI" w:cs="Segoe UI"/>
              </w:rPr>
              <w:t>79</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55</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w:t>
            </w:r>
            <w:r>
              <w:rPr>
                <w:rFonts w:ascii="Segoe UI" w:hAnsi="Segoe UI" w:cs="Segoe UI"/>
              </w:rPr>
              <w:t>6.27</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$8.48</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$8.</w:t>
            </w:r>
            <w:r>
              <w:rPr>
                <w:rFonts w:ascii="Segoe UI" w:hAnsi="Segoe UI" w:cs="Segoe UI"/>
              </w:rPr>
              <w:t>60</w:t>
            </w:r>
          </w:p>
        </w:tc>
      </w:tr>
      <w:tr w:rsidR="00003CAE" w:rsidRPr="00085EC0" w:rsidTr="0006074C">
        <w:trPr>
          <w:trHeight w:val="113"/>
        </w:trPr>
        <w:tc>
          <w:tcPr>
            <w:tcW w:w="3090" w:type="pct"/>
            <w:noWrap/>
            <w:hideMark/>
          </w:tcPr>
          <w:p w:rsidR="00003CAE" w:rsidRPr="00596D01" w:rsidRDefault="00003CAE" w:rsidP="0006074C">
            <w:pPr>
              <w:rPr>
                <w:rStyle w:val="Strong"/>
              </w:rPr>
            </w:pPr>
            <w:r w:rsidRPr="00557C8E">
              <w:rPr>
                <w:rFonts w:ascii="Segoe UI" w:hAnsi="Segoe UI" w:cs="Segoe UI"/>
              </w:rPr>
              <w:t>Eligibility score of 50</w:t>
            </w:r>
          </w:p>
        </w:tc>
        <w:tc>
          <w:tcPr>
            <w:tcW w:w="637" w:type="pct"/>
          </w:tcPr>
          <w:p w:rsidR="00003CAE" w:rsidRPr="00557C8E" w:rsidRDefault="00003CAE" w:rsidP="0006074C">
            <w:pPr>
              <w:jc w:val="right"/>
              <w:rPr>
                <w:rFonts w:ascii="Segoe UI" w:hAnsi="Segoe UI" w:cs="Segoe UI"/>
              </w:rPr>
            </w:pPr>
            <w:r w:rsidRPr="00557C8E">
              <w:rPr>
                <w:rFonts w:ascii="Segoe UI" w:hAnsi="Segoe UI" w:cs="Segoe UI"/>
              </w:rPr>
              <w:t>$4.</w:t>
            </w:r>
            <w:r>
              <w:rPr>
                <w:rFonts w:ascii="Segoe UI" w:hAnsi="Segoe UI" w:cs="Segoe UI"/>
              </w:rPr>
              <w:t>18</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$6.36</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$6.</w:t>
            </w:r>
            <w:r>
              <w:rPr>
                <w:rFonts w:ascii="Segoe UI" w:hAnsi="Segoe UI" w:cs="Segoe UI"/>
              </w:rPr>
              <w:t>45</w:t>
            </w:r>
          </w:p>
        </w:tc>
      </w:tr>
      <w:tr w:rsidR="0006074C" w:rsidRPr="00085EC0" w:rsidTr="0006074C">
        <w:trPr>
          <w:trHeight w:val="113"/>
        </w:trPr>
        <w:tc>
          <w:tcPr>
            <w:tcW w:w="3090" w:type="pct"/>
            <w:noWrap/>
          </w:tcPr>
          <w:p w:rsidR="0006074C" w:rsidRPr="00557C8E" w:rsidRDefault="0006074C" w:rsidP="0006074C">
            <w:pPr>
              <w:rPr>
                <w:rFonts w:ascii="Segoe UI" w:hAnsi="Segoe UI" w:cs="Segoe UI"/>
              </w:rPr>
            </w:pPr>
            <w:r w:rsidRPr="00557C8E">
              <w:rPr>
                <w:rFonts w:ascii="Segoe UI" w:hAnsi="Segoe UI" w:cs="Segoe UI"/>
              </w:rPr>
              <w:t>Eligibility score of 45 #</w:t>
            </w:r>
          </w:p>
        </w:tc>
        <w:tc>
          <w:tcPr>
            <w:tcW w:w="637" w:type="pct"/>
          </w:tcPr>
          <w:p w:rsidR="0006074C" w:rsidRPr="00557C8E" w:rsidRDefault="0006074C" w:rsidP="0006074C">
            <w:pPr>
              <w:jc w:val="right"/>
              <w:rPr>
                <w:rFonts w:ascii="Segoe UI" w:hAnsi="Segoe UI" w:cs="Segoe UI"/>
              </w:rPr>
            </w:pPr>
            <w:r>
              <w:rPr>
                <w:rFonts w:ascii="Segoe UI" w:hAnsi="Segoe UI" w:cs="Segoe UI"/>
              </w:rPr>
              <w:t>$0.00</w:t>
            </w:r>
          </w:p>
        </w:tc>
        <w:tc>
          <w:tcPr>
            <w:tcW w:w="637" w:type="pct"/>
          </w:tcPr>
          <w:p w:rsidR="0006074C" w:rsidRPr="00557C8E" w:rsidRDefault="0006074C" w:rsidP="0006074C">
            <w:pPr>
              <w:jc w:val="right"/>
              <w:rPr>
                <w:rFonts w:ascii="Segoe UI" w:hAnsi="Segoe UI" w:cs="Segoe UI"/>
              </w:rPr>
            </w:pPr>
            <w:r>
              <w:rPr>
                <w:rFonts w:ascii="Segoe UI" w:hAnsi="Segoe UI" w:cs="Segoe UI"/>
              </w:rPr>
              <w:t>$0.00</w:t>
            </w:r>
          </w:p>
        </w:tc>
        <w:tc>
          <w:tcPr>
            <w:tcW w:w="637" w:type="pct"/>
            <w:noWrap/>
          </w:tcPr>
          <w:p w:rsidR="0006074C" w:rsidRPr="00557C8E" w:rsidRDefault="0006074C" w:rsidP="0006074C">
            <w:pPr>
              <w:jc w:val="right"/>
              <w:rPr>
                <w:rFonts w:ascii="Segoe UI" w:hAnsi="Segoe UI" w:cs="Segoe UI"/>
              </w:rPr>
            </w:pPr>
            <w:r>
              <w:rPr>
                <w:rFonts w:ascii="Segoe UI" w:hAnsi="Segoe UI" w:cs="Segoe UI"/>
              </w:rPr>
              <w:t>$0.00</w:t>
            </w:r>
          </w:p>
        </w:tc>
      </w:tr>
      <w:tr w:rsidR="0006074C" w:rsidRPr="00085EC0" w:rsidTr="0006074C">
        <w:trPr>
          <w:trHeight w:val="113"/>
        </w:trPr>
        <w:tc>
          <w:tcPr>
            <w:tcW w:w="3090" w:type="pct"/>
            <w:noWrap/>
          </w:tcPr>
          <w:p w:rsidR="0006074C" w:rsidRPr="00557C8E" w:rsidRDefault="0006074C" w:rsidP="0006074C">
            <w:pPr>
              <w:rPr>
                <w:rFonts w:ascii="Segoe UI" w:hAnsi="Segoe UI" w:cs="Segoe UI"/>
              </w:rPr>
            </w:pPr>
            <w:r>
              <w:rPr>
                <w:rFonts w:ascii="Segoe UI" w:hAnsi="Segoe UI" w:cs="Segoe UI"/>
              </w:rPr>
              <w:t>Eligibility score of 40 #</w:t>
            </w:r>
          </w:p>
        </w:tc>
        <w:tc>
          <w:tcPr>
            <w:tcW w:w="637" w:type="pct"/>
          </w:tcPr>
          <w:p w:rsidR="0006074C" w:rsidRPr="00557C8E" w:rsidRDefault="0006074C" w:rsidP="0006074C">
            <w:pPr>
              <w:jc w:val="right"/>
              <w:rPr>
                <w:rFonts w:ascii="Segoe UI" w:hAnsi="Segoe UI" w:cs="Segoe UI"/>
              </w:rPr>
            </w:pPr>
            <w:r>
              <w:rPr>
                <w:rFonts w:ascii="Segoe UI" w:hAnsi="Segoe UI" w:cs="Segoe UI"/>
              </w:rPr>
              <w:t>$0.00</w:t>
            </w:r>
          </w:p>
        </w:tc>
        <w:tc>
          <w:tcPr>
            <w:tcW w:w="637" w:type="pct"/>
          </w:tcPr>
          <w:p w:rsidR="0006074C" w:rsidRPr="00557C8E" w:rsidRDefault="0006074C" w:rsidP="0006074C">
            <w:pPr>
              <w:jc w:val="right"/>
              <w:rPr>
                <w:rFonts w:ascii="Segoe UI" w:hAnsi="Segoe UI" w:cs="Segoe UI"/>
              </w:rPr>
            </w:pPr>
            <w:r>
              <w:rPr>
                <w:rFonts w:ascii="Segoe UI" w:hAnsi="Segoe UI" w:cs="Segoe UI"/>
              </w:rPr>
              <w:t>$0.00</w:t>
            </w:r>
          </w:p>
        </w:tc>
        <w:tc>
          <w:tcPr>
            <w:tcW w:w="637" w:type="pct"/>
            <w:noWrap/>
          </w:tcPr>
          <w:p w:rsidR="0006074C" w:rsidRPr="00557C8E" w:rsidRDefault="0006074C" w:rsidP="0006074C">
            <w:pPr>
              <w:jc w:val="right"/>
              <w:rPr>
                <w:rFonts w:ascii="Segoe UI" w:hAnsi="Segoe UI" w:cs="Segoe UI"/>
              </w:rPr>
            </w:pPr>
            <w:r>
              <w:rPr>
                <w:rFonts w:ascii="Segoe UI" w:hAnsi="Segoe UI" w:cs="Segoe UI"/>
              </w:rPr>
              <w:t>$0.00</w:t>
            </w:r>
          </w:p>
        </w:tc>
      </w:tr>
      <w:tr w:rsidR="00003CAE" w:rsidRPr="00557C8E" w:rsidTr="0006074C">
        <w:trPr>
          <w:trHeight w:val="113"/>
        </w:trPr>
        <w:tc>
          <w:tcPr>
            <w:tcW w:w="3090" w:type="pct"/>
            <w:noWrap/>
            <w:hideMark/>
          </w:tcPr>
          <w:p w:rsidR="00003CAE" w:rsidRPr="00596D01" w:rsidRDefault="00003CAE" w:rsidP="0006074C">
            <w:pPr>
              <w:rPr>
                <w:rStyle w:val="Strong"/>
              </w:rPr>
            </w:pPr>
            <w:r>
              <w:rPr>
                <w:rFonts w:ascii="Segoe UI" w:hAnsi="Segoe UI" w:cs="Segoe UI"/>
              </w:rPr>
              <w:t xml:space="preserve">Less than a score of 40 </w:t>
            </w:r>
          </w:p>
        </w:tc>
        <w:tc>
          <w:tcPr>
            <w:tcW w:w="637" w:type="pct"/>
          </w:tcPr>
          <w:p w:rsidR="00003CAE" w:rsidRPr="00557C8E" w:rsidRDefault="00003CAE" w:rsidP="0006074C">
            <w:pPr>
              <w:jc w:val="right"/>
              <w:rPr>
                <w:rFonts w:ascii="Segoe UI" w:hAnsi="Segoe UI" w:cs="Segoe UI"/>
              </w:rPr>
            </w:pPr>
            <w:r>
              <w:rPr>
                <w:rFonts w:ascii="Segoe UI" w:hAnsi="Segoe UI" w:cs="Segoe UI"/>
              </w:rPr>
              <w:t>$0.00</w:t>
            </w:r>
          </w:p>
        </w:tc>
        <w:tc>
          <w:tcPr>
            <w:tcW w:w="637" w:type="pct"/>
          </w:tcPr>
          <w:p w:rsidR="00003CAE" w:rsidRPr="00557C8E" w:rsidRDefault="00003CAE" w:rsidP="0006074C">
            <w:pPr>
              <w:jc w:val="right"/>
              <w:rPr>
                <w:rFonts w:ascii="Segoe UI" w:hAnsi="Segoe UI" w:cs="Segoe UI"/>
              </w:rPr>
            </w:pPr>
            <w:r>
              <w:rPr>
                <w:rFonts w:ascii="Segoe UI" w:hAnsi="Segoe UI" w:cs="Segoe UI"/>
              </w:rPr>
              <w:t>$0.00</w:t>
            </w:r>
          </w:p>
        </w:tc>
        <w:tc>
          <w:tcPr>
            <w:tcW w:w="637" w:type="pct"/>
            <w:noWrap/>
          </w:tcPr>
          <w:p w:rsidR="00003CAE" w:rsidRPr="00557C8E" w:rsidRDefault="00003CAE" w:rsidP="0006074C">
            <w:pPr>
              <w:jc w:val="right"/>
              <w:rPr>
                <w:rFonts w:ascii="Segoe UI" w:hAnsi="Segoe UI" w:cs="Segoe UI"/>
              </w:rPr>
            </w:pPr>
            <w:r>
              <w:rPr>
                <w:rFonts w:ascii="Segoe UI" w:hAnsi="Segoe UI" w:cs="Segoe UI"/>
              </w:rPr>
              <w:t>$0.00</w:t>
            </w:r>
          </w:p>
        </w:tc>
      </w:tr>
    </w:tbl>
    <w:p w:rsidR="00DF3FAC" w:rsidRDefault="002471FD" w:rsidP="0006074C">
      <w:pPr>
        <w:pStyle w:val="SourceNotes"/>
      </w:pPr>
      <w:r w:rsidRPr="002471FD">
        <w:t>Note: the Modified Monash Model classification scale was implemented on 1 January</w:t>
      </w:r>
      <w:r w:rsidR="00A261F3">
        <w:t> 201</w:t>
      </w:r>
      <w:r w:rsidRPr="002471FD">
        <w:t>7</w:t>
      </w:r>
    </w:p>
    <w:p w:rsidR="00D8721E" w:rsidRDefault="00F24B90" w:rsidP="0006074C">
      <w:pPr>
        <w:pStyle w:val="SourceNotes"/>
      </w:pPr>
      <w:r w:rsidRPr="00FE3514">
        <w:t>*These supplements are payable in respect of eligible residential respite care recipients.</w:t>
      </w:r>
    </w:p>
    <w:p w:rsidR="002471FD" w:rsidRDefault="002471FD" w:rsidP="0006074C"/>
    <w:tbl>
      <w:tblPr>
        <w:tblStyle w:val="DefaultTable1"/>
        <w:tblW w:w="5000" w:type="pct"/>
        <w:tblLayout w:type="fixed"/>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947"/>
        <w:gridCol w:w="1227"/>
        <w:gridCol w:w="1227"/>
        <w:gridCol w:w="1227"/>
      </w:tblGrid>
      <w:tr w:rsidR="0006074C" w:rsidRPr="00557C8E" w:rsidTr="0006074C">
        <w:trPr>
          <w:cnfStyle w:val="100000000000" w:firstRow="1" w:lastRow="0" w:firstColumn="0" w:lastColumn="0" w:oddVBand="0" w:evenVBand="0" w:oddHBand="0" w:evenHBand="0" w:firstRowFirstColumn="0" w:firstRowLastColumn="0" w:lastRowFirstColumn="0" w:lastRowLastColumn="0"/>
          <w:trHeight w:val="113"/>
          <w:tblHeader/>
        </w:trPr>
        <w:tc>
          <w:tcPr>
            <w:tcW w:w="3089" w:type="pct"/>
            <w:noWrap/>
            <w:hideMark/>
          </w:tcPr>
          <w:p w:rsidR="00DD3E08" w:rsidRPr="006431C2" w:rsidRDefault="00DD3E08" w:rsidP="0006074C">
            <w:pPr>
              <w:rPr>
                <w:rFonts w:ascii="Segoe UI" w:hAnsi="Segoe UI" w:cs="Segoe UI"/>
                <w:b w:val="0"/>
              </w:rPr>
            </w:pPr>
            <w:r w:rsidRPr="00596D01">
              <w:lastRenderedPageBreak/>
              <w:t>Residential aged care Viability supplement*</w:t>
            </w:r>
          </w:p>
        </w:tc>
        <w:tc>
          <w:tcPr>
            <w:tcW w:w="637" w:type="pct"/>
            <w:noWrap/>
            <w:hideMark/>
          </w:tcPr>
          <w:p w:rsidR="00DD3E08" w:rsidRPr="006431C2" w:rsidRDefault="00DD3E08" w:rsidP="0006074C">
            <w:pPr>
              <w:jc w:val="right"/>
              <w:rPr>
                <w:rFonts w:ascii="Segoe UI" w:hAnsi="Segoe UI" w:cs="Segoe UI"/>
                <w:b w:val="0"/>
              </w:rPr>
            </w:pPr>
            <w:r w:rsidRPr="00596D01">
              <w:t>2016</w:t>
            </w:r>
            <w:r w:rsidR="00D8721E" w:rsidRPr="00596D01">
              <w:t>–1</w:t>
            </w:r>
            <w:r w:rsidRPr="00596D01">
              <w:t>7</w:t>
            </w:r>
          </w:p>
        </w:tc>
        <w:tc>
          <w:tcPr>
            <w:tcW w:w="637" w:type="pct"/>
            <w:noWrap/>
            <w:hideMark/>
          </w:tcPr>
          <w:p w:rsidR="00DD3E08" w:rsidRPr="006431C2" w:rsidRDefault="00DD3E08" w:rsidP="0006074C">
            <w:pPr>
              <w:jc w:val="right"/>
              <w:rPr>
                <w:rFonts w:ascii="Segoe UI" w:hAnsi="Segoe UI" w:cs="Segoe UI"/>
                <w:b w:val="0"/>
              </w:rPr>
            </w:pPr>
            <w:r w:rsidRPr="00596D01">
              <w:t>2017</w:t>
            </w:r>
            <w:r w:rsidR="00D8721E" w:rsidRPr="00596D01">
              <w:t>–1</w:t>
            </w:r>
            <w:r w:rsidRPr="00596D01">
              <w:t>8</w:t>
            </w:r>
          </w:p>
        </w:tc>
        <w:tc>
          <w:tcPr>
            <w:tcW w:w="637" w:type="pct"/>
          </w:tcPr>
          <w:p w:rsidR="00DD3E08" w:rsidRPr="00596D01" w:rsidRDefault="00DD3E08" w:rsidP="0006074C">
            <w:pPr>
              <w:jc w:val="right"/>
            </w:pPr>
            <w:r w:rsidRPr="00596D01">
              <w:t>2018</w:t>
            </w:r>
            <w:r w:rsidR="00D8721E" w:rsidRPr="00596D01">
              <w:t>–1</w:t>
            </w:r>
            <w:r w:rsidRPr="00596D01">
              <w:t>9</w:t>
            </w:r>
          </w:p>
        </w:tc>
      </w:tr>
      <w:tr w:rsidR="0006074C" w:rsidRPr="00557C8E" w:rsidTr="0006074C">
        <w:trPr>
          <w:trHeight w:val="113"/>
        </w:trPr>
        <w:tc>
          <w:tcPr>
            <w:tcW w:w="3089" w:type="pct"/>
            <w:noWrap/>
            <w:hideMark/>
          </w:tcPr>
          <w:p w:rsidR="00DD3E08" w:rsidRPr="00596D01" w:rsidRDefault="00DD3E08" w:rsidP="0006074C">
            <w:pPr>
              <w:rPr>
                <w:rStyle w:val="Strong"/>
              </w:rPr>
            </w:pPr>
            <w:r w:rsidRPr="00596D01">
              <w:rPr>
                <w:rStyle w:val="Strong"/>
              </w:rPr>
              <w:t>2005 Scheme Services</w:t>
            </w:r>
          </w:p>
        </w:tc>
        <w:tc>
          <w:tcPr>
            <w:tcW w:w="637" w:type="pct"/>
            <w:noWrap/>
          </w:tcPr>
          <w:p w:rsidR="00DD3E08" w:rsidRPr="00557C8E" w:rsidRDefault="00DD3E08" w:rsidP="0006074C">
            <w:pPr>
              <w:jc w:val="right"/>
              <w:rPr>
                <w:rFonts w:ascii="Segoe UI" w:hAnsi="Segoe UI" w:cs="Segoe UI"/>
              </w:rPr>
            </w:pPr>
          </w:p>
        </w:tc>
        <w:tc>
          <w:tcPr>
            <w:tcW w:w="637" w:type="pct"/>
            <w:noWrap/>
          </w:tcPr>
          <w:p w:rsidR="00DD3E08" w:rsidRPr="00557C8E" w:rsidRDefault="00DD3E08" w:rsidP="0006074C">
            <w:pPr>
              <w:jc w:val="right"/>
              <w:rPr>
                <w:rFonts w:ascii="Segoe UI" w:hAnsi="Segoe UI" w:cs="Segoe UI"/>
              </w:rPr>
            </w:pPr>
          </w:p>
        </w:tc>
        <w:tc>
          <w:tcPr>
            <w:tcW w:w="637" w:type="pct"/>
          </w:tcPr>
          <w:p w:rsidR="00DD3E08" w:rsidRPr="00557C8E" w:rsidRDefault="00DD3E08" w:rsidP="0006074C">
            <w:pPr>
              <w:jc w:val="right"/>
              <w:rPr>
                <w:rFonts w:ascii="Segoe UI" w:hAnsi="Segoe UI" w:cs="Segoe UI"/>
              </w:rPr>
            </w:pP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100</w:t>
            </w:r>
          </w:p>
        </w:tc>
        <w:tc>
          <w:tcPr>
            <w:tcW w:w="637" w:type="pct"/>
            <w:noWrap/>
          </w:tcPr>
          <w:p w:rsidR="00003CAE" w:rsidRPr="00557C8E" w:rsidRDefault="00003CAE" w:rsidP="0006074C">
            <w:pPr>
              <w:jc w:val="right"/>
              <w:rPr>
                <w:rFonts w:ascii="Segoe UI" w:hAnsi="Segoe UI" w:cs="Segoe UI"/>
              </w:rPr>
            </w:pPr>
            <w:r>
              <w:rPr>
                <w:rFonts w:ascii="Segoe UI" w:hAnsi="Segoe UI" w:cs="Segoe UI"/>
              </w:rPr>
              <w:t>$50.69</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$51.40</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$5</w:t>
            </w:r>
            <w:r>
              <w:rPr>
                <w:rFonts w:ascii="Segoe UI" w:hAnsi="Segoe UI" w:cs="Segoe UI"/>
              </w:rPr>
              <w:t>2.12</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95</w:t>
            </w:r>
          </w:p>
        </w:tc>
        <w:tc>
          <w:tcPr>
            <w:tcW w:w="637" w:type="pct"/>
            <w:noWrap/>
          </w:tcPr>
          <w:p w:rsidR="00003CAE" w:rsidRPr="00557C8E" w:rsidRDefault="00003CAE" w:rsidP="0006074C">
            <w:pPr>
              <w:jc w:val="right"/>
              <w:rPr>
                <w:rFonts w:ascii="Segoe UI" w:hAnsi="Segoe UI" w:cs="Segoe UI"/>
              </w:rPr>
            </w:pPr>
            <w:r>
              <w:rPr>
                <w:rFonts w:ascii="Segoe UI" w:hAnsi="Segoe UI" w:cs="Segoe UI"/>
              </w:rPr>
              <w:t>$44.92</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$45.55</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$4</w:t>
            </w:r>
            <w:r>
              <w:rPr>
                <w:rFonts w:ascii="Segoe UI" w:hAnsi="Segoe UI" w:cs="Segoe UI"/>
              </w:rPr>
              <w:t>6.19</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90</w:t>
            </w:r>
          </w:p>
        </w:tc>
        <w:tc>
          <w:tcPr>
            <w:tcW w:w="637" w:type="pct"/>
            <w:noWrap/>
          </w:tcPr>
          <w:p w:rsidR="00003CAE" w:rsidRPr="00557C8E" w:rsidRDefault="00003CAE" w:rsidP="0006074C">
            <w:pPr>
              <w:jc w:val="right"/>
              <w:rPr>
                <w:rFonts w:ascii="Segoe UI" w:hAnsi="Segoe UI" w:cs="Segoe UI"/>
              </w:rPr>
            </w:pPr>
            <w:r>
              <w:rPr>
                <w:rFonts w:ascii="Segoe UI" w:hAnsi="Segoe UI" w:cs="Segoe UI"/>
              </w:rPr>
              <w:t>$40.33</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$40.89</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$4</w:t>
            </w:r>
            <w:r>
              <w:rPr>
                <w:rFonts w:ascii="Segoe UI" w:hAnsi="Segoe UI" w:cs="Segoe UI"/>
              </w:rPr>
              <w:t>1.46</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85</w:t>
            </w:r>
          </w:p>
        </w:tc>
        <w:tc>
          <w:tcPr>
            <w:tcW w:w="637" w:type="pct"/>
            <w:noWrap/>
          </w:tcPr>
          <w:p w:rsidR="00003CAE" w:rsidRPr="00557C8E" w:rsidRDefault="00003CAE" w:rsidP="0006074C">
            <w:pPr>
              <w:jc w:val="right"/>
              <w:rPr>
                <w:rFonts w:ascii="Segoe UI" w:hAnsi="Segoe UI" w:cs="Segoe UI"/>
              </w:rPr>
            </w:pPr>
            <w:r>
              <w:rPr>
                <w:rFonts w:ascii="Segoe UI" w:hAnsi="Segoe UI" w:cs="Segoe UI"/>
              </w:rPr>
              <w:t>$34.58</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$35.06</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$35.</w:t>
            </w:r>
            <w:r>
              <w:rPr>
                <w:rFonts w:ascii="Segoe UI" w:hAnsi="Segoe UI" w:cs="Segoe UI"/>
              </w:rPr>
              <w:t>55</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80</w:t>
            </w:r>
          </w:p>
        </w:tc>
        <w:tc>
          <w:tcPr>
            <w:tcW w:w="637" w:type="pct"/>
            <w:noWrap/>
          </w:tcPr>
          <w:p w:rsidR="00003CAE" w:rsidRPr="00557C8E" w:rsidRDefault="00003CAE" w:rsidP="0006074C">
            <w:pPr>
              <w:jc w:val="right"/>
              <w:rPr>
                <w:rFonts w:ascii="Segoe UI" w:hAnsi="Segoe UI" w:cs="Segoe UI"/>
              </w:rPr>
            </w:pPr>
            <w:r>
              <w:rPr>
                <w:rFonts w:ascii="Segoe UI" w:hAnsi="Segoe UI" w:cs="Segoe UI"/>
              </w:rPr>
              <w:t>$28.78</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$29.18</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$29.</w:t>
            </w:r>
            <w:r>
              <w:rPr>
                <w:rFonts w:ascii="Segoe UI" w:hAnsi="Segoe UI" w:cs="Segoe UI"/>
              </w:rPr>
              <w:t>59</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75</w:t>
            </w:r>
          </w:p>
        </w:tc>
        <w:tc>
          <w:tcPr>
            <w:tcW w:w="637" w:type="pct"/>
            <w:noWrap/>
          </w:tcPr>
          <w:p w:rsidR="00003CAE" w:rsidRPr="00557C8E" w:rsidRDefault="00003CAE" w:rsidP="0006074C">
            <w:pPr>
              <w:jc w:val="right"/>
              <w:rPr>
                <w:rFonts w:ascii="Segoe UI" w:hAnsi="Segoe UI" w:cs="Segoe UI"/>
              </w:rPr>
            </w:pPr>
            <w:r>
              <w:rPr>
                <w:rFonts w:ascii="Segoe UI" w:hAnsi="Segoe UI" w:cs="Segoe UI"/>
              </w:rPr>
              <w:t>$23.03</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$23.35</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$23.</w:t>
            </w:r>
            <w:r>
              <w:rPr>
                <w:rFonts w:ascii="Segoe UI" w:hAnsi="Segoe UI" w:cs="Segoe UI"/>
              </w:rPr>
              <w:t>68</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70</w:t>
            </w:r>
          </w:p>
        </w:tc>
        <w:tc>
          <w:tcPr>
            <w:tcW w:w="637" w:type="pct"/>
            <w:noWrap/>
          </w:tcPr>
          <w:p w:rsidR="00003CAE" w:rsidRPr="00557C8E" w:rsidRDefault="00003CAE" w:rsidP="0006074C">
            <w:pPr>
              <w:jc w:val="right"/>
              <w:rPr>
                <w:rFonts w:ascii="Segoe UI" w:hAnsi="Segoe UI" w:cs="Segoe UI"/>
              </w:rPr>
            </w:pPr>
            <w:r>
              <w:rPr>
                <w:rFonts w:ascii="Segoe UI" w:hAnsi="Segoe UI" w:cs="Segoe UI"/>
              </w:rPr>
              <w:t>$18.48</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$18.74</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w:t>
            </w:r>
            <w:r>
              <w:rPr>
                <w:rFonts w:ascii="Segoe UI" w:hAnsi="Segoe UI" w:cs="Segoe UI"/>
              </w:rPr>
              <w:t>9.00</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65</w:t>
            </w:r>
          </w:p>
        </w:tc>
        <w:tc>
          <w:tcPr>
            <w:tcW w:w="637" w:type="pct"/>
            <w:noWrap/>
          </w:tcPr>
          <w:p w:rsidR="00003CAE" w:rsidRPr="00557C8E" w:rsidRDefault="00003CAE" w:rsidP="0006074C">
            <w:pPr>
              <w:jc w:val="right"/>
              <w:rPr>
                <w:rFonts w:ascii="Segoe UI" w:hAnsi="Segoe UI" w:cs="Segoe UI"/>
              </w:rPr>
            </w:pPr>
            <w:r>
              <w:rPr>
                <w:rFonts w:ascii="Segoe UI" w:hAnsi="Segoe UI" w:cs="Segoe UI"/>
              </w:rPr>
              <w:t>$12.66</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$12.84</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w:t>
            </w:r>
            <w:r>
              <w:rPr>
                <w:rFonts w:ascii="Segoe UI" w:hAnsi="Segoe UI" w:cs="Segoe UI"/>
              </w:rPr>
              <w:t>3.02</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60</w:t>
            </w:r>
          </w:p>
        </w:tc>
        <w:tc>
          <w:tcPr>
            <w:tcW w:w="637" w:type="pct"/>
            <w:noWrap/>
          </w:tcPr>
          <w:p w:rsidR="00003CAE" w:rsidRPr="00557C8E" w:rsidRDefault="00003CAE" w:rsidP="0006074C">
            <w:pPr>
              <w:jc w:val="right"/>
              <w:rPr>
                <w:rFonts w:ascii="Segoe UI" w:hAnsi="Segoe UI" w:cs="Segoe UI"/>
              </w:rPr>
            </w:pPr>
            <w:r>
              <w:rPr>
                <w:rFonts w:ascii="Segoe UI" w:hAnsi="Segoe UI" w:cs="Segoe UI"/>
              </w:rPr>
              <w:t>$10.36</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$10.51</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$10.</w:t>
            </w:r>
            <w:r>
              <w:rPr>
                <w:rFonts w:ascii="Segoe UI" w:hAnsi="Segoe UI" w:cs="Segoe UI"/>
              </w:rPr>
              <w:t>66</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55</w:t>
            </w:r>
          </w:p>
        </w:tc>
        <w:tc>
          <w:tcPr>
            <w:tcW w:w="637" w:type="pct"/>
            <w:noWrap/>
          </w:tcPr>
          <w:p w:rsidR="00003CAE" w:rsidRPr="00557C8E" w:rsidRDefault="00003CAE" w:rsidP="0006074C">
            <w:pPr>
              <w:jc w:val="right"/>
              <w:rPr>
                <w:rFonts w:ascii="Segoe UI" w:hAnsi="Segoe UI" w:cs="Segoe UI"/>
              </w:rPr>
            </w:pPr>
            <w:r>
              <w:rPr>
                <w:rFonts w:ascii="Segoe UI" w:hAnsi="Segoe UI" w:cs="Segoe UI"/>
              </w:rPr>
              <w:t>$6.92</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$7.02</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$7.</w:t>
            </w:r>
            <w:r>
              <w:rPr>
                <w:rFonts w:ascii="Segoe UI" w:hAnsi="Segoe UI" w:cs="Segoe UI"/>
              </w:rPr>
              <w:t>1</w:t>
            </w:r>
            <w:r w:rsidRPr="00085EC0">
              <w:rPr>
                <w:rFonts w:ascii="Segoe UI" w:hAnsi="Segoe UI" w:cs="Segoe UI"/>
              </w:rPr>
              <w:t>2</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50</w:t>
            </w:r>
          </w:p>
        </w:tc>
        <w:tc>
          <w:tcPr>
            <w:tcW w:w="637" w:type="pct"/>
            <w:noWrap/>
          </w:tcPr>
          <w:p w:rsidR="00003CAE" w:rsidRPr="00557C8E" w:rsidRDefault="00003CAE" w:rsidP="0006074C">
            <w:pPr>
              <w:jc w:val="right"/>
              <w:rPr>
                <w:rFonts w:ascii="Segoe UI" w:hAnsi="Segoe UI" w:cs="Segoe UI"/>
              </w:rPr>
            </w:pPr>
            <w:r>
              <w:rPr>
                <w:rFonts w:ascii="Segoe UI" w:hAnsi="Segoe UI" w:cs="Segoe UI"/>
              </w:rPr>
              <w:t>$4.62</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$4.68</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$4.</w:t>
            </w:r>
            <w:r>
              <w:rPr>
                <w:rFonts w:ascii="Segoe UI" w:hAnsi="Segoe UI" w:cs="Segoe UI"/>
              </w:rPr>
              <w:t>75</w:t>
            </w:r>
          </w:p>
        </w:tc>
      </w:tr>
      <w:tr w:rsidR="0006074C" w:rsidRPr="00557C8E" w:rsidTr="0006074C">
        <w:trPr>
          <w:trHeight w:val="113"/>
        </w:trPr>
        <w:tc>
          <w:tcPr>
            <w:tcW w:w="3089" w:type="pct"/>
            <w:noWrap/>
            <w:hideMark/>
          </w:tcPr>
          <w:p w:rsidR="00003CAE" w:rsidRPr="00596D01" w:rsidRDefault="00003CAE" w:rsidP="0006074C">
            <w:pPr>
              <w:rPr>
                <w:rStyle w:val="Strong"/>
              </w:rPr>
            </w:pPr>
            <w:r w:rsidRPr="00557C8E">
              <w:rPr>
                <w:rFonts w:ascii="Segoe UI" w:hAnsi="Segoe UI" w:cs="Segoe UI"/>
              </w:rPr>
              <w:t>Eligibility score of 45 #</w:t>
            </w:r>
          </w:p>
        </w:tc>
        <w:tc>
          <w:tcPr>
            <w:tcW w:w="637" w:type="pct"/>
            <w:noWrap/>
          </w:tcPr>
          <w:p w:rsidR="00003CAE" w:rsidRPr="00557C8E" w:rsidRDefault="00003CAE" w:rsidP="0006074C">
            <w:pPr>
              <w:jc w:val="right"/>
              <w:rPr>
                <w:rFonts w:ascii="Segoe UI" w:hAnsi="Segoe UI" w:cs="Segoe UI"/>
              </w:rPr>
            </w:pPr>
            <w:r>
              <w:rPr>
                <w:rFonts w:ascii="Segoe UI" w:hAnsi="Segoe UI" w:cs="Segoe UI"/>
              </w:rPr>
              <w:t>$0.00</w:t>
            </w:r>
          </w:p>
        </w:tc>
        <w:tc>
          <w:tcPr>
            <w:tcW w:w="637" w:type="pct"/>
            <w:noWrap/>
          </w:tcPr>
          <w:p w:rsidR="00003CAE" w:rsidRPr="00085EC0" w:rsidRDefault="00003CAE" w:rsidP="0006074C">
            <w:pPr>
              <w:jc w:val="right"/>
              <w:rPr>
                <w:rFonts w:ascii="Segoe UI" w:hAnsi="Segoe UI" w:cs="Segoe UI"/>
              </w:rPr>
            </w:pPr>
            <w:r w:rsidRPr="00085EC0">
              <w:rPr>
                <w:rFonts w:ascii="Segoe UI" w:hAnsi="Segoe UI" w:cs="Segoe UI"/>
              </w:rPr>
              <w:t>$0.00</w:t>
            </w:r>
          </w:p>
        </w:tc>
        <w:tc>
          <w:tcPr>
            <w:tcW w:w="637" w:type="pct"/>
          </w:tcPr>
          <w:p w:rsidR="00003CAE" w:rsidRPr="00085EC0" w:rsidRDefault="00003CAE" w:rsidP="0006074C">
            <w:pPr>
              <w:jc w:val="right"/>
              <w:rPr>
                <w:rFonts w:ascii="Segoe UI" w:hAnsi="Segoe UI" w:cs="Segoe UI"/>
              </w:rPr>
            </w:pPr>
            <w:r w:rsidRPr="00085EC0">
              <w:rPr>
                <w:rFonts w:ascii="Segoe UI" w:hAnsi="Segoe UI" w:cs="Segoe UI"/>
              </w:rPr>
              <w:t>$0.00</w:t>
            </w:r>
          </w:p>
        </w:tc>
      </w:tr>
      <w:tr w:rsidR="0006074C" w:rsidRPr="00557C8E" w:rsidTr="0006074C">
        <w:trPr>
          <w:trHeight w:val="113"/>
        </w:trPr>
        <w:tc>
          <w:tcPr>
            <w:tcW w:w="3089" w:type="pct"/>
            <w:noWrap/>
          </w:tcPr>
          <w:p w:rsidR="00003CAE" w:rsidRPr="00557C8E" w:rsidRDefault="00003CAE" w:rsidP="0006074C">
            <w:pPr>
              <w:rPr>
                <w:rFonts w:ascii="Segoe UI" w:hAnsi="Segoe UI" w:cs="Segoe UI"/>
              </w:rPr>
            </w:pPr>
            <w:r w:rsidRPr="00557C8E">
              <w:rPr>
                <w:rFonts w:ascii="Segoe UI" w:hAnsi="Segoe UI" w:cs="Segoe UI"/>
              </w:rPr>
              <w:t>Safety net – former 1997 or</w:t>
            </w:r>
            <w:r w:rsidR="00A261F3">
              <w:rPr>
                <w:rFonts w:ascii="Segoe UI" w:hAnsi="Segoe UI" w:cs="Segoe UI"/>
              </w:rPr>
              <w:t> 200</w:t>
            </w:r>
            <w:r w:rsidRPr="00557C8E">
              <w:rPr>
                <w:rFonts w:ascii="Segoe UI" w:hAnsi="Segoe UI" w:cs="Segoe UI"/>
              </w:rPr>
              <w:t>1 scheme services: viability</w:t>
            </w:r>
            <w:r w:rsidR="0006074C">
              <w:rPr>
                <w:rFonts w:ascii="Segoe UI" w:hAnsi="Segoe UI" w:cs="Segoe UI"/>
              </w:rPr>
              <w:t> </w:t>
            </w:r>
            <w:r w:rsidRPr="00557C8E">
              <w:rPr>
                <w:rFonts w:ascii="Segoe UI" w:hAnsi="Segoe UI" w:cs="Segoe UI"/>
              </w:rPr>
              <w:t>supplement</w:t>
            </w:r>
          </w:p>
        </w:tc>
        <w:tc>
          <w:tcPr>
            <w:tcW w:w="637" w:type="pct"/>
            <w:noWrap/>
          </w:tcPr>
          <w:p w:rsidR="00003CAE" w:rsidRPr="00557C8E" w:rsidRDefault="00003CAE" w:rsidP="0006074C">
            <w:pPr>
              <w:jc w:val="right"/>
              <w:rPr>
                <w:rFonts w:ascii="Segoe UI" w:hAnsi="Segoe UI" w:cs="Segoe UI"/>
              </w:rPr>
            </w:pPr>
            <w:r>
              <w:rPr>
                <w:rFonts w:ascii="Segoe UI" w:hAnsi="Segoe UI" w:cs="Segoe UI"/>
              </w:rPr>
              <w:t>$1.90</w:t>
            </w:r>
          </w:p>
        </w:tc>
        <w:tc>
          <w:tcPr>
            <w:tcW w:w="637" w:type="pct"/>
            <w:noWrap/>
          </w:tcPr>
          <w:p w:rsidR="00003CAE" w:rsidRPr="00557C8E" w:rsidRDefault="00003CAE" w:rsidP="0006074C">
            <w:pPr>
              <w:jc w:val="right"/>
              <w:rPr>
                <w:rFonts w:ascii="Segoe UI" w:hAnsi="Segoe UI" w:cs="Segoe UI"/>
              </w:rPr>
            </w:pPr>
            <w:r>
              <w:rPr>
                <w:rFonts w:ascii="Segoe UI" w:hAnsi="Segoe UI" w:cs="Segoe UI"/>
              </w:rPr>
              <w:t>$1.93</w:t>
            </w:r>
          </w:p>
        </w:tc>
        <w:tc>
          <w:tcPr>
            <w:tcW w:w="637" w:type="pct"/>
          </w:tcPr>
          <w:p w:rsidR="00003CAE" w:rsidRPr="00557C8E" w:rsidRDefault="00003CAE" w:rsidP="0006074C">
            <w:pPr>
              <w:jc w:val="right"/>
              <w:rPr>
                <w:rFonts w:ascii="Segoe UI" w:hAnsi="Segoe UI" w:cs="Segoe UI"/>
              </w:rPr>
            </w:pPr>
            <w:r>
              <w:rPr>
                <w:rFonts w:ascii="Segoe UI" w:hAnsi="Segoe UI" w:cs="Segoe UI"/>
              </w:rPr>
              <w:t>$1.96</w:t>
            </w:r>
          </w:p>
        </w:tc>
      </w:tr>
    </w:tbl>
    <w:p w:rsidR="00D8721E" w:rsidRDefault="00FE3514" w:rsidP="0006074C">
      <w:pPr>
        <w:pStyle w:val="SourceNotes"/>
      </w:pPr>
      <w:r w:rsidRPr="00FE3514">
        <w:t>*These supplements are payable in respect of eligible residential respite care recipients.</w:t>
      </w:r>
    </w:p>
    <w:p w:rsidR="00D8721E" w:rsidRDefault="00DB20DB" w:rsidP="0006074C">
      <w:pPr>
        <w:pStyle w:val="AppendixNumbered"/>
      </w:pPr>
      <w:bookmarkStart w:id="1072" w:name="_Toc457549949"/>
      <w:bookmarkStart w:id="1073" w:name="_Toc524424839"/>
      <w:r w:rsidRPr="004E429F">
        <w:lastRenderedPageBreak/>
        <w:t>Residential care financing structures and balance sheets</w:t>
      </w:r>
      <w:bookmarkEnd w:id="1072"/>
      <w:bookmarkEnd w:id="1073"/>
    </w:p>
    <w:p w:rsidR="00877DC5" w:rsidRPr="00596D01" w:rsidRDefault="00DB20DB" w:rsidP="0006074C">
      <w:pPr>
        <w:pStyle w:val="AppendixTable"/>
      </w:pPr>
      <w:r w:rsidRPr="00596D01">
        <w:t>Distribution</w:t>
      </w:r>
      <w:r w:rsidR="004F31AD" w:rsidRPr="00596D01">
        <w:t xml:space="preserve"> of a</w:t>
      </w:r>
      <w:r w:rsidRPr="00596D01">
        <w:t>verage</w:t>
      </w:r>
      <w:r w:rsidR="004F31AD" w:rsidRPr="00596D01">
        <w:t xml:space="preserve"> lump sum a</w:t>
      </w:r>
      <w:r w:rsidRPr="00596D01">
        <w:t xml:space="preserve">ccommodation </w:t>
      </w:r>
      <w:r w:rsidR="004F31AD" w:rsidRPr="00596D01">
        <w:t>deposits</w:t>
      </w:r>
      <w:r w:rsidRPr="00596D01">
        <w:t xml:space="preserve"> by ownership and earning</w:t>
      </w:r>
      <w:r w:rsidR="00C84AD4" w:rsidRPr="00596D01">
        <w:t>s</w:t>
      </w:r>
      <w:r w:rsidRPr="00596D01">
        <w:t xml:space="preserve"> before interest, taxes, depreciation and amortisation quartile</w:t>
      </w:r>
      <w:r w:rsidR="00BB1EF2" w:rsidRPr="00596D01">
        <w:t>,</w:t>
      </w:r>
      <w:r w:rsidR="00A261F3" w:rsidRPr="00596D01">
        <w:t> 201</w:t>
      </w:r>
      <w:r w:rsidR="003F69B0" w:rsidRPr="00596D01">
        <w:t>6</w:t>
      </w:r>
      <w:r w:rsidR="00D8721E" w:rsidRPr="00596D01">
        <w:t>–1</w:t>
      </w:r>
      <w:r w:rsidR="003F69B0" w:rsidRPr="00596D01">
        <w:t>7</w:t>
      </w:r>
    </w:p>
    <w:tbl>
      <w:tblPr>
        <w:tblStyle w:val="DefaultTable1"/>
        <w:tblW w:w="5000" w:type="pct"/>
        <w:tblCellMar>
          <w:left w:w="57" w:type="dxa"/>
          <w:right w:w="57" w:type="dxa"/>
        </w:tblCellMar>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745"/>
        <w:gridCol w:w="1161"/>
        <w:gridCol w:w="1157"/>
        <w:gridCol w:w="1261"/>
        <w:gridCol w:w="1152"/>
        <w:gridCol w:w="1152"/>
      </w:tblGrid>
      <w:tr w:rsidR="003F69B0" w:rsidTr="0006074C">
        <w:trPr>
          <w:cnfStyle w:val="100000000000" w:firstRow="1" w:lastRow="0" w:firstColumn="0" w:lastColumn="0" w:oddVBand="0" w:evenVBand="0" w:oddHBand="0" w:evenHBand="0" w:firstRowFirstColumn="0" w:firstRowLastColumn="0" w:lastRowFirstColumn="0" w:lastRowLastColumn="0"/>
          <w:trHeight w:val="113"/>
          <w:tblHeader/>
        </w:trPr>
        <w:tc>
          <w:tcPr>
            <w:tcW w:w="1945" w:type="pct"/>
            <w:noWrap/>
            <w:hideMark/>
          </w:tcPr>
          <w:p w:rsidR="003F69B0" w:rsidRDefault="003F69B0" w:rsidP="0006074C">
            <w:pPr>
              <w:spacing w:beforeLines="20" w:before="48"/>
            </w:pPr>
            <w:r>
              <w:t> </w:t>
            </w:r>
          </w:p>
        </w:tc>
        <w:tc>
          <w:tcPr>
            <w:tcW w:w="603" w:type="pct"/>
            <w:hideMark/>
          </w:tcPr>
          <w:p w:rsidR="003F69B0" w:rsidRDefault="003F69B0" w:rsidP="0006074C">
            <w:pPr>
              <w:spacing w:beforeLines="20" w:before="48"/>
              <w:jc w:val="right"/>
              <w:rPr>
                <w:b w:val="0"/>
                <w:bCs w:val="0"/>
              </w:rPr>
            </w:pPr>
            <w:r w:rsidRPr="00596D01">
              <w:t>Top</w:t>
            </w:r>
          </w:p>
        </w:tc>
        <w:tc>
          <w:tcPr>
            <w:tcW w:w="601" w:type="pct"/>
            <w:hideMark/>
          </w:tcPr>
          <w:p w:rsidR="003F69B0" w:rsidRDefault="003F69B0" w:rsidP="0006074C">
            <w:pPr>
              <w:spacing w:beforeLines="20" w:before="48"/>
              <w:jc w:val="right"/>
              <w:rPr>
                <w:b w:val="0"/>
                <w:bCs w:val="0"/>
              </w:rPr>
            </w:pPr>
            <w:r w:rsidRPr="00596D01">
              <w:t>Next top</w:t>
            </w:r>
          </w:p>
        </w:tc>
        <w:tc>
          <w:tcPr>
            <w:tcW w:w="655" w:type="pct"/>
            <w:hideMark/>
          </w:tcPr>
          <w:p w:rsidR="003F69B0" w:rsidRDefault="003F69B0" w:rsidP="0006074C">
            <w:pPr>
              <w:spacing w:beforeLines="20" w:before="48"/>
              <w:jc w:val="right"/>
              <w:rPr>
                <w:b w:val="0"/>
                <w:bCs w:val="0"/>
              </w:rPr>
            </w:pPr>
            <w:r w:rsidRPr="00596D01">
              <w:t>Next bottom</w:t>
            </w:r>
          </w:p>
        </w:tc>
        <w:tc>
          <w:tcPr>
            <w:tcW w:w="598" w:type="pct"/>
            <w:hideMark/>
          </w:tcPr>
          <w:p w:rsidR="003F69B0" w:rsidRDefault="003F69B0" w:rsidP="0006074C">
            <w:pPr>
              <w:spacing w:beforeLines="20" w:before="48"/>
              <w:jc w:val="right"/>
              <w:rPr>
                <w:b w:val="0"/>
                <w:bCs w:val="0"/>
              </w:rPr>
            </w:pPr>
            <w:r w:rsidRPr="00596D01">
              <w:t>Bottom</w:t>
            </w:r>
          </w:p>
        </w:tc>
        <w:tc>
          <w:tcPr>
            <w:tcW w:w="598" w:type="pct"/>
            <w:hideMark/>
          </w:tcPr>
          <w:p w:rsidR="003F69B0" w:rsidRPr="00596D01" w:rsidRDefault="003F69B0" w:rsidP="0006074C">
            <w:pPr>
              <w:spacing w:beforeLines="20" w:before="48"/>
              <w:jc w:val="right"/>
            </w:pPr>
            <w:r w:rsidRPr="00596D01">
              <w:t>Total</w:t>
            </w:r>
          </w:p>
        </w:tc>
      </w:tr>
      <w:tr w:rsidR="003F69B0" w:rsidTr="0006074C">
        <w:trPr>
          <w:trHeight w:val="113"/>
        </w:trPr>
        <w:tc>
          <w:tcPr>
            <w:tcW w:w="1945" w:type="pct"/>
            <w:shd w:val="clear" w:color="auto" w:fill="E8E8E8" w:themeFill="background2"/>
            <w:noWrap/>
            <w:hideMark/>
          </w:tcPr>
          <w:p w:rsidR="003F69B0" w:rsidRPr="00596D01" w:rsidRDefault="003F69B0" w:rsidP="0006074C">
            <w:pPr>
              <w:spacing w:beforeLines="20" w:before="48"/>
              <w:rPr>
                <w:rStyle w:val="Strong"/>
              </w:rPr>
            </w:pPr>
            <w:r w:rsidRPr="00596D01">
              <w:rPr>
                <w:rStyle w:val="Strong"/>
              </w:rPr>
              <w:t>Not-for-profit</w:t>
            </w:r>
          </w:p>
        </w:tc>
        <w:tc>
          <w:tcPr>
            <w:tcW w:w="603" w:type="pct"/>
            <w:shd w:val="clear" w:color="auto" w:fill="E8E8E8" w:themeFill="background2"/>
            <w:noWrap/>
            <w:hideMark/>
          </w:tcPr>
          <w:p w:rsidR="003F69B0" w:rsidRDefault="003F69B0" w:rsidP="0006074C">
            <w:pPr>
              <w:spacing w:beforeLines="20" w:before="48"/>
              <w:jc w:val="right"/>
            </w:pPr>
            <w:r>
              <w:t> </w:t>
            </w:r>
          </w:p>
        </w:tc>
        <w:tc>
          <w:tcPr>
            <w:tcW w:w="601" w:type="pct"/>
            <w:shd w:val="clear" w:color="auto" w:fill="E8E8E8" w:themeFill="background2"/>
            <w:noWrap/>
            <w:hideMark/>
          </w:tcPr>
          <w:p w:rsidR="003F69B0" w:rsidRDefault="003F69B0" w:rsidP="0006074C">
            <w:pPr>
              <w:spacing w:beforeLines="20" w:before="48"/>
              <w:jc w:val="right"/>
            </w:pPr>
            <w:r>
              <w:t> </w:t>
            </w:r>
          </w:p>
        </w:tc>
        <w:tc>
          <w:tcPr>
            <w:tcW w:w="655"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r>
      <w:tr w:rsidR="004E429F" w:rsidTr="0006074C">
        <w:trPr>
          <w:trHeight w:val="113"/>
        </w:trPr>
        <w:tc>
          <w:tcPr>
            <w:tcW w:w="1945" w:type="pct"/>
            <w:hideMark/>
          </w:tcPr>
          <w:p w:rsidR="004E429F" w:rsidRDefault="004E429F" w:rsidP="0006074C">
            <w:pPr>
              <w:spacing w:beforeLines="20" w:before="48"/>
            </w:pPr>
            <w:r>
              <w:t>No. of providers</w:t>
            </w:r>
          </w:p>
        </w:tc>
        <w:tc>
          <w:tcPr>
            <w:tcW w:w="603" w:type="pct"/>
            <w:noWrap/>
            <w:hideMark/>
          </w:tcPr>
          <w:p w:rsidR="004E429F" w:rsidRDefault="004E429F" w:rsidP="0006074C">
            <w:pPr>
              <w:spacing w:beforeLines="20" w:before="48"/>
              <w:jc w:val="right"/>
            </w:pPr>
            <w:r>
              <w:t>115</w:t>
            </w:r>
          </w:p>
        </w:tc>
        <w:tc>
          <w:tcPr>
            <w:tcW w:w="601" w:type="pct"/>
            <w:noWrap/>
            <w:hideMark/>
          </w:tcPr>
          <w:p w:rsidR="004E429F" w:rsidRDefault="004E429F" w:rsidP="0006074C">
            <w:pPr>
              <w:spacing w:beforeLines="20" w:before="48"/>
              <w:jc w:val="right"/>
            </w:pPr>
            <w:r>
              <w:t>137</w:t>
            </w:r>
          </w:p>
        </w:tc>
        <w:tc>
          <w:tcPr>
            <w:tcW w:w="655" w:type="pct"/>
            <w:noWrap/>
            <w:hideMark/>
          </w:tcPr>
          <w:p w:rsidR="004E429F" w:rsidRDefault="004E429F" w:rsidP="0006074C">
            <w:pPr>
              <w:spacing w:beforeLines="20" w:before="48"/>
              <w:jc w:val="right"/>
            </w:pPr>
            <w:r>
              <w:t>145</w:t>
            </w:r>
          </w:p>
        </w:tc>
        <w:tc>
          <w:tcPr>
            <w:tcW w:w="598" w:type="pct"/>
            <w:noWrap/>
            <w:hideMark/>
          </w:tcPr>
          <w:p w:rsidR="004E429F" w:rsidRDefault="004E429F" w:rsidP="0006074C">
            <w:pPr>
              <w:spacing w:beforeLines="20" w:before="48"/>
              <w:jc w:val="right"/>
            </w:pPr>
            <w:r>
              <w:t>103</w:t>
            </w:r>
          </w:p>
        </w:tc>
        <w:tc>
          <w:tcPr>
            <w:tcW w:w="598" w:type="pct"/>
            <w:noWrap/>
            <w:hideMark/>
          </w:tcPr>
          <w:p w:rsidR="004E429F" w:rsidRDefault="004E429F" w:rsidP="0006074C">
            <w:pPr>
              <w:spacing w:beforeLines="20" w:before="48"/>
              <w:jc w:val="right"/>
            </w:pPr>
            <w:r>
              <w:t>500</w:t>
            </w:r>
          </w:p>
        </w:tc>
      </w:tr>
      <w:tr w:rsidR="004E429F" w:rsidTr="0006074C">
        <w:trPr>
          <w:trHeight w:val="113"/>
        </w:trPr>
        <w:tc>
          <w:tcPr>
            <w:tcW w:w="1945" w:type="pct"/>
            <w:hideMark/>
          </w:tcPr>
          <w:p w:rsidR="004E429F" w:rsidRDefault="004E429F" w:rsidP="0006074C">
            <w:pPr>
              <w:spacing w:beforeLines="20" w:before="48"/>
            </w:pPr>
            <w:r>
              <w:t>No. of providers that held RADs</w:t>
            </w:r>
          </w:p>
        </w:tc>
        <w:tc>
          <w:tcPr>
            <w:tcW w:w="603" w:type="pct"/>
            <w:noWrap/>
            <w:hideMark/>
          </w:tcPr>
          <w:p w:rsidR="004E429F" w:rsidRDefault="004E429F" w:rsidP="0006074C">
            <w:pPr>
              <w:spacing w:beforeLines="20" w:before="48"/>
              <w:jc w:val="right"/>
            </w:pPr>
            <w:r>
              <w:t>110</w:t>
            </w:r>
          </w:p>
        </w:tc>
        <w:tc>
          <w:tcPr>
            <w:tcW w:w="601" w:type="pct"/>
            <w:noWrap/>
            <w:hideMark/>
          </w:tcPr>
          <w:p w:rsidR="004E429F" w:rsidRDefault="004E429F" w:rsidP="0006074C">
            <w:pPr>
              <w:spacing w:beforeLines="20" w:before="48"/>
              <w:jc w:val="right"/>
            </w:pPr>
            <w:r>
              <w:t>133</w:t>
            </w:r>
          </w:p>
        </w:tc>
        <w:tc>
          <w:tcPr>
            <w:tcW w:w="655" w:type="pct"/>
            <w:noWrap/>
            <w:hideMark/>
          </w:tcPr>
          <w:p w:rsidR="004E429F" w:rsidRDefault="004E429F" w:rsidP="0006074C">
            <w:pPr>
              <w:spacing w:beforeLines="20" w:before="48"/>
              <w:jc w:val="right"/>
            </w:pPr>
            <w:r>
              <w:t>141</w:t>
            </w:r>
          </w:p>
        </w:tc>
        <w:tc>
          <w:tcPr>
            <w:tcW w:w="598" w:type="pct"/>
            <w:noWrap/>
            <w:hideMark/>
          </w:tcPr>
          <w:p w:rsidR="004E429F" w:rsidRDefault="004E429F" w:rsidP="0006074C">
            <w:pPr>
              <w:spacing w:beforeLines="20" w:before="48"/>
              <w:jc w:val="right"/>
            </w:pPr>
            <w:r>
              <w:t>94</w:t>
            </w:r>
          </w:p>
        </w:tc>
        <w:tc>
          <w:tcPr>
            <w:tcW w:w="598" w:type="pct"/>
            <w:noWrap/>
            <w:hideMark/>
          </w:tcPr>
          <w:p w:rsidR="004E429F" w:rsidRDefault="004E429F" w:rsidP="0006074C">
            <w:pPr>
              <w:spacing w:beforeLines="20" w:before="48"/>
              <w:jc w:val="right"/>
            </w:pPr>
            <w:r>
              <w:t>478</w:t>
            </w:r>
          </w:p>
        </w:tc>
      </w:tr>
      <w:tr w:rsidR="004E429F" w:rsidTr="0006074C">
        <w:trPr>
          <w:trHeight w:val="113"/>
        </w:trPr>
        <w:tc>
          <w:tcPr>
            <w:tcW w:w="1945" w:type="pct"/>
            <w:hideMark/>
          </w:tcPr>
          <w:p w:rsidR="004E429F" w:rsidRDefault="004E429F" w:rsidP="0006074C">
            <w:pPr>
              <w:spacing w:beforeLines="20" w:before="48"/>
            </w:pPr>
            <w:r>
              <w:t>Proportion of residents that paid RADs in facilities, where RADs were held</w:t>
            </w:r>
          </w:p>
        </w:tc>
        <w:tc>
          <w:tcPr>
            <w:tcW w:w="603" w:type="pct"/>
            <w:noWrap/>
            <w:hideMark/>
          </w:tcPr>
          <w:p w:rsidR="004E429F" w:rsidRDefault="004E429F" w:rsidP="0006074C">
            <w:pPr>
              <w:spacing w:beforeLines="20" w:before="48"/>
              <w:jc w:val="right"/>
            </w:pPr>
            <w:r>
              <w:t>49.</w:t>
            </w:r>
            <w:r w:rsidR="00C63FFA">
              <w:t>8</w:t>
            </w:r>
            <w:r>
              <w:t>%</w:t>
            </w:r>
          </w:p>
        </w:tc>
        <w:tc>
          <w:tcPr>
            <w:tcW w:w="601" w:type="pct"/>
            <w:noWrap/>
            <w:hideMark/>
          </w:tcPr>
          <w:p w:rsidR="004E429F" w:rsidRDefault="004E429F" w:rsidP="0006074C">
            <w:pPr>
              <w:spacing w:beforeLines="20" w:before="48"/>
              <w:jc w:val="right"/>
            </w:pPr>
            <w:r>
              <w:t>46.6%</w:t>
            </w:r>
          </w:p>
        </w:tc>
        <w:tc>
          <w:tcPr>
            <w:tcW w:w="655" w:type="pct"/>
            <w:noWrap/>
            <w:hideMark/>
          </w:tcPr>
          <w:p w:rsidR="004E429F" w:rsidRDefault="004E429F" w:rsidP="0006074C">
            <w:pPr>
              <w:spacing w:beforeLines="20" w:before="48"/>
              <w:jc w:val="right"/>
            </w:pPr>
            <w:r>
              <w:t>46.3%</w:t>
            </w:r>
          </w:p>
        </w:tc>
        <w:tc>
          <w:tcPr>
            <w:tcW w:w="598" w:type="pct"/>
            <w:noWrap/>
            <w:hideMark/>
          </w:tcPr>
          <w:p w:rsidR="004E429F" w:rsidRDefault="004E429F" w:rsidP="0006074C">
            <w:pPr>
              <w:spacing w:beforeLines="20" w:before="48"/>
              <w:jc w:val="right"/>
            </w:pPr>
            <w:r>
              <w:t>46.9%</w:t>
            </w:r>
          </w:p>
        </w:tc>
        <w:tc>
          <w:tcPr>
            <w:tcW w:w="598" w:type="pct"/>
            <w:noWrap/>
            <w:hideMark/>
          </w:tcPr>
          <w:p w:rsidR="004E429F" w:rsidRDefault="004E429F" w:rsidP="0006074C">
            <w:pPr>
              <w:spacing w:beforeLines="20" w:before="48"/>
              <w:jc w:val="right"/>
            </w:pPr>
            <w:r>
              <w:t>47.1%</w:t>
            </w:r>
          </w:p>
        </w:tc>
      </w:tr>
      <w:tr w:rsidR="004E429F" w:rsidTr="0006074C">
        <w:trPr>
          <w:trHeight w:val="113"/>
        </w:trPr>
        <w:tc>
          <w:tcPr>
            <w:tcW w:w="1945" w:type="pct"/>
            <w:hideMark/>
          </w:tcPr>
          <w:p w:rsidR="004E429F" w:rsidRDefault="004E429F" w:rsidP="0006074C">
            <w:pPr>
              <w:spacing w:beforeLines="20" w:before="48"/>
            </w:pPr>
            <w:r>
              <w:t>Average RAD per resident</w:t>
            </w:r>
          </w:p>
        </w:tc>
        <w:tc>
          <w:tcPr>
            <w:tcW w:w="603" w:type="pct"/>
            <w:noWrap/>
            <w:hideMark/>
          </w:tcPr>
          <w:p w:rsidR="004E429F" w:rsidRDefault="004E429F" w:rsidP="0006074C">
            <w:pPr>
              <w:spacing w:beforeLines="20" w:before="48"/>
              <w:jc w:val="right"/>
            </w:pPr>
            <w:r>
              <w:t>$283,349</w:t>
            </w:r>
          </w:p>
        </w:tc>
        <w:tc>
          <w:tcPr>
            <w:tcW w:w="601" w:type="pct"/>
            <w:noWrap/>
            <w:hideMark/>
          </w:tcPr>
          <w:p w:rsidR="004E429F" w:rsidRDefault="004E429F" w:rsidP="0006074C">
            <w:pPr>
              <w:spacing w:beforeLines="20" w:before="48"/>
              <w:jc w:val="right"/>
            </w:pPr>
            <w:r>
              <w:t>$265,298</w:t>
            </w:r>
          </w:p>
        </w:tc>
        <w:tc>
          <w:tcPr>
            <w:tcW w:w="655" w:type="pct"/>
            <w:noWrap/>
            <w:hideMark/>
          </w:tcPr>
          <w:p w:rsidR="004E429F" w:rsidRDefault="004E429F" w:rsidP="0006074C">
            <w:pPr>
              <w:spacing w:beforeLines="20" w:before="48"/>
              <w:jc w:val="right"/>
            </w:pPr>
            <w:r>
              <w:t>$264,951</w:t>
            </w:r>
          </w:p>
        </w:tc>
        <w:tc>
          <w:tcPr>
            <w:tcW w:w="598" w:type="pct"/>
            <w:noWrap/>
            <w:hideMark/>
          </w:tcPr>
          <w:p w:rsidR="004E429F" w:rsidRDefault="004E429F" w:rsidP="0006074C">
            <w:pPr>
              <w:spacing w:beforeLines="20" w:before="48"/>
              <w:jc w:val="right"/>
            </w:pPr>
            <w:r>
              <w:t>$266,320</w:t>
            </w:r>
          </w:p>
        </w:tc>
        <w:tc>
          <w:tcPr>
            <w:tcW w:w="598" w:type="pct"/>
            <w:noWrap/>
            <w:hideMark/>
          </w:tcPr>
          <w:p w:rsidR="004E429F" w:rsidRDefault="004E429F" w:rsidP="0006074C">
            <w:pPr>
              <w:spacing w:beforeLines="20" w:before="48"/>
              <w:jc w:val="right"/>
            </w:pPr>
            <w:r>
              <w:t>$268,413</w:t>
            </w:r>
          </w:p>
        </w:tc>
      </w:tr>
      <w:tr w:rsidR="003F69B0" w:rsidTr="0006074C">
        <w:trPr>
          <w:trHeight w:val="113"/>
        </w:trPr>
        <w:tc>
          <w:tcPr>
            <w:tcW w:w="1945" w:type="pct"/>
            <w:shd w:val="clear" w:color="auto" w:fill="E8E8E8" w:themeFill="background2"/>
            <w:noWrap/>
            <w:hideMark/>
          </w:tcPr>
          <w:p w:rsidR="003F69B0" w:rsidRPr="00596D01" w:rsidRDefault="003F69B0" w:rsidP="0006074C">
            <w:pPr>
              <w:spacing w:beforeLines="20" w:before="48"/>
              <w:rPr>
                <w:rStyle w:val="Strong"/>
              </w:rPr>
            </w:pPr>
            <w:r w:rsidRPr="00596D01">
              <w:rPr>
                <w:rStyle w:val="Strong"/>
              </w:rPr>
              <w:t>For-profit</w:t>
            </w:r>
          </w:p>
        </w:tc>
        <w:tc>
          <w:tcPr>
            <w:tcW w:w="603" w:type="pct"/>
            <w:shd w:val="clear" w:color="auto" w:fill="E8E8E8" w:themeFill="background2"/>
            <w:noWrap/>
            <w:hideMark/>
          </w:tcPr>
          <w:p w:rsidR="003F69B0" w:rsidRDefault="003F69B0" w:rsidP="0006074C">
            <w:pPr>
              <w:spacing w:beforeLines="20" w:before="48"/>
              <w:jc w:val="right"/>
            </w:pPr>
            <w:r>
              <w:t> </w:t>
            </w:r>
          </w:p>
        </w:tc>
        <w:tc>
          <w:tcPr>
            <w:tcW w:w="601" w:type="pct"/>
            <w:shd w:val="clear" w:color="auto" w:fill="E8E8E8" w:themeFill="background2"/>
            <w:noWrap/>
            <w:hideMark/>
          </w:tcPr>
          <w:p w:rsidR="003F69B0" w:rsidRDefault="003F69B0" w:rsidP="0006074C">
            <w:pPr>
              <w:spacing w:beforeLines="20" w:before="48"/>
              <w:jc w:val="right"/>
            </w:pPr>
            <w:r>
              <w:t> </w:t>
            </w:r>
          </w:p>
        </w:tc>
        <w:tc>
          <w:tcPr>
            <w:tcW w:w="655"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r>
      <w:tr w:rsidR="004E429F" w:rsidRPr="004E429F" w:rsidTr="0006074C">
        <w:trPr>
          <w:trHeight w:val="113"/>
        </w:trPr>
        <w:tc>
          <w:tcPr>
            <w:tcW w:w="1945" w:type="pct"/>
            <w:hideMark/>
          </w:tcPr>
          <w:p w:rsidR="004E429F" w:rsidRDefault="004E429F" w:rsidP="0006074C">
            <w:pPr>
              <w:spacing w:beforeLines="20" w:before="48"/>
            </w:pPr>
            <w:r>
              <w:t>No. of providers</w:t>
            </w:r>
          </w:p>
        </w:tc>
        <w:tc>
          <w:tcPr>
            <w:tcW w:w="603" w:type="pct"/>
            <w:noWrap/>
            <w:hideMark/>
          </w:tcPr>
          <w:p w:rsidR="004E429F" w:rsidRDefault="004E429F" w:rsidP="0006074C">
            <w:pPr>
              <w:spacing w:beforeLines="20" w:before="48"/>
              <w:jc w:val="right"/>
            </w:pPr>
            <w:r>
              <w:t>101</w:t>
            </w:r>
          </w:p>
        </w:tc>
        <w:tc>
          <w:tcPr>
            <w:tcW w:w="601" w:type="pct"/>
            <w:noWrap/>
            <w:hideMark/>
          </w:tcPr>
          <w:p w:rsidR="004E429F" w:rsidRDefault="004E429F" w:rsidP="0006074C">
            <w:pPr>
              <w:spacing w:beforeLines="20" w:before="48"/>
              <w:jc w:val="right"/>
            </w:pPr>
            <w:r>
              <w:t>76</w:t>
            </w:r>
          </w:p>
        </w:tc>
        <w:tc>
          <w:tcPr>
            <w:tcW w:w="655" w:type="pct"/>
            <w:noWrap/>
            <w:hideMark/>
          </w:tcPr>
          <w:p w:rsidR="004E429F" w:rsidRDefault="004E429F" w:rsidP="0006074C">
            <w:pPr>
              <w:spacing w:beforeLines="20" w:before="48"/>
              <w:jc w:val="right"/>
            </w:pPr>
            <w:r>
              <w:t>66</w:t>
            </w:r>
          </w:p>
        </w:tc>
        <w:tc>
          <w:tcPr>
            <w:tcW w:w="598" w:type="pct"/>
            <w:noWrap/>
            <w:hideMark/>
          </w:tcPr>
          <w:p w:rsidR="004E429F" w:rsidRDefault="004E429F" w:rsidP="0006074C">
            <w:pPr>
              <w:spacing w:beforeLines="20" w:before="48"/>
              <w:jc w:val="right"/>
            </w:pPr>
            <w:r>
              <w:t>55</w:t>
            </w:r>
          </w:p>
        </w:tc>
        <w:tc>
          <w:tcPr>
            <w:tcW w:w="598" w:type="pct"/>
            <w:noWrap/>
            <w:hideMark/>
          </w:tcPr>
          <w:p w:rsidR="004E429F" w:rsidRDefault="004E429F" w:rsidP="0006074C">
            <w:pPr>
              <w:spacing w:beforeLines="20" w:before="48"/>
              <w:jc w:val="right"/>
            </w:pPr>
            <w:r>
              <w:t>298</w:t>
            </w:r>
          </w:p>
        </w:tc>
      </w:tr>
      <w:tr w:rsidR="004E429F" w:rsidRPr="004E429F" w:rsidTr="0006074C">
        <w:trPr>
          <w:trHeight w:val="113"/>
        </w:trPr>
        <w:tc>
          <w:tcPr>
            <w:tcW w:w="1945" w:type="pct"/>
            <w:hideMark/>
          </w:tcPr>
          <w:p w:rsidR="004E429F" w:rsidRDefault="004E429F" w:rsidP="0006074C">
            <w:pPr>
              <w:spacing w:beforeLines="20" w:before="48"/>
            </w:pPr>
            <w:r>
              <w:t>No. of providers that held RADs</w:t>
            </w:r>
          </w:p>
        </w:tc>
        <w:tc>
          <w:tcPr>
            <w:tcW w:w="603" w:type="pct"/>
            <w:noWrap/>
            <w:hideMark/>
          </w:tcPr>
          <w:p w:rsidR="004E429F" w:rsidRDefault="004E429F" w:rsidP="0006074C">
            <w:pPr>
              <w:spacing w:beforeLines="20" w:before="48"/>
              <w:jc w:val="right"/>
            </w:pPr>
            <w:r>
              <w:t>92</w:t>
            </w:r>
          </w:p>
        </w:tc>
        <w:tc>
          <w:tcPr>
            <w:tcW w:w="601" w:type="pct"/>
            <w:noWrap/>
            <w:hideMark/>
          </w:tcPr>
          <w:p w:rsidR="004E429F" w:rsidRDefault="004E429F" w:rsidP="0006074C">
            <w:pPr>
              <w:spacing w:beforeLines="20" w:before="48"/>
              <w:jc w:val="right"/>
            </w:pPr>
            <w:r>
              <w:t>74</w:t>
            </w:r>
          </w:p>
        </w:tc>
        <w:tc>
          <w:tcPr>
            <w:tcW w:w="655" w:type="pct"/>
            <w:noWrap/>
            <w:hideMark/>
          </w:tcPr>
          <w:p w:rsidR="004E429F" w:rsidRDefault="004E429F" w:rsidP="0006074C">
            <w:pPr>
              <w:spacing w:beforeLines="20" w:before="48"/>
              <w:jc w:val="right"/>
            </w:pPr>
            <w:r>
              <w:t>63</w:t>
            </w:r>
          </w:p>
        </w:tc>
        <w:tc>
          <w:tcPr>
            <w:tcW w:w="598" w:type="pct"/>
            <w:noWrap/>
            <w:hideMark/>
          </w:tcPr>
          <w:p w:rsidR="004E429F" w:rsidRDefault="004E429F" w:rsidP="0006074C">
            <w:pPr>
              <w:spacing w:beforeLines="20" w:before="48"/>
              <w:jc w:val="right"/>
            </w:pPr>
            <w:r>
              <w:t>49</w:t>
            </w:r>
          </w:p>
        </w:tc>
        <w:tc>
          <w:tcPr>
            <w:tcW w:w="598" w:type="pct"/>
            <w:noWrap/>
            <w:hideMark/>
          </w:tcPr>
          <w:p w:rsidR="004E429F" w:rsidRDefault="004E429F" w:rsidP="0006074C">
            <w:pPr>
              <w:spacing w:beforeLines="20" w:before="48"/>
              <w:jc w:val="right"/>
            </w:pPr>
            <w:r>
              <w:t>278</w:t>
            </w:r>
          </w:p>
        </w:tc>
      </w:tr>
      <w:tr w:rsidR="004E429F" w:rsidRPr="004E429F" w:rsidTr="0006074C">
        <w:trPr>
          <w:trHeight w:val="113"/>
        </w:trPr>
        <w:tc>
          <w:tcPr>
            <w:tcW w:w="1945" w:type="pct"/>
            <w:hideMark/>
          </w:tcPr>
          <w:p w:rsidR="004E429F" w:rsidRDefault="004E429F" w:rsidP="0006074C">
            <w:pPr>
              <w:spacing w:beforeLines="20" w:before="48"/>
            </w:pPr>
            <w:r>
              <w:t>Proportion of permanent residents that paid RADs in facilities, where RADs were held</w:t>
            </w:r>
          </w:p>
        </w:tc>
        <w:tc>
          <w:tcPr>
            <w:tcW w:w="603" w:type="pct"/>
            <w:noWrap/>
            <w:hideMark/>
          </w:tcPr>
          <w:p w:rsidR="004E429F" w:rsidRDefault="004E429F" w:rsidP="0006074C">
            <w:pPr>
              <w:spacing w:beforeLines="20" w:before="48"/>
              <w:jc w:val="right"/>
            </w:pPr>
            <w:r>
              <w:t>56.6%</w:t>
            </w:r>
          </w:p>
        </w:tc>
        <w:tc>
          <w:tcPr>
            <w:tcW w:w="601" w:type="pct"/>
            <w:noWrap/>
            <w:hideMark/>
          </w:tcPr>
          <w:p w:rsidR="004E429F" w:rsidRDefault="004E429F" w:rsidP="0006074C">
            <w:pPr>
              <w:spacing w:beforeLines="20" w:before="48"/>
              <w:jc w:val="right"/>
            </w:pPr>
            <w:r>
              <w:t>51.5%</w:t>
            </w:r>
          </w:p>
        </w:tc>
        <w:tc>
          <w:tcPr>
            <w:tcW w:w="655" w:type="pct"/>
            <w:noWrap/>
            <w:hideMark/>
          </w:tcPr>
          <w:p w:rsidR="004E429F" w:rsidRDefault="004E429F" w:rsidP="0006074C">
            <w:pPr>
              <w:spacing w:beforeLines="20" w:before="48"/>
              <w:jc w:val="right"/>
            </w:pPr>
            <w:r>
              <w:t>56.5%</w:t>
            </w:r>
          </w:p>
        </w:tc>
        <w:tc>
          <w:tcPr>
            <w:tcW w:w="598" w:type="pct"/>
            <w:noWrap/>
            <w:hideMark/>
          </w:tcPr>
          <w:p w:rsidR="004E429F" w:rsidRDefault="004E429F" w:rsidP="0006074C">
            <w:pPr>
              <w:spacing w:beforeLines="20" w:before="48"/>
              <w:jc w:val="right"/>
            </w:pPr>
            <w:r>
              <w:t>49.8%</w:t>
            </w:r>
          </w:p>
        </w:tc>
        <w:tc>
          <w:tcPr>
            <w:tcW w:w="598" w:type="pct"/>
            <w:noWrap/>
            <w:hideMark/>
          </w:tcPr>
          <w:p w:rsidR="004E429F" w:rsidRDefault="004E429F" w:rsidP="0006074C">
            <w:pPr>
              <w:spacing w:beforeLines="20" w:before="48"/>
              <w:jc w:val="right"/>
            </w:pPr>
            <w:r>
              <w:t>54.3%</w:t>
            </w:r>
          </w:p>
        </w:tc>
      </w:tr>
      <w:tr w:rsidR="004E429F" w:rsidRPr="004E429F" w:rsidTr="0006074C">
        <w:trPr>
          <w:trHeight w:val="113"/>
        </w:trPr>
        <w:tc>
          <w:tcPr>
            <w:tcW w:w="1945" w:type="pct"/>
            <w:hideMark/>
          </w:tcPr>
          <w:p w:rsidR="004E429F" w:rsidRDefault="004E429F" w:rsidP="0006074C">
            <w:pPr>
              <w:spacing w:beforeLines="20" w:before="48"/>
            </w:pPr>
            <w:r>
              <w:t>Average RAD per resident</w:t>
            </w:r>
          </w:p>
        </w:tc>
        <w:tc>
          <w:tcPr>
            <w:tcW w:w="603" w:type="pct"/>
            <w:noWrap/>
            <w:hideMark/>
          </w:tcPr>
          <w:p w:rsidR="004E429F" w:rsidRDefault="004E429F" w:rsidP="0006074C">
            <w:pPr>
              <w:spacing w:beforeLines="20" w:before="48"/>
              <w:jc w:val="right"/>
            </w:pPr>
            <w:r>
              <w:t>$320,435</w:t>
            </w:r>
          </w:p>
        </w:tc>
        <w:tc>
          <w:tcPr>
            <w:tcW w:w="601" w:type="pct"/>
            <w:noWrap/>
            <w:hideMark/>
          </w:tcPr>
          <w:p w:rsidR="004E429F" w:rsidRDefault="004E429F" w:rsidP="0006074C">
            <w:pPr>
              <w:spacing w:beforeLines="20" w:before="48"/>
              <w:jc w:val="right"/>
            </w:pPr>
            <w:r>
              <w:t>$294,290</w:t>
            </w:r>
          </w:p>
        </w:tc>
        <w:tc>
          <w:tcPr>
            <w:tcW w:w="655" w:type="pct"/>
            <w:noWrap/>
            <w:hideMark/>
          </w:tcPr>
          <w:p w:rsidR="004E429F" w:rsidRDefault="004E429F" w:rsidP="0006074C">
            <w:pPr>
              <w:spacing w:beforeLines="20" w:before="48"/>
              <w:jc w:val="right"/>
            </w:pPr>
            <w:r>
              <w:t>$298,515</w:t>
            </w:r>
          </w:p>
        </w:tc>
        <w:tc>
          <w:tcPr>
            <w:tcW w:w="598" w:type="pct"/>
            <w:noWrap/>
            <w:hideMark/>
          </w:tcPr>
          <w:p w:rsidR="004E429F" w:rsidRDefault="004E429F" w:rsidP="0006074C">
            <w:pPr>
              <w:spacing w:beforeLines="20" w:before="48"/>
              <w:jc w:val="right"/>
            </w:pPr>
            <w:r>
              <w:t>$337,161</w:t>
            </w:r>
          </w:p>
        </w:tc>
        <w:tc>
          <w:tcPr>
            <w:tcW w:w="598" w:type="pct"/>
            <w:noWrap/>
            <w:hideMark/>
          </w:tcPr>
          <w:p w:rsidR="004E429F" w:rsidRDefault="004E429F" w:rsidP="0006074C">
            <w:pPr>
              <w:spacing w:beforeLines="20" w:before="48"/>
              <w:jc w:val="right"/>
            </w:pPr>
            <w:r>
              <w:t>$308,398</w:t>
            </w:r>
          </w:p>
        </w:tc>
      </w:tr>
      <w:tr w:rsidR="003F69B0" w:rsidTr="0006074C">
        <w:trPr>
          <w:trHeight w:val="113"/>
        </w:trPr>
        <w:tc>
          <w:tcPr>
            <w:tcW w:w="1945" w:type="pct"/>
            <w:shd w:val="clear" w:color="auto" w:fill="E8E8E8" w:themeFill="background2"/>
            <w:noWrap/>
            <w:hideMark/>
          </w:tcPr>
          <w:p w:rsidR="003F69B0" w:rsidRPr="00596D01" w:rsidRDefault="003F69B0" w:rsidP="0006074C">
            <w:pPr>
              <w:spacing w:beforeLines="20" w:before="48"/>
              <w:rPr>
                <w:rStyle w:val="Strong"/>
              </w:rPr>
            </w:pPr>
            <w:r w:rsidRPr="00596D01">
              <w:rPr>
                <w:rStyle w:val="Strong"/>
              </w:rPr>
              <w:t>Government</w:t>
            </w:r>
          </w:p>
        </w:tc>
        <w:tc>
          <w:tcPr>
            <w:tcW w:w="603" w:type="pct"/>
            <w:shd w:val="clear" w:color="auto" w:fill="E8E8E8" w:themeFill="background2"/>
            <w:noWrap/>
            <w:hideMark/>
          </w:tcPr>
          <w:p w:rsidR="003F69B0" w:rsidRDefault="003F69B0" w:rsidP="0006074C">
            <w:pPr>
              <w:spacing w:beforeLines="20" w:before="48"/>
              <w:jc w:val="right"/>
            </w:pPr>
            <w:r>
              <w:t> </w:t>
            </w:r>
          </w:p>
        </w:tc>
        <w:tc>
          <w:tcPr>
            <w:tcW w:w="601" w:type="pct"/>
            <w:shd w:val="clear" w:color="auto" w:fill="E8E8E8" w:themeFill="background2"/>
            <w:noWrap/>
            <w:hideMark/>
          </w:tcPr>
          <w:p w:rsidR="003F69B0" w:rsidRDefault="003F69B0" w:rsidP="0006074C">
            <w:pPr>
              <w:spacing w:beforeLines="20" w:before="48"/>
              <w:jc w:val="right"/>
            </w:pPr>
            <w:r>
              <w:t> </w:t>
            </w:r>
          </w:p>
        </w:tc>
        <w:tc>
          <w:tcPr>
            <w:tcW w:w="655"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r>
      <w:tr w:rsidR="004E429F" w:rsidRPr="004E429F" w:rsidTr="0006074C">
        <w:trPr>
          <w:trHeight w:val="113"/>
        </w:trPr>
        <w:tc>
          <w:tcPr>
            <w:tcW w:w="1945" w:type="pct"/>
            <w:hideMark/>
          </w:tcPr>
          <w:p w:rsidR="004E429F" w:rsidRDefault="004E429F" w:rsidP="0006074C">
            <w:pPr>
              <w:spacing w:beforeLines="20" w:before="48"/>
            </w:pPr>
            <w:r>
              <w:t>No. of providers</w:t>
            </w:r>
          </w:p>
        </w:tc>
        <w:tc>
          <w:tcPr>
            <w:tcW w:w="603" w:type="pct"/>
            <w:noWrap/>
            <w:hideMark/>
          </w:tcPr>
          <w:p w:rsidR="004E429F" w:rsidRDefault="004E429F" w:rsidP="0006074C">
            <w:pPr>
              <w:spacing w:beforeLines="20" w:before="48"/>
              <w:jc w:val="right"/>
            </w:pPr>
            <w:r>
              <w:t>8</w:t>
            </w:r>
          </w:p>
        </w:tc>
        <w:tc>
          <w:tcPr>
            <w:tcW w:w="601" w:type="pct"/>
            <w:noWrap/>
            <w:hideMark/>
          </w:tcPr>
          <w:p w:rsidR="004E429F" w:rsidRDefault="004E429F" w:rsidP="0006074C">
            <w:pPr>
              <w:spacing w:beforeLines="20" w:before="48"/>
              <w:jc w:val="right"/>
            </w:pPr>
            <w:r>
              <w:t>10</w:t>
            </w:r>
          </w:p>
        </w:tc>
        <w:tc>
          <w:tcPr>
            <w:tcW w:w="655" w:type="pct"/>
            <w:noWrap/>
            <w:hideMark/>
          </w:tcPr>
          <w:p w:rsidR="004E429F" w:rsidRDefault="004E429F" w:rsidP="0006074C">
            <w:pPr>
              <w:spacing w:beforeLines="20" w:before="48"/>
              <w:jc w:val="right"/>
            </w:pPr>
            <w:r>
              <w:t>12</w:t>
            </w:r>
          </w:p>
        </w:tc>
        <w:tc>
          <w:tcPr>
            <w:tcW w:w="598" w:type="pct"/>
            <w:noWrap/>
            <w:hideMark/>
          </w:tcPr>
          <w:p w:rsidR="004E429F" w:rsidRDefault="004E429F" w:rsidP="0006074C">
            <w:pPr>
              <w:spacing w:beforeLines="20" w:before="48"/>
              <w:jc w:val="right"/>
            </w:pPr>
            <w:r>
              <w:t>65</w:t>
            </w:r>
          </w:p>
        </w:tc>
        <w:tc>
          <w:tcPr>
            <w:tcW w:w="598" w:type="pct"/>
            <w:noWrap/>
            <w:hideMark/>
          </w:tcPr>
          <w:p w:rsidR="004E429F" w:rsidRDefault="004E429F" w:rsidP="0006074C">
            <w:pPr>
              <w:spacing w:beforeLines="20" w:before="48"/>
              <w:jc w:val="right"/>
            </w:pPr>
            <w:r>
              <w:t>95</w:t>
            </w:r>
          </w:p>
        </w:tc>
      </w:tr>
      <w:tr w:rsidR="004E429F" w:rsidRPr="004E429F" w:rsidTr="0006074C">
        <w:trPr>
          <w:trHeight w:val="113"/>
        </w:trPr>
        <w:tc>
          <w:tcPr>
            <w:tcW w:w="1945" w:type="pct"/>
            <w:hideMark/>
          </w:tcPr>
          <w:p w:rsidR="004E429F" w:rsidRDefault="004E429F" w:rsidP="0006074C">
            <w:pPr>
              <w:spacing w:beforeLines="20" w:before="48"/>
            </w:pPr>
            <w:r>
              <w:t>No. of providers that held RADs</w:t>
            </w:r>
          </w:p>
        </w:tc>
        <w:tc>
          <w:tcPr>
            <w:tcW w:w="603" w:type="pct"/>
            <w:noWrap/>
            <w:hideMark/>
          </w:tcPr>
          <w:p w:rsidR="004E429F" w:rsidRDefault="004E429F" w:rsidP="0006074C">
            <w:pPr>
              <w:spacing w:beforeLines="20" w:before="48"/>
              <w:jc w:val="right"/>
            </w:pPr>
            <w:r>
              <w:t>8</w:t>
            </w:r>
          </w:p>
        </w:tc>
        <w:tc>
          <w:tcPr>
            <w:tcW w:w="601" w:type="pct"/>
            <w:noWrap/>
            <w:hideMark/>
          </w:tcPr>
          <w:p w:rsidR="004E429F" w:rsidRDefault="004E429F" w:rsidP="0006074C">
            <w:pPr>
              <w:spacing w:beforeLines="20" w:before="48"/>
              <w:jc w:val="right"/>
            </w:pPr>
            <w:r>
              <w:t>10</w:t>
            </w:r>
          </w:p>
        </w:tc>
        <w:tc>
          <w:tcPr>
            <w:tcW w:w="655" w:type="pct"/>
            <w:noWrap/>
            <w:hideMark/>
          </w:tcPr>
          <w:p w:rsidR="004E429F" w:rsidRDefault="004E429F" w:rsidP="0006074C">
            <w:pPr>
              <w:spacing w:beforeLines="20" w:before="48"/>
              <w:jc w:val="right"/>
            </w:pPr>
            <w:r>
              <w:t>11</w:t>
            </w:r>
          </w:p>
        </w:tc>
        <w:tc>
          <w:tcPr>
            <w:tcW w:w="598" w:type="pct"/>
            <w:noWrap/>
            <w:hideMark/>
          </w:tcPr>
          <w:p w:rsidR="004E429F" w:rsidRDefault="004E429F" w:rsidP="0006074C">
            <w:pPr>
              <w:spacing w:beforeLines="20" w:before="48"/>
              <w:jc w:val="right"/>
            </w:pPr>
            <w:r>
              <w:t>59</w:t>
            </w:r>
          </w:p>
        </w:tc>
        <w:tc>
          <w:tcPr>
            <w:tcW w:w="598" w:type="pct"/>
            <w:noWrap/>
            <w:hideMark/>
          </w:tcPr>
          <w:p w:rsidR="004E429F" w:rsidRDefault="004E429F" w:rsidP="0006074C">
            <w:pPr>
              <w:spacing w:beforeLines="20" w:before="48"/>
              <w:jc w:val="right"/>
            </w:pPr>
            <w:r>
              <w:t>88</w:t>
            </w:r>
          </w:p>
        </w:tc>
      </w:tr>
      <w:tr w:rsidR="004E429F" w:rsidRPr="004E429F" w:rsidTr="0006074C">
        <w:trPr>
          <w:trHeight w:val="113"/>
        </w:trPr>
        <w:tc>
          <w:tcPr>
            <w:tcW w:w="1945" w:type="pct"/>
            <w:hideMark/>
          </w:tcPr>
          <w:p w:rsidR="004E429F" w:rsidRDefault="004E429F" w:rsidP="0006074C">
            <w:pPr>
              <w:spacing w:beforeLines="20" w:before="48"/>
            </w:pPr>
            <w:r>
              <w:t>Proportion of permanent residents that paid RADs in facilities, where RADs were held</w:t>
            </w:r>
          </w:p>
        </w:tc>
        <w:tc>
          <w:tcPr>
            <w:tcW w:w="603" w:type="pct"/>
            <w:noWrap/>
            <w:hideMark/>
          </w:tcPr>
          <w:p w:rsidR="004E429F" w:rsidRDefault="004E429F" w:rsidP="0006074C">
            <w:pPr>
              <w:spacing w:beforeLines="20" w:before="48"/>
              <w:jc w:val="right"/>
            </w:pPr>
            <w:r>
              <w:t>41.0%</w:t>
            </w:r>
          </w:p>
        </w:tc>
        <w:tc>
          <w:tcPr>
            <w:tcW w:w="601" w:type="pct"/>
            <w:noWrap/>
            <w:hideMark/>
          </w:tcPr>
          <w:p w:rsidR="004E429F" w:rsidRDefault="004E429F" w:rsidP="0006074C">
            <w:pPr>
              <w:spacing w:beforeLines="20" w:before="48"/>
              <w:jc w:val="right"/>
            </w:pPr>
            <w:r>
              <w:t>22.2%</w:t>
            </w:r>
          </w:p>
        </w:tc>
        <w:tc>
          <w:tcPr>
            <w:tcW w:w="655" w:type="pct"/>
            <w:noWrap/>
            <w:hideMark/>
          </w:tcPr>
          <w:p w:rsidR="004E429F" w:rsidRDefault="004E429F" w:rsidP="0006074C">
            <w:pPr>
              <w:spacing w:beforeLines="20" w:before="48"/>
              <w:jc w:val="right"/>
            </w:pPr>
            <w:r>
              <w:t>36.1%</w:t>
            </w:r>
          </w:p>
        </w:tc>
        <w:tc>
          <w:tcPr>
            <w:tcW w:w="598" w:type="pct"/>
            <w:noWrap/>
            <w:hideMark/>
          </w:tcPr>
          <w:p w:rsidR="004E429F" w:rsidRDefault="004E429F" w:rsidP="0006074C">
            <w:pPr>
              <w:spacing w:beforeLines="20" w:before="48"/>
              <w:jc w:val="right"/>
            </w:pPr>
            <w:r>
              <w:t>37.0%</w:t>
            </w:r>
          </w:p>
        </w:tc>
        <w:tc>
          <w:tcPr>
            <w:tcW w:w="598" w:type="pct"/>
            <w:noWrap/>
            <w:hideMark/>
          </w:tcPr>
          <w:p w:rsidR="004E429F" w:rsidRDefault="004E429F" w:rsidP="0006074C">
            <w:pPr>
              <w:spacing w:beforeLines="20" w:before="48"/>
              <w:jc w:val="right"/>
            </w:pPr>
            <w:r>
              <w:t>33.9%</w:t>
            </w:r>
          </w:p>
        </w:tc>
      </w:tr>
      <w:tr w:rsidR="004E429F" w:rsidRPr="004E429F" w:rsidTr="0006074C">
        <w:trPr>
          <w:trHeight w:val="113"/>
        </w:trPr>
        <w:tc>
          <w:tcPr>
            <w:tcW w:w="1945" w:type="pct"/>
            <w:hideMark/>
          </w:tcPr>
          <w:p w:rsidR="004E429F" w:rsidRDefault="004E429F" w:rsidP="0006074C">
            <w:pPr>
              <w:spacing w:beforeLines="20" w:before="48"/>
            </w:pPr>
            <w:r>
              <w:t>Average RAD per resident</w:t>
            </w:r>
          </w:p>
        </w:tc>
        <w:tc>
          <w:tcPr>
            <w:tcW w:w="603" w:type="pct"/>
            <w:noWrap/>
            <w:hideMark/>
          </w:tcPr>
          <w:p w:rsidR="004E429F" w:rsidRDefault="004E429F" w:rsidP="0006074C">
            <w:pPr>
              <w:spacing w:beforeLines="20" w:before="48"/>
              <w:jc w:val="right"/>
            </w:pPr>
            <w:r>
              <w:t>$198,726</w:t>
            </w:r>
          </w:p>
        </w:tc>
        <w:tc>
          <w:tcPr>
            <w:tcW w:w="601" w:type="pct"/>
            <w:noWrap/>
            <w:hideMark/>
          </w:tcPr>
          <w:p w:rsidR="004E429F" w:rsidRDefault="004E429F" w:rsidP="0006074C">
            <w:pPr>
              <w:spacing w:beforeLines="20" w:before="48"/>
              <w:jc w:val="right"/>
            </w:pPr>
            <w:r>
              <w:t>$169,687</w:t>
            </w:r>
          </w:p>
        </w:tc>
        <w:tc>
          <w:tcPr>
            <w:tcW w:w="655" w:type="pct"/>
            <w:noWrap/>
            <w:hideMark/>
          </w:tcPr>
          <w:p w:rsidR="004E429F" w:rsidRDefault="004E429F" w:rsidP="0006074C">
            <w:pPr>
              <w:spacing w:beforeLines="20" w:before="48"/>
              <w:jc w:val="right"/>
            </w:pPr>
            <w:r>
              <w:t>$227,405</w:t>
            </w:r>
          </w:p>
        </w:tc>
        <w:tc>
          <w:tcPr>
            <w:tcW w:w="598" w:type="pct"/>
            <w:noWrap/>
            <w:hideMark/>
          </w:tcPr>
          <w:p w:rsidR="004E429F" w:rsidRDefault="004E429F" w:rsidP="0006074C">
            <w:pPr>
              <w:spacing w:beforeLines="20" w:before="48"/>
              <w:jc w:val="right"/>
            </w:pPr>
            <w:r>
              <w:t>$203,719</w:t>
            </w:r>
          </w:p>
        </w:tc>
        <w:tc>
          <w:tcPr>
            <w:tcW w:w="598" w:type="pct"/>
            <w:noWrap/>
            <w:hideMark/>
          </w:tcPr>
          <w:p w:rsidR="004E429F" w:rsidRDefault="004E429F" w:rsidP="0006074C">
            <w:pPr>
              <w:spacing w:beforeLines="20" w:before="48"/>
              <w:jc w:val="right"/>
            </w:pPr>
            <w:r>
              <w:t>$202,834</w:t>
            </w:r>
          </w:p>
        </w:tc>
      </w:tr>
      <w:tr w:rsidR="003F69B0" w:rsidTr="0006074C">
        <w:trPr>
          <w:trHeight w:val="113"/>
        </w:trPr>
        <w:tc>
          <w:tcPr>
            <w:tcW w:w="1945" w:type="pct"/>
            <w:shd w:val="clear" w:color="auto" w:fill="E8E8E8" w:themeFill="background2"/>
            <w:noWrap/>
            <w:hideMark/>
          </w:tcPr>
          <w:p w:rsidR="003F69B0" w:rsidRPr="00596D01" w:rsidRDefault="003F69B0" w:rsidP="0006074C">
            <w:pPr>
              <w:spacing w:beforeLines="20" w:before="48"/>
              <w:rPr>
                <w:rStyle w:val="Strong"/>
              </w:rPr>
            </w:pPr>
            <w:r w:rsidRPr="00596D01">
              <w:rPr>
                <w:rStyle w:val="Strong"/>
              </w:rPr>
              <w:t>Total</w:t>
            </w:r>
          </w:p>
        </w:tc>
        <w:tc>
          <w:tcPr>
            <w:tcW w:w="603" w:type="pct"/>
            <w:shd w:val="clear" w:color="auto" w:fill="E8E8E8" w:themeFill="background2"/>
            <w:noWrap/>
            <w:hideMark/>
          </w:tcPr>
          <w:p w:rsidR="003F69B0" w:rsidRDefault="003F69B0" w:rsidP="0006074C">
            <w:pPr>
              <w:spacing w:beforeLines="20" w:before="48"/>
              <w:jc w:val="right"/>
            </w:pPr>
            <w:r>
              <w:t> </w:t>
            </w:r>
          </w:p>
        </w:tc>
        <w:tc>
          <w:tcPr>
            <w:tcW w:w="601" w:type="pct"/>
            <w:shd w:val="clear" w:color="auto" w:fill="E8E8E8" w:themeFill="background2"/>
            <w:noWrap/>
            <w:hideMark/>
          </w:tcPr>
          <w:p w:rsidR="003F69B0" w:rsidRDefault="003F69B0" w:rsidP="0006074C">
            <w:pPr>
              <w:spacing w:beforeLines="20" w:before="48"/>
              <w:jc w:val="right"/>
            </w:pPr>
            <w:r>
              <w:t> </w:t>
            </w:r>
          </w:p>
        </w:tc>
        <w:tc>
          <w:tcPr>
            <w:tcW w:w="655"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c>
          <w:tcPr>
            <w:tcW w:w="598" w:type="pct"/>
            <w:shd w:val="clear" w:color="auto" w:fill="E8E8E8" w:themeFill="background2"/>
            <w:noWrap/>
            <w:hideMark/>
          </w:tcPr>
          <w:p w:rsidR="003F69B0" w:rsidRDefault="003F69B0" w:rsidP="0006074C">
            <w:pPr>
              <w:spacing w:beforeLines="20" w:before="48"/>
              <w:jc w:val="right"/>
            </w:pPr>
            <w:r>
              <w:t> </w:t>
            </w:r>
          </w:p>
        </w:tc>
      </w:tr>
      <w:tr w:rsidR="004E429F" w:rsidRPr="004E429F" w:rsidTr="0006074C">
        <w:trPr>
          <w:trHeight w:val="113"/>
        </w:trPr>
        <w:tc>
          <w:tcPr>
            <w:tcW w:w="1945" w:type="pct"/>
            <w:hideMark/>
          </w:tcPr>
          <w:p w:rsidR="004E429F" w:rsidRDefault="004E429F" w:rsidP="0006074C">
            <w:pPr>
              <w:spacing w:beforeLines="20" w:before="48"/>
            </w:pPr>
            <w:r>
              <w:t>No. of providers</w:t>
            </w:r>
          </w:p>
        </w:tc>
        <w:tc>
          <w:tcPr>
            <w:tcW w:w="603" w:type="pct"/>
            <w:noWrap/>
            <w:hideMark/>
          </w:tcPr>
          <w:p w:rsidR="004E429F" w:rsidRDefault="004E429F" w:rsidP="0006074C">
            <w:pPr>
              <w:spacing w:beforeLines="20" w:before="48"/>
              <w:jc w:val="right"/>
            </w:pPr>
            <w:r>
              <w:t>224</w:t>
            </w:r>
          </w:p>
        </w:tc>
        <w:tc>
          <w:tcPr>
            <w:tcW w:w="601" w:type="pct"/>
            <w:noWrap/>
            <w:hideMark/>
          </w:tcPr>
          <w:p w:rsidR="004E429F" w:rsidRDefault="004E429F" w:rsidP="0006074C">
            <w:pPr>
              <w:spacing w:beforeLines="20" w:before="48"/>
              <w:jc w:val="right"/>
            </w:pPr>
            <w:r>
              <w:t>223</w:t>
            </w:r>
          </w:p>
        </w:tc>
        <w:tc>
          <w:tcPr>
            <w:tcW w:w="655" w:type="pct"/>
            <w:noWrap/>
            <w:hideMark/>
          </w:tcPr>
          <w:p w:rsidR="004E429F" w:rsidRDefault="004E429F" w:rsidP="0006074C">
            <w:pPr>
              <w:spacing w:beforeLines="20" w:before="48"/>
              <w:jc w:val="right"/>
            </w:pPr>
            <w:r>
              <w:t>223</w:t>
            </w:r>
          </w:p>
        </w:tc>
        <w:tc>
          <w:tcPr>
            <w:tcW w:w="598" w:type="pct"/>
            <w:noWrap/>
            <w:hideMark/>
          </w:tcPr>
          <w:p w:rsidR="004E429F" w:rsidRDefault="004E429F" w:rsidP="0006074C">
            <w:pPr>
              <w:spacing w:beforeLines="20" w:before="48"/>
              <w:jc w:val="right"/>
            </w:pPr>
            <w:r>
              <w:t>223</w:t>
            </w:r>
          </w:p>
        </w:tc>
        <w:tc>
          <w:tcPr>
            <w:tcW w:w="598" w:type="pct"/>
            <w:noWrap/>
            <w:hideMark/>
          </w:tcPr>
          <w:p w:rsidR="004E429F" w:rsidRDefault="004E429F" w:rsidP="0006074C">
            <w:pPr>
              <w:spacing w:beforeLines="20" w:before="48"/>
              <w:jc w:val="right"/>
            </w:pPr>
            <w:r>
              <w:t>893</w:t>
            </w:r>
          </w:p>
        </w:tc>
      </w:tr>
      <w:tr w:rsidR="004E429F" w:rsidRPr="004E429F" w:rsidTr="0006074C">
        <w:trPr>
          <w:trHeight w:val="113"/>
        </w:trPr>
        <w:tc>
          <w:tcPr>
            <w:tcW w:w="1945" w:type="pct"/>
            <w:hideMark/>
          </w:tcPr>
          <w:p w:rsidR="004E429F" w:rsidRDefault="004E429F" w:rsidP="0006074C">
            <w:pPr>
              <w:spacing w:beforeLines="20" w:before="48"/>
            </w:pPr>
            <w:r>
              <w:t>No. of providers that held RADs</w:t>
            </w:r>
          </w:p>
        </w:tc>
        <w:tc>
          <w:tcPr>
            <w:tcW w:w="603" w:type="pct"/>
            <w:noWrap/>
            <w:hideMark/>
          </w:tcPr>
          <w:p w:rsidR="004E429F" w:rsidRDefault="004E429F" w:rsidP="0006074C">
            <w:pPr>
              <w:spacing w:beforeLines="20" w:before="48"/>
              <w:jc w:val="right"/>
            </w:pPr>
            <w:r>
              <w:t>210</w:t>
            </w:r>
          </w:p>
        </w:tc>
        <w:tc>
          <w:tcPr>
            <w:tcW w:w="601" w:type="pct"/>
            <w:noWrap/>
            <w:hideMark/>
          </w:tcPr>
          <w:p w:rsidR="004E429F" w:rsidRDefault="004E429F" w:rsidP="0006074C">
            <w:pPr>
              <w:spacing w:beforeLines="20" w:before="48"/>
              <w:jc w:val="right"/>
            </w:pPr>
            <w:r>
              <w:t>217</w:t>
            </w:r>
          </w:p>
        </w:tc>
        <w:tc>
          <w:tcPr>
            <w:tcW w:w="655" w:type="pct"/>
            <w:noWrap/>
            <w:hideMark/>
          </w:tcPr>
          <w:p w:rsidR="004E429F" w:rsidRDefault="004E429F" w:rsidP="0006074C">
            <w:pPr>
              <w:spacing w:beforeLines="20" w:before="48"/>
              <w:jc w:val="right"/>
            </w:pPr>
            <w:r>
              <w:t>215</w:t>
            </w:r>
          </w:p>
        </w:tc>
        <w:tc>
          <w:tcPr>
            <w:tcW w:w="598" w:type="pct"/>
            <w:noWrap/>
            <w:hideMark/>
          </w:tcPr>
          <w:p w:rsidR="004E429F" w:rsidRDefault="004E429F" w:rsidP="0006074C">
            <w:pPr>
              <w:spacing w:beforeLines="20" w:before="48"/>
              <w:jc w:val="right"/>
            </w:pPr>
            <w:r>
              <w:t>202</w:t>
            </w:r>
          </w:p>
        </w:tc>
        <w:tc>
          <w:tcPr>
            <w:tcW w:w="598" w:type="pct"/>
            <w:noWrap/>
            <w:hideMark/>
          </w:tcPr>
          <w:p w:rsidR="004E429F" w:rsidRDefault="004E429F" w:rsidP="0006074C">
            <w:pPr>
              <w:spacing w:beforeLines="20" w:before="48"/>
              <w:jc w:val="right"/>
            </w:pPr>
            <w:r>
              <w:t>844</w:t>
            </w:r>
          </w:p>
        </w:tc>
      </w:tr>
      <w:tr w:rsidR="004E429F" w:rsidRPr="004E429F" w:rsidTr="0006074C">
        <w:trPr>
          <w:trHeight w:val="113"/>
        </w:trPr>
        <w:tc>
          <w:tcPr>
            <w:tcW w:w="1945" w:type="pct"/>
            <w:hideMark/>
          </w:tcPr>
          <w:p w:rsidR="004E429F" w:rsidRDefault="004E429F" w:rsidP="0006074C">
            <w:pPr>
              <w:spacing w:beforeLines="20" w:before="48"/>
            </w:pPr>
            <w:r>
              <w:t>Proportion of permanent residents that paid RADs in facilities, where RADs were held</w:t>
            </w:r>
          </w:p>
        </w:tc>
        <w:tc>
          <w:tcPr>
            <w:tcW w:w="603" w:type="pct"/>
            <w:noWrap/>
            <w:hideMark/>
          </w:tcPr>
          <w:p w:rsidR="004E429F" w:rsidRDefault="004E429F" w:rsidP="0006074C">
            <w:pPr>
              <w:spacing w:beforeLines="20" w:before="48"/>
              <w:jc w:val="right"/>
            </w:pPr>
            <w:r>
              <w:t>53.8%</w:t>
            </w:r>
          </w:p>
        </w:tc>
        <w:tc>
          <w:tcPr>
            <w:tcW w:w="601" w:type="pct"/>
            <w:noWrap/>
            <w:hideMark/>
          </w:tcPr>
          <w:p w:rsidR="004E429F" w:rsidRDefault="004E429F" w:rsidP="0006074C">
            <w:pPr>
              <w:spacing w:beforeLines="20" w:before="48"/>
              <w:jc w:val="right"/>
            </w:pPr>
            <w:r>
              <w:t>47.6%</w:t>
            </w:r>
          </w:p>
        </w:tc>
        <w:tc>
          <w:tcPr>
            <w:tcW w:w="655" w:type="pct"/>
            <w:noWrap/>
            <w:hideMark/>
          </w:tcPr>
          <w:p w:rsidR="004E429F" w:rsidRDefault="004E429F" w:rsidP="0006074C">
            <w:pPr>
              <w:spacing w:beforeLines="20" w:before="48"/>
              <w:jc w:val="right"/>
            </w:pPr>
            <w:r>
              <w:t>49.4%</w:t>
            </w:r>
          </w:p>
        </w:tc>
        <w:tc>
          <w:tcPr>
            <w:tcW w:w="598" w:type="pct"/>
            <w:noWrap/>
            <w:hideMark/>
          </w:tcPr>
          <w:p w:rsidR="004E429F" w:rsidRDefault="004E429F" w:rsidP="0006074C">
            <w:pPr>
              <w:spacing w:beforeLines="20" w:before="48"/>
              <w:jc w:val="right"/>
            </w:pPr>
            <w:r>
              <w:t>45.6%</w:t>
            </w:r>
          </w:p>
        </w:tc>
        <w:tc>
          <w:tcPr>
            <w:tcW w:w="598" w:type="pct"/>
            <w:noWrap/>
            <w:hideMark/>
          </w:tcPr>
          <w:p w:rsidR="004E429F" w:rsidRDefault="004E429F" w:rsidP="0006074C">
            <w:pPr>
              <w:spacing w:beforeLines="20" w:before="48"/>
              <w:jc w:val="right"/>
            </w:pPr>
            <w:r>
              <w:t>49.3%</w:t>
            </w:r>
          </w:p>
        </w:tc>
      </w:tr>
      <w:tr w:rsidR="004E429F" w:rsidRPr="004E429F" w:rsidTr="0006074C">
        <w:trPr>
          <w:trHeight w:val="113"/>
        </w:trPr>
        <w:tc>
          <w:tcPr>
            <w:tcW w:w="1945" w:type="pct"/>
            <w:hideMark/>
          </w:tcPr>
          <w:p w:rsidR="004E429F" w:rsidRDefault="004E429F" w:rsidP="0006074C">
            <w:pPr>
              <w:spacing w:beforeLines="20" w:before="48"/>
            </w:pPr>
            <w:r>
              <w:t>Average RAD per resident</w:t>
            </w:r>
          </w:p>
        </w:tc>
        <w:tc>
          <w:tcPr>
            <w:tcW w:w="603" w:type="pct"/>
            <w:noWrap/>
            <w:hideMark/>
          </w:tcPr>
          <w:p w:rsidR="004E429F" w:rsidRDefault="004E429F" w:rsidP="0006074C">
            <w:pPr>
              <w:spacing w:beforeLines="20" w:before="48"/>
              <w:jc w:val="right"/>
            </w:pPr>
            <w:r>
              <w:t>$306,111</w:t>
            </w:r>
          </w:p>
        </w:tc>
        <w:tc>
          <w:tcPr>
            <w:tcW w:w="601" w:type="pct"/>
            <w:noWrap/>
            <w:hideMark/>
          </w:tcPr>
          <w:p w:rsidR="004E429F" w:rsidRDefault="004E429F" w:rsidP="0006074C">
            <w:pPr>
              <w:spacing w:beforeLines="20" w:before="48"/>
              <w:jc w:val="right"/>
            </w:pPr>
            <w:r>
              <w:t>$274,377</w:t>
            </w:r>
          </w:p>
        </w:tc>
        <w:tc>
          <w:tcPr>
            <w:tcW w:w="655" w:type="pct"/>
            <w:noWrap/>
            <w:hideMark/>
          </w:tcPr>
          <w:p w:rsidR="004E429F" w:rsidRDefault="004E429F" w:rsidP="0006074C">
            <w:pPr>
              <w:spacing w:beforeLines="20" w:before="48"/>
              <w:jc w:val="right"/>
            </w:pPr>
            <w:r>
              <w:t>$277,099</w:t>
            </w:r>
          </w:p>
        </w:tc>
        <w:tc>
          <w:tcPr>
            <w:tcW w:w="598" w:type="pct"/>
            <w:noWrap/>
            <w:hideMark/>
          </w:tcPr>
          <w:p w:rsidR="004E429F" w:rsidRDefault="004E429F" w:rsidP="0006074C">
            <w:pPr>
              <w:spacing w:beforeLines="20" w:before="48"/>
              <w:jc w:val="right"/>
            </w:pPr>
            <w:r>
              <w:t>$275,947</w:t>
            </w:r>
          </w:p>
        </w:tc>
        <w:tc>
          <w:tcPr>
            <w:tcW w:w="598" w:type="pct"/>
            <w:noWrap/>
            <w:hideMark/>
          </w:tcPr>
          <w:p w:rsidR="004E429F" w:rsidRDefault="004E429F" w:rsidP="0006074C">
            <w:pPr>
              <w:spacing w:beforeLines="20" w:before="48"/>
              <w:jc w:val="right"/>
            </w:pPr>
            <w:r>
              <w:t>$283,499</w:t>
            </w:r>
          </w:p>
        </w:tc>
      </w:tr>
    </w:tbl>
    <w:p w:rsidR="00DB20DB" w:rsidRDefault="004F31AD" w:rsidP="0006074C">
      <w:pPr>
        <w:pStyle w:val="AppendixNumbered"/>
      </w:pPr>
      <w:bookmarkStart w:id="1074" w:name="_Ref425270089"/>
      <w:bookmarkStart w:id="1075" w:name="_Ref425270104"/>
      <w:bookmarkStart w:id="1076" w:name="_Toc457549951"/>
      <w:bookmarkStart w:id="1077" w:name="_Toc524424840"/>
      <w:r>
        <w:lastRenderedPageBreak/>
        <w:t>Home c</w:t>
      </w:r>
      <w:r w:rsidR="00DB20DB" w:rsidRPr="00557C8E">
        <w:t>are</w:t>
      </w:r>
      <w:bookmarkEnd w:id="978"/>
      <w:bookmarkEnd w:id="1074"/>
      <w:bookmarkEnd w:id="1075"/>
      <w:bookmarkEnd w:id="1076"/>
      <w:r w:rsidR="0025284C">
        <w:t xml:space="preserve"> revenue and expenditure</w:t>
      </w:r>
      <w:bookmarkEnd w:id="1077"/>
    </w:p>
    <w:p w:rsidR="002E746E" w:rsidRPr="00596D01" w:rsidRDefault="008A1CCC" w:rsidP="0006074C">
      <w:pPr>
        <w:pStyle w:val="AppendixTable"/>
      </w:pPr>
      <w:r w:rsidRPr="00596D01">
        <w:t>Financial performance results of home care providers, by ownership type,</w:t>
      </w:r>
      <w:r w:rsidR="00A261F3" w:rsidRPr="00596D01">
        <w:t> 201</w:t>
      </w:r>
      <w:r w:rsidRPr="00596D01">
        <w:t>6</w:t>
      </w:r>
      <w:r w:rsidR="00D8721E" w:rsidRPr="00596D01">
        <w:t>–1</w:t>
      </w:r>
      <w:r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683"/>
        <w:gridCol w:w="1189"/>
        <w:gridCol w:w="1188"/>
        <w:gridCol w:w="1190"/>
        <w:gridCol w:w="1188"/>
        <w:gridCol w:w="1190"/>
      </w:tblGrid>
      <w:tr w:rsidR="002E746E" w:rsidTr="0006074C">
        <w:trPr>
          <w:cnfStyle w:val="100000000000" w:firstRow="1" w:lastRow="0" w:firstColumn="0" w:lastColumn="0" w:oddVBand="0" w:evenVBand="0" w:oddHBand="0" w:evenHBand="0" w:firstRowFirstColumn="0" w:firstRowLastColumn="0" w:lastRowFirstColumn="0" w:lastRowLastColumn="0"/>
          <w:trHeight w:val="113"/>
          <w:tblHeader/>
        </w:trPr>
        <w:tc>
          <w:tcPr>
            <w:tcW w:w="1912" w:type="pct"/>
            <w:noWrap/>
            <w:hideMark/>
          </w:tcPr>
          <w:p w:rsidR="002E746E" w:rsidRDefault="002E746E" w:rsidP="0006074C"/>
        </w:tc>
        <w:tc>
          <w:tcPr>
            <w:tcW w:w="617" w:type="pct"/>
            <w:hideMark/>
          </w:tcPr>
          <w:p w:rsidR="002E746E" w:rsidRDefault="008A1CCC" w:rsidP="0006074C">
            <w:pPr>
              <w:jc w:val="right"/>
              <w:rPr>
                <w:sz w:val="22"/>
                <w:szCs w:val="22"/>
              </w:rPr>
            </w:pPr>
            <w:r w:rsidRPr="00596D01">
              <w:t>Top q</w:t>
            </w:r>
            <w:r w:rsidR="002E746E" w:rsidRPr="00596D01">
              <w:t>uartile</w:t>
            </w:r>
          </w:p>
        </w:tc>
        <w:tc>
          <w:tcPr>
            <w:tcW w:w="617" w:type="pct"/>
            <w:hideMark/>
          </w:tcPr>
          <w:p w:rsidR="002E746E" w:rsidRDefault="002E746E" w:rsidP="0006074C">
            <w:pPr>
              <w:jc w:val="right"/>
              <w:rPr>
                <w:sz w:val="22"/>
                <w:szCs w:val="22"/>
              </w:rPr>
            </w:pPr>
            <w:r w:rsidRPr="00596D01">
              <w:t xml:space="preserve">Next </w:t>
            </w:r>
            <w:r w:rsidR="008A1CCC" w:rsidRPr="00596D01">
              <w:t>t</w:t>
            </w:r>
            <w:r w:rsidRPr="00596D01">
              <w:t>op</w:t>
            </w:r>
          </w:p>
        </w:tc>
        <w:tc>
          <w:tcPr>
            <w:tcW w:w="618" w:type="pct"/>
            <w:hideMark/>
          </w:tcPr>
          <w:p w:rsidR="002E746E" w:rsidRDefault="002E746E" w:rsidP="0006074C">
            <w:pPr>
              <w:jc w:val="right"/>
              <w:rPr>
                <w:sz w:val="22"/>
                <w:szCs w:val="22"/>
              </w:rPr>
            </w:pPr>
            <w:r w:rsidRPr="00596D01">
              <w:t xml:space="preserve">Next </w:t>
            </w:r>
            <w:r w:rsidR="008A1CCC" w:rsidRPr="00596D01">
              <w:t>b</w:t>
            </w:r>
            <w:r w:rsidRPr="00596D01">
              <w:t>ottom</w:t>
            </w:r>
          </w:p>
        </w:tc>
        <w:tc>
          <w:tcPr>
            <w:tcW w:w="617" w:type="pct"/>
            <w:hideMark/>
          </w:tcPr>
          <w:p w:rsidR="002E746E" w:rsidRDefault="002E746E" w:rsidP="0006074C">
            <w:pPr>
              <w:jc w:val="right"/>
              <w:rPr>
                <w:sz w:val="22"/>
                <w:szCs w:val="22"/>
              </w:rPr>
            </w:pPr>
            <w:r w:rsidRPr="00596D01">
              <w:t>Bottom</w:t>
            </w:r>
          </w:p>
        </w:tc>
        <w:tc>
          <w:tcPr>
            <w:tcW w:w="618" w:type="pct"/>
            <w:hideMark/>
          </w:tcPr>
          <w:p w:rsidR="002E746E" w:rsidRPr="00596D01" w:rsidRDefault="002E746E" w:rsidP="0006074C">
            <w:pPr>
              <w:jc w:val="right"/>
            </w:pPr>
            <w:r w:rsidRPr="00596D01">
              <w:t>Total</w:t>
            </w:r>
          </w:p>
        </w:tc>
      </w:tr>
      <w:tr w:rsidR="0006074C" w:rsidTr="0006074C">
        <w:trPr>
          <w:trHeight w:val="113"/>
        </w:trPr>
        <w:tc>
          <w:tcPr>
            <w:tcW w:w="1912" w:type="pct"/>
            <w:shd w:val="clear" w:color="auto" w:fill="E8E8E8" w:themeFill="background2"/>
            <w:noWrap/>
            <w:hideMark/>
          </w:tcPr>
          <w:p w:rsidR="00DD56B8" w:rsidRPr="0006074C" w:rsidRDefault="00DD56B8" w:rsidP="0006074C">
            <w:pPr>
              <w:rPr>
                <w:rStyle w:val="Strong"/>
              </w:rPr>
            </w:pPr>
            <w:r w:rsidRPr="0006074C">
              <w:rPr>
                <w:rStyle w:val="Strong"/>
              </w:rPr>
              <w:t>Not-for-profit</w:t>
            </w:r>
          </w:p>
        </w:tc>
        <w:tc>
          <w:tcPr>
            <w:tcW w:w="617"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r>
      <w:tr w:rsidR="00DD56B8" w:rsidTr="0006074C">
        <w:trPr>
          <w:trHeight w:val="113"/>
        </w:trPr>
        <w:tc>
          <w:tcPr>
            <w:tcW w:w="1912" w:type="pct"/>
            <w:noWrap/>
            <w:hideMark/>
          </w:tcPr>
          <w:p w:rsidR="00DD56B8" w:rsidRDefault="00DD56B8" w:rsidP="0006074C">
            <w:r>
              <w:t>N</w:t>
            </w:r>
            <w:r w:rsidR="004F37D3">
              <w:t>umber</w:t>
            </w:r>
            <w:r>
              <w:t xml:space="preserve"> of providers</w:t>
            </w:r>
          </w:p>
        </w:tc>
        <w:tc>
          <w:tcPr>
            <w:tcW w:w="617" w:type="pct"/>
            <w:noWrap/>
            <w:hideMark/>
          </w:tcPr>
          <w:p w:rsidR="00DD56B8" w:rsidRPr="0006152C" w:rsidRDefault="00DD56B8" w:rsidP="0006074C">
            <w:pPr>
              <w:jc w:val="right"/>
            </w:pPr>
            <w:r w:rsidRPr="0006152C">
              <w:t>80</w:t>
            </w:r>
          </w:p>
        </w:tc>
        <w:tc>
          <w:tcPr>
            <w:tcW w:w="617" w:type="pct"/>
            <w:noWrap/>
            <w:hideMark/>
          </w:tcPr>
          <w:p w:rsidR="00DD56B8" w:rsidRPr="0006152C" w:rsidRDefault="00DD56B8" w:rsidP="0006074C">
            <w:pPr>
              <w:jc w:val="right"/>
            </w:pPr>
            <w:r w:rsidRPr="0006152C">
              <w:t>102</w:t>
            </w:r>
          </w:p>
        </w:tc>
        <w:tc>
          <w:tcPr>
            <w:tcW w:w="618" w:type="pct"/>
            <w:noWrap/>
            <w:hideMark/>
          </w:tcPr>
          <w:p w:rsidR="00DD56B8" w:rsidRPr="0006152C" w:rsidRDefault="00DD56B8" w:rsidP="0006074C">
            <w:pPr>
              <w:jc w:val="right"/>
            </w:pPr>
            <w:r w:rsidRPr="0006152C">
              <w:t>102</w:t>
            </w:r>
          </w:p>
        </w:tc>
        <w:tc>
          <w:tcPr>
            <w:tcW w:w="617" w:type="pct"/>
            <w:noWrap/>
            <w:hideMark/>
          </w:tcPr>
          <w:p w:rsidR="00DD56B8" w:rsidRPr="0006152C" w:rsidRDefault="00DD56B8" w:rsidP="0006074C">
            <w:pPr>
              <w:jc w:val="right"/>
            </w:pPr>
            <w:r w:rsidRPr="0006152C">
              <w:t xml:space="preserve">73 </w:t>
            </w:r>
          </w:p>
        </w:tc>
        <w:tc>
          <w:tcPr>
            <w:tcW w:w="618" w:type="pct"/>
            <w:noWrap/>
            <w:hideMark/>
          </w:tcPr>
          <w:p w:rsidR="00DD56B8" w:rsidRDefault="00DD56B8" w:rsidP="0006074C">
            <w:pPr>
              <w:jc w:val="right"/>
            </w:pPr>
            <w:r>
              <w:t>357</w:t>
            </w:r>
          </w:p>
        </w:tc>
      </w:tr>
      <w:tr w:rsidR="00DD56B8" w:rsidTr="0006074C">
        <w:trPr>
          <w:trHeight w:val="113"/>
        </w:trPr>
        <w:tc>
          <w:tcPr>
            <w:tcW w:w="1912" w:type="pct"/>
            <w:noWrap/>
            <w:hideMark/>
          </w:tcPr>
          <w:p w:rsidR="00DD56B8" w:rsidRDefault="00DD56B8" w:rsidP="0006074C">
            <w:r>
              <w:t>Provision of care/services charged</w:t>
            </w:r>
          </w:p>
        </w:tc>
        <w:tc>
          <w:tcPr>
            <w:tcW w:w="617" w:type="pct"/>
            <w:noWrap/>
            <w:hideMark/>
          </w:tcPr>
          <w:p w:rsidR="00DD56B8" w:rsidRPr="0006152C" w:rsidRDefault="00DD56B8" w:rsidP="0006074C">
            <w:pPr>
              <w:jc w:val="right"/>
            </w:pPr>
            <w:r w:rsidRPr="0006152C">
              <w:t>$43.08</w:t>
            </w:r>
          </w:p>
        </w:tc>
        <w:tc>
          <w:tcPr>
            <w:tcW w:w="617" w:type="pct"/>
            <w:noWrap/>
            <w:hideMark/>
          </w:tcPr>
          <w:p w:rsidR="00DD56B8" w:rsidRPr="0006152C" w:rsidRDefault="00DD56B8" w:rsidP="0006074C">
            <w:pPr>
              <w:jc w:val="right"/>
            </w:pPr>
            <w:r w:rsidRPr="0006152C">
              <w:t>$42.94</w:t>
            </w:r>
          </w:p>
        </w:tc>
        <w:tc>
          <w:tcPr>
            <w:tcW w:w="618" w:type="pct"/>
            <w:noWrap/>
            <w:hideMark/>
          </w:tcPr>
          <w:p w:rsidR="00DD56B8" w:rsidRPr="0006152C" w:rsidRDefault="00DD56B8" w:rsidP="0006074C">
            <w:pPr>
              <w:jc w:val="right"/>
            </w:pPr>
            <w:r w:rsidRPr="0006152C">
              <w:t>$39.67</w:t>
            </w:r>
          </w:p>
        </w:tc>
        <w:tc>
          <w:tcPr>
            <w:tcW w:w="617" w:type="pct"/>
            <w:noWrap/>
            <w:hideMark/>
          </w:tcPr>
          <w:p w:rsidR="00DD56B8" w:rsidRPr="0006152C" w:rsidRDefault="00DD56B8" w:rsidP="0006074C">
            <w:pPr>
              <w:jc w:val="right"/>
            </w:pPr>
            <w:r w:rsidRPr="0006152C">
              <w:t>$45.42</w:t>
            </w:r>
          </w:p>
        </w:tc>
        <w:tc>
          <w:tcPr>
            <w:tcW w:w="618" w:type="pct"/>
            <w:noWrap/>
            <w:hideMark/>
          </w:tcPr>
          <w:p w:rsidR="00DD56B8" w:rsidRDefault="00DD56B8" w:rsidP="0006074C">
            <w:pPr>
              <w:jc w:val="right"/>
            </w:pPr>
            <w:r>
              <w:t>$42.31</w:t>
            </w:r>
          </w:p>
        </w:tc>
      </w:tr>
      <w:tr w:rsidR="00DD56B8" w:rsidTr="0006074C">
        <w:trPr>
          <w:trHeight w:val="113"/>
        </w:trPr>
        <w:tc>
          <w:tcPr>
            <w:tcW w:w="1912" w:type="pct"/>
            <w:noWrap/>
            <w:hideMark/>
          </w:tcPr>
          <w:p w:rsidR="00DD56B8" w:rsidRDefault="00DD56B8" w:rsidP="0006074C">
            <w:r>
              <w:t>Admin and management of packages</w:t>
            </w:r>
          </w:p>
        </w:tc>
        <w:tc>
          <w:tcPr>
            <w:tcW w:w="617" w:type="pct"/>
            <w:noWrap/>
            <w:hideMark/>
          </w:tcPr>
          <w:p w:rsidR="00DD56B8" w:rsidRPr="0006152C" w:rsidRDefault="00DD56B8" w:rsidP="0006074C">
            <w:pPr>
              <w:jc w:val="right"/>
            </w:pPr>
            <w:r w:rsidRPr="0006152C">
              <w:t>$27.38</w:t>
            </w:r>
          </w:p>
        </w:tc>
        <w:tc>
          <w:tcPr>
            <w:tcW w:w="617" w:type="pct"/>
            <w:noWrap/>
            <w:hideMark/>
          </w:tcPr>
          <w:p w:rsidR="00DD56B8" w:rsidRPr="0006152C" w:rsidRDefault="00DD56B8" w:rsidP="0006074C">
            <w:pPr>
              <w:jc w:val="right"/>
            </w:pPr>
            <w:r w:rsidRPr="0006152C">
              <w:t>$25.41</w:t>
            </w:r>
          </w:p>
        </w:tc>
        <w:tc>
          <w:tcPr>
            <w:tcW w:w="618" w:type="pct"/>
            <w:noWrap/>
            <w:hideMark/>
          </w:tcPr>
          <w:p w:rsidR="00DD56B8" w:rsidRPr="0006152C" w:rsidRDefault="00DD56B8" w:rsidP="0006074C">
            <w:pPr>
              <w:jc w:val="right"/>
            </w:pPr>
            <w:r w:rsidRPr="0006152C">
              <w:t>$21.89</w:t>
            </w:r>
          </w:p>
        </w:tc>
        <w:tc>
          <w:tcPr>
            <w:tcW w:w="617" w:type="pct"/>
            <w:noWrap/>
            <w:hideMark/>
          </w:tcPr>
          <w:p w:rsidR="00DD56B8" w:rsidRPr="0006152C" w:rsidRDefault="00DD56B8" w:rsidP="0006074C">
            <w:pPr>
              <w:jc w:val="right"/>
            </w:pPr>
            <w:r w:rsidRPr="0006152C">
              <w:t>$21.09</w:t>
            </w:r>
          </w:p>
        </w:tc>
        <w:tc>
          <w:tcPr>
            <w:tcW w:w="618" w:type="pct"/>
            <w:noWrap/>
            <w:hideMark/>
          </w:tcPr>
          <w:p w:rsidR="00DD56B8" w:rsidRDefault="00DD56B8" w:rsidP="0006074C">
            <w:pPr>
              <w:jc w:val="right"/>
            </w:pPr>
            <w:r>
              <w:t>$23.73</w:t>
            </w:r>
          </w:p>
        </w:tc>
      </w:tr>
      <w:tr w:rsidR="00DD56B8" w:rsidTr="0006074C">
        <w:trPr>
          <w:trHeight w:val="113"/>
        </w:trPr>
        <w:tc>
          <w:tcPr>
            <w:tcW w:w="1912" w:type="pct"/>
            <w:noWrap/>
            <w:hideMark/>
          </w:tcPr>
          <w:p w:rsidR="00DD56B8" w:rsidRDefault="00DD56B8" w:rsidP="0006074C">
            <w:r>
              <w:t>Unspent and exit amounts</w:t>
            </w:r>
          </w:p>
        </w:tc>
        <w:tc>
          <w:tcPr>
            <w:tcW w:w="617" w:type="pct"/>
            <w:noWrap/>
            <w:hideMark/>
          </w:tcPr>
          <w:p w:rsidR="00DD56B8" w:rsidRPr="0006152C" w:rsidRDefault="00DD56B8" w:rsidP="0006074C">
            <w:pPr>
              <w:jc w:val="right"/>
            </w:pPr>
            <w:r w:rsidRPr="0006152C">
              <w:t>$4.27</w:t>
            </w:r>
          </w:p>
        </w:tc>
        <w:tc>
          <w:tcPr>
            <w:tcW w:w="617" w:type="pct"/>
            <w:noWrap/>
            <w:hideMark/>
          </w:tcPr>
          <w:p w:rsidR="00DD56B8" w:rsidRPr="0006152C" w:rsidRDefault="00DD56B8" w:rsidP="0006074C">
            <w:pPr>
              <w:jc w:val="right"/>
            </w:pPr>
            <w:r w:rsidRPr="0006152C">
              <w:t>$3.21</w:t>
            </w:r>
          </w:p>
        </w:tc>
        <w:tc>
          <w:tcPr>
            <w:tcW w:w="618" w:type="pct"/>
            <w:noWrap/>
            <w:hideMark/>
          </w:tcPr>
          <w:p w:rsidR="00DD56B8" w:rsidRPr="0006152C" w:rsidRDefault="00DD56B8" w:rsidP="0006074C">
            <w:pPr>
              <w:jc w:val="right"/>
            </w:pPr>
            <w:r w:rsidRPr="0006152C">
              <w:t>$2.05</w:t>
            </w:r>
          </w:p>
        </w:tc>
        <w:tc>
          <w:tcPr>
            <w:tcW w:w="617" w:type="pct"/>
            <w:noWrap/>
            <w:hideMark/>
          </w:tcPr>
          <w:p w:rsidR="00DD56B8" w:rsidRPr="0006152C" w:rsidRDefault="00DD56B8" w:rsidP="0006074C">
            <w:pPr>
              <w:jc w:val="right"/>
            </w:pPr>
            <w:r w:rsidRPr="0006152C">
              <w:t>$2.95</w:t>
            </w:r>
          </w:p>
        </w:tc>
        <w:tc>
          <w:tcPr>
            <w:tcW w:w="618" w:type="pct"/>
            <w:noWrap/>
            <w:hideMark/>
          </w:tcPr>
          <w:p w:rsidR="00DD56B8" w:rsidRDefault="00DD56B8" w:rsidP="0006074C">
            <w:pPr>
              <w:jc w:val="right"/>
            </w:pPr>
            <w:r>
              <w:t>$2.94</w:t>
            </w:r>
          </w:p>
        </w:tc>
      </w:tr>
      <w:tr w:rsidR="00DD56B8" w:rsidTr="0006074C">
        <w:trPr>
          <w:trHeight w:val="113"/>
        </w:trPr>
        <w:tc>
          <w:tcPr>
            <w:tcW w:w="1912" w:type="pct"/>
            <w:noWrap/>
            <w:hideMark/>
          </w:tcPr>
          <w:p w:rsidR="00DD56B8" w:rsidRDefault="00DD56B8" w:rsidP="0006074C">
            <w:r>
              <w:t>Other income</w:t>
            </w:r>
          </w:p>
        </w:tc>
        <w:tc>
          <w:tcPr>
            <w:tcW w:w="617" w:type="pct"/>
            <w:noWrap/>
            <w:hideMark/>
          </w:tcPr>
          <w:p w:rsidR="00DD56B8" w:rsidRPr="0006152C" w:rsidRDefault="00DD56B8" w:rsidP="0006074C">
            <w:pPr>
              <w:jc w:val="right"/>
            </w:pPr>
            <w:r w:rsidRPr="0006152C">
              <w:t>$5.66</w:t>
            </w:r>
          </w:p>
        </w:tc>
        <w:tc>
          <w:tcPr>
            <w:tcW w:w="617" w:type="pct"/>
            <w:noWrap/>
            <w:hideMark/>
          </w:tcPr>
          <w:p w:rsidR="00DD56B8" w:rsidRPr="0006152C" w:rsidRDefault="00DD56B8" w:rsidP="0006074C">
            <w:pPr>
              <w:jc w:val="right"/>
            </w:pPr>
            <w:r w:rsidRPr="0006152C">
              <w:t>$0.56</w:t>
            </w:r>
          </w:p>
        </w:tc>
        <w:tc>
          <w:tcPr>
            <w:tcW w:w="618" w:type="pct"/>
            <w:noWrap/>
            <w:hideMark/>
          </w:tcPr>
          <w:p w:rsidR="00DD56B8" w:rsidRPr="0006152C" w:rsidRDefault="00DD56B8" w:rsidP="0006074C">
            <w:pPr>
              <w:jc w:val="right"/>
            </w:pPr>
            <w:r w:rsidRPr="0006152C">
              <w:t>$0.82</w:t>
            </w:r>
          </w:p>
        </w:tc>
        <w:tc>
          <w:tcPr>
            <w:tcW w:w="617" w:type="pct"/>
            <w:noWrap/>
            <w:hideMark/>
          </w:tcPr>
          <w:p w:rsidR="00DD56B8" w:rsidRPr="0006152C" w:rsidRDefault="00DD56B8" w:rsidP="0006074C">
            <w:pPr>
              <w:jc w:val="right"/>
            </w:pPr>
            <w:r w:rsidRPr="0006152C">
              <w:t>$2.41</w:t>
            </w:r>
          </w:p>
        </w:tc>
        <w:tc>
          <w:tcPr>
            <w:tcW w:w="618" w:type="pct"/>
            <w:noWrap/>
            <w:hideMark/>
          </w:tcPr>
          <w:p w:rsidR="00DD56B8" w:rsidRDefault="00DD56B8" w:rsidP="0006074C">
            <w:pPr>
              <w:jc w:val="right"/>
            </w:pPr>
            <w:r>
              <w:t>$1.81</w:t>
            </w:r>
          </w:p>
        </w:tc>
      </w:tr>
      <w:tr w:rsidR="00DD56B8" w:rsidTr="0006074C">
        <w:trPr>
          <w:trHeight w:val="113"/>
        </w:trPr>
        <w:tc>
          <w:tcPr>
            <w:tcW w:w="1912" w:type="pct"/>
            <w:noWrap/>
            <w:hideMark/>
          </w:tcPr>
          <w:p w:rsidR="00DD56B8" w:rsidRDefault="00DD56B8" w:rsidP="0006074C">
            <w:r>
              <w:t>Total expenses</w:t>
            </w:r>
          </w:p>
        </w:tc>
        <w:tc>
          <w:tcPr>
            <w:tcW w:w="617" w:type="pct"/>
            <w:noWrap/>
            <w:hideMark/>
          </w:tcPr>
          <w:p w:rsidR="00DD56B8" w:rsidRPr="0006152C" w:rsidRDefault="00DD56B8" w:rsidP="0006074C">
            <w:pPr>
              <w:jc w:val="right"/>
            </w:pPr>
            <w:r w:rsidRPr="0006152C">
              <w:t>$54.34</w:t>
            </w:r>
          </w:p>
        </w:tc>
        <w:tc>
          <w:tcPr>
            <w:tcW w:w="617" w:type="pct"/>
            <w:noWrap/>
            <w:hideMark/>
          </w:tcPr>
          <w:p w:rsidR="00DD56B8" w:rsidRPr="0006152C" w:rsidRDefault="00DD56B8" w:rsidP="0006074C">
            <w:pPr>
              <w:jc w:val="right"/>
            </w:pPr>
            <w:r w:rsidRPr="0006152C">
              <w:t>$63.08</w:t>
            </w:r>
          </w:p>
        </w:tc>
        <w:tc>
          <w:tcPr>
            <w:tcW w:w="618" w:type="pct"/>
            <w:noWrap/>
            <w:hideMark/>
          </w:tcPr>
          <w:p w:rsidR="00DD56B8" w:rsidRPr="0006152C" w:rsidRDefault="00DD56B8" w:rsidP="0006074C">
            <w:pPr>
              <w:jc w:val="right"/>
            </w:pPr>
            <w:r w:rsidRPr="0006152C">
              <w:t>$62.28</w:t>
            </w:r>
          </w:p>
        </w:tc>
        <w:tc>
          <w:tcPr>
            <w:tcW w:w="617" w:type="pct"/>
            <w:noWrap/>
            <w:hideMark/>
          </w:tcPr>
          <w:p w:rsidR="00DD56B8" w:rsidRPr="0006152C" w:rsidRDefault="00DD56B8" w:rsidP="0006074C">
            <w:pPr>
              <w:jc w:val="right"/>
            </w:pPr>
            <w:r w:rsidRPr="0006152C">
              <w:t>$77.33</w:t>
            </w:r>
          </w:p>
        </w:tc>
        <w:tc>
          <w:tcPr>
            <w:tcW w:w="618" w:type="pct"/>
            <w:noWrap/>
            <w:hideMark/>
          </w:tcPr>
          <w:p w:rsidR="00DD56B8" w:rsidRDefault="00DD56B8" w:rsidP="0006074C">
            <w:pPr>
              <w:jc w:val="right"/>
            </w:pPr>
            <w:r>
              <w:t>$64.05</w:t>
            </w:r>
          </w:p>
        </w:tc>
      </w:tr>
      <w:tr w:rsidR="00DD56B8" w:rsidTr="0006074C">
        <w:trPr>
          <w:trHeight w:val="113"/>
        </w:trPr>
        <w:tc>
          <w:tcPr>
            <w:tcW w:w="1912" w:type="pct"/>
            <w:noWrap/>
            <w:hideMark/>
          </w:tcPr>
          <w:p w:rsidR="00DD56B8" w:rsidRDefault="00DD56B8" w:rsidP="0006074C">
            <w:r>
              <w:t>Net Profit Before Tax</w:t>
            </w:r>
          </w:p>
        </w:tc>
        <w:tc>
          <w:tcPr>
            <w:tcW w:w="617" w:type="pct"/>
            <w:noWrap/>
            <w:hideMark/>
          </w:tcPr>
          <w:p w:rsidR="00DD56B8" w:rsidRPr="0006152C" w:rsidRDefault="00DD56B8" w:rsidP="0006074C">
            <w:pPr>
              <w:jc w:val="right"/>
            </w:pPr>
            <w:r w:rsidRPr="0006152C">
              <w:t>$26.05</w:t>
            </w:r>
          </w:p>
        </w:tc>
        <w:tc>
          <w:tcPr>
            <w:tcW w:w="617" w:type="pct"/>
            <w:noWrap/>
            <w:hideMark/>
          </w:tcPr>
          <w:p w:rsidR="00DD56B8" w:rsidRPr="0006152C" w:rsidRDefault="00DD56B8" w:rsidP="0006074C">
            <w:pPr>
              <w:jc w:val="right"/>
            </w:pPr>
            <w:r w:rsidRPr="0006152C">
              <w:t>$9.04</w:t>
            </w:r>
          </w:p>
        </w:tc>
        <w:tc>
          <w:tcPr>
            <w:tcW w:w="618" w:type="pct"/>
            <w:noWrap/>
            <w:hideMark/>
          </w:tcPr>
          <w:p w:rsidR="00DD56B8" w:rsidRPr="0006152C" w:rsidRDefault="00DD56B8" w:rsidP="0006074C">
            <w:pPr>
              <w:jc w:val="right"/>
            </w:pPr>
            <w:r w:rsidRPr="0006152C">
              <w:t>$2.15</w:t>
            </w:r>
          </w:p>
        </w:tc>
        <w:tc>
          <w:tcPr>
            <w:tcW w:w="617" w:type="pct"/>
            <w:noWrap/>
            <w:hideMark/>
          </w:tcPr>
          <w:p w:rsidR="00DD56B8" w:rsidRPr="0006152C" w:rsidRDefault="00DD56B8" w:rsidP="0006074C">
            <w:pPr>
              <w:jc w:val="right"/>
            </w:pPr>
            <w:r w:rsidRPr="0006152C">
              <w:rPr>
                <w:color w:val="FF0000"/>
              </w:rPr>
              <w:t>-$5.45</w:t>
            </w:r>
          </w:p>
        </w:tc>
        <w:tc>
          <w:tcPr>
            <w:tcW w:w="618" w:type="pct"/>
            <w:noWrap/>
            <w:hideMark/>
          </w:tcPr>
          <w:p w:rsidR="00DD56B8" w:rsidRDefault="00DD56B8" w:rsidP="0006074C">
            <w:pPr>
              <w:jc w:val="right"/>
            </w:pPr>
            <w:r>
              <w:t>$6.74</w:t>
            </w:r>
          </w:p>
        </w:tc>
      </w:tr>
      <w:tr w:rsidR="0006074C" w:rsidTr="0006074C">
        <w:trPr>
          <w:trHeight w:val="113"/>
        </w:trPr>
        <w:tc>
          <w:tcPr>
            <w:tcW w:w="1912" w:type="pct"/>
            <w:shd w:val="clear" w:color="auto" w:fill="E8E8E8" w:themeFill="background2"/>
            <w:noWrap/>
            <w:hideMark/>
          </w:tcPr>
          <w:p w:rsidR="00DD56B8" w:rsidRPr="0006074C" w:rsidRDefault="00DD56B8" w:rsidP="0006074C">
            <w:pPr>
              <w:rPr>
                <w:rStyle w:val="Strong"/>
              </w:rPr>
            </w:pPr>
            <w:r w:rsidRPr="0006074C">
              <w:rPr>
                <w:rStyle w:val="Strong"/>
              </w:rPr>
              <w:t>For-profit</w:t>
            </w:r>
          </w:p>
        </w:tc>
        <w:tc>
          <w:tcPr>
            <w:tcW w:w="617"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r>
      <w:tr w:rsidR="00DD56B8" w:rsidTr="0006074C">
        <w:trPr>
          <w:trHeight w:val="113"/>
        </w:trPr>
        <w:tc>
          <w:tcPr>
            <w:tcW w:w="1912" w:type="pct"/>
            <w:noWrap/>
            <w:hideMark/>
          </w:tcPr>
          <w:p w:rsidR="00DD56B8" w:rsidRDefault="00DD56B8" w:rsidP="0006074C">
            <w:r>
              <w:t>N</w:t>
            </w:r>
            <w:r w:rsidR="004F37D3">
              <w:t>umber</w:t>
            </w:r>
            <w:r>
              <w:t xml:space="preserve"> of providers</w:t>
            </w:r>
          </w:p>
        </w:tc>
        <w:tc>
          <w:tcPr>
            <w:tcW w:w="617" w:type="pct"/>
            <w:noWrap/>
            <w:hideMark/>
          </w:tcPr>
          <w:p w:rsidR="00DD56B8" w:rsidRPr="0006152C" w:rsidRDefault="00DD56B8" w:rsidP="0006074C">
            <w:pPr>
              <w:jc w:val="right"/>
            </w:pPr>
            <w:r w:rsidRPr="0006152C">
              <w:t>39</w:t>
            </w:r>
          </w:p>
        </w:tc>
        <w:tc>
          <w:tcPr>
            <w:tcW w:w="617" w:type="pct"/>
            <w:noWrap/>
            <w:hideMark/>
          </w:tcPr>
          <w:p w:rsidR="00DD56B8" w:rsidRPr="0006152C" w:rsidRDefault="00DD56B8" w:rsidP="0006074C">
            <w:pPr>
              <w:jc w:val="right"/>
            </w:pPr>
            <w:r w:rsidRPr="0006152C">
              <w:t>22</w:t>
            </w:r>
          </w:p>
        </w:tc>
        <w:tc>
          <w:tcPr>
            <w:tcW w:w="618" w:type="pct"/>
            <w:noWrap/>
            <w:hideMark/>
          </w:tcPr>
          <w:p w:rsidR="00DD56B8" w:rsidRPr="0006152C" w:rsidRDefault="00DD56B8" w:rsidP="0006074C">
            <w:pPr>
              <w:jc w:val="right"/>
            </w:pPr>
            <w:r w:rsidRPr="0006152C">
              <w:t>24</w:t>
            </w:r>
          </w:p>
        </w:tc>
        <w:tc>
          <w:tcPr>
            <w:tcW w:w="617" w:type="pct"/>
            <w:noWrap/>
            <w:hideMark/>
          </w:tcPr>
          <w:p w:rsidR="00DD56B8" w:rsidRPr="0006152C" w:rsidRDefault="00DD56B8" w:rsidP="0006074C">
            <w:pPr>
              <w:jc w:val="right"/>
            </w:pPr>
            <w:r w:rsidRPr="0006152C">
              <w:t>33</w:t>
            </w:r>
          </w:p>
        </w:tc>
        <w:tc>
          <w:tcPr>
            <w:tcW w:w="618" w:type="pct"/>
            <w:noWrap/>
            <w:hideMark/>
          </w:tcPr>
          <w:p w:rsidR="00DD56B8" w:rsidRDefault="00DD56B8" w:rsidP="0006074C">
            <w:pPr>
              <w:jc w:val="right"/>
            </w:pPr>
            <w:r>
              <w:t>118</w:t>
            </w:r>
          </w:p>
        </w:tc>
      </w:tr>
      <w:tr w:rsidR="00DD56B8" w:rsidTr="0006074C">
        <w:trPr>
          <w:trHeight w:val="113"/>
        </w:trPr>
        <w:tc>
          <w:tcPr>
            <w:tcW w:w="1912" w:type="pct"/>
            <w:noWrap/>
            <w:hideMark/>
          </w:tcPr>
          <w:p w:rsidR="00DD56B8" w:rsidRDefault="00DD56B8" w:rsidP="0006074C">
            <w:r>
              <w:t>Provision of care/services charged</w:t>
            </w:r>
          </w:p>
        </w:tc>
        <w:tc>
          <w:tcPr>
            <w:tcW w:w="617" w:type="pct"/>
            <w:noWrap/>
            <w:hideMark/>
          </w:tcPr>
          <w:p w:rsidR="00DD56B8" w:rsidRPr="0006152C" w:rsidRDefault="00DD56B8" w:rsidP="0006074C">
            <w:pPr>
              <w:jc w:val="right"/>
            </w:pPr>
            <w:r w:rsidRPr="0006152C">
              <w:t>$104.55</w:t>
            </w:r>
          </w:p>
        </w:tc>
        <w:tc>
          <w:tcPr>
            <w:tcW w:w="617" w:type="pct"/>
            <w:noWrap/>
            <w:hideMark/>
          </w:tcPr>
          <w:p w:rsidR="00DD56B8" w:rsidRPr="0006152C" w:rsidRDefault="00DD56B8" w:rsidP="0006074C">
            <w:pPr>
              <w:jc w:val="right"/>
            </w:pPr>
            <w:r w:rsidRPr="0006152C">
              <w:t>$57.00</w:t>
            </w:r>
          </w:p>
        </w:tc>
        <w:tc>
          <w:tcPr>
            <w:tcW w:w="618" w:type="pct"/>
            <w:noWrap/>
            <w:hideMark/>
          </w:tcPr>
          <w:p w:rsidR="00DD56B8" w:rsidRPr="0006152C" w:rsidRDefault="00DD56B8" w:rsidP="0006074C">
            <w:pPr>
              <w:jc w:val="right"/>
            </w:pPr>
            <w:r w:rsidRPr="0006152C">
              <w:t>$49.23</w:t>
            </w:r>
          </w:p>
        </w:tc>
        <w:tc>
          <w:tcPr>
            <w:tcW w:w="617" w:type="pct"/>
            <w:noWrap/>
            <w:hideMark/>
          </w:tcPr>
          <w:p w:rsidR="00DD56B8" w:rsidRPr="0006152C" w:rsidRDefault="00DD56B8" w:rsidP="0006074C">
            <w:pPr>
              <w:jc w:val="right"/>
            </w:pPr>
            <w:r w:rsidRPr="0006152C">
              <w:t>$38.55</w:t>
            </w:r>
          </w:p>
        </w:tc>
        <w:tc>
          <w:tcPr>
            <w:tcW w:w="618" w:type="pct"/>
            <w:noWrap/>
            <w:hideMark/>
          </w:tcPr>
          <w:p w:rsidR="00DD56B8" w:rsidRDefault="00DD56B8" w:rsidP="0006074C">
            <w:pPr>
              <w:jc w:val="right"/>
            </w:pPr>
            <w:r>
              <w:t>$69.85</w:t>
            </w:r>
          </w:p>
        </w:tc>
      </w:tr>
      <w:tr w:rsidR="00DD56B8" w:rsidTr="0006074C">
        <w:trPr>
          <w:trHeight w:val="113"/>
        </w:trPr>
        <w:tc>
          <w:tcPr>
            <w:tcW w:w="1912" w:type="pct"/>
            <w:noWrap/>
            <w:hideMark/>
          </w:tcPr>
          <w:p w:rsidR="00DD56B8" w:rsidRDefault="00DD56B8" w:rsidP="0006074C">
            <w:r>
              <w:t>Admin and management of packages</w:t>
            </w:r>
          </w:p>
        </w:tc>
        <w:tc>
          <w:tcPr>
            <w:tcW w:w="617" w:type="pct"/>
            <w:noWrap/>
            <w:hideMark/>
          </w:tcPr>
          <w:p w:rsidR="00DD56B8" w:rsidRPr="0006152C" w:rsidRDefault="00DD56B8" w:rsidP="0006074C">
            <w:pPr>
              <w:jc w:val="right"/>
            </w:pPr>
            <w:r w:rsidRPr="0006152C">
              <w:t>$20.55</w:t>
            </w:r>
          </w:p>
        </w:tc>
        <w:tc>
          <w:tcPr>
            <w:tcW w:w="617" w:type="pct"/>
            <w:noWrap/>
            <w:hideMark/>
          </w:tcPr>
          <w:p w:rsidR="00DD56B8" w:rsidRPr="0006152C" w:rsidRDefault="00DD56B8" w:rsidP="0006074C">
            <w:pPr>
              <w:jc w:val="right"/>
            </w:pPr>
            <w:r w:rsidRPr="0006152C">
              <w:t>$29.07</w:t>
            </w:r>
          </w:p>
        </w:tc>
        <w:tc>
          <w:tcPr>
            <w:tcW w:w="618" w:type="pct"/>
            <w:noWrap/>
            <w:hideMark/>
          </w:tcPr>
          <w:p w:rsidR="00DD56B8" w:rsidRPr="0006152C" w:rsidRDefault="00DD56B8" w:rsidP="0006074C">
            <w:pPr>
              <w:jc w:val="right"/>
            </w:pPr>
            <w:r w:rsidRPr="0006152C">
              <w:t>$20.43</w:t>
            </w:r>
          </w:p>
        </w:tc>
        <w:tc>
          <w:tcPr>
            <w:tcW w:w="617" w:type="pct"/>
            <w:noWrap/>
            <w:hideMark/>
          </w:tcPr>
          <w:p w:rsidR="00DD56B8" w:rsidRPr="0006152C" w:rsidRDefault="00DD56B8" w:rsidP="0006074C">
            <w:pPr>
              <w:jc w:val="right"/>
            </w:pPr>
            <w:r w:rsidRPr="0006152C">
              <w:t>$21.85</w:t>
            </w:r>
          </w:p>
        </w:tc>
        <w:tc>
          <w:tcPr>
            <w:tcW w:w="618" w:type="pct"/>
            <w:noWrap/>
            <w:hideMark/>
          </w:tcPr>
          <w:p w:rsidR="00DD56B8" w:rsidRDefault="00DD56B8" w:rsidP="0006074C">
            <w:pPr>
              <w:jc w:val="right"/>
            </w:pPr>
            <w:r>
              <w:t>$22.31</w:t>
            </w:r>
          </w:p>
        </w:tc>
      </w:tr>
      <w:tr w:rsidR="00DD56B8" w:rsidTr="0006074C">
        <w:trPr>
          <w:trHeight w:val="113"/>
        </w:trPr>
        <w:tc>
          <w:tcPr>
            <w:tcW w:w="1912" w:type="pct"/>
            <w:noWrap/>
            <w:hideMark/>
          </w:tcPr>
          <w:p w:rsidR="00DD56B8" w:rsidRDefault="00DD56B8" w:rsidP="0006074C">
            <w:r>
              <w:t>Unspent and exit amounts</w:t>
            </w:r>
          </w:p>
        </w:tc>
        <w:tc>
          <w:tcPr>
            <w:tcW w:w="617" w:type="pct"/>
            <w:noWrap/>
            <w:hideMark/>
          </w:tcPr>
          <w:p w:rsidR="00DD56B8" w:rsidRPr="0006152C" w:rsidRDefault="00DD56B8" w:rsidP="0006074C">
            <w:pPr>
              <w:jc w:val="right"/>
            </w:pPr>
            <w:r w:rsidRPr="0006152C">
              <w:t>$2.32</w:t>
            </w:r>
          </w:p>
        </w:tc>
        <w:tc>
          <w:tcPr>
            <w:tcW w:w="617" w:type="pct"/>
            <w:noWrap/>
            <w:hideMark/>
          </w:tcPr>
          <w:p w:rsidR="00DD56B8" w:rsidRPr="0006152C" w:rsidRDefault="00DD56B8" w:rsidP="0006074C">
            <w:pPr>
              <w:jc w:val="right"/>
            </w:pPr>
            <w:r w:rsidRPr="0006152C">
              <w:t>$3.48</w:t>
            </w:r>
          </w:p>
        </w:tc>
        <w:tc>
          <w:tcPr>
            <w:tcW w:w="618" w:type="pct"/>
            <w:noWrap/>
            <w:hideMark/>
          </w:tcPr>
          <w:p w:rsidR="00DD56B8" w:rsidRPr="0006152C" w:rsidRDefault="00DD56B8" w:rsidP="0006074C">
            <w:pPr>
              <w:jc w:val="right"/>
            </w:pPr>
            <w:r w:rsidRPr="0006152C">
              <w:t>$4.02</w:t>
            </w:r>
          </w:p>
        </w:tc>
        <w:tc>
          <w:tcPr>
            <w:tcW w:w="617" w:type="pct"/>
            <w:noWrap/>
            <w:hideMark/>
          </w:tcPr>
          <w:p w:rsidR="00DD56B8" w:rsidRPr="0006152C" w:rsidRDefault="00DD56B8" w:rsidP="0006074C">
            <w:pPr>
              <w:jc w:val="right"/>
            </w:pPr>
            <w:r w:rsidRPr="0006152C">
              <w:t>$3.12</w:t>
            </w:r>
          </w:p>
        </w:tc>
        <w:tc>
          <w:tcPr>
            <w:tcW w:w="618" w:type="pct"/>
            <w:noWrap/>
            <w:hideMark/>
          </w:tcPr>
          <w:p w:rsidR="00DD56B8" w:rsidRDefault="00DD56B8" w:rsidP="0006074C">
            <w:pPr>
              <w:jc w:val="right"/>
            </w:pPr>
            <w:r>
              <w:t>$3.12</w:t>
            </w:r>
          </w:p>
        </w:tc>
      </w:tr>
      <w:tr w:rsidR="00DD56B8" w:rsidTr="0006074C">
        <w:trPr>
          <w:trHeight w:val="113"/>
        </w:trPr>
        <w:tc>
          <w:tcPr>
            <w:tcW w:w="1912" w:type="pct"/>
            <w:noWrap/>
            <w:hideMark/>
          </w:tcPr>
          <w:p w:rsidR="00DD56B8" w:rsidRDefault="00DD56B8" w:rsidP="0006074C">
            <w:r>
              <w:t>Other income</w:t>
            </w:r>
          </w:p>
        </w:tc>
        <w:tc>
          <w:tcPr>
            <w:tcW w:w="617" w:type="pct"/>
            <w:noWrap/>
            <w:hideMark/>
          </w:tcPr>
          <w:p w:rsidR="00DD56B8" w:rsidRPr="0006152C" w:rsidRDefault="00DD56B8" w:rsidP="0006074C">
            <w:pPr>
              <w:jc w:val="right"/>
            </w:pPr>
            <w:r w:rsidRPr="0006152C">
              <w:t>$8.40</w:t>
            </w:r>
          </w:p>
        </w:tc>
        <w:tc>
          <w:tcPr>
            <w:tcW w:w="617" w:type="pct"/>
            <w:noWrap/>
            <w:hideMark/>
          </w:tcPr>
          <w:p w:rsidR="00DD56B8" w:rsidRPr="0006152C" w:rsidRDefault="00DD56B8" w:rsidP="0006074C">
            <w:pPr>
              <w:jc w:val="right"/>
            </w:pPr>
            <w:r w:rsidRPr="0006152C">
              <w:t>$1.93</w:t>
            </w:r>
          </w:p>
        </w:tc>
        <w:tc>
          <w:tcPr>
            <w:tcW w:w="618" w:type="pct"/>
            <w:noWrap/>
            <w:hideMark/>
          </w:tcPr>
          <w:p w:rsidR="00DD56B8" w:rsidRPr="0006152C" w:rsidRDefault="00DD56B8" w:rsidP="0006074C">
            <w:pPr>
              <w:jc w:val="right"/>
            </w:pPr>
            <w:r w:rsidRPr="0006152C">
              <w:t>$0.14</w:t>
            </w:r>
          </w:p>
        </w:tc>
        <w:tc>
          <w:tcPr>
            <w:tcW w:w="617" w:type="pct"/>
            <w:noWrap/>
            <w:hideMark/>
          </w:tcPr>
          <w:p w:rsidR="00DD56B8" w:rsidRPr="0006152C" w:rsidRDefault="00DD56B8" w:rsidP="0006074C">
            <w:pPr>
              <w:jc w:val="right"/>
            </w:pPr>
            <w:r w:rsidRPr="0006152C">
              <w:t>$1.15</w:t>
            </w:r>
          </w:p>
        </w:tc>
        <w:tc>
          <w:tcPr>
            <w:tcW w:w="618" w:type="pct"/>
            <w:noWrap/>
            <w:hideMark/>
          </w:tcPr>
          <w:p w:rsidR="00DD56B8" w:rsidRDefault="00DD56B8" w:rsidP="0006074C">
            <w:pPr>
              <w:jc w:val="right"/>
            </w:pPr>
            <w:r>
              <w:t>$3.78</w:t>
            </w:r>
          </w:p>
        </w:tc>
      </w:tr>
      <w:tr w:rsidR="00DD56B8" w:rsidTr="0006074C">
        <w:trPr>
          <w:trHeight w:val="113"/>
        </w:trPr>
        <w:tc>
          <w:tcPr>
            <w:tcW w:w="1912" w:type="pct"/>
            <w:noWrap/>
            <w:hideMark/>
          </w:tcPr>
          <w:p w:rsidR="00DD56B8" w:rsidRDefault="00DD56B8" w:rsidP="0006074C">
            <w:r>
              <w:t>Total expenses</w:t>
            </w:r>
          </w:p>
        </w:tc>
        <w:tc>
          <w:tcPr>
            <w:tcW w:w="617" w:type="pct"/>
            <w:noWrap/>
            <w:hideMark/>
          </w:tcPr>
          <w:p w:rsidR="00DD56B8" w:rsidRPr="0006152C" w:rsidRDefault="00DD56B8" w:rsidP="0006074C">
            <w:pPr>
              <w:jc w:val="right"/>
            </w:pPr>
            <w:r w:rsidRPr="0006152C">
              <w:t>$89.38</w:t>
            </w:r>
          </w:p>
        </w:tc>
        <w:tc>
          <w:tcPr>
            <w:tcW w:w="617" w:type="pct"/>
            <w:noWrap/>
            <w:hideMark/>
          </w:tcPr>
          <w:p w:rsidR="00DD56B8" w:rsidRPr="0006152C" w:rsidRDefault="00DD56B8" w:rsidP="0006074C">
            <w:pPr>
              <w:jc w:val="right"/>
            </w:pPr>
            <w:r w:rsidRPr="0006152C">
              <w:t>$83.81</w:t>
            </w:r>
          </w:p>
        </w:tc>
        <w:tc>
          <w:tcPr>
            <w:tcW w:w="618" w:type="pct"/>
            <w:noWrap/>
            <w:hideMark/>
          </w:tcPr>
          <w:p w:rsidR="00DD56B8" w:rsidRPr="0006152C" w:rsidRDefault="00DD56B8" w:rsidP="0006074C">
            <w:pPr>
              <w:jc w:val="right"/>
            </w:pPr>
            <w:r w:rsidRPr="0006152C">
              <w:t>$71.16</w:t>
            </w:r>
          </w:p>
        </w:tc>
        <w:tc>
          <w:tcPr>
            <w:tcW w:w="617" w:type="pct"/>
            <w:noWrap/>
            <w:hideMark/>
          </w:tcPr>
          <w:p w:rsidR="00DD56B8" w:rsidRPr="0006152C" w:rsidRDefault="00DD56B8" w:rsidP="0006074C">
            <w:pPr>
              <w:jc w:val="right"/>
            </w:pPr>
            <w:r w:rsidRPr="0006152C">
              <w:t>$74.15</w:t>
            </w:r>
          </w:p>
        </w:tc>
        <w:tc>
          <w:tcPr>
            <w:tcW w:w="618" w:type="pct"/>
            <w:noWrap/>
            <w:hideMark/>
          </w:tcPr>
          <w:p w:rsidR="00DD56B8" w:rsidRDefault="00DD56B8" w:rsidP="0006074C">
            <w:pPr>
              <w:jc w:val="right"/>
            </w:pPr>
            <w:r>
              <w:t>$80.93</w:t>
            </w:r>
          </w:p>
        </w:tc>
      </w:tr>
      <w:tr w:rsidR="00DD56B8" w:rsidTr="0006074C">
        <w:trPr>
          <w:trHeight w:val="113"/>
        </w:trPr>
        <w:tc>
          <w:tcPr>
            <w:tcW w:w="1912" w:type="pct"/>
            <w:noWrap/>
            <w:hideMark/>
          </w:tcPr>
          <w:p w:rsidR="00DD56B8" w:rsidRDefault="00DD56B8" w:rsidP="0006074C">
            <w:r>
              <w:t>Net Profit Before Tax</w:t>
            </w:r>
          </w:p>
        </w:tc>
        <w:tc>
          <w:tcPr>
            <w:tcW w:w="617" w:type="pct"/>
            <w:noWrap/>
            <w:hideMark/>
          </w:tcPr>
          <w:p w:rsidR="00DD56B8" w:rsidRPr="0006152C" w:rsidRDefault="00DD56B8" w:rsidP="0006074C">
            <w:pPr>
              <w:jc w:val="right"/>
            </w:pPr>
            <w:r w:rsidRPr="0006152C">
              <w:t>$46.43</w:t>
            </w:r>
          </w:p>
        </w:tc>
        <w:tc>
          <w:tcPr>
            <w:tcW w:w="617" w:type="pct"/>
            <w:noWrap/>
            <w:hideMark/>
          </w:tcPr>
          <w:p w:rsidR="00DD56B8" w:rsidRPr="0006152C" w:rsidRDefault="00DD56B8" w:rsidP="0006074C">
            <w:pPr>
              <w:jc w:val="right"/>
            </w:pPr>
            <w:r w:rsidRPr="0006152C">
              <w:t>$7.67</w:t>
            </w:r>
          </w:p>
        </w:tc>
        <w:tc>
          <w:tcPr>
            <w:tcW w:w="618" w:type="pct"/>
            <w:noWrap/>
            <w:hideMark/>
          </w:tcPr>
          <w:p w:rsidR="00DD56B8" w:rsidRPr="0006152C" w:rsidRDefault="00DD56B8" w:rsidP="0006074C">
            <w:pPr>
              <w:jc w:val="right"/>
            </w:pPr>
            <w:r w:rsidRPr="0006152C">
              <w:t>$2.65</w:t>
            </w:r>
          </w:p>
        </w:tc>
        <w:tc>
          <w:tcPr>
            <w:tcW w:w="617" w:type="pct"/>
            <w:noWrap/>
            <w:hideMark/>
          </w:tcPr>
          <w:p w:rsidR="00DD56B8" w:rsidRPr="0006152C" w:rsidRDefault="00DD56B8" w:rsidP="0006074C">
            <w:pPr>
              <w:jc w:val="right"/>
              <w:rPr>
                <w:color w:val="FF0000"/>
              </w:rPr>
            </w:pPr>
            <w:r w:rsidRPr="0006152C">
              <w:rPr>
                <w:color w:val="FF0000"/>
              </w:rPr>
              <w:t>-$9.48</w:t>
            </w:r>
          </w:p>
        </w:tc>
        <w:tc>
          <w:tcPr>
            <w:tcW w:w="618" w:type="pct"/>
            <w:noWrap/>
            <w:hideMark/>
          </w:tcPr>
          <w:p w:rsidR="00DD56B8" w:rsidRDefault="00DD56B8" w:rsidP="0006074C">
            <w:pPr>
              <w:jc w:val="right"/>
            </w:pPr>
            <w:r>
              <w:t>$18.13</w:t>
            </w:r>
          </w:p>
        </w:tc>
      </w:tr>
      <w:tr w:rsidR="0006074C" w:rsidTr="0006074C">
        <w:trPr>
          <w:trHeight w:val="113"/>
        </w:trPr>
        <w:tc>
          <w:tcPr>
            <w:tcW w:w="1912" w:type="pct"/>
            <w:shd w:val="clear" w:color="auto" w:fill="E8E8E8" w:themeFill="background2"/>
            <w:noWrap/>
            <w:hideMark/>
          </w:tcPr>
          <w:p w:rsidR="00DD56B8" w:rsidRPr="0006074C" w:rsidRDefault="00DD56B8" w:rsidP="0006074C">
            <w:pPr>
              <w:rPr>
                <w:rStyle w:val="Strong"/>
              </w:rPr>
            </w:pPr>
            <w:r w:rsidRPr="0006074C">
              <w:rPr>
                <w:rStyle w:val="Strong"/>
              </w:rPr>
              <w:t>Government</w:t>
            </w:r>
          </w:p>
        </w:tc>
        <w:tc>
          <w:tcPr>
            <w:tcW w:w="617"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c>
          <w:tcPr>
            <w:tcW w:w="617" w:type="pct"/>
            <w:shd w:val="clear" w:color="auto" w:fill="E8E8E8" w:themeFill="background2"/>
            <w:noWrap/>
            <w:hideMark/>
          </w:tcPr>
          <w:p w:rsidR="00DD56B8" w:rsidRPr="0006074C" w:rsidRDefault="00DD56B8" w:rsidP="0006074C">
            <w:pPr>
              <w:jc w:val="right"/>
              <w:rPr>
                <w:rStyle w:val="Strong"/>
              </w:rPr>
            </w:pPr>
          </w:p>
        </w:tc>
        <w:tc>
          <w:tcPr>
            <w:tcW w:w="618" w:type="pct"/>
            <w:shd w:val="clear" w:color="auto" w:fill="E8E8E8" w:themeFill="background2"/>
            <w:noWrap/>
            <w:hideMark/>
          </w:tcPr>
          <w:p w:rsidR="00DD56B8" w:rsidRPr="0006074C" w:rsidRDefault="00DD56B8" w:rsidP="0006074C">
            <w:pPr>
              <w:jc w:val="right"/>
              <w:rPr>
                <w:rStyle w:val="Strong"/>
              </w:rPr>
            </w:pPr>
          </w:p>
        </w:tc>
      </w:tr>
      <w:tr w:rsidR="00DD56B8" w:rsidTr="0006074C">
        <w:trPr>
          <w:trHeight w:val="113"/>
        </w:trPr>
        <w:tc>
          <w:tcPr>
            <w:tcW w:w="1912" w:type="pct"/>
            <w:noWrap/>
            <w:hideMark/>
          </w:tcPr>
          <w:p w:rsidR="00DD56B8" w:rsidRDefault="00DD56B8" w:rsidP="0006074C">
            <w:r>
              <w:t>N</w:t>
            </w:r>
            <w:r w:rsidR="004F37D3">
              <w:t>umber</w:t>
            </w:r>
            <w:r>
              <w:t xml:space="preserve"> of providers</w:t>
            </w:r>
          </w:p>
        </w:tc>
        <w:tc>
          <w:tcPr>
            <w:tcW w:w="617" w:type="pct"/>
            <w:noWrap/>
            <w:hideMark/>
          </w:tcPr>
          <w:p w:rsidR="00DD56B8" w:rsidRPr="0006152C" w:rsidRDefault="00DD56B8" w:rsidP="0006074C">
            <w:pPr>
              <w:jc w:val="right"/>
            </w:pPr>
            <w:r w:rsidRPr="0006152C">
              <w:t>20</w:t>
            </w:r>
          </w:p>
        </w:tc>
        <w:tc>
          <w:tcPr>
            <w:tcW w:w="617" w:type="pct"/>
            <w:noWrap/>
            <w:hideMark/>
          </w:tcPr>
          <w:p w:rsidR="00DD56B8" w:rsidRPr="0006152C" w:rsidRDefault="00DD56B8" w:rsidP="0006074C">
            <w:pPr>
              <w:jc w:val="right"/>
            </w:pPr>
            <w:r w:rsidRPr="0006152C">
              <w:t>13</w:t>
            </w:r>
          </w:p>
        </w:tc>
        <w:tc>
          <w:tcPr>
            <w:tcW w:w="618" w:type="pct"/>
            <w:noWrap/>
            <w:hideMark/>
          </w:tcPr>
          <w:p w:rsidR="00DD56B8" w:rsidRPr="0006152C" w:rsidRDefault="00DD56B8" w:rsidP="0006074C">
            <w:pPr>
              <w:jc w:val="right"/>
            </w:pPr>
            <w:r w:rsidRPr="0006152C">
              <w:t xml:space="preserve">22 </w:t>
            </w:r>
          </w:p>
        </w:tc>
        <w:tc>
          <w:tcPr>
            <w:tcW w:w="617" w:type="pct"/>
            <w:noWrap/>
            <w:hideMark/>
          </w:tcPr>
          <w:p w:rsidR="00DD56B8" w:rsidRPr="0006152C" w:rsidRDefault="00DD56B8" w:rsidP="0006074C">
            <w:pPr>
              <w:jc w:val="right"/>
            </w:pPr>
            <w:r w:rsidRPr="0006152C">
              <w:t>23</w:t>
            </w:r>
          </w:p>
        </w:tc>
        <w:tc>
          <w:tcPr>
            <w:tcW w:w="618" w:type="pct"/>
            <w:noWrap/>
            <w:hideMark/>
          </w:tcPr>
          <w:p w:rsidR="00DD56B8" w:rsidRDefault="00DD56B8" w:rsidP="0006074C">
            <w:pPr>
              <w:jc w:val="right"/>
            </w:pPr>
            <w:r>
              <w:t>78</w:t>
            </w:r>
          </w:p>
        </w:tc>
      </w:tr>
      <w:tr w:rsidR="00DD56B8" w:rsidTr="0006074C">
        <w:trPr>
          <w:trHeight w:val="113"/>
        </w:trPr>
        <w:tc>
          <w:tcPr>
            <w:tcW w:w="1912" w:type="pct"/>
            <w:noWrap/>
            <w:hideMark/>
          </w:tcPr>
          <w:p w:rsidR="00DD56B8" w:rsidRDefault="00DD56B8" w:rsidP="0006074C">
            <w:r>
              <w:t>Provision of care/services charged</w:t>
            </w:r>
          </w:p>
        </w:tc>
        <w:tc>
          <w:tcPr>
            <w:tcW w:w="617" w:type="pct"/>
            <w:noWrap/>
            <w:hideMark/>
          </w:tcPr>
          <w:p w:rsidR="00DD56B8" w:rsidRPr="0006152C" w:rsidRDefault="00DD56B8" w:rsidP="0006074C">
            <w:pPr>
              <w:jc w:val="right"/>
            </w:pPr>
            <w:r w:rsidRPr="0006152C">
              <w:t>$55.43</w:t>
            </w:r>
          </w:p>
        </w:tc>
        <w:tc>
          <w:tcPr>
            <w:tcW w:w="617" w:type="pct"/>
            <w:noWrap/>
            <w:hideMark/>
          </w:tcPr>
          <w:p w:rsidR="00DD56B8" w:rsidRPr="0006152C" w:rsidRDefault="00DD56B8" w:rsidP="0006074C">
            <w:pPr>
              <w:jc w:val="right"/>
            </w:pPr>
            <w:r w:rsidRPr="0006152C">
              <w:t>$27.96</w:t>
            </w:r>
          </w:p>
        </w:tc>
        <w:tc>
          <w:tcPr>
            <w:tcW w:w="618" w:type="pct"/>
            <w:noWrap/>
            <w:hideMark/>
          </w:tcPr>
          <w:p w:rsidR="00DD56B8" w:rsidRPr="0006152C" w:rsidRDefault="00DD56B8" w:rsidP="0006074C">
            <w:pPr>
              <w:jc w:val="right"/>
            </w:pPr>
            <w:r w:rsidRPr="0006152C">
              <w:t>$36.01</w:t>
            </w:r>
          </w:p>
        </w:tc>
        <w:tc>
          <w:tcPr>
            <w:tcW w:w="617" w:type="pct"/>
            <w:noWrap/>
            <w:hideMark/>
          </w:tcPr>
          <w:p w:rsidR="00DD56B8" w:rsidRPr="0006152C" w:rsidRDefault="00DD56B8" w:rsidP="0006074C">
            <w:pPr>
              <w:jc w:val="right"/>
            </w:pPr>
            <w:r w:rsidRPr="0006152C">
              <w:t>$29.34</w:t>
            </w:r>
          </w:p>
        </w:tc>
        <w:tc>
          <w:tcPr>
            <w:tcW w:w="618" w:type="pct"/>
            <w:noWrap/>
            <w:hideMark/>
          </w:tcPr>
          <w:p w:rsidR="00DD56B8" w:rsidRDefault="00DD56B8" w:rsidP="0006074C">
            <w:pPr>
              <w:jc w:val="right"/>
            </w:pPr>
            <w:r>
              <w:t>$36.68</w:t>
            </w:r>
          </w:p>
        </w:tc>
      </w:tr>
      <w:tr w:rsidR="00DD56B8" w:rsidTr="0006074C">
        <w:trPr>
          <w:trHeight w:val="113"/>
        </w:trPr>
        <w:tc>
          <w:tcPr>
            <w:tcW w:w="1912" w:type="pct"/>
            <w:noWrap/>
            <w:hideMark/>
          </w:tcPr>
          <w:p w:rsidR="00DD56B8" w:rsidRDefault="00DD56B8" w:rsidP="0006074C">
            <w:r>
              <w:t>Admin and management of packages</w:t>
            </w:r>
          </w:p>
        </w:tc>
        <w:tc>
          <w:tcPr>
            <w:tcW w:w="617" w:type="pct"/>
            <w:noWrap/>
            <w:hideMark/>
          </w:tcPr>
          <w:p w:rsidR="00DD56B8" w:rsidRPr="0006152C" w:rsidRDefault="00DD56B8" w:rsidP="0006074C">
            <w:pPr>
              <w:jc w:val="right"/>
            </w:pPr>
            <w:r w:rsidRPr="0006152C">
              <w:t>$11.05</w:t>
            </w:r>
          </w:p>
        </w:tc>
        <w:tc>
          <w:tcPr>
            <w:tcW w:w="617" w:type="pct"/>
            <w:noWrap/>
            <w:hideMark/>
          </w:tcPr>
          <w:p w:rsidR="00DD56B8" w:rsidRPr="0006152C" w:rsidRDefault="00DD56B8" w:rsidP="0006074C">
            <w:pPr>
              <w:jc w:val="right"/>
            </w:pPr>
            <w:r w:rsidRPr="0006152C">
              <w:t>$16.85</w:t>
            </w:r>
          </w:p>
        </w:tc>
        <w:tc>
          <w:tcPr>
            <w:tcW w:w="618" w:type="pct"/>
            <w:noWrap/>
            <w:hideMark/>
          </w:tcPr>
          <w:p w:rsidR="00DD56B8" w:rsidRPr="0006152C" w:rsidRDefault="00DD56B8" w:rsidP="0006074C">
            <w:pPr>
              <w:jc w:val="right"/>
            </w:pPr>
            <w:r w:rsidRPr="0006152C">
              <w:t>$19.66</w:t>
            </w:r>
          </w:p>
        </w:tc>
        <w:tc>
          <w:tcPr>
            <w:tcW w:w="617" w:type="pct"/>
            <w:noWrap/>
            <w:hideMark/>
          </w:tcPr>
          <w:p w:rsidR="00DD56B8" w:rsidRPr="0006152C" w:rsidRDefault="00DD56B8" w:rsidP="0006074C">
            <w:pPr>
              <w:jc w:val="right"/>
            </w:pPr>
            <w:r w:rsidRPr="0006152C">
              <w:t>$19.66</w:t>
            </w:r>
          </w:p>
        </w:tc>
        <w:tc>
          <w:tcPr>
            <w:tcW w:w="618" w:type="pct"/>
            <w:noWrap/>
            <w:hideMark/>
          </w:tcPr>
          <w:p w:rsidR="00DD56B8" w:rsidRDefault="00DD56B8" w:rsidP="0006074C">
            <w:pPr>
              <w:jc w:val="right"/>
            </w:pPr>
            <w:r>
              <w:t>$17.64</w:t>
            </w:r>
          </w:p>
        </w:tc>
      </w:tr>
      <w:tr w:rsidR="00DD56B8" w:rsidTr="0006074C">
        <w:trPr>
          <w:trHeight w:val="113"/>
        </w:trPr>
        <w:tc>
          <w:tcPr>
            <w:tcW w:w="1912" w:type="pct"/>
            <w:noWrap/>
            <w:hideMark/>
          </w:tcPr>
          <w:p w:rsidR="00DD56B8" w:rsidRDefault="00DD56B8" w:rsidP="0006074C">
            <w:r>
              <w:t>Unspent and exit amounts</w:t>
            </w:r>
          </w:p>
        </w:tc>
        <w:tc>
          <w:tcPr>
            <w:tcW w:w="617" w:type="pct"/>
            <w:noWrap/>
            <w:hideMark/>
          </w:tcPr>
          <w:p w:rsidR="00DD56B8" w:rsidRPr="0006152C" w:rsidRDefault="00DD56B8" w:rsidP="0006074C">
            <w:pPr>
              <w:jc w:val="right"/>
            </w:pPr>
            <w:r w:rsidRPr="0006152C">
              <w:t>$6.59</w:t>
            </w:r>
          </w:p>
        </w:tc>
        <w:tc>
          <w:tcPr>
            <w:tcW w:w="617" w:type="pct"/>
            <w:noWrap/>
            <w:hideMark/>
          </w:tcPr>
          <w:p w:rsidR="00DD56B8" w:rsidRPr="0006152C" w:rsidRDefault="00DD56B8" w:rsidP="0006074C">
            <w:pPr>
              <w:jc w:val="right"/>
            </w:pPr>
            <w:r w:rsidRPr="0006152C">
              <w:t>$2.50</w:t>
            </w:r>
          </w:p>
        </w:tc>
        <w:tc>
          <w:tcPr>
            <w:tcW w:w="618" w:type="pct"/>
            <w:noWrap/>
            <w:hideMark/>
          </w:tcPr>
          <w:p w:rsidR="00DD56B8" w:rsidRPr="0006152C" w:rsidRDefault="00DD56B8" w:rsidP="0006074C">
            <w:pPr>
              <w:jc w:val="right"/>
            </w:pPr>
            <w:r w:rsidRPr="0006152C">
              <w:t>$2.51</w:t>
            </w:r>
          </w:p>
        </w:tc>
        <w:tc>
          <w:tcPr>
            <w:tcW w:w="617" w:type="pct"/>
            <w:noWrap/>
            <w:hideMark/>
          </w:tcPr>
          <w:p w:rsidR="00DD56B8" w:rsidRPr="0006152C" w:rsidRDefault="00DD56B8" w:rsidP="0006074C">
            <w:pPr>
              <w:jc w:val="right"/>
            </w:pPr>
            <w:r w:rsidRPr="0006152C">
              <w:t>$2.17</w:t>
            </w:r>
          </w:p>
        </w:tc>
        <w:tc>
          <w:tcPr>
            <w:tcW w:w="618" w:type="pct"/>
            <w:noWrap/>
            <w:hideMark/>
          </w:tcPr>
          <w:p w:rsidR="00DD56B8" w:rsidRDefault="00DD56B8" w:rsidP="0006074C">
            <w:pPr>
              <w:jc w:val="right"/>
            </w:pPr>
            <w:r>
              <w:t>$3.18</w:t>
            </w:r>
          </w:p>
        </w:tc>
      </w:tr>
      <w:tr w:rsidR="00DD56B8" w:rsidTr="0006074C">
        <w:trPr>
          <w:trHeight w:val="113"/>
        </w:trPr>
        <w:tc>
          <w:tcPr>
            <w:tcW w:w="1912" w:type="pct"/>
            <w:noWrap/>
            <w:hideMark/>
          </w:tcPr>
          <w:p w:rsidR="00DD56B8" w:rsidRDefault="00DD56B8" w:rsidP="0006074C">
            <w:r>
              <w:t>Other income</w:t>
            </w:r>
          </w:p>
        </w:tc>
        <w:tc>
          <w:tcPr>
            <w:tcW w:w="617" w:type="pct"/>
            <w:noWrap/>
            <w:hideMark/>
          </w:tcPr>
          <w:p w:rsidR="00DD56B8" w:rsidRPr="0006152C" w:rsidRDefault="00DD56B8" w:rsidP="0006074C">
            <w:pPr>
              <w:jc w:val="right"/>
            </w:pPr>
            <w:r w:rsidRPr="0006152C">
              <w:t>$1.31</w:t>
            </w:r>
          </w:p>
        </w:tc>
        <w:tc>
          <w:tcPr>
            <w:tcW w:w="617" w:type="pct"/>
            <w:noWrap/>
            <w:hideMark/>
          </w:tcPr>
          <w:p w:rsidR="00DD56B8" w:rsidRPr="0006152C" w:rsidRDefault="00DD56B8" w:rsidP="0006074C">
            <w:pPr>
              <w:jc w:val="right"/>
            </w:pPr>
            <w:r w:rsidRPr="0006152C">
              <w:t>$1.36</w:t>
            </w:r>
          </w:p>
        </w:tc>
        <w:tc>
          <w:tcPr>
            <w:tcW w:w="618" w:type="pct"/>
            <w:noWrap/>
            <w:hideMark/>
          </w:tcPr>
          <w:p w:rsidR="00DD56B8" w:rsidRPr="0006152C" w:rsidRDefault="00DD56B8" w:rsidP="0006074C">
            <w:pPr>
              <w:jc w:val="right"/>
            </w:pPr>
            <w:r w:rsidRPr="0006152C">
              <w:t>$0.35</w:t>
            </w:r>
          </w:p>
        </w:tc>
        <w:tc>
          <w:tcPr>
            <w:tcW w:w="617" w:type="pct"/>
            <w:noWrap/>
            <w:hideMark/>
          </w:tcPr>
          <w:p w:rsidR="00DD56B8" w:rsidRPr="0006152C" w:rsidRDefault="00DD56B8" w:rsidP="0006074C">
            <w:pPr>
              <w:jc w:val="right"/>
              <w:rPr>
                <w:color w:val="FF0000"/>
              </w:rPr>
            </w:pPr>
            <w:r w:rsidRPr="0006152C">
              <w:rPr>
                <w:color w:val="FF0000"/>
              </w:rPr>
              <w:t>-$2.52</w:t>
            </w:r>
          </w:p>
        </w:tc>
        <w:tc>
          <w:tcPr>
            <w:tcW w:w="618" w:type="pct"/>
            <w:noWrap/>
            <w:hideMark/>
          </w:tcPr>
          <w:p w:rsidR="00DD56B8" w:rsidRPr="00C63FFA" w:rsidRDefault="00DD56B8" w:rsidP="0006074C">
            <w:pPr>
              <w:jc w:val="right"/>
              <w:rPr>
                <w:color w:val="FF0000"/>
              </w:rPr>
            </w:pPr>
            <w:r>
              <w:rPr>
                <w:color w:val="FF0000"/>
              </w:rPr>
              <w:t>-$0.14</w:t>
            </w:r>
          </w:p>
        </w:tc>
      </w:tr>
      <w:tr w:rsidR="00DD56B8" w:rsidTr="0006074C">
        <w:trPr>
          <w:trHeight w:val="113"/>
        </w:trPr>
        <w:tc>
          <w:tcPr>
            <w:tcW w:w="1912" w:type="pct"/>
            <w:noWrap/>
            <w:hideMark/>
          </w:tcPr>
          <w:p w:rsidR="00DD56B8" w:rsidRDefault="00DD56B8" w:rsidP="0006074C">
            <w:r>
              <w:lastRenderedPageBreak/>
              <w:t>Total expenses</w:t>
            </w:r>
          </w:p>
        </w:tc>
        <w:tc>
          <w:tcPr>
            <w:tcW w:w="617" w:type="pct"/>
            <w:noWrap/>
            <w:hideMark/>
          </w:tcPr>
          <w:p w:rsidR="00DD56B8" w:rsidRPr="0006152C" w:rsidRDefault="00DD56B8" w:rsidP="0006074C">
            <w:pPr>
              <w:jc w:val="right"/>
            </w:pPr>
            <w:r w:rsidRPr="0006152C">
              <w:t>$48.83</w:t>
            </w:r>
          </w:p>
        </w:tc>
        <w:tc>
          <w:tcPr>
            <w:tcW w:w="617" w:type="pct"/>
            <w:noWrap/>
            <w:hideMark/>
          </w:tcPr>
          <w:p w:rsidR="00DD56B8" w:rsidRPr="0006152C" w:rsidRDefault="00DD56B8" w:rsidP="0006074C">
            <w:pPr>
              <w:jc w:val="right"/>
            </w:pPr>
            <w:r w:rsidRPr="0006152C">
              <w:t>$39.15</w:t>
            </w:r>
          </w:p>
        </w:tc>
        <w:tc>
          <w:tcPr>
            <w:tcW w:w="618" w:type="pct"/>
            <w:noWrap/>
            <w:hideMark/>
          </w:tcPr>
          <w:p w:rsidR="00DD56B8" w:rsidRPr="0006152C" w:rsidRDefault="00DD56B8" w:rsidP="0006074C">
            <w:pPr>
              <w:jc w:val="right"/>
            </w:pPr>
            <w:r w:rsidRPr="0006152C">
              <w:t>$56.34</w:t>
            </w:r>
          </w:p>
        </w:tc>
        <w:tc>
          <w:tcPr>
            <w:tcW w:w="617" w:type="pct"/>
            <w:noWrap/>
            <w:hideMark/>
          </w:tcPr>
          <w:p w:rsidR="00DD56B8" w:rsidRPr="0006152C" w:rsidRDefault="00DD56B8" w:rsidP="0006074C">
            <w:pPr>
              <w:jc w:val="right"/>
            </w:pPr>
            <w:r w:rsidRPr="0006152C">
              <w:t>$55.96</w:t>
            </w:r>
          </w:p>
        </w:tc>
        <w:tc>
          <w:tcPr>
            <w:tcW w:w="618" w:type="pct"/>
            <w:noWrap/>
            <w:hideMark/>
          </w:tcPr>
          <w:p w:rsidR="00DD56B8" w:rsidRDefault="00DD56B8" w:rsidP="0006074C">
            <w:pPr>
              <w:jc w:val="right"/>
            </w:pPr>
            <w:r>
              <w:t>$52.43</w:t>
            </w:r>
          </w:p>
        </w:tc>
      </w:tr>
      <w:tr w:rsidR="00DD56B8" w:rsidTr="0006074C">
        <w:trPr>
          <w:trHeight w:val="113"/>
        </w:trPr>
        <w:tc>
          <w:tcPr>
            <w:tcW w:w="1912" w:type="pct"/>
            <w:noWrap/>
            <w:hideMark/>
          </w:tcPr>
          <w:p w:rsidR="00DD56B8" w:rsidRDefault="00DD56B8" w:rsidP="0006074C">
            <w:r>
              <w:t>Net Profit Before Tax</w:t>
            </w:r>
          </w:p>
        </w:tc>
        <w:tc>
          <w:tcPr>
            <w:tcW w:w="617" w:type="pct"/>
            <w:noWrap/>
            <w:hideMark/>
          </w:tcPr>
          <w:p w:rsidR="00DD56B8" w:rsidRPr="0006152C" w:rsidRDefault="00DD56B8" w:rsidP="0006074C">
            <w:pPr>
              <w:jc w:val="right"/>
            </w:pPr>
            <w:r w:rsidRPr="0006152C">
              <w:t>$25.55</w:t>
            </w:r>
          </w:p>
        </w:tc>
        <w:tc>
          <w:tcPr>
            <w:tcW w:w="617" w:type="pct"/>
            <w:noWrap/>
            <w:hideMark/>
          </w:tcPr>
          <w:p w:rsidR="00DD56B8" w:rsidRPr="0006152C" w:rsidRDefault="00DD56B8" w:rsidP="0006074C">
            <w:pPr>
              <w:jc w:val="right"/>
            </w:pPr>
            <w:r w:rsidRPr="0006152C">
              <w:t>$9.52</w:t>
            </w:r>
          </w:p>
        </w:tc>
        <w:tc>
          <w:tcPr>
            <w:tcW w:w="618" w:type="pct"/>
            <w:noWrap/>
            <w:hideMark/>
          </w:tcPr>
          <w:p w:rsidR="00DD56B8" w:rsidRPr="0006152C" w:rsidRDefault="00DD56B8" w:rsidP="0006074C">
            <w:pPr>
              <w:jc w:val="right"/>
            </w:pPr>
            <w:r w:rsidRPr="0006152C">
              <w:t>$2.18</w:t>
            </w:r>
          </w:p>
        </w:tc>
        <w:tc>
          <w:tcPr>
            <w:tcW w:w="617" w:type="pct"/>
            <w:noWrap/>
            <w:hideMark/>
          </w:tcPr>
          <w:p w:rsidR="00DD56B8" w:rsidRPr="0006152C" w:rsidRDefault="00DD56B8" w:rsidP="0006074C">
            <w:pPr>
              <w:jc w:val="right"/>
              <w:rPr>
                <w:color w:val="FF0000"/>
              </w:rPr>
            </w:pPr>
            <w:r w:rsidRPr="0006152C">
              <w:rPr>
                <w:color w:val="FF0000"/>
              </w:rPr>
              <w:t>-$7.31</w:t>
            </w:r>
          </w:p>
        </w:tc>
        <w:tc>
          <w:tcPr>
            <w:tcW w:w="618" w:type="pct"/>
            <w:noWrap/>
            <w:hideMark/>
          </w:tcPr>
          <w:p w:rsidR="00DD56B8" w:rsidRDefault="00DD56B8" w:rsidP="0006074C">
            <w:pPr>
              <w:jc w:val="right"/>
            </w:pPr>
            <w:r>
              <w:t>$4.94</w:t>
            </w:r>
          </w:p>
        </w:tc>
      </w:tr>
      <w:tr w:rsidR="00DD56B8" w:rsidTr="0006074C">
        <w:trPr>
          <w:trHeight w:val="113"/>
        </w:trPr>
        <w:tc>
          <w:tcPr>
            <w:tcW w:w="1912" w:type="pct"/>
            <w:noWrap/>
            <w:hideMark/>
          </w:tcPr>
          <w:p w:rsidR="00DD56B8" w:rsidRPr="0006074C" w:rsidRDefault="00DD56B8" w:rsidP="0006074C">
            <w:pPr>
              <w:rPr>
                <w:rStyle w:val="Strong"/>
              </w:rPr>
            </w:pPr>
            <w:r w:rsidRPr="0006074C">
              <w:rPr>
                <w:rStyle w:val="Strong"/>
              </w:rPr>
              <w:t>Total</w:t>
            </w:r>
          </w:p>
        </w:tc>
        <w:tc>
          <w:tcPr>
            <w:tcW w:w="617" w:type="pct"/>
            <w:noWrap/>
            <w:hideMark/>
          </w:tcPr>
          <w:p w:rsidR="00DD56B8" w:rsidRPr="0006074C" w:rsidRDefault="00DD56B8" w:rsidP="0006074C">
            <w:pPr>
              <w:jc w:val="right"/>
              <w:rPr>
                <w:rStyle w:val="Strong"/>
              </w:rPr>
            </w:pPr>
          </w:p>
        </w:tc>
        <w:tc>
          <w:tcPr>
            <w:tcW w:w="617" w:type="pct"/>
            <w:noWrap/>
            <w:hideMark/>
          </w:tcPr>
          <w:p w:rsidR="00DD56B8" w:rsidRPr="0006074C" w:rsidRDefault="00DD56B8" w:rsidP="0006074C">
            <w:pPr>
              <w:jc w:val="right"/>
              <w:rPr>
                <w:rStyle w:val="Strong"/>
              </w:rPr>
            </w:pPr>
          </w:p>
        </w:tc>
        <w:tc>
          <w:tcPr>
            <w:tcW w:w="618" w:type="pct"/>
            <w:noWrap/>
            <w:hideMark/>
          </w:tcPr>
          <w:p w:rsidR="00DD56B8" w:rsidRPr="0006074C" w:rsidRDefault="00DD56B8" w:rsidP="0006074C">
            <w:pPr>
              <w:jc w:val="right"/>
              <w:rPr>
                <w:rStyle w:val="Strong"/>
              </w:rPr>
            </w:pPr>
          </w:p>
        </w:tc>
        <w:tc>
          <w:tcPr>
            <w:tcW w:w="617" w:type="pct"/>
            <w:noWrap/>
            <w:hideMark/>
          </w:tcPr>
          <w:p w:rsidR="00DD56B8" w:rsidRPr="0006074C" w:rsidRDefault="00DD56B8" w:rsidP="0006074C">
            <w:pPr>
              <w:jc w:val="right"/>
              <w:rPr>
                <w:rStyle w:val="Strong"/>
              </w:rPr>
            </w:pPr>
          </w:p>
        </w:tc>
        <w:tc>
          <w:tcPr>
            <w:tcW w:w="618" w:type="pct"/>
            <w:noWrap/>
            <w:hideMark/>
          </w:tcPr>
          <w:p w:rsidR="00DD56B8" w:rsidRPr="0006074C" w:rsidRDefault="00DD56B8" w:rsidP="0006074C">
            <w:pPr>
              <w:jc w:val="right"/>
              <w:rPr>
                <w:rStyle w:val="Strong"/>
              </w:rPr>
            </w:pPr>
          </w:p>
        </w:tc>
      </w:tr>
      <w:tr w:rsidR="00DD56B8" w:rsidTr="0006074C">
        <w:trPr>
          <w:trHeight w:val="113"/>
        </w:trPr>
        <w:tc>
          <w:tcPr>
            <w:tcW w:w="1912" w:type="pct"/>
            <w:noWrap/>
            <w:hideMark/>
          </w:tcPr>
          <w:p w:rsidR="00DD56B8" w:rsidRDefault="004F37D3" w:rsidP="0006074C">
            <w:r>
              <w:t>Number</w:t>
            </w:r>
            <w:r w:rsidR="00DD56B8">
              <w:t xml:space="preserve"> of providers</w:t>
            </w:r>
          </w:p>
        </w:tc>
        <w:tc>
          <w:tcPr>
            <w:tcW w:w="617" w:type="pct"/>
            <w:noWrap/>
            <w:hideMark/>
          </w:tcPr>
          <w:p w:rsidR="00DD56B8" w:rsidRPr="0006152C" w:rsidRDefault="00DD56B8" w:rsidP="0006074C">
            <w:pPr>
              <w:jc w:val="right"/>
            </w:pPr>
            <w:r w:rsidRPr="0006152C">
              <w:t>139</w:t>
            </w:r>
          </w:p>
        </w:tc>
        <w:tc>
          <w:tcPr>
            <w:tcW w:w="617" w:type="pct"/>
            <w:noWrap/>
            <w:hideMark/>
          </w:tcPr>
          <w:p w:rsidR="00DD56B8" w:rsidRPr="0006152C" w:rsidRDefault="00DD56B8" w:rsidP="0006074C">
            <w:pPr>
              <w:jc w:val="right"/>
            </w:pPr>
            <w:r w:rsidRPr="0006152C">
              <w:t>137</w:t>
            </w:r>
          </w:p>
        </w:tc>
        <w:tc>
          <w:tcPr>
            <w:tcW w:w="618" w:type="pct"/>
            <w:noWrap/>
            <w:hideMark/>
          </w:tcPr>
          <w:p w:rsidR="00DD56B8" w:rsidRPr="0006152C" w:rsidRDefault="00DD56B8" w:rsidP="0006074C">
            <w:pPr>
              <w:jc w:val="right"/>
            </w:pPr>
            <w:r w:rsidRPr="0006152C">
              <w:t>148</w:t>
            </w:r>
          </w:p>
        </w:tc>
        <w:tc>
          <w:tcPr>
            <w:tcW w:w="617" w:type="pct"/>
            <w:noWrap/>
            <w:hideMark/>
          </w:tcPr>
          <w:p w:rsidR="00DD56B8" w:rsidRPr="0006152C" w:rsidRDefault="00DD56B8" w:rsidP="0006074C">
            <w:pPr>
              <w:jc w:val="right"/>
            </w:pPr>
            <w:r w:rsidRPr="0006152C">
              <w:t xml:space="preserve">129 </w:t>
            </w:r>
          </w:p>
        </w:tc>
        <w:tc>
          <w:tcPr>
            <w:tcW w:w="618" w:type="pct"/>
            <w:noWrap/>
            <w:hideMark/>
          </w:tcPr>
          <w:p w:rsidR="00DD56B8" w:rsidRDefault="00DD56B8" w:rsidP="0006074C">
            <w:pPr>
              <w:jc w:val="right"/>
            </w:pPr>
            <w:r>
              <w:t>553</w:t>
            </w:r>
          </w:p>
        </w:tc>
      </w:tr>
      <w:tr w:rsidR="00DD56B8" w:rsidTr="0006074C">
        <w:trPr>
          <w:trHeight w:val="113"/>
        </w:trPr>
        <w:tc>
          <w:tcPr>
            <w:tcW w:w="1912" w:type="pct"/>
            <w:noWrap/>
            <w:hideMark/>
          </w:tcPr>
          <w:p w:rsidR="00DD56B8" w:rsidRDefault="00DD56B8" w:rsidP="0006074C">
            <w:r>
              <w:t>Provision of care/services charged</w:t>
            </w:r>
          </w:p>
        </w:tc>
        <w:tc>
          <w:tcPr>
            <w:tcW w:w="617" w:type="pct"/>
            <w:noWrap/>
            <w:hideMark/>
          </w:tcPr>
          <w:p w:rsidR="00DD56B8" w:rsidRPr="0006152C" w:rsidRDefault="00DD56B8" w:rsidP="0006074C">
            <w:pPr>
              <w:jc w:val="right"/>
            </w:pPr>
            <w:r w:rsidRPr="0006152C">
              <w:t>$56.79</w:t>
            </w:r>
          </w:p>
        </w:tc>
        <w:tc>
          <w:tcPr>
            <w:tcW w:w="617" w:type="pct"/>
            <w:noWrap/>
            <w:hideMark/>
          </w:tcPr>
          <w:p w:rsidR="00DD56B8" w:rsidRPr="0006152C" w:rsidRDefault="00DD56B8" w:rsidP="0006074C">
            <w:pPr>
              <w:jc w:val="right"/>
            </w:pPr>
            <w:r w:rsidRPr="0006152C">
              <w:t>$43.34</w:t>
            </w:r>
          </w:p>
        </w:tc>
        <w:tc>
          <w:tcPr>
            <w:tcW w:w="618" w:type="pct"/>
            <w:noWrap/>
            <w:hideMark/>
          </w:tcPr>
          <w:p w:rsidR="00DD56B8" w:rsidRPr="0006152C" w:rsidRDefault="00DD56B8" w:rsidP="0006074C">
            <w:pPr>
              <w:jc w:val="right"/>
            </w:pPr>
            <w:r w:rsidRPr="0006152C">
              <w:t>$40.13</w:t>
            </w:r>
          </w:p>
        </w:tc>
        <w:tc>
          <w:tcPr>
            <w:tcW w:w="617" w:type="pct"/>
            <w:noWrap/>
            <w:hideMark/>
          </w:tcPr>
          <w:p w:rsidR="00DD56B8" w:rsidRPr="0006152C" w:rsidRDefault="00DD56B8" w:rsidP="0006074C">
            <w:pPr>
              <w:jc w:val="right"/>
            </w:pPr>
            <w:r w:rsidRPr="0006152C">
              <w:t>$43.12</w:t>
            </w:r>
          </w:p>
        </w:tc>
        <w:tc>
          <w:tcPr>
            <w:tcW w:w="618" w:type="pct"/>
            <w:noWrap/>
            <w:hideMark/>
          </w:tcPr>
          <w:p w:rsidR="00DD56B8" w:rsidRDefault="00DD56B8" w:rsidP="0006074C">
            <w:pPr>
              <w:jc w:val="right"/>
            </w:pPr>
            <w:r>
              <w:t>$44.71</w:t>
            </w:r>
          </w:p>
        </w:tc>
      </w:tr>
      <w:tr w:rsidR="00DD56B8" w:rsidTr="0006074C">
        <w:trPr>
          <w:trHeight w:val="113"/>
        </w:trPr>
        <w:tc>
          <w:tcPr>
            <w:tcW w:w="1912" w:type="pct"/>
            <w:noWrap/>
            <w:hideMark/>
          </w:tcPr>
          <w:p w:rsidR="00DD56B8" w:rsidRDefault="00DD56B8" w:rsidP="0006074C">
            <w:r>
              <w:t>Admin and management of packages</w:t>
            </w:r>
          </w:p>
        </w:tc>
        <w:tc>
          <w:tcPr>
            <w:tcW w:w="617" w:type="pct"/>
            <w:noWrap/>
            <w:hideMark/>
          </w:tcPr>
          <w:p w:rsidR="00DD56B8" w:rsidRPr="0006152C" w:rsidRDefault="00DD56B8" w:rsidP="0006074C">
            <w:pPr>
              <w:jc w:val="right"/>
            </w:pPr>
            <w:r w:rsidRPr="0006152C">
              <w:t>$24.77</w:t>
            </w:r>
          </w:p>
        </w:tc>
        <w:tc>
          <w:tcPr>
            <w:tcW w:w="617" w:type="pct"/>
            <w:noWrap/>
            <w:hideMark/>
          </w:tcPr>
          <w:p w:rsidR="00DD56B8" w:rsidRPr="0006152C" w:rsidRDefault="00DD56B8" w:rsidP="0006074C">
            <w:pPr>
              <w:jc w:val="right"/>
            </w:pPr>
            <w:r w:rsidRPr="0006152C">
              <w:t>$25.36</w:t>
            </w:r>
          </w:p>
        </w:tc>
        <w:tc>
          <w:tcPr>
            <w:tcW w:w="618" w:type="pct"/>
            <w:noWrap/>
            <w:hideMark/>
          </w:tcPr>
          <w:p w:rsidR="00DD56B8" w:rsidRPr="0006152C" w:rsidRDefault="00DD56B8" w:rsidP="0006074C">
            <w:pPr>
              <w:jc w:val="right"/>
            </w:pPr>
            <w:r w:rsidRPr="0006152C">
              <w:t>$21.59</w:t>
            </w:r>
          </w:p>
        </w:tc>
        <w:tc>
          <w:tcPr>
            <w:tcW w:w="617" w:type="pct"/>
            <w:noWrap/>
            <w:hideMark/>
          </w:tcPr>
          <w:p w:rsidR="00DD56B8" w:rsidRPr="0006152C" w:rsidRDefault="00DD56B8" w:rsidP="0006074C">
            <w:pPr>
              <w:jc w:val="right"/>
            </w:pPr>
            <w:r w:rsidRPr="0006152C">
              <w:t>$21.01</w:t>
            </w:r>
          </w:p>
        </w:tc>
        <w:tc>
          <w:tcPr>
            <w:tcW w:w="618" w:type="pct"/>
            <w:noWrap/>
            <w:hideMark/>
          </w:tcPr>
          <w:p w:rsidR="00DD56B8" w:rsidRDefault="00DD56B8" w:rsidP="0006074C">
            <w:pPr>
              <w:jc w:val="right"/>
            </w:pPr>
            <w:r>
              <w:t>$23.15</w:t>
            </w:r>
          </w:p>
        </w:tc>
      </w:tr>
      <w:tr w:rsidR="00DD56B8" w:rsidTr="0006074C">
        <w:trPr>
          <w:trHeight w:val="113"/>
        </w:trPr>
        <w:tc>
          <w:tcPr>
            <w:tcW w:w="1912" w:type="pct"/>
            <w:noWrap/>
            <w:hideMark/>
          </w:tcPr>
          <w:p w:rsidR="00DD56B8" w:rsidRDefault="00DD56B8" w:rsidP="0006074C">
            <w:r>
              <w:t>Unspent and exit amounts</w:t>
            </w:r>
          </w:p>
        </w:tc>
        <w:tc>
          <w:tcPr>
            <w:tcW w:w="617" w:type="pct"/>
            <w:noWrap/>
            <w:hideMark/>
          </w:tcPr>
          <w:p w:rsidR="00DD56B8" w:rsidRDefault="00DD56B8" w:rsidP="0006074C">
            <w:pPr>
              <w:jc w:val="right"/>
            </w:pPr>
            <w:r>
              <w:t>$4.03</w:t>
            </w:r>
          </w:p>
        </w:tc>
        <w:tc>
          <w:tcPr>
            <w:tcW w:w="617" w:type="pct"/>
            <w:noWrap/>
            <w:hideMark/>
          </w:tcPr>
          <w:p w:rsidR="00DD56B8" w:rsidRDefault="00DD56B8" w:rsidP="0006074C">
            <w:pPr>
              <w:jc w:val="right"/>
            </w:pPr>
            <w:r>
              <w:t>$3.21</w:t>
            </w:r>
          </w:p>
        </w:tc>
        <w:tc>
          <w:tcPr>
            <w:tcW w:w="618" w:type="pct"/>
            <w:noWrap/>
            <w:hideMark/>
          </w:tcPr>
          <w:p w:rsidR="00DD56B8" w:rsidRDefault="00DD56B8" w:rsidP="0006074C">
            <w:pPr>
              <w:jc w:val="right"/>
            </w:pPr>
            <w:r>
              <w:t>$2.25</w:t>
            </w:r>
          </w:p>
        </w:tc>
        <w:tc>
          <w:tcPr>
            <w:tcW w:w="617" w:type="pct"/>
            <w:noWrap/>
            <w:hideMark/>
          </w:tcPr>
          <w:p w:rsidR="00DD56B8" w:rsidRDefault="00DD56B8" w:rsidP="0006074C">
            <w:pPr>
              <w:jc w:val="right"/>
            </w:pPr>
            <w:r>
              <w:t>$2.89</w:t>
            </w:r>
          </w:p>
        </w:tc>
        <w:tc>
          <w:tcPr>
            <w:tcW w:w="618" w:type="pct"/>
            <w:noWrap/>
            <w:hideMark/>
          </w:tcPr>
          <w:p w:rsidR="00DD56B8" w:rsidRDefault="00DD56B8" w:rsidP="0006074C">
            <w:pPr>
              <w:jc w:val="right"/>
            </w:pPr>
            <w:r>
              <w:t>$2.98</w:t>
            </w:r>
          </w:p>
        </w:tc>
      </w:tr>
      <w:tr w:rsidR="00DD56B8" w:rsidTr="0006074C">
        <w:trPr>
          <w:trHeight w:val="113"/>
        </w:trPr>
        <w:tc>
          <w:tcPr>
            <w:tcW w:w="1912" w:type="pct"/>
            <w:noWrap/>
            <w:hideMark/>
          </w:tcPr>
          <w:p w:rsidR="00DD56B8" w:rsidRDefault="00DD56B8" w:rsidP="0006074C">
            <w:r>
              <w:t>Other income</w:t>
            </w:r>
          </w:p>
        </w:tc>
        <w:tc>
          <w:tcPr>
            <w:tcW w:w="617" w:type="pct"/>
            <w:noWrap/>
            <w:hideMark/>
          </w:tcPr>
          <w:p w:rsidR="00DD56B8" w:rsidRDefault="00DD56B8" w:rsidP="0006074C">
            <w:pPr>
              <w:jc w:val="right"/>
            </w:pPr>
            <w:r>
              <w:t>$5.92</w:t>
            </w:r>
          </w:p>
        </w:tc>
        <w:tc>
          <w:tcPr>
            <w:tcW w:w="617" w:type="pct"/>
            <w:noWrap/>
            <w:hideMark/>
          </w:tcPr>
          <w:p w:rsidR="00DD56B8" w:rsidRDefault="00DD56B8" w:rsidP="0006074C">
            <w:pPr>
              <w:jc w:val="right"/>
            </w:pPr>
            <w:r>
              <w:t>$0.67</w:t>
            </w:r>
          </w:p>
        </w:tc>
        <w:tc>
          <w:tcPr>
            <w:tcW w:w="618" w:type="pct"/>
            <w:noWrap/>
            <w:hideMark/>
          </w:tcPr>
          <w:p w:rsidR="00DD56B8" w:rsidRDefault="00DD56B8" w:rsidP="0006074C">
            <w:pPr>
              <w:jc w:val="right"/>
            </w:pPr>
            <w:r>
              <w:t>$0.72</w:t>
            </w:r>
          </w:p>
        </w:tc>
        <w:tc>
          <w:tcPr>
            <w:tcW w:w="617" w:type="pct"/>
            <w:noWrap/>
            <w:hideMark/>
          </w:tcPr>
          <w:p w:rsidR="00DD56B8" w:rsidRDefault="00DD56B8" w:rsidP="0006074C">
            <w:pPr>
              <w:jc w:val="right"/>
            </w:pPr>
            <w:r>
              <w:t>$1.78</w:t>
            </w:r>
          </w:p>
        </w:tc>
        <w:tc>
          <w:tcPr>
            <w:tcW w:w="618" w:type="pct"/>
            <w:noWrap/>
            <w:hideMark/>
          </w:tcPr>
          <w:p w:rsidR="00DD56B8" w:rsidRDefault="00DD56B8" w:rsidP="0006074C">
            <w:pPr>
              <w:jc w:val="right"/>
            </w:pPr>
            <w:r>
              <w:t>$1.87</w:t>
            </w:r>
          </w:p>
        </w:tc>
      </w:tr>
      <w:tr w:rsidR="00DD56B8" w:rsidTr="0006074C">
        <w:trPr>
          <w:trHeight w:val="113"/>
        </w:trPr>
        <w:tc>
          <w:tcPr>
            <w:tcW w:w="1912" w:type="pct"/>
            <w:noWrap/>
            <w:hideMark/>
          </w:tcPr>
          <w:p w:rsidR="00DD56B8" w:rsidRDefault="00DD56B8" w:rsidP="0006074C">
            <w:r>
              <w:t>Total expenses</w:t>
            </w:r>
          </w:p>
        </w:tc>
        <w:tc>
          <w:tcPr>
            <w:tcW w:w="617" w:type="pct"/>
            <w:noWrap/>
            <w:hideMark/>
          </w:tcPr>
          <w:p w:rsidR="00DD56B8" w:rsidRDefault="00DD56B8" w:rsidP="0006074C">
            <w:pPr>
              <w:jc w:val="right"/>
            </w:pPr>
            <w:r>
              <w:t>$61.25</w:t>
            </w:r>
          </w:p>
        </w:tc>
        <w:tc>
          <w:tcPr>
            <w:tcW w:w="617" w:type="pct"/>
            <w:noWrap/>
            <w:hideMark/>
          </w:tcPr>
          <w:p w:rsidR="00DD56B8" w:rsidRDefault="00DD56B8" w:rsidP="0006074C">
            <w:pPr>
              <w:jc w:val="right"/>
            </w:pPr>
            <w:r>
              <w:t>$63.61</w:t>
            </w:r>
          </w:p>
        </w:tc>
        <w:tc>
          <w:tcPr>
            <w:tcW w:w="618" w:type="pct"/>
            <w:noWrap/>
            <w:hideMark/>
          </w:tcPr>
          <w:p w:rsidR="00DD56B8" w:rsidRDefault="00DD56B8" w:rsidP="0006074C">
            <w:pPr>
              <w:jc w:val="right"/>
            </w:pPr>
            <w:r>
              <w:t>$62.50</w:t>
            </w:r>
          </w:p>
        </w:tc>
        <w:tc>
          <w:tcPr>
            <w:tcW w:w="617" w:type="pct"/>
            <w:noWrap/>
            <w:hideMark/>
          </w:tcPr>
          <w:p w:rsidR="00DD56B8" w:rsidRDefault="00DD56B8" w:rsidP="0006074C">
            <w:pPr>
              <w:jc w:val="right"/>
            </w:pPr>
            <w:r>
              <w:t>$74.81</w:t>
            </w:r>
          </w:p>
        </w:tc>
        <w:tc>
          <w:tcPr>
            <w:tcW w:w="618" w:type="pct"/>
            <w:noWrap/>
            <w:hideMark/>
          </w:tcPr>
          <w:p w:rsidR="00DD56B8" w:rsidRDefault="00DD56B8" w:rsidP="0006074C">
            <w:pPr>
              <w:jc w:val="right"/>
            </w:pPr>
            <w:r>
              <w:t>$64.94</w:t>
            </w:r>
          </w:p>
        </w:tc>
      </w:tr>
      <w:tr w:rsidR="00DD56B8" w:rsidTr="0006074C">
        <w:trPr>
          <w:trHeight w:val="113"/>
        </w:trPr>
        <w:tc>
          <w:tcPr>
            <w:tcW w:w="1912" w:type="pct"/>
            <w:noWrap/>
            <w:hideMark/>
          </w:tcPr>
          <w:p w:rsidR="00DD56B8" w:rsidRDefault="00DD56B8" w:rsidP="0006074C">
            <w:r>
              <w:t>Net Profit Before Tax</w:t>
            </w:r>
          </w:p>
        </w:tc>
        <w:tc>
          <w:tcPr>
            <w:tcW w:w="617" w:type="pct"/>
            <w:noWrap/>
            <w:hideMark/>
          </w:tcPr>
          <w:p w:rsidR="00DD56B8" w:rsidRDefault="00DD56B8" w:rsidP="0006074C">
            <w:pPr>
              <w:jc w:val="right"/>
            </w:pPr>
            <w:r>
              <w:t>$30.26</w:t>
            </w:r>
          </w:p>
        </w:tc>
        <w:tc>
          <w:tcPr>
            <w:tcW w:w="617" w:type="pct"/>
            <w:noWrap/>
            <w:hideMark/>
          </w:tcPr>
          <w:p w:rsidR="00DD56B8" w:rsidRDefault="00DD56B8" w:rsidP="0006074C">
            <w:pPr>
              <w:jc w:val="right"/>
            </w:pPr>
            <w:r>
              <w:t>$8.96</w:t>
            </w:r>
          </w:p>
        </w:tc>
        <w:tc>
          <w:tcPr>
            <w:tcW w:w="618" w:type="pct"/>
            <w:noWrap/>
            <w:hideMark/>
          </w:tcPr>
          <w:p w:rsidR="00DD56B8" w:rsidRDefault="00DD56B8" w:rsidP="0006074C">
            <w:pPr>
              <w:jc w:val="right"/>
            </w:pPr>
            <w:r>
              <w:t>$2.19</w:t>
            </w:r>
          </w:p>
        </w:tc>
        <w:tc>
          <w:tcPr>
            <w:tcW w:w="617" w:type="pct"/>
            <w:noWrap/>
            <w:hideMark/>
          </w:tcPr>
          <w:p w:rsidR="00DD56B8" w:rsidRDefault="00DD56B8" w:rsidP="0006074C">
            <w:pPr>
              <w:jc w:val="right"/>
            </w:pPr>
            <w:r>
              <w:rPr>
                <w:color w:val="FF0000"/>
              </w:rPr>
              <w:t>-$6.01</w:t>
            </w:r>
          </w:p>
        </w:tc>
        <w:tc>
          <w:tcPr>
            <w:tcW w:w="618" w:type="pct"/>
            <w:noWrap/>
            <w:hideMark/>
          </w:tcPr>
          <w:p w:rsidR="00DD56B8" w:rsidRDefault="00DD56B8" w:rsidP="0006074C">
            <w:pPr>
              <w:jc w:val="right"/>
            </w:pPr>
            <w:r>
              <w:t>$7.76</w:t>
            </w:r>
          </w:p>
        </w:tc>
      </w:tr>
    </w:tbl>
    <w:p w:rsidR="008A1CCC" w:rsidRPr="00596D01" w:rsidRDefault="008A1CCC" w:rsidP="0006074C"/>
    <w:p w:rsidR="002E0945" w:rsidRPr="00596D01" w:rsidRDefault="00DC7E3E" w:rsidP="0006074C">
      <w:pPr>
        <w:pStyle w:val="AppendixTable"/>
      </w:pPr>
      <w:r w:rsidRPr="00596D01">
        <w:t xml:space="preserve">Financial package results for home care providers, </w:t>
      </w:r>
      <w:r w:rsidR="002E0945" w:rsidRPr="00596D01">
        <w:t>by ownership type,</w:t>
      </w:r>
      <w:r w:rsidR="00A261F3" w:rsidRPr="00596D01">
        <w:t> 201</w:t>
      </w:r>
      <w:r w:rsidR="002E0945" w:rsidRPr="00596D01">
        <w:t>6</w:t>
      </w:r>
      <w:r w:rsidR="00D8721E" w:rsidRPr="00596D01">
        <w:t>–1</w:t>
      </w:r>
      <w:r w:rsidR="002E0945"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650"/>
        <w:gridCol w:w="1196"/>
        <w:gridCol w:w="1196"/>
        <w:gridCol w:w="1196"/>
        <w:gridCol w:w="1196"/>
        <w:gridCol w:w="1194"/>
      </w:tblGrid>
      <w:tr w:rsidR="002E0945"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896" w:type="pct"/>
            <w:noWrap/>
            <w:hideMark/>
          </w:tcPr>
          <w:p w:rsidR="002E0945" w:rsidRDefault="002E0945" w:rsidP="0006074C">
            <w:r>
              <w:t> </w:t>
            </w:r>
          </w:p>
        </w:tc>
        <w:tc>
          <w:tcPr>
            <w:tcW w:w="621" w:type="pct"/>
            <w:hideMark/>
          </w:tcPr>
          <w:p w:rsidR="002E0945" w:rsidRDefault="002E0945" w:rsidP="0006074C">
            <w:pPr>
              <w:jc w:val="right"/>
              <w:rPr>
                <w:b w:val="0"/>
                <w:bCs w:val="0"/>
                <w:sz w:val="22"/>
                <w:szCs w:val="22"/>
              </w:rPr>
            </w:pPr>
            <w:r w:rsidRPr="00596D01">
              <w:t>Top Quartile</w:t>
            </w:r>
          </w:p>
        </w:tc>
        <w:tc>
          <w:tcPr>
            <w:tcW w:w="621" w:type="pct"/>
            <w:hideMark/>
          </w:tcPr>
          <w:p w:rsidR="002E0945" w:rsidRDefault="002E0945" w:rsidP="0006074C">
            <w:pPr>
              <w:jc w:val="right"/>
              <w:rPr>
                <w:b w:val="0"/>
                <w:bCs w:val="0"/>
                <w:sz w:val="22"/>
                <w:szCs w:val="22"/>
              </w:rPr>
            </w:pPr>
            <w:r w:rsidRPr="00596D01">
              <w:t>Next Top</w:t>
            </w:r>
          </w:p>
        </w:tc>
        <w:tc>
          <w:tcPr>
            <w:tcW w:w="621" w:type="pct"/>
            <w:hideMark/>
          </w:tcPr>
          <w:p w:rsidR="002E0945" w:rsidRDefault="002E0945" w:rsidP="0006074C">
            <w:pPr>
              <w:jc w:val="right"/>
              <w:rPr>
                <w:b w:val="0"/>
                <w:bCs w:val="0"/>
                <w:sz w:val="22"/>
                <w:szCs w:val="22"/>
              </w:rPr>
            </w:pPr>
            <w:r w:rsidRPr="00596D01">
              <w:t>Next Bottom</w:t>
            </w:r>
          </w:p>
        </w:tc>
        <w:tc>
          <w:tcPr>
            <w:tcW w:w="621" w:type="pct"/>
            <w:hideMark/>
          </w:tcPr>
          <w:p w:rsidR="002E0945" w:rsidRDefault="002E0945" w:rsidP="0006074C">
            <w:pPr>
              <w:jc w:val="right"/>
              <w:rPr>
                <w:b w:val="0"/>
                <w:bCs w:val="0"/>
                <w:sz w:val="22"/>
                <w:szCs w:val="22"/>
              </w:rPr>
            </w:pPr>
            <w:r w:rsidRPr="00596D01">
              <w:t>Bottom</w:t>
            </w:r>
          </w:p>
        </w:tc>
        <w:tc>
          <w:tcPr>
            <w:tcW w:w="620" w:type="pct"/>
            <w:hideMark/>
          </w:tcPr>
          <w:p w:rsidR="002E0945" w:rsidRPr="00596D01" w:rsidRDefault="002E0945" w:rsidP="0006074C">
            <w:pPr>
              <w:jc w:val="right"/>
            </w:pPr>
            <w:r w:rsidRPr="00596D01">
              <w:t>Total</w:t>
            </w:r>
          </w:p>
        </w:tc>
      </w:tr>
      <w:tr w:rsidR="0006074C" w:rsidRPr="0006074C" w:rsidTr="0006074C">
        <w:trPr>
          <w:trHeight w:val="113"/>
        </w:trPr>
        <w:tc>
          <w:tcPr>
            <w:tcW w:w="1896" w:type="pct"/>
            <w:shd w:val="clear" w:color="auto" w:fill="E8E8E8" w:themeFill="background2"/>
            <w:noWrap/>
            <w:hideMark/>
          </w:tcPr>
          <w:p w:rsidR="00DD56B8" w:rsidRPr="0006074C" w:rsidRDefault="00DD56B8" w:rsidP="0006074C">
            <w:pPr>
              <w:rPr>
                <w:rStyle w:val="Strong"/>
              </w:rPr>
            </w:pPr>
            <w:r w:rsidRPr="0006074C">
              <w:rPr>
                <w:rStyle w:val="Strong"/>
              </w:rPr>
              <w:t>Not-for-profit</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0"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r>
      <w:tr w:rsidR="00DD56B8" w:rsidTr="0006074C">
        <w:trPr>
          <w:trHeight w:val="113"/>
        </w:trPr>
        <w:tc>
          <w:tcPr>
            <w:tcW w:w="1896" w:type="pct"/>
            <w:noWrap/>
            <w:hideMark/>
          </w:tcPr>
          <w:p w:rsidR="00DD56B8" w:rsidRDefault="00DD56B8" w:rsidP="0006074C">
            <w:r>
              <w:t>Number of providers</w:t>
            </w:r>
          </w:p>
        </w:tc>
        <w:tc>
          <w:tcPr>
            <w:tcW w:w="621" w:type="pct"/>
            <w:noWrap/>
            <w:hideMark/>
          </w:tcPr>
          <w:p w:rsidR="00DD56B8" w:rsidRPr="0006152C" w:rsidRDefault="00DD56B8" w:rsidP="0006074C">
            <w:pPr>
              <w:jc w:val="right"/>
            </w:pPr>
            <w:r w:rsidRPr="0006152C">
              <w:t>80</w:t>
            </w:r>
          </w:p>
        </w:tc>
        <w:tc>
          <w:tcPr>
            <w:tcW w:w="621" w:type="pct"/>
            <w:noWrap/>
            <w:hideMark/>
          </w:tcPr>
          <w:p w:rsidR="00DD56B8" w:rsidRPr="0006152C" w:rsidRDefault="00DD56B8" w:rsidP="0006074C">
            <w:pPr>
              <w:jc w:val="right"/>
            </w:pPr>
            <w:r w:rsidRPr="0006152C">
              <w:t>102</w:t>
            </w:r>
          </w:p>
        </w:tc>
        <w:tc>
          <w:tcPr>
            <w:tcW w:w="621" w:type="pct"/>
            <w:noWrap/>
            <w:hideMark/>
          </w:tcPr>
          <w:p w:rsidR="00DD56B8" w:rsidRPr="0006152C" w:rsidRDefault="00DD56B8" w:rsidP="0006074C">
            <w:pPr>
              <w:jc w:val="right"/>
            </w:pPr>
            <w:r w:rsidRPr="0006152C">
              <w:t>102</w:t>
            </w:r>
          </w:p>
        </w:tc>
        <w:tc>
          <w:tcPr>
            <w:tcW w:w="621" w:type="pct"/>
            <w:noWrap/>
            <w:hideMark/>
          </w:tcPr>
          <w:p w:rsidR="00DD56B8" w:rsidRPr="0006152C" w:rsidRDefault="00DD56B8" w:rsidP="0006074C">
            <w:pPr>
              <w:jc w:val="right"/>
            </w:pPr>
            <w:r w:rsidRPr="0006152C">
              <w:t xml:space="preserve">73 </w:t>
            </w:r>
          </w:p>
        </w:tc>
        <w:tc>
          <w:tcPr>
            <w:tcW w:w="620" w:type="pct"/>
            <w:noWrap/>
            <w:hideMark/>
          </w:tcPr>
          <w:p w:rsidR="00DD56B8" w:rsidRDefault="00DD56B8" w:rsidP="0006074C">
            <w:pPr>
              <w:jc w:val="right"/>
            </w:pPr>
            <w:r>
              <w:t>357</w:t>
            </w:r>
          </w:p>
        </w:tc>
      </w:tr>
      <w:tr w:rsidR="00DD56B8" w:rsidTr="0006074C">
        <w:trPr>
          <w:trHeight w:val="113"/>
        </w:trPr>
        <w:tc>
          <w:tcPr>
            <w:tcW w:w="1896" w:type="pct"/>
            <w:hideMark/>
          </w:tcPr>
          <w:p w:rsidR="00DD56B8" w:rsidRDefault="00DD56B8" w:rsidP="0006074C">
            <w:r>
              <w:t>Total revenue per consumer</w:t>
            </w:r>
          </w:p>
        </w:tc>
        <w:tc>
          <w:tcPr>
            <w:tcW w:w="621" w:type="pct"/>
            <w:noWrap/>
            <w:hideMark/>
          </w:tcPr>
          <w:p w:rsidR="00DD56B8" w:rsidRPr="0006152C" w:rsidRDefault="00DD56B8" w:rsidP="0006074C">
            <w:pPr>
              <w:jc w:val="right"/>
            </w:pPr>
            <w:r w:rsidRPr="0006152C">
              <w:t>$29,342</w:t>
            </w:r>
          </w:p>
        </w:tc>
        <w:tc>
          <w:tcPr>
            <w:tcW w:w="621" w:type="pct"/>
            <w:noWrap/>
            <w:hideMark/>
          </w:tcPr>
          <w:p w:rsidR="00DD56B8" w:rsidRPr="0006152C" w:rsidRDefault="00DD56B8" w:rsidP="0006074C">
            <w:pPr>
              <w:jc w:val="right"/>
            </w:pPr>
            <w:r w:rsidRPr="0006152C">
              <w:t>$26,324</w:t>
            </w:r>
          </w:p>
        </w:tc>
        <w:tc>
          <w:tcPr>
            <w:tcW w:w="621" w:type="pct"/>
            <w:noWrap/>
            <w:hideMark/>
          </w:tcPr>
          <w:p w:rsidR="00DD56B8" w:rsidRPr="0006152C" w:rsidRDefault="00DD56B8" w:rsidP="0006074C">
            <w:pPr>
              <w:jc w:val="right"/>
            </w:pPr>
            <w:r w:rsidRPr="0006152C">
              <w:t>$23,517</w:t>
            </w:r>
          </w:p>
        </w:tc>
        <w:tc>
          <w:tcPr>
            <w:tcW w:w="621" w:type="pct"/>
            <w:noWrap/>
            <w:hideMark/>
          </w:tcPr>
          <w:p w:rsidR="00DD56B8" w:rsidRPr="0006152C" w:rsidRDefault="00DD56B8" w:rsidP="0006074C">
            <w:pPr>
              <w:jc w:val="right"/>
            </w:pPr>
            <w:r w:rsidRPr="0006152C">
              <w:t>$26,236</w:t>
            </w:r>
          </w:p>
        </w:tc>
        <w:tc>
          <w:tcPr>
            <w:tcW w:w="620" w:type="pct"/>
            <w:noWrap/>
            <w:hideMark/>
          </w:tcPr>
          <w:p w:rsidR="00DD56B8" w:rsidRDefault="00DD56B8" w:rsidP="0006074C">
            <w:pPr>
              <w:jc w:val="right"/>
            </w:pPr>
            <w:r>
              <w:t>$25,838</w:t>
            </w:r>
          </w:p>
        </w:tc>
      </w:tr>
      <w:tr w:rsidR="00DD56B8" w:rsidTr="0006074C">
        <w:trPr>
          <w:trHeight w:val="113"/>
        </w:trPr>
        <w:tc>
          <w:tcPr>
            <w:tcW w:w="1896" w:type="pct"/>
            <w:hideMark/>
          </w:tcPr>
          <w:p w:rsidR="00DD56B8" w:rsidRDefault="00DD56B8" w:rsidP="0006074C">
            <w:r>
              <w:t>Total expenses per consumer</w:t>
            </w:r>
          </w:p>
        </w:tc>
        <w:tc>
          <w:tcPr>
            <w:tcW w:w="621" w:type="pct"/>
            <w:noWrap/>
            <w:hideMark/>
          </w:tcPr>
          <w:p w:rsidR="00DD56B8" w:rsidRPr="0006152C" w:rsidRDefault="00DD56B8" w:rsidP="0006074C">
            <w:pPr>
              <w:jc w:val="right"/>
            </w:pPr>
            <w:r w:rsidRPr="0006152C">
              <w:t>$19,834</w:t>
            </w:r>
          </w:p>
        </w:tc>
        <w:tc>
          <w:tcPr>
            <w:tcW w:w="621" w:type="pct"/>
            <w:noWrap/>
            <w:hideMark/>
          </w:tcPr>
          <w:p w:rsidR="00DD56B8" w:rsidRPr="0006152C" w:rsidRDefault="00DD56B8" w:rsidP="0006074C">
            <w:pPr>
              <w:jc w:val="right"/>
            </w:pPr>
            <w:r w:rsidRPr="0006152C">
              <w:t>$23,024</w:t>
            </w:r>
          </w:p>
        </w:tc>
        <w:tc>
          <w:tcPr>
            <w:tcW w:w="621" w:type="pct"/>
            <w:noWrap/>
            <w:hideMark/>
          </w:tcPr>
          <w:p w:rsidR="00DD56B8" w:rsidRPr="0006152C" w:rsidRDefault="00DD56B8" w:rsidP="0006074C">
            <w:pPr>
              <w:jc w:val="right"/>
            </w:pPr>
            <w:r w:rsidRPr="0006152C">
              <w:t>$22,732</w:t>
            </w:r>
          </w:p>
        </w:tc>
        <w:tc>
          <w:tcPr>
            <w:tcW w:w="621" w:type="pct"/>
            <w:noWrap/>
            <w:hideMark/>
          </w:tcPr>
          <w:p w:rsidR="00DD56B8" w:rsidRPr="0006152C" w:rsidRDefault="00DD56B8" w:rsidP="0006074C">
            <w:pPr>
              <w:jc w:val="right"/>
            </w:pPr>
            <w:r w:rsidRPr="0006152C">
              <w:t>$28,225</w:t>
            </w:r>
          </w:p>
        </w:tc>
        <w:tc>
          <w:tcPr>
            <w:tcW w:w="620" w:type="pct"/>
            <w:noWrap/>
            <w:hideMark/>
          </w:tcPr>
          <w:p w:rsidR="00DD56B8" w:rsidRDefault="00DD56B8" w:rsidP="0006074C">
            <w:pPr>
              <w:jc w:val="right"/>
            </w:pPr>
            <w:r>
              <w:t>$23,378</w:t>
            </w:r>
          </w:p>
        </w:tc>
      </w:tr>
      <w:tr w:rsidR="00DD56B8" w:rsidTr="0006074C">
        <w:trPr>
          <w:trHeight w:val="113"/>
        </w:trPr>
        <w:tc>
          <w:tcPr>
            <w:tcW w:w="1896" w:type="pct"/>
            <w:noWrap/>
            <w:hideMark/>
          </w:tcPr>
          <w:p w:rsidR="00DD56B8" w:rsidRDefault="00DD56B8" w:rsidP="0006074C">
            <w:r>
              <w:t>NPBT per consumer</w:t>
            </w:r>
          </w:p>
        </w:tc>
        <w:tc>
          <w:tcPr>
            <w:tcW w:w="621" w:type="pct"/>
            <w:noWrap/>
            <w:hideMark/>
          </w:tcPr>
          <w:p w:rsidR="00DD56B8" w:rsidRPr="0006152C" w:rsidRDefault="00DD56B8" w:rsidP="0006074C">
            <w:pPr>
              <w:jc w:val="right"/>
            </w:pPr>
            <w:r w:rsidRPr="0006152C">
              <w:t>$9,508</w:t>
            </w:r>
          </w:p>
        </w:tc>
        <w:tc>
          <w:tcPr>
            <w:tcW w:w="621" w:type="pct"/>
            <w:noWrap/>
            <w:hideMark/>
          </w:tcPr>
          <w:p w:rsidR="00DD56B8" w:rsidRPr="0006152C" w:rsidRDefault="00DD56B8" w:rsidP="0006074C">
            <w:pPr>
              <w:jc w:val="right"/>
            </w:pPr>
            <w:r w:rsidRPr="0006152C">
              <w:t>$3,300</w:t>
            </w:r>
          </w:p>
        </w:tc>
        <w:tc>
          <w:tcPr>
            <w:tcW w:w="621" w:type="pct"/>
            <w:noWrap/>
            <w:hideMark/>
          </w:tcPr>
          <w:p w:rsidR="00DD56B8" w:rsidRPr="0006152C" w:rsidRDefault="00DD56B8" w:rsidP="0006074C">
            <w:pPr>
              <w:jc w:val="right"/>
            </w:pPr>
            <w:r w:rsidRPr="0006152C">
              <w:t>$785</w:t>
            </w:r>
          </w:p>
        </w:tc>
        <w:tc>
          <w:tcPr>
            <w:tcW w:w="621" w:type="pct"/>
            <w:noWrap/>
            <w:hideMark/>
          </w:tcPr>
          <w:p w:rsidR="00DD56B8" w:rsidRPr="0006152C" w:rsidRDefault="00DD56B8" w:rsidP="0006074C">
            <w:pPr>
              <w:jc w:val="right"/>
            </w:pPr>
            <w:r w:rsidRPr="0006152C">
              <w:rPr>
                <w:color w:val="FF0000"/>
              </w:rPr>
              <w:t>-$1,989</w:t>
            </w:r>
          </w:p>
        </w:tc>
        <w:tc>
          <w:tcPr>
            <w:tcW w:w="620" w:type="pct"/>
            <w:noWrap/>
            <w:hideMark/>
          </w:tcPr>
          <w:p w:rsidR="00DD56B8" w:rsidRDefault="00DD56B8" w:rsidP="0006074C">
            <w:pPr>
              <w:jc w:val="right"/>
            </w:pPr>
            <w:r>
              <w:t>$2,460</w:t>
            </w:r>
          </w:p>
        </w:tc>
      </w:tr>
      <w:tr w:rsidR="0006074C" w:rsidRPr="0006074C" w:rsidTr="0006074C">
        <w:trPr>
          <w:trHeight w:val="113"/>
        </w:trPr>
        <w:tc>
          <w:tcPr>
            <w:tcW w:w="1896" w:type="pct"/>
            <w:shd w:val="clear" w:color="auto" w:fill="E8E8E8" w:themeFill="background2"/>
            <w:noWrap/>
            <w:hideMark/>
          </w:tcPr>
          <w:p w:rsidR="00DD56B8" w:rsidRPr="0006074C" w:rsidRDefault="00DD56B8" w:rsidP="0006074C">
            <w:pPr>
              <w:rPr>
                <w:rStyle w:val="Strong"/>
              </w:rPr>
            </w:pPr>
            <w:r w:rsidRPr="0006074C">
              <w:rPr>
                <w:rStyle w:val="Strong"/>
              </w:rPr>
              <w:t>For-profit</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0"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r>
      <w:tr w:rsidR="00DD56B8" w:rsidTr="0006074C">
        <w:trPr>
          <w:trHeight w:val="113"/>
        </w:trPr>
        <w:tc>
          <w:tcPr>
            <w:tcW w:w="1896" w:type="pct"/>
            <w:noWrap/>
            <w:hideMark/>
          </w:tcPr>
          <w:p w:rsidR="00DD56B8" w:rsidRDefault="00DD56B8" w:rsidP="0006074C">
            <w:r>
              <w:t>Number of providers</w:t>
            </w:r>
          </w:p>
        </w:tc>
        <w:tc>
          <w:tcPr>
            <w:tcW w:w="621" w:type="pct"/>
            <w:noWrap/>
            <w:hideMark/>
          </w:tcPr>
          <w:p w:rsidR="00DD56B8" w:rsidRPr="0006152C" w:rsidRDefault="00DD56B8" w:rsidP="0006074C">
            <w:pPr>
              <w:jc w:val="right"/>
            </w:pPr>
            <w:r w:rsidRPr="0006152C">
              <w:t>39</w:t>
            </w:r>
          </w:p>
        </w:tc>
        <w:tc>
          <w:tcPr>
            <w:tcW w:w="621" w:type="pct"/>
            <w:noWrap/>
            <w:hideMark/>
          </w:tcPr>
          <w:p w:rsidR="00DD56B8" w:rsidRPr="0006152C" w:rsidRDefault="00DD56B8" w:rsidP="0006074C">
            <w:pPr>
              <w:jc w:val="right"/>
            </w:pPr>
            <w:r w:rsidRPr="0006152C">
              <w:t xml:space="preserve"> 22</w:t>
            </w:r>
          </w:p>
        </w:tc>
        <w:tc>
          <w:tcPr>
            <w:tcW w:w="621" w:type="pct"/>
            <w:noWrap/>
            <w:hideMark/>
          </w:tcPr>
          <w:p w:rsidR="00DD56B8" w:rsidRPr="0006152C" w:rsidRDefault="00DD56B8" w:rsidP="0006074C">
            <w:pPr>
              <w:jc w:val="right"/>
            </w:pPr>
            <w:r w:rsidRPr="0006152C">
              <w:t>24</w:t>
            </w:r>
          </w:p>
        </w:tc>
        <w:tc>
          <w:tcPr>
            <w:tcW w:w="621" w:type="pct"/>
            <w:noWrap/>
            <w:hideMark/>
          </w:tcPr>
          <w:p w:rsidR="00DD56B8" w:rsidRPr="0006152C" w:rsidRDefault="00DD56B8" w:rsidP="0006074C">
            <w:pPr>
              <w:jc w:val="right"/>
            </w:pPr>
            <w:r w:rsidRPr="0006152C">
              <w:t>33</w:t>
            </w:r>
          </w:p>
        </w:tc>
        <w:tc>
          <w:tcPr>
            <w:tcW w:w="620" w:type="pct"/>
            <w:noWrap/>
            <w:hideMark/>
          </w:tcPr>
          <w:p w:rsidR="00DD56B8" w:rsidRDefault="00DD56B8" w:rsidP="0006074C">
            <w:pPr>
              <w:jc w:val="right"/>
            </w:pPr>
            <w:r>
              <w:t>118</w:t>
            </w:r>
          </w:p>
        </w:tc>
      </w:tr>
      <w:tr w:rsidR="00DD56B8" w:rsidTr="0006074C">
        <w:trPr>
          <w:trHeight w:val="113"/>
        </w:trPr>
        <w:tc>
          <w:tcPr>
            <w:tcW w:w="1896" w:type="pct"/>
            <w:hideMark/>
          </w:tcPr>
          <w:p w:rsidR="00DD56B8" w:rsidRDefault="00DD56B8" w:rsidP="0006074C">
            <w:r>
              <w:t>Total revenue per consumer</w:t>
            </w:r>
          </w:p>
        </w:tc>
        <w:tc>
          <w:tcPr>
            <w:tcW w:w="621" w:type="pct"/>
            <w:noWrap/>
            <w:hideMark/>
          </w:tcPr>
          <w:p w:rsidR="00DD56B8" w:rsidRPr="0006152C" w:rsidRDefault="00DD56B8" w:rsidP="0006074C">
            <w:pPr>
              <w:jc w:val="right"/>
            </w:pPr>
            <w:r w:rsidRPr="0006152C">
              <w:t>$49,571</w:t>
            </w:r>
          </w:p>
        </w:tc>
        <w:tc>
          <w:tcPr>
            <w:tcW w:w="621" w:type="pct"/>
            <w:noWrap/>
            <w:hideMark/>
          </w:tcPr>
          <w:p w:rsidR="00DD56B8" w:rsidRPr="0006152C" w:rsidRDefault="00DD56B8" w:rsidP="0006074C">
            <w:pPr>
              <w:jc w:val="right"/>
            </w:pPr>
            <w:r w:rsidRPr="0006152C">
              <w:t>$33,390</w:t>
            </w:r>
          </w:p>
        </w:tc>
        <w:tc>
          <w:tcPr>
            <w:tcW w:w="621" w:type="pct"/>
            <w:noWrap/>
            <w:hideMark/>
          </w:tcPr>
          <w:p w:rsidR="00DD56B8" w:rsidRPr="0006152C" w:rsidRDefault="00DD56B8" w:rsidP="0006074C">
            <w:pPr>
              <w:jc w:val="right"/>
            </w:pPr>
            <w:r w:rsidRPr="0006152C">
              <w:t>$26,941</w:t>
            </w:r>
          </w:p>
        </w:tc>
        <w:tc>
          <w:tcPr>
            <w:tcW w:w="621" w:type="pct"/>
            <w:noWrap/>
            <w:hideMark/>
          </w:tcPr>
          <w:p w:rsidR="00DD56B8" w:rsidRPr="0006152C" w:rsidRDefault="00DD56B8" w:rsidP="0006074C">
            <w:pPr>
              <w:jc w:val="right"/>
            </w:pPr>
            <w:r w:rsidRPr="0006152C">
              <w:t>$23,608</w:t>
            </w:r>
          </w:p>
        </w:tc>
        <w:tc>
          <w:tcPr>
            <w:tcW w:w="620" w:type="pct"/>
            <w:noWrap/>
            <w:hideMark/>
          </w:tcPr>
          <w:p w:rsidR="00DD56B8" w:rsidRDefault="00DD56B8" w:rsidP="0006074C">
            <w:pPr>
              <w:jc w:val="right"/>
            </w:pPr>
            <w:r>
              <w:t>$36,157</w:t>
            </w:r>
          </w:p>
        </w:tc>
      </w:tr>
      <w:tr w:rsidR="00DD56B8" w:rsidTr="0006074C">
        <w:trPr>
          <w:trHeight w:val="113"/>
        </w:trPr>
        <w:tc>
          <w:tcPr>
            <w:tcW w:w="1896" w:type="pct"/>
            <w:hideMark/>
          </w:tcPr>
          <w:p w:rsidR="00DD56B8" w:rsidRDefault="00DD56B8" w:rsidP="0006074C">
            <w:r>
              <w:t>Total expenses per consumer</w:t>
            </w:r>
          </w:p>
        </w:tc>
        <w:tc>
          <w:tcPr>
            <w:tcW w:w="621" w:type="pct"/>
            <w:noWrap/>
            <w:hideMark/>
          </w:tcPr>
          <w:p w:rsidR="00DD56B8" w:rsidRPr="0006152C" w:rsidRDefault="00DD56B8" w:rsidP="0006074C">
            <w:pPr>
              <w:jc w:val="right"/>
            </w:pPr>
            <w:r w:rsidRPr="0006152C">
              <w:t>$32,624</w:t>
            </w:r>
          </w:p>
        </w:tc>
        <w:tc>
          <w:tcPr>
            <w:tcW w:w="621" w:type="pct"/>
            <w:noWrap/>
            <w:hideMark/>
          </w:tcPr>
          <w:p w:rsidR="00DD56B8" w:rsidRPr="0006152C" w:rsidRDefault="00DD56B8" w:rsidP="0006074C">
            <w:pPr>
              <w:jc w:val="right"/>
            </w:pPr>
            <w:r w:rsidRPr="0006152C">
              <w:t>$30,591</w:t>
            </w:r>
          </w:p>
        </w:tc>
        <w:tc>
          <w:tcPr>
            <w:tcW w:w="621" w:type="pct"/>
            <w:noWrap/>
            <w:hideMark/>
          </w:tcPr>
          <w:p w:rsidR="00DD56B8" w:rsidRPr="0006152C" w:rsidRDefault="00DD56B8" w:rsidP="0006074C">
            <w:pPr>
              <w:jc w:val="right"/>
            </w:pPr>
            <w:r w:rsidRPr="0006152C">
              <w:t>$25,973</w:t>
            </w:r>
          </w:p>
        </w:tc>
        <w:tc>
          <w:tcPr>
            <w:tcW w:w="621" w:type="pct"/>
            <w:noWrap/>
            <w:hideMark/>
          </w:tcPr>
          <w:p w:rsidR="00DD56B8" w:rsidRPr="0006152C" w:rsidRDefault="00DD56B8" w:rsidP="0006074C">
            <w:pPr>
              <w:jc w:val="right"/>
            </w:pPr>
            <w:r w:rsidRPr="0006152C">
              <w:t>$27,065</w:t>
            </w:r>
          </w:p>
        </w:tc>
        <w:tc>
          <w:tcPr>
            <w:tcW w:w="620" w:type="pct"/>
            <w:noWrap/>
            <w:hideMark/>
          </w:tcPr>
          <w:p w:rsidR="00DD56B8" w:rsidRDefault="00DD56B8" w:rsidP="0006074C">
            <w:pPr>
              <w:jc w:val="right"/>
            </w:pPr>
            <w:r>
              <w:t>$29,539</w:t>
            </w:r>
          </w:p>
        </w:tc>
      </w:tr>
      <w:tr w:rsidR="00DD56B8" w:rsidTr="0006074C">
        <w:trPr>
          <w:trHeight w:val="113"/>
        </w:trPr>
        <w:tc>
          <w:tcPr>
            <w:tcW w:w="1896" w:type="pct"/>
            <w:noWrap/>
            <w:hideMark/>
          </w:tcPr>
          <w:p w:rsidR="00DD56B8" w:rsidRDefault="00DD56B8" w:rsidP="0006074C">
            <w:r>
              <w:t>NPBT per consumer</w:t>
            </w:r>
          </w:p>
        </w:tc>
        <w:tc>
          <w:tcPr>
            <w:tcW w:w="621" w:type="pct"/>
            <w:noWrap/>
            <w:hideMark/>
          </w:tcPr>
          <w:p w:rsidR="00DD56B8" w:rsidRPr="0006152C" w:rsidRDefault="00DD56B8" w:rsidP="0006074C">
            <w:pPr>
              <w:jc w:val="right"/>
            </w:pPr>
            <w:r w:rsidRPr="0006152C">
              <w:t>$16,947</w:t>
            </w:r>
          </w:p>
        </w:tc>
        <w:tc>
          <w:tcPr>
            <w:tcW w:w="621" w:type="pct"/>
            <w:noWrap/>
            <w:hideMark/>
          </w:tcPr>
          <w:p w:rsidR="00DD56B8" w:rsidRPr="0006152C" w:rsidRDefault="00DD56B8" w:rsidP="0006074C">
            <w:pPr>
              <w:jc w:val="right"/>
            </w:pPr>
            <w:r w:rsidRPr="0006152C">
              <w:t>$2,800</w:t>
            </w:r>
          </w:p>
        </w:tc>
        <w:tc>
          <w:tcPr>
            <w:tcW w:w="621" w:type="pct"/>
            <w:noWrap/>
            <w:hideMark/>
          </w:tcPr>
          <w:p w:rsidR="00DD56B8" w:rsidRPr="0006152C" w:rsidRDefault="00DD56B8" w:rsidP="0006074C">
            <w:pPr>
              <w:jc w:val="right"/>
            </w:pPr>
            <w:r w:rsidRPr="0006152C">
              <w:t>$967</w:t>
            </w:r>
          </w:p>
        </w:tc>
        <w:tc>
          <w:tcPr>
            <w:tcW w:w="621" w:type="pct"/>
            <w:noWrap/>
            <w:hideMark/>
          </w:tcPr>
          <w:p w:rsidR="00DD56B8" w:rsidRPr="0006152C" w:rsidRDefault="00DD56B8" w:rsidP="0006074C">
            <w:pPr>
              <w:jc w:val="right"/>
            </w:pPr>
            <w:r w:rsidRPr="0006152C">
              <w:rPr>
                <w:color w:val="FF0000"/>
              </w:rPr>
              <w:t>-$3,460</w:t>
            </w:r>
          </w:p>
        </w:tc>
        <w:tc>
          <w:tcPr>
            <w:tcW w:w="620" w:type="pct"/>
            <w:noWrap/>
            <w:hideMark/>
          </w:tcPr>
          <w:p w:rsidR="00DD56B8" w:rsidRDefault="00DD56B8" w:rsidP="0006074C">
            <w:pPr>
              <w:jc w:val="right"/>
            </w:pPr>
            <w:r>
              <w:t>$6,617</w:t>
            </w:r>
          </w:p>
        </w:tc>
      </w:tr>
      <w:tr w:rsidR="0006074C" w:rsidTr="0006074C">
        <w:trPr>
          <w:trHeight w:val="113"/>
        </w:trPr>
        <w:tc>
          <w:tcPr>
            <w:tcW w:w="1896" w:type="pct"/>
            <w:shd w:val="clear" w:color="auto" w:fill="E8E8E8" w:themeFill="background2"/>
            <w:noWrap/>
            <w:hideMark/>
          </w:tcPr>
          <w:p w:rsidR="00DD56B8" w:rsidRPr="0006074C" w:rsidRDefault="00DD56B8" w:rsidP="0006074C">
            <w:pPr>
              <w:rPr>
                <w:rStyle w:val="Strong"/>
              </w:rPr>
            </w:pPr>
            <w:r w:rsidRPr="0006074C">
              <w:rPr>
                <w:rStyle w:val="Strong"/>
              </w:rPr>
              <w:t>Government</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0"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r>
      <w:tr w:rsidR="00DD56B8" w:rsidTr="0006074C">
        <w:trPr>
          <w:trHeight w:val="113"/>
        </w:trPr>
        <w:tc>
          <w:tcPr>
            <w:tcW w:w="1896" w:type="pct"/>
            <w:noWrap/>
            <w:hideMark/>
          </w:tcPr>
          <w:p w:rsidR="00DD56B8" w:rsidRDefault="00DD56B8" w:rsidP="0006074C">
            <w:r>
              <w:lastRenderedPageBreak/>
              <w:t>Number of providers</w:t>
            </w:r>
          </w:p>
        </w:tc>
        <w:tc>
          <w:tcPr>
            <w:tcW w:w="621" w:type="pct"/>
            <w:noWrap/>
            <w:hideMark/>
          </w:tcPr>
          <w:p w:rsidR="00DD56B8" w:rsidRPr="0006152C" w:rsidRDefault="00DD56B8" w:rsidP="0006074C">
            <w:pPr>
              <w:jc w:val="right"/>
            </w:pPr>
            <w:r w:rsidRPr="0006152C">
              <w:t>20</w:t>
            </w:r>
          </w:p>
        </w:tc>
        <w:tc>
          <w:tcPr>
            <w:tcW w:w="621" w:type="pct"/>
            <w:noWrap/>
            <w:hideMark/>
          </w:tcPr>
          <w:p w:rsidR="00DD56B8" w:rsidRPr="0006152C" w:rsidRDefault="00DD56B8" w:rsidP="0006074C">
            <w:pPr>
              <w:jc w:val="right"/>
            </w:pPr>
            <w:r w:rsidRPr="0006152C">
              <w:t>13</w:t>
            </w:r>
          </w:p>
        </w:tc>
        <w:tc>
          <w:tcPr>
            <w:tcW w:w="621" w:type="pct"/>
            <w:noWrap/>
            <w:hideMark/>
          </w:tcPr>
          <w:p w:rsidR="00DD56B8" w:rsidRPr="0006152C" w:rsidRDefault="00DD56B8" w:rsidP="0006074C">
            <w:pPr>
              <w:jc w:val="right"/>
            </w:pPr>
            <w:r w:rsidRPr="0006152C">
              <w:t xml:space="preserve">22 </w:t>
            </w:r>
          </w:p>
        </w:tc>
        <w:tc>
          <w:tcPr>
            <w:tcW w:w="621" w:type="pct"/>
            <w:noWrap/>
            <w:hideMark/>
          </w:tcPr>
          <w:p w:rsidR="00DD56B8" w:rsidRPr="0006152C" w:rsidRDefault="00DD56B8" w:rsidP="0006074C">
            <w:pPr>
              <w:jc w:val="right"/>
            </w:pPr>
            <w:r w:rsidRPr="0006152C">
              <w:t>23</w:t>
            </w:r>
          </w:p>
        </w:tc>
        <w:tc>
          <w:tcPr>
            <w:tcW w:w="620" w:type="pct"/>
            <w:noWrap/>
            <w:hideMark/>
          </w:tcPr>
          <w:p w:rsidR="00DD56B8" w:rsidRDefault="00DD56B8" w:rsidP="0006074C">
            <w:pPr>
              <w:jc w:val="right"/>
            </w:pPr>
            <w:r>
              <w:t>78</w:t>
            </w:r>
          </w:p>
        </w:tc>
      </w:tr>
      <w:tr w:rsidR="00DD56B8" w:rsidTr="0006074C">
        <w:trPr>
          <w:trHeight w:val="113"/>
        </w:trPr>
        <w:tc>
          <w:tcPr>
            <w:tcW w:w="1896" w:type="pct"/>
            <w:hideMark/>
          </w:tcPr>
          <w:p w:rsidR="00DD56B8" w:rsidRDefault="00DD56B8" w:rsidP="0006074C">
            <w:r>
              <w:t>Total revenue per consumer</w:t>
            </w:r>
          </w:p>
        </w:tc>
        <w:tc>
          <w:tcPr>
            <w:tcW w:w="621" w:type="pct"/>
            <w:noWrap/>
            <w:hideMark/>
          </w:tcPr>
          <w:p w:rsidR="00DD56B8" w:rsidRPr="0006152C" w:rsidRDefault="00DD56B8" w:rsidP="0006074C">
            <w:pPr>
              <w:jc w:val="right"/>
            </w:pPr>
            <w:r w:rsidRPr="0006152C">
              <w:t>$27,149</w:t>
            </w:r>
          </w:p>
        </w:tc>
        <w:tc>
          <w:tcPr>
            <w:tcW w:w="621" w:type="pct"/>
            <w:noWrap/>
            <w:hideMark/>
          </w:tcPr>
          <w:p w:rsidR="00DD56B8" w:rsidRPr="0006152C" w:rsidRDefault="00DD56B8" w:rsidP="0006074C">
            <w:pPr>
              <w:jc w:val="right"/>
            </w:pPr>
            <w:r w:rsidRPr="0006152C">
              <w:t>$17,765</w:t>
            </w:r>
          </w:p>
        </w:tc>
        <w:tc>
          <w:tcPr>
            <w:tcW w:w="621" w:type="pct"/>
            <w:noWrap/>
            <w:hideMark/>
          </w:tcPr>
          <w:p w:rsidR="00DD56B8" w:rsidRPr="0006152C" w:rsidRDefault="00DD56B8" w:rsidP="0006074C">
            <w:pPr>
              <w:jc w:val="right"/>
            </w:pPr>
            <w:r w:rsidRPr="0006152C">
              <w:t>$21,363</w:t>
            </w:r>
          </w:p>
        </w:tc>
        <w:tc>
          <w:tcPr>
            <w:tcW w:w="621" w:type="pct"/>
            <w:noWrap/>
            <w:hideMark/>
          </w:tcPr>
          <w:p w:rsidR="00DD56B8" w:rsidRPr="0006152C" w:rsidRDefault="00DD56B8" w:rsidP="0006074C">
            <w:pPr>
              <w:jc w:val="right"/>
            </w:pPr>
            <w:r w:rsidRPr="0006152C">
              <w:t>$17,757</w:t>
            </w:r>
          </w:p>
        </w:tc>
        <w:tc>
          <w:tcPr>
            <w:tcW w:w="620" w:type="pct"/>
            <w:noWrap/>
            <w:hideMark/>
          </w:tcPr>
          <w:p w:rsidR="00DD56B8" w:rsidRDefault="00DD56B8" w:rsidP="0006074C">
            <w:pPr>
              <w:jc w:val="right"/>
            </w:pPr>
            <w:r>
              <w:t>$20,940</w:t>
            </w:r>
          </w:p>
        </w:tc>
      </w:tr>
      <w:tr w:rsidR="00DD56B8" w:rsidTr="0006074C">
        <w:trPr>
          <w:trHeight w:val="113"/>
        </w:trPr>
        <w:tc>
          <w:tcPr>
            <w:tcW w:w="1896" w:type="pct"/>
            <w:hideMark/>
          </w:tcPr>
          <w:p w:rsidR="00DD56B8" w:rsidRDefault="00DD56B8" w:rsidP="0006074C">
            <w:r>
              <w:t>Total expenses per consumer</w:t>
            </w:r>
          </w:p>
        </w:tc>
        <w:tc>
          <w:tcPr>
            <w:tcW w:w="621" w:type="pct"/>
            <w:noWrap/>
            <w:hideMark/>
          </w:tcPr>
          <w:p w:rsidR="00DD56B8" w:rsidRPr="0006152C" w:rsidRDefault="00DD56B8" w:rsidP="0006074C">
            <w:pPr>
              <w:jc w:val="right"/>
            </w:pPr>
            <w:r w:rsidRPr="0006152C">
              <w:t>$17,823</w:t>
            </w:r>
          </w:p>
        </w:tc>
        <w:tc>
          <w:tcPr>
            <w:tcW w:w="621" w:type="pct"/>
            <w:noWrap/>
            <w:hideMark/>
          </w:tcPr>
          <w:p w:rsidR="00DD56B8" w:rsidRPr="0006152C" w:rsidRDefault="00DD56B8" w:rsidP="0006074C">
            <w:pPr>
              <w:jc w:val="right"/>
            </w:pPr>
            <w:r w:rsidRPr="0006152C">
              <w:t>$14,290</w:t>
            </w:r>
          </w:p>
        </w:tc>
        <w:tc>
          <w:tcPr>
            <w:tcW w:w="621" w:type="pct"/>
            <w:noWrap/>
            <w:hideMark/>
          </w:tcPr>
          <w:p w:rsidR="00DD56B8" w:rsidRPr="0006152C" w:rsidRDefault="00DD56B8" w:rsidP="0006074C">
            <w:pPr>
              <w:jc w:val="right"/>
            </w:pPr>
            <w:r w:rsidRPr="0006152C">
              <w:t>$20,564</w:t>
            </w:r>
          </w:p>
        </w:tc>
        <w:tc>
          <w:tcPr>
            <w:tcW w:w="621" w:type="pct"/>
            <w:noWrap/>
            <w:hideMark/>
          </w:tcPr>
          <w:p w:rsidR="00DD56B8" w:rsidRPr="0006152C" w:rsidRDefault="00DD56B8" w:rsidP="0006074C">
            <w:pPr>
              <w:jc w:val="right"/>
            </w:pPr>
            <w:r w:rsidRPr="0006152C">
              <w:t>$20,425</w:t>
            </w:r>
          </w:p>
        </w:tc>
        <w:tc>
          <w:tcPr>
            <w:tcW w:w="620" w:type="pct"/>
            <w:noWrap/>
            <w:hideMark/>
          </w:tcPr>
          <w:p w:rsidR="00DD56B8" w:rsidRDefault="00DD56B8" w:rsidP="0006074C">
            <w:pPr>
              <w:jc w:val="right"/>
            </w:pPr>
            <w:r>
              <w:t>$19,137</w:t>
            </w:r>
          </w:p>
        </w:tc>
      </w:tr>
      <w:tr w:rsidR="00DD56B8" w:rsidTr="0006074C">
        <w:trPr>
          <w:trHeight w:val="113"/>
        </w:trPr>
        <w:tc>
          <w:tcPr>
            <w:tcW w:w="1896" w:type="pct"/>
            <w:noWrap/>
            <w:hideMark/>
          </w:tcPr>
          <w:p w:rsidR="00DD56B8" w:rsidRDefault="00DD56B8" w:rsidP="0006074C">
            <w:r>
              <w:t>NPBT per consumer</w:t>
            </w:r>
          </w:p>
        </w:tc>
        <w:tc>
          <w:tcPr>
            <w:tcW w:w="621" w:type="pct"/>
            <w:noWrap/>
            <w:hideMark/>
          </w:tcPr>
          <w:p w:rsidR="00DD56B8" w:rsidRPr="0006152C" w:rsidRDefault="00DD56B8" w:rsidP="0006074C">
            <w:pPr>
              <w:jc w:val="right"/>
            </w:pPr>
            <w:r w:rsidRPr="0006152C">
              <w:t>$9,326</w:t>
            </w:r>
          </w:p>
        </w:tc>
        <w:tc>
          <w:tcPr>
            <w:tcW w:w="621" w:type="pct"/>
            <w:noWrap/>
            <w:hideMark/>
          </w:tcPr>
          <w:p w:rsidR="00DD56B8" w:rsidRPr="0006152C" w:rsidRDefault="00DD56B8" w:rsidP="0006074C">
            <w:pPr>
              <w:jc w:val="right"/>
            </w:pPr>
            <w:r w:rsidRPr="0006152C">
              <w:t>$3,475</w:t>
            </w:r>
          </w:p>
        </w:tc>
        <w:tc>
          <w:tcPr>
            <w:tcW w:w="621" w:type="pct"/>
            <w:noWrap/>
            <w:hideMark/>
          </w:tcPr>
          <w:p w:rsidR="00DD56B8" w:rsidRPr="0006152C" w:rsidRDefault="00DD56B8" w:rsidP="0006074C">
            <w:pPr>
              <w:jc w:val="right"/>
            </w:pPr>
            <w:r w:rsidRPr="0006152C">
              <w:t>$796</w:t>
            </w:r>
          </w:p>
        </w:tc>
        <w:tc>
          <w:tcPr>
            <w:tcW w:w="621" w:type="pct"/>
            <w:noWrap/>
            <w:hideMark/>
          </w:tcPr>
          <w:p w:rsidR="00DD56B8" w:rsidRPr="0006152C" w:rsidRDefault="00DD56B8" w:rsidP="0006074C">
            <w:pPr>
              <w:jc w:val="right"/>
            </w:pPr>
            <w:r w:rsidRPr="0006152C">
              <w:rPr>
                <w:color w:val="FF0000"/>
              </w:rPr>
              <w:t>-$2,668</w:t>
            </w:r>
          </w:p>
        </w:tc>
        <w:tc>
          <w:tcPr>
            <w:tcW w:w="620" w:type="pct"/>
            <w:noWrap/>
            <w:hideMark/>
          </w:tcPr>
          <w:p w:rsidR="00DD56B8" w:rsidRDefault="00DD56B8" w:rsidP="0006074C">
            <w:pPr>
              <w:jc w:val="right"/>
            </w:pPr>
            <w:r>
              <w:t>$1,803</w:t>
            </w:r>
          </w:p>
        </w:tc>
      </w:tr>
      <w:tr w:rsidR="0006074C" w:rsidRPr="0006074C" w:rsidTr="0006074C">
        <w:trPr>
          <w:trHeight w:val="113"/>
        </w:trPr>
        <w:tc>
          <w:tcPr>
            <w:tcW w:w="1896" w:type="pct"/>
            <w:shd w:val="clear" w:color="auto" w:fill="E8E8E8" w:themeFill="background2"/>
            <w:noWrap/>
            <w:hideMark/>
          </w:tcPr>
          <w:p w:rsidR="00DD56B8" w:rsidRPr="0006074C" w:rsidRDefault="00DD56B8" w:rsidP="0006074C">
            <w:pPr>
              <w:rPr>
                <w:rStyle w:val="Strong"/>
              </w:rPr>
            </w:pPr>
            <w:r w:rsidRPr="0006074C">
              <w:rPr>
                <w:rStyle w:val="Strong"/>
              </w:rPr>
              <w:t>Total</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1"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c>
          <w:tcPr>
            <w:tcW w:w="620" w:type="pct"/>
            <w:shd w:val="clear" w:color="auto" w:fill="E8E8E8" w:themeFill="background2"/>
            <w:noWrap/>
            <w:hideMark/>
          </w:tcPr>
          <w:p w:rsidR="00DD56B8" w:rsidRPr="0006074C" w:rsidRDefault="00DD56B8" w:rsidP="0006074C">
            <w:pPr>
              <w:jc w:val="right"/>
              <w:rPr>
                <w:rStyle w:val="Strong"/>
              </w:rPr>
            </w:pPr>
            <w:r w:rsidRPr="0006074C">
              <w:rPr>
                <w:rStyle w:val="Strong"/>
              </w:rPr>
              <w:t> </w:t>
            </w:r>
          </w:p>
        </w:tc>
      </w:tr>
      <w:tr w:rsidR="00DD56B8" w:rsidTr="0006074C">
        <w:trPr>
          <w:trHeight w:val="113"/>
        </w:trPr>
        <w:tc>
          <w:tcPr>
            <w:tcW w:w="1896" w:type="pct"/>
            <w:noWrap/>
            <w:hideMark/>
          </w:tcPr>
          <w:p w:rsidR="00DD56B8" w:rsidRDefault="00DD56B8" w:rsidP="0006074C">
            <w:r>
              <w:t>Number of providers</w:t>
            </w:r>
          </w:p>
        </w:tc>
        <w:tc>
          <w:tcPr>
            <w:tcW w:w="621" w:type="pct"/>
            <w:noWrap/>
            <w:hideMark/>
          </w:tcPr>
          <w:p w:rsidR="00DD56B8" w:rsidRPr="0006152C" w:rsidRDefault="00DD56B8" w:rsidP="0006074C">
            <w:pPr>
              <w:jc w:val="right"/>
            </w:pPr>
            <w:r w:rsidRPr="0006152C">
              <w:t>139</w:t>
            </w:r>
          </w:p>
        </w:tc>
        <w:tc>
          <w:tcPr>
            <w:tcW w:w="621" w:type="pct"/>
            <w:noWrap/>
            <w:hideMark/>
          </w:tcPr>
          <w:p w:rsidR="00DD56B8" w:rsidRPr="0006152C" w:rsidRDefault="00DD56B8" w:rsidP="0006074C">
            <w:pPr>
              <w:jc w:val="right"/>
            </w:pPr>
            <w:r w:rsidRPr="0006152C">
              <w:t>137</w:t>
            </w:r>
          </w:p>
        </w:tc>
        <w:tc>
          <w:tcPr>
            <w:tcW w:w="621" w:type="pct"/>
            <w:noWrap/>
            <w:hideMark/>
          </w:tcPr>
          <w:p w:rsidR="00DD56B8" w:rsidRPr="0006152C" w:rsidRDefault="00DD56B8" w:rsidP="0006074C">
            <w:pPr>
              <w:jc w:val="right"/>
            </w:pPr>
            <w:r w:rsidRPr="0006152C">
              <w:t>148</w:t>
            </w:r>
          </w:p>
        </w:tc>
        <w:tc>
          <w:tcPr>
            <w:tcW w:w="621" w:type="pct"/>
            <w:noWrap/>
            <w:hideMark/>
          </w:tcPr>
          <w:p w:rsidR="00DD56B8" w:rsidRPr="0006152C" w:rsidRDefault="00DD56B8" w:rsidP="0006074C">
            <w:pPr>
              <w:jc w:val="right"/>
            </w:pPr>
            <w:r w:rsidRPr="0006152C">
              <w:t xml:space="preserve">129 </w:t>
            </w:r>
          </w:p>
        </w:tc>
        <w:tc>
          <w:tcPr>
            <w:tcW w:w="620" w:type="pct"/>
            <w:noWrap/>
            <w:hideMark/>
          </w:tcPr>
          <w:p w:rsidR="00DD56B8" w:rsidRDefault="00DD56B8" w:rsidP="0006074C">
            <w:pPr>
              <w:jc w:val="right"/>
            </w:pPr>
            <w:r>
              <w:t>553</w:t>
            </w:r>
          </w:p>
        </w:tc>
      </w:tr>
      <w:tr w:rsidR="00DD56B8" w:rsidTr="0006074C">
        <w:trPr>
          <w:trHeight w:val="113"/>
        </w:trPr>
        <w:tc>
          <w:tcPr>
            <w:tcW w:w="1896" w:type="pct"/>
            <w:hideMark/>
          </w:tcPr>
          <w:p w:rsidR="00DD56B8" w:rsidRDefault="00DD56B8" w:rsidP="0006074C">
            <w:r>
              <w:t>Total revenue per consumer</w:t>
            </w:r>
          </w:p>
        </w:tc>
        <w:tc>
          <w:tcPr>
            <w:tcW w:w="621" w:type="pct"/>
            <w:noWrap/>
            <w:hideMark/>
          </w:tcPr>
          <w:p w:rsidR="00DD56B8" w:rsidRDefault="00DD56B8" w:rsidP="0006074C">
            <w:pPr>
              <w:jc w:val="right"/>
            </w:pPr>
            <w:r>
              <w:t>$33,401</w:t>
            </w:r>
          </w:p>
        </w:tc>
        <w:tc>
          <w:tcPr>
            <w:tcW w:w="621" w:type="pct"/>
            <w:noWrap/>
            <w:hideMark/>
          </w:tcPr>
          <w:p w:rsidR="00DD56B8" w:rsidRDefault="00DD56B8" w:rsidP="0006074C">
            <w:pPr>
              <w:jc w:val="right"/>
            </w:pPr>
            <w:r>
              <w:t>$26,488</w:t>
            </w:r>
          </w:p>
        </w:tc>
        <w:tc>
          <w:tcPr>
            <w:tcW w:w="621" w:type="pct"/>
            <w:noWrap/>
            <w:hideMark/>
          </w:tcPr>
          <w:p w:rsidR="00DD56B8" w:rsidRDefault="00DD56B8" w:rsidP="0006074C">
            <w:pPr>
              <w:jc w:val="right"/>
            </w:pPr>
            <w:r>
              <w:t>$23,612</w:t>
            </w:r>
          </w:p>
        </w:tc>
        <w:tc>
          <w:tcPr>
            <w:tcW w:w="621" w:type="pct"/>
            <w:noWrap/>
            <w:hideMark/>
          </w:tcPr>
          <w:p w:rsidR="00DD56B8" w:rsidRDefault="00DD56B8" w:rsidP="0006074C">
            <w:pPr>
              <w:jc w:val="right"/>
            </w:pPr>
            <w:r>
              <w:t>$25,112</w:t>
            </w:r>
          </w:p>
        </w:tc>
        <w:tc>
          <w:tcPr>
            <w:tcW w:w="620" w:type="pct"/>
            <w:noWrap/>
            <w:hideMark/>
          </w:tcPr>
          <w:p w:rsidR="00DD56B8" w:rsidRDefault="00DD56B8" w:rsidP="0006074C">
            <w:pPr>
              <w:jc w:val="right"/>
            </w:pPr>
            <w:r>
              <w:t>$26,539</w:t>
            </w:r>
          </w:p>
        </w:tc>
      </w:tr>
      <w:tr w:rsidR="00DD56B8" w:rsidTr="0006074C">
        <w:trPr>
          <w:trHeight w:val="113"/>
        </w:trPr>
        <w:tc>
          <w:tcPr>
            <w:tcW w:w="1896" w:type="pct"/>
            <w:hideMark/>
          </w:tcPr>
          <w:p w:rsidR="00DD56B8" w:rsidRDefault="00DD56B8" w:rsidP="0006074C">
            <w:r>
              <w:t>Total expenses per consumer</w:t>
            </w:r>
          </w:p>
        </w:tc>
        <w:tc>
          <w:tcPr>
            <w:tcW w:w="621" w:type="pct"/>
            <w:noWrap/>
            <w:hideMark/>
          </w:tcPr>
          <w:p w:rsidR="00DD56B8" w:rsidRDefault="00DD56B8" w:rsidP="0006074C">
            <w:pPr>
              <w:jc w:val="right"/>
            </w:pPr>
            <w:r>
              <w:t>$22,356</w:t>
            </w:r>
          </w:p>
        </w:tc>
        <w:tc>
          <w:tcPr>
            <w:tcW w:w="621" w:type="pct"/>
            <w:noWrap/>
            <w:hideMark/>
          </w:tcPr>
          <w:p w:rsidR="00DD56B8" w:rsidRDefault="00DD56B8" w:rsidP="0006074C">
            <w:pPr>
              <w:jc w:val="right"/>
            </w:pPr>
            <w:r>
              <w:t>$23,218</w:t>
            </w:r>
          </w:p>
        </w:tc>
        <w:tc>
          <w:tcPr>
            <w:tcW w:w="621" w:type="pct"/>
            <w:noWrap/>
            <w:hideMark/>
          </w:tcPr>
          <w:p w:rsidR="00DD56B8" w:rsidRDefault="00DD56B8" w:rsidP="0006074C">
            <w:pPr>
              <w:jc w:val="right"/>
            </w:pPr>
            <w:r>
              <w:t>$22,813</w:t>
            </w:r>
          </w:p>
        </w:tc>
        <w:tc>
          <w:tcPr>
            <w:tcW w:w="621" w:type="pct"/>
            <w:noWrap/>
            <w:hideMark/>
          </w:tcPr>
          <w:p w:rsidR="00DD56B8" w:rsidRDefault="00DD56B8" w:rsidP="0006074C">
            <w:pPr>
              <w:jc w:val="right"/>
            </w:pPr>
            <w:r>
              <w:t>$27,306</w:t>
            </w:r>
          </w:p>
        </w:tc>
        <w:tc>
          <w:tcPr>
            <w:tcW w:w="620" w:type="pct"/>
            <w:noWrap/>
            <w:hideMark/>
          </w:tcPr>
          <w:p w:rsidR="00DD56B8" w:rsidRDefault="00DD56B8" w:rsidP="0006074C">
            <w:pPr>
              <w:jc w:val="right"/>
            </w:pPr>
            <w:r>
              <w:t>$23,703</w:t>
            </w:r>
          </w:p>
        </w:tc>
      </w:tr>
      <w:tr w:rsidR="00DD56B8" w:rsidTr="0006074C">
        <w:trPr>
          <w:trHeight w:val="113"/>
        </w:trPr>
        <w:tc>
          <w:tcPr>
            <w:tcW w:w="1896" w:type="pct"/>
            <w:noWrap/>
            <w:hideMark/>
          </w:tcPr>
          <w:p w:rsidR="00DD56B8" w:rsidRDefault="00DD56B8" w:rsidP="0006074C">
            <w:r>
              <w:t>NPBT per consumer</w:t>
            </w:r>
          </w:p>
        </w:tc>
        <w:tc>
          <w:tcPr>
            <w:tcW w:w="621" w:type="pct"/>
            <w:noWrap/>
            <w:hideMark/>
          </w:tcPr>
          <w:p w:rsidR="00DD56B8" w:rsidRDefault="00DD56B8" w:rsidP="0006074C">
            <w:pPr>
              <w:jc w:val="right"/>
            </w:pPr>
            <w:r>
              <w:t>$11,045</w:t>
            </w:r>
          </w:p>
        </w:tc>
        <w:tc>
          <w:tcPr>
            <w:tcW w:w="621" w:type="pct"/>
            <w:noWrap/>
            <w:hideMark/>
          </w:tcPr>
          <w:p w:rsidR="00DD56B8" w:rsidRDefault="00DD56B8" w:rsidP="0006074C">
            <w:pPr>
              <w:jc w:val="right"/>
            </w:pPr>
            <w:r>
              <w:t>$3,270</w:t>
            </w:r>
          </w:p>
        </w:tc>
        <w:tc>
          <w:tcPr>
            <w:tcW w:w="621" w:type="pct"/>
            <w:noWrap/>
            <w:hideMark/>
          </w:tcPr>
          <w:p w:rsidR="00DD56B8" w:rsidRDefault="00DD56B8" w:rsidP="0006074C">
            <w:pPr>
              <w:jc w:val="right"/>
            </w:pPr>
            <w:r>
              <w:t>$799</w:t>
            </w:r>
          </w:p>
        </w:tc>
        <w:tc>
          <w:tcPr>
            <w:tcW w:w="621" w:type="pct"/>
            <w:noWrap/>
            <w:hideMark/>
          </w:tcPr>
          <w:p w:rsidR="00DD56B8" w:rsidRDefault="00DD56B8" w:rsidP="0006074C">
            <w:pPr>
              <w:jc w:val="right"/>
            </w:pPr>
            <w:r>
              <w:rPr>
                <w:color w:val="FF0000"/>
              </w:rPr>
              <w:t>-$2,194</w:t>
            </w:r>
          </w:p>
        </w:tc>
        <w:tc>
          <w:tcPr>
            <w:tcW w:w="620" w:type="pct"/>
            <w:noWrap/>
            <w:hideMark/>
          </w:tcPr>
          <w:p w:rsidR="00DD56B8" w:rsidRDefault="00DD56B8" w:rsidP="0006074C">
            <w:pPr>
              <w:jc w:val="right"/>
            </w:pPr>
            <w:r>
              <w:t>$2,832</w:t>
            </w:r>
          </w:p>
        </w:tc>
      </w:tr>
    </w:tbl>
    <w:p w:rsidR="00D8721E" w:rsidRDefault="00D8721E" w:rsidP="0006074C"/>
    <w:p w:rsidR="00DB20DB" w:rsidRPr="006C33D4" w:rsidRDefault="004F31AD" w:rsidP="0006074C">
      <w:pPr>
        <w:pStyle w:val="AppendixNumbered"/>
      </w:pPr>
      <w:bookmarkStart w:id="1078" w:name="_Ref457549339"/>
      <w:bookmarkStart w:id="1079" w:name="_Toc457549952"/>
      <w:bookmarkStart w:id="1080" w:name="_Toc524424841"/>
      <w:r>
        <w:lastRenderedPageBreak/>
        <w:t>Home c</w:t>
      </w:r>
      <w:r w:rsidR="009727F0">
        <w:t>are</w:t>
      </w:r>
      <w:r>
        <w:t xml:space="preserve"> s</w:t>
      </w:r>
      <w:r w:rsidR="00F62B0D">
        <w:t xml:space="preserve">ubsidies and </w:t>
      </w:r>
      <w:r>
        <w:t>s</w:t>
      </w:r>
      <w:r w:rsidR="009727F0">
        <w:t>upplements</w:t>
      </w:r>
      <w:bookmarkEnd w:id="1078"/>
      <w:bookmarkEnd w:id="1079"/>
      <w:bookmarkEnd w:id="1080"/>
    </w:p>
    <w:p w:rsidR="009F68AF" w:rsidRPr="00596D01" w:rsidRDefault="002471FD" w:rsidP="0006074C">
      <w:pPr>
        <w:pStyle w:val="AppendixTable"/>
      </w:pPr>
      <w:r w:rsidRPr="00596D01">
        <w:t>H</w:t>
      </w:r>
      <w:r w:rsidR="00F42EAB" w:rsidRPr="00596D01">
        <w:t>ome care s</w:t>
      </w:r>
      <w:r w:rsidRPr="00596D01">
        <w:t>ubsidies per day,</w:t>
      </w:r>
      <w:r w:rsidR="00A261F3" w:rsidRPr="00596D01">
        <w:t> 201</w:t>
      </w:r>
      <w:r w:rsidR="00F42EAB" w:rsidRPr="00596D01">
        <w:t>6</w:t>
      </w:r>
      <w:r w:rsidR="00D8721E" w:rsidRPr="00596D01">
        <w:t>–1</w:t>
      </w:r>
      <w:r w:rsidR="00F42EAB" w:rsidRPr="00596D01">
        <w:t>7</w:t>
      </w:r>
      <w:r w:rsidRPr="00596D01">
        <w:t xml:space="preserve"> </w:t>
      </w:r>
      <w:r w:rsidR="0081671B" w:rsidRPr="00596D01">
        <w:t>to</w:t>
      </w:r>
      <w:r w:rsidR="00A261F3" w:rsidRPr="00596D01">
        <w:t> 201</w:t>
      </w:r>
      <w:r w:rsidR="00F42EAB" w:rsidRPr="00596D01">
        <w:t>8</w:t>
      </w:r>
      <w:r w:rsidR="00D8721E" w:rsidRPr="00596D01">
        <w:t>–1</w:t>
      </w:r>
      <w:r w:rsidR="00F42EAB" w:rsidRPr="00596D01">
        <w:t>9</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07"/>
        <w:gridCol w:w="2407"/>
        <w:gridCol w:w="2407"/>
        <w:gridCol w:w="2407"/>
      </w:tblGrid>
      <w:tr w:rsidR="00F42EAB" w:rsidRPr="00E51746"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1250" w:type="pct"/>
          </w:tcPr>
          <w:p w:rsidR="00F42EAB" w:rsidRPr="00E51746" w:rsidRDefault="00F42EAB" w:rsidP="0006074C">
            <w:bookmarkStart w:id="1081" w:name="_HCP_Subsidies_per"/>
            <w:bookmarkEnd w:id="1081"/>
            <w:r>
              <w:t>Package level</w:t>
            </w:r>
          </w:p>
        </w:tc>
        <w:tc>
          <w:tcPr>
            <w:tcW w:w="1250" w:type="pct"/>
          </w:tcPr>
          <w:p w:rsidR="00F42EAB" w:rsidRPr="00E51746" w:rsidRDefault="00F42EAB" w:rsidP="0006074C">
            <w:pPr>
              <w:jc w:val="right"/>
            </w:pPr>
            <w:r w:rsidRPr="00E51746">
              <w:t>201</w:t>
            </w:r>
            <w:r>
              <w:t>6</w:t>
            </w:r>
            <w:r w:rsidR="00D8721E">
              <w:t>–1</w:t>
            </w:r>
            <w:r>
              <w:t>7</w:t>
            </w:r>
          </w:p>
        </w:tc>
        <w:tc>
          <w:tcPr>
            <w:tcW w:w="1250" w:type="pct"/>
          </w:tcPr>
          <w:p w:rsidR="00F42EAB" w:rsidRPr="00E51746" w:rsidRDefault="00F42EAB" w:rsidP="0006074C">
            <w:pPr>
              <w:jc w:val="right"/>
            </w:pPr>
            <w:r>
              <w:t>2017</w:t>
            </w:r>
            <w:r w:rsidR="00D8721E">
              <w:t>–1</w:t>
            </w:r>
            <w:r>
              <w:t>8</w:t>
            </w:r>
          </w:p>
        </w:tc>
        <w:tc>
          <w:tcPr>
            <w:tcW w:w="1250" w:type="pct"/>
          </w:tcPr>
          <w:p w:rsidR="00F42EAB" w:rsidRDefault="00F42EAB" w:rsidP="0006074C">
            <w:pPr>
              <w:jc w:val="right"/>
            </w:pPr>
            <w:r>
              <w:t>2018</w:t>
            </w:r>
            <w:r w:rsidR="00D8721E">
              <w:t>–1</w:t>
            </w:r>
            <w:r>
              <w:t>9</w:t>
            </w:r>
          </w:p>
        </w:tc>
      </w:tr>
      <w:tr w:rsidR="00F42EAB" w:rsidRPr="00E51746" w:rsidTr="0006074C">
        <w:trPr>
          <w:trHeight w:val="113"/>
        </w:trPr>
        <w:tc>
          <w:tcPr>
            <w:tcW w:w="1250" w:type="pct"/>
          </w:tcPr>
          <w:p w:rsidR="00F42EAB" w:rsidRPr="00FB5E0A" w:rsidRDefault="00F42EAB" w:rsidP="0006074C">
            <w:pPr>
              <w:rPr>
                <w:color w:val="0D0D0D" w:themeColor="text1" w:themeTint="F2"/>
                <w:szCs w:val="22"/>
              </w:rPr>
            </w:pPr>
            <w:r w:rsidRPr="00FB5E0A">
              <w:rPr>
                <w:color w:val="0D0D0D" w:themeColor="text1" w:themeTint="F2"/>
                <w:szCs w:val="22"/>
              </w:rPr>
              <w:t>Level 1</w:t>
            </w:r>
          </w:p>
        </w:tc>
        <w:tc>
          <w:tcPr>
            <w:tcW w:w="1250" w:type="pct"/>
          </w:tcPr>
          <w:p w:rsidR="00F42EAB" w:rsidRPr="00FB5E0A" w:rsidDel="00F478B8" w:rsidRDefault="00F42EAB" w:rsidP="0006074C">
            <w:pPr>
              <w:jc w:val="right"/>
              <w:rPr>
                <w:color w:val="0D0D0D" w:themeColor="text1" w:themeTint="F2"/>
                <w:szCs w:val="22"/>
              </w:rPr>
            </w:pPr>
            <w:r w:rsidRPr="00FB5E0A">
              <w:rPr>
                <w:color w:val="0D0D0D" w:themeColor="text1" w:themeTint="F2"/>
                <w:szCs w:val="22"/>
              </w:rPr>
              <w:t>$22.04</w:t>
            </w:r>
          </w:p>
        </w:tc>
        <w:tc>
          <w:tcPr>
            <w:tcW w:w="1250" w:type="pct"/>
          </w:tcPr>
          <w:p w:rsidR="00F42EAB" w:rsidRPr="00FB5E0A" w:rsidRDefault="00F42EAB" w:rsidP="0006074C">
            <w:pPr>
              <w:jc w:val="right"/>
              <w:rPr>
                <w:color w:val="0D0D0D" w:themeColor="text1" w:themeTint="F2"/>
                <w:szCs w:val="22"/>
              </w:rPr>
            </w:pPr>
            <w:r w:rsidRPr="00FB5E0A">
              <w:rPr>
                <w:color w:val="0D0D0D" w:themeColor="text1" w:themeTint="F2"/>
                <w:szCs w:val="22"/>
              </w:rPr>
              <w:t>$22.35</w:t>
            </w:r>
          </w:p>
        </w:tc>
        <w:tc>
          <w:tcPr>
            <w:tcW w:w="1250" w:type="pct"/>
          </w:tcPr>
          <w:p w:rsidR="00F42EAB" w:rsidRPr="00FB5E0A" w:rsidRDefault="00F42EAB" w:rsidP="0006074C">
            <w:pPr>
              <w:jc w:val="right"/>
              <w:rPr>
                <w:color w:val="0D0D0D" w:themeColor="text1" w:themeTint="F2"/>
                <w:szCs w:val="22"/>
              </w:rPr>
            </w:pPr>
            <w:r>
              <w:rPr>
                <w:color w:val="0D0D0D" w:themeColor="text1" w:themeTint="F2"/>
                <w:szCs w:val="22"/>
              </w:rPr>
              <w:t>$22.66</w:t>
            </w:r>
          </w:p>
        </w:tc>
      </w:tr>
      <w:tr w:rsidR="00F42EAB" w:rsidRPr="00E51746" w:rsidTr="0006074C">
        <w:trPr>
          <w:trHeight w:val="113"/>
        </w:trPr>
        <w:tc>
          <w:tcPr>
            <w:tcW w:w="1250" w:type="pct"/>
          </w:tcPr>
          <w:p w:rsidR="00F42EAB" w:rsidRPr="00FB5E0A" w:rsidRDefault="00F42EAB" w:rsidP="0006074C">
            <w:pPr>
              <w:rPr>
                <w:color w:val="0D0D0D" w:themeColor="text1" w:themeTint="F2"/>
                <w:szCs w:val="22"/>
              </w:rPr>
            </w:pPr>
            <w:r w:rsidRPr="00FB5E0A">
              <w:rPr>
                <w:color w:val="0D0D0D" w:themeColor="text1" w:themeTint="F2"/>
                <w:szCs w:val="22"/>
              </w:rPr>
              <w:t>Level 2</w:t>
            </w:r>
          </w:p>
        </w:tc>
        <w:tc>
          <w:tcPr>
            <w:tcW w:w="1250" w:type="pct"/>
          </w:tcPr>
          <w:p w:rsidR="00F42EAB" w:rsidRPr="00FB5E0A" w:rsidDel="00F478B8" w:rsidRDefault="00F42EAB" w:rsidP="0006074C">
            <w:pPr>
              <w:jc w:val="right"/>
              <w:rPr>
                <w:color w:val="0D0D0D" w:themeColor="text1" w:themeTint="F2"/>
                <w:szCs w:val="22"/>
              </w:rPr>
            </w:pPr>
            <w:r w:rsidRPr="00FB5E0A">
              <w:rPr>
                <w:color w:val="0D0D0D" w:themeColor="text1" w:themeTint="F2"/>
                <w:szCs w:val="22"/>
              </w:rPr>
              <w:t>$40.09</w:t>
            </w:r>
          </w:p>
        </w:tc>
        <w:tc>
          <w:tcPr>
            <w:tcW w:w="1250" w:type="pct"/>
          </w:tcPr>
          <w:p w:rsidR="00F42EAB" w:rsidRPr="00FB5E0A" w:rsidRDefault="00F42EAB" w:rsidP="0006074C">
            <w:pPr>
              <w:jc w:val="right"/>
              <w:rPr>
                <w:color w:val="0D0D0D" w:themeColor="text1" w:themeTint="F2"/>
                <w:szCs w:val="22"/>
              </w:rPr>
            </w:pPr>
            <w:r w:rsidRPr="00FB5E0A">
              <w:rPr>
                <w:color w:val="0D0D0D" w:themeColor="text1" w:themeTint="F2"/>
                <w:szCs w:val="22"/>
              </w:rPr>
              <w:t>$40.65</w:t>
            </w:r>
          </w:p>
        </w:tc>
        <w:tc>
          <w:tcPr>
            <w:tcW w:w="1250" w:type="pct"/>
          </w:tcPr>
          <w:p w:rsidR="00F42EAB" w:rsidRPr="00FB5E0A" w:rsidRDefault="00F42EAB" w:rsidP="0006074C">
            <w:pPr>
              <w:jc w:val="right"/>
              <w:rPr>
                <w:color w:val="0D0D0D" w:themeColor="text1" w:themeTint="F2"/>
                <w:szCs w:val="22"/>
              </w:rPr>
            </w:pPr>
            <w:r>
              <w:rPr>
                <w:color w:val="0D0D0D" w:themeColor="text1" w:themeTint="F2"/>
                <w:szCs w:val="22"/>
              </w:rPr>
              <w:t>$41.22</w:t>
            </w:r>
          </w:p>
        </w:tc>
      </w:tr>
      <w:tr w:rsidR="00F42EAB" w:rsidRPr="00E51746" w:rsidTr="0006074C">
        <w:trPr>
          <w:trHeight w:val="113"/>
        </w:trPr>
        <w:tc>
          <w:tcPr>
            <w:tcW w:w="1250" w:type="pct"/>
          </w:tcPr>
          <w:p w:rsidR="00F42EAB" w:rsidRPr="00FB5E0A" w:rsidRDefault="00F42EAB" w:rsidP="0006074C">
            <w:pPr>
              <w:rPr>
                <w:color w:val="0D0D0D" w:themeColor="text1" w:themeTint="F2"/>
                <w:szCs w:val="22"/>
              </w:rPr>
            </w:pPr>
            <w:r w:rsidRPr="00FB5E0A">
              <w:rPr>
                <w:color w:val="0D0D0D" w:themeColor="text1" w:themeTint="F2"/>
                <w:szCs w:val="22"/>
              </w:rPr>
              <w:t>Level 3</w:t>
            </w:r>
          </w:p>
        </w:tc>
        <w:tc>
          <w:tcPr>
            <w:tcW w:w="1250" w:type="pct"/>
          </w:tcPr>
          <w:p w:rsidR="00F42EAB" w:rsidRPr="00FB5E0A" w:rsidDel="00F478B8" w:rsidRDefault="00F42EAB" w:rsidP="0006074C">
            <w:pPr>
              <w:jc w:val="right"/>
              <w:rPr>
                <w:color w:val="0D0D0D" w:themeColor="text1" w:themeTint="F2"/>
                <w:szCs w:val="22"/>
              </w:rPr>
            </w:pPr>
            <w:r w:rsidRPr="00FB5E0A">
              <w:rPr>
                <w:color w:val="0D0D0D" w:themeColor="text1" w:themeTint="F2"/>
                <w:szCs w:val="22"/>
              </w:rPr>
              <w:t>$88.14</w:t>
            </w:r>
          </w:p>
        </w:tc>
        <w:tc>
          <w:tcPr>
            <w:tcW w:w="1250" w:type="pct"/>
          </w:tcPr>
          <w:p w:rsidR="00F42EAB" w:rsidRPr="00FB5E0A" w:rsidRDefault="00F42EAB" w:rsidP="0006074C">
            <w:pPr>
              <w:jc w:val="right"/>
              <w:rPr>
                <w:color w:val="0D0D0D" w:themeColor="text1" w:themeTint="F2"/>
                <w:szCs w:val="22"/>
              </w:rPr>
            </w:pPr>
            <w:r w:rsidRPr="00FB5E0A">
              <w:rPr>
                <w:color w:val="0D0D0D" w:themeColor="text1" w:themeTint="F2"/>
                <w:szCs w:val="22"/>
              </w:rPr>
              <w:t>$89.37</w:t>
            </w:r>
          </w:p>
        </w:tc>
        <w:tc>
          <w:tcPr>
            <w:tcW w:w="1250" w:type="pct"/>
          </w:tcPr>
          <w:p w:rsidR="00F42EAB" w:rsidRPr="00FB5E0A" w:rsidRDefault="00F42EAB" w:rsidP="0006074C">
            <w:pPr>
              <w:jc w:val="right"/>
              <w:rPr>
                <w:color w:val="0D0D0D" w:themeColor="text1" w:themeTint="F2"/>
                <w:szCs w:val="22"/>
              </w:rPr>
            </w:pPr>
            <w:r>
              <w:rPr>
                <w:color w:val="0D0D0D" w:themeColor="text1" w:themeTint="F2"/>
                <w:szCs w:val="22"/>
              </w:rPr>
              <w:t>$90.62</w:t>
            </w:r>
          </w:p>
        </w:tc>
      </w:tr>
      <w:tr w:rsidR="00F42EAB" w:rsidRPr="00E51746" w:rsidTr="0006074C">
        <w:trPr>
          <w:trHeight w:val="113"/>
        </w:trPr>
        <w:tc>
          <w:tcPr>
            <w:tcW w:w="1250" w:type="pct"/>
          </w:tcPr>
          <w:p w:rsidR="00F42EAB" w:rsidRPr="00FB5E0A" w:rsidRDefault="00F42EAB" w:rsidP="0006074C">
            <w:pPr>
              <w:rPr>
                <w:color w:val="0D0D0D" w:themeColor="text1" w:themeTint="F2"/>
                <w:szCs w:val="22"/>
              </w:rPr>
            </w:pPr>
            <w:r w:rsidRPr="00FB5E0A">
              <w:rPr>
                <w:color w:val="0D0D0D" w:themeColor="text1" w:themeTint="F2"/>
                <w:szCs w:val="22"/>
              </w:rPr>
              <w:t>Level 4</w:t>
            </w:r>
          </w:p>
        </w:tc>
        <w:tc>
          <w:tcPr>
            <w:tcW w:w="1250" w:type="pct"/>
          </w:tcPr>
          <w:p w:rsidR="00F42EAB" w:rsidRPr="00FB5E0A" w:rsidDel="00F478B8" w:rsidRDefault="00F42EAB" w:rsidP="0006074C">
            <w:pPr>
              <w:jc w:val="right"/>
              <w:rPr>
                <w:color w:val="0D0D0D" w:themeColor="text1" w:themeTint="F2"/>
                <w:szCs w:val="22"/>
              </w:rPr>
            </w:pPr>
            <w:r w:rsidRPr="00FB5E0A">
              <w:rPr>
                <w:color w:val="0D0D0D" w:themeColor="text1" w:themeTint="F2"/>
                <w:szCs w:val="22"/>
              </w:rPr>
              <w:t>$133.99</w:t>
            </w:r>
          </w:p>
        </w:tc>
        <w:tc>
          <w:tcPr>
            <w:tcW w:w="1250" w:type="pct"/>
          </w:tcPr>
          <w:p w:rsidR="00F42EAB" w:rsidRPr="00FB5E0A" w:rsidRDefault="00F42EAB" w:rsidP="0006074C">
            <w:pPr>
              <w:jc w:val="right"/>
              <w:rPr>
                <w:color w:val="0D0D0D" w:themeColor="text1" w:themeTint="F2"/>
                <w:szCs w:val="22"/>
              </w:rPr>
            </w:pPr>
            <w:r w:rsidRPr="00FB5E0A">
              <w:rPr>
                <w:color w:val="0D0D0D" w:themeColor="text1" w:themeTint="F2"/>
                <w:szCs w:val="22"/>
              </w:rPr>
              <w:t>$135.87</w:t>
            </w:r>
          </w:p>
        </w:tc>
        <w:tc>
          <w:tcPr>
            <w:tcW w:w="1250" w:type="pct"/>
          </w:tcPr>
          <w:p w:rsidR="00F42EAB" w:rsidRPr="00FB5E0A" w:rsidRDefault="00F42EAB" w:rsidP="0006074C">
            <w:pPr>
              <w:jc w:val="right"/>
              <w:rPr>
                <w:color w:val="0D0D0D" w:themeColor="text1" w:themeTint="F2"/>
                <w:szCs w:val="22"/>
              </w:rPr>
            </w:pPr>
            <w:r>
              <w:rPr>
                <w:color w:val="0D0D0D" w:themeColor="text1" w:themeTint="F2"/>
                <w:szCs w:val="22"/>
              </w:rPr>
              <w:t>$137.77</w:t>
            </w:r>
          </w:p>
        </w:tc>
      </w:tr>
    </w:tbl>
    <w:p w:rsidR="00E37CD0" w:rsidRDefault="00E37CD0" w:rsidP="0006074C"/>
    <w:p w:rsidR="000D09FA" w:rsidRPr="00596D01" w:rsidRDefault="00E37CD0" w:rsidP="0006074C">
      <w:pPr>
        <w:pStyle w:val="AppendixTable"/>
      </w:pPr>
      <w:r w:rsidRPr="00596D01">
        <w:t>Home care sup</w:t>
      </w:r>
      <w:r w:rsidR="002471FD" w:rsidRPr="00596D01">
        <w:t>plement amounts per day,</w:t>
      </w:r>
      <w:r w:rsidR="00A261F3" w:rsidRPr="00596D01">
        <w:t> 201</w:t>
      </w:r>
      <w:r w:rsidR="00F42EAB" w:rsidRPr="00596D01">
        <w:t>6</w:t>
      </w:r>
      <w:r w:rsidR="00D8721E" w:rsidRPr="00596D01">
        <w:t>–1</w:t>
      </w:r>
      <w:r w:rsidR="00F42EAB" w:rsidRPr="00596D01">
        <w:t>7 to</w:t>
      </w:r>
      <w:r w:rsidR="00A261F3" w:rsidRPr="00596D01">
        <w:t> 201</w:t>
      </w:r>
      <w:r w:rsidR="00F42EAB" w:rsidRPr="00596D01">
        <w:t>8</w:t>
      </w:r>
      <w:r w:rsidR="00D8721E" w:rsidRPr="00596D01">
        <w:t>–1</w:t>
      </w:r>
      <w:r w:rsidR="00F42EAB" w:rsidRPr="00596D01">
        <w:t>9</w:t>
      </w:r>
    </w:p>
    <w:tbl>
      <w:tblPr>
        <w:tblStyle w:val="DefaultTable1"/>
        <w:tblW w:w="5000" w:type="pct"/>
        <w:tblLayout w:type="fixed"/>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234"/>
        <w:gridCol w:w="1130"/>
        <w:gridCol w:w="1132"/>
        <w:gridCol w:w="1132"/>
      </w:tblGrid>
      <w:tr w:rsidR="00F42EAB" w:rsidRPr="00CE26EA"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237" w:type="pct"/>
            <w:noWrap/>
            <w:hideMark/>
          </w:tcPr>
          <w:p w:rsidR="00F42EAB" w:rsidRPr="00CE26EA" w:rsidRDefault="00F42EAB" w:rsidP="0006074C">
            <w:pPr>
              <w:spacing w:beforeLines="40" w:before="96"/>
              <w:rPr>
                <w:b w:val="0"/>
                <w:szCs w:val="22"/>
              </w:rPr>
            </w:pPr>
            <w:bookmarkStart w:id="1082" w:name="_What’s_currently_in"/>
            <w:bookmarkEnd w:id="1082"/>
            <w:r w:rsidRPr="00596D01">
              <w:t>Home care supplements</w:t>
            </w:r>
          </w:p>
        </w:tc>
        <w:tc>
          <w:tcPr>
            <w:tcW w:w="587" w:type="pct"/>
            <w:noWrap/>
            <w:hideMark/>
          </w:tcPr>
          <w:p w:rsidR="00F42EAB" w:rsidRPr="00C410A8" w:rsidRDefault="00F42EAB" w:rsidP="0006074C">
            <w:pPr>
              <w:spacing w:beforeLines="40" w:before="96"/>
              <w:jc w:val="right"/>
              <w:rPr>
                <w:b w:val="0"/>
                <w:sz w:val="22"/>
                <w:szCs w:val="22"/>
              </w:rPr>
            </w:pPr>
            <w:r w:rsidRPr="00596D01">
              <w:t>2016</w:t>
            </w:r>
            <w:r w:rsidR="00D8721E" w:rsidRPr="00596D01">
              <w:t>–1</w:t>
            </w:r>
            <w:r w:rsidRPr="00596D01">
              <w:t>7</w:t>
            </w:r>
          </w:p>
        </w:tc>
        <w:tc>
          <w:tcPr>
            <w:tcW w:w="588" w:type="pct"/>
          </w:tcPr>
          <w:p w:rsidR="00F42EAB" w:rsidRPr="00C410A8" w:rsidRDefault="00F42EAB" w:rsidP="0006074C">
            <w:pPr>
              <w:spacing w:beforeLines="40" w:before="96"/>
              <w:jc w:val="right"/>
              <w:rPr>
                <w:b w:val="0"/>
                <w:sz w:val="22"/>
                <w:szCs w:val="22"/>
              </w:rPr>
            </w:pPr>
            <w:r w:rsidRPr="00596D01">
              <w:t>2017</w:t>
            </w:r>
            <w:r w:rsidR="00D8721E" w:rsidRPr="00596D01">
              <w:t>–1</w:t>
            </w:r>
            <w:r w:rsidRPr="00596D01">
              <w:t>8</w:t>
            </w:r>
          </w:p>
        </w:tc>
        <w:tc>
          <w:tcPr>
            <w:tcW w:w="588" w:type="pct"/>
          </w:tcPr>
          <w:p w:rsidR="00F42EAB" w:rsidRPr="00596D01" w:rsidRDefault="00F42EAB" w:rsidP="0006074C">
            <w:pPr>
              <w:spacing w:beforeLines="40" w:before="96"/>
              <w:jc w:val="right"/>
            </w:pPr>
            <w:r w:rsidRPr="00596D01">
              <w:t>2018</w:t>
            </w:r>
            <w:r w:rsidR="00D8721E" w:rsidRPr="00596D01">
              <w:t>–1</w:t>
            </w:r>
            <w:r w:rsidRPr="00596D01">
              <w:t>9</w:t>
            </w:r>
          </w:p>
        </w:tc>
      </w:tr>
      <w:tr w:rsidR="0006074C" w:rsidRPr="00CE26EA" w:rsidTr="0006074C">
        <w:trPr>
          <w:trHeight w:val="113"/>
        </w:trPr>
        <w:tc>
          <w:tcPr>
            <w:tcW w:w="5000" w:type="pct"/>
            <w:gridSpan w:val="4"/>
            <w:shd w:val="clear" w:color="auto" w:fill="E8E8E8" w:themeFill="background2"/>
            <w:noWrap/>
            <w:hideMark/>
          </w:tcPr>
          <w:p w:rsidR="0006074C" w:rsidRPr="00596D01" w:rsidRDefault="0006074C" w:rsidP="0006074C">
            <w:pPr>
              <w:spacing w:beforeLines="40" w:before="96"/>
              <w:rPr>
                <w:rStyle w:val="Strong"/>
              </w:rPr>
            </w:pPr>
            <w:r w:rsidRPr="00596D01">
              <w:rPr>
                <w:rStyle w:val="Strong"/>
              </w:rPr>
              <w:t>Dementia and Cognition and Veterans’ supplement (10% of basic care subsidy)</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Level 1</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$2.20</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$2.24</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$2.67</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Level 2</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$4.01</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$4.07</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$4.12</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Level 3</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$8.81</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$8.94</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$9.06</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Level 4</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$13.40</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$13.59</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$13.78</w:t>
            </w:r>
          </w:p>
        </w:tc>
      </w:tr>
      <w:tr w:rsidR="0006074C" w:rsidRPr="00CE26EA" w:rsidTr="0006074C">
        <w:trPr>
          <w:trHeight w:val="113"/>
        </w:trPr>
        <w:tc>
          <w:tcPr>
            <w:tcW w:w="5000" w:type="pct"/>
            <w:gridSpan w:val="4"/>
            <w:shd w:val="clear" w:color="auto" w:fill="E8E8E8" w:themeFill="background2"/>
            <w:noWrap/>
          </w:tcPr>
          <w:p w:rsidR="0006074C" w:rsidRPr="00CE26EA" w:rsidRDefault="0006074C" w:rsidP="0006074C">
            <w:pPr>
              <w:spacing w:beforeLines="40" w:before="96"/>
              <w:rPr>
                <w:color w:val="0D0D0D" w:themeColor="text1" w:themeTint="F2"/>
                <w:szCs w:val="22"/>
              </w:rPr>
            </w:pPr>
            <w:r w:rsidRPr="00596D01">
              <w:rPr>
                <w:rStyle w:val="Strong"/>
              </w:rPr>
              <w:t>Other</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EACH-D Top Up supplement</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$2.66</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$2.69</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$2.73</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Oxygen Supplement</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$11.12</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$11.35</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$11.57</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Enteral Feeding supplement – Bolus</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$17.62</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$17.99</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$18.33</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sidRPr="00D8554F">
              <w:rPr>
                <w:color w:val="0D0D0D" w:themeColor="text1" w:themeTint="F2"/>
                <w:szCs w:val="22"/>
              </w:rPr>
              <w:t>Enteral Feeding supplement – Non–bolus</w:t>
            </w:r>
          </w:p>
        </w:tc>
        <w:tc>
          <w:tcPr>
            <w:tcW w:w="587" w:type="pct"/>
            <w:noWrap/>
          </w:tcPr>
          <w:p w:rsidR="00F42EAB" w:rsidRPr="00CE26EA" w:rsidRDefault="00F42EAB" w:rsidP="0006074C">
            <w:pPr>
              <w:spacing w:beforeLines="40" w:before="96"/>
              <w:jc w:val="right"/>
              <w:rPr>
                <w:color w:val="0D0D0D" w:themeColor="text1" w:themeTint="F2"/>
                <w:szCs w:val="22"/>
              </w:rPr>
            </w:pPr>
            <w:r>
              <w:rPr>
                <w:rFonts w:ascii="Segoe UI" w:hAnsi="Segoe UI" w:cs="Segoe UI"/>
                <w:color w:val="313131"/>
                <w:sz w:val="22"/>
                <w:szCs w:val="22"/>
              </w:rPr>
              <w:t>$19.79</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$20.21</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$22.91</w:t>
            </w:r>
          </w:p>
        </w:tc>
      </w:tr>
      <w:tr w:rsidR="0006074C" w:rsidRPr="00CE26EA" w:rsidTr="0006074C">
        <w:trPr>
          <w:trHeight w:val="113"/>
        </w:trPr>
        <w:tc>
          <w:tcPr>
            <w:tcW w:w="5000" w:type="pct"/>
            <w:gridSpan w:val="4"/>
            <w:shd w:val="clear" w:color="auto" w:fill="E8E8E8" w:themeFill="background2"/>
            <w:noWrap/>
          </w:tcPr>
          <w:p w:rsidR="0006074C" w:rsidRPr="00CE26EA" w:rsidRDefault="0006074C" w:rsidP="0006074C">
            <w:pPr>
              <w:spacing w:beforeLines="40" w:before="96"/>
              <w:rPr>
                <w:color w:val="0D0D0D" w:themeColor="text1" w:themeTint="F2"/>
                <w:szCs w:val="22"/>
              </w:rPr>
            </w:pPr>
            <w:r w:rsidRPr="00596D01">
              <w:rPr>
                <w:rStyle w:val="Strong"/>
              </w:rPr>
              <w:t>Home Care Viability supplement – Modified Monash Model classification</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Pr>
                <w:color w:val="0D0D0D" w:themeColor="text1" w:themeTint="F2"/>
                <w:szCs w:val="22"/>
              </w:rPr>
              <w:t>MMM 1,2,3</w:t>
            </w:r>
          </w:p>
        </w:tc>
        <w:tc>
          <w:tcPr>
            <w:tcW w:w="587" w:type="pct"/>
            <w:noWrap/>
          </w:tcPr>
          <w:p w:rsidR="00F42EAB" w:rsidRDefault="00F42EAB" w:rsidP="0006074C">
            <w:pPr>
              <w:spacing w:beforeLines="40" w:before="96"/>
              <w:jc w:val="right"/>
            </w:pPr>
            <w:r w:rsidRPr="00A24D51">
              <w:rPr>
                <w:color w:val="0D0D0D" w:themeColor="text1" w:themeTint="F2"/>
                <w:szCs w:val="22"/>
              </w:rPr>
              <w:t>-</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$0.00</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$0.00</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Pr>
                <w:color w:val="0D0D0D" w:themeColor="text1" w:themeTint="F2"/>
                <w:szCs w:val="22"/>
              </w:rPr>
              <w:t>MMM 4</w:t>
            </w:r>
          </w:p>
        </w:tc>
        <w:tc>
          <w:tcPr>
            <w:tcW w:w="587" w:type="pct"/>
            <w:noWrap/>
          </w:tcPr>
          <w:p w:rsidR="00F42EAB" w:rsidRDefault="00F42EAB" w:rsidP="0006074C">
            <w:pPr>
              <w:spacing w:beforeLines="40" w:before="96"/>
              <w:jc w:val="right"/>
            </w:pPr>
            <w:r w:rsidRPr="00A24D51">
              <w:rPr>
                <w:color w:val="0D0D0D" w:themeColor="text1" w:themeTint="F2"/>
                <w:szCs w:val="22"/>
              </w:rPr>
              <w:t>-</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$1.04</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$1.05</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Pr>
                <w:color w:val="0D0D0D" w:themeColor="text1" w:themeTint="F2"/>
                <w:szCs w:val="22"/>
              </w:rPr>
              <w:t>MMM 5</w:t>
            </w:r>
          </w:p>
        </w:tc>
        <w:tc>
          <w:tcPr>
            <w:tcW w:w="587" w:type="pct"/>
            <w:noWrap/>
          </w:tcPr>
          <w:p w:rsidR="00F42EAB" w:rsidRDefault="00F42EAB" w:rsidP="0006074C">
            <w:pPr>
              <w:spacing w:beforeLines="40" w:before="96"/>
              <w:jc w:val="right"/>
            </w:pPr>
            <w:r w:rsidRPr="00A24D51">
              <w:rPr>
                <w:color w:val="0D0D0D" w:themeColor="text1" w:themeTint="F2"/>
                <w:szCs w:val="22"/>
              </w:rPr>
              <w:t>-</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$2.29</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$2.32</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Pr>
                <w:color w:val="0D0D0D" w:themeColor="text1" w:themeTint="F2"/>
                <w:szCs w:val="22"/>
              </w:rPr>
              <w:t>MMM 6</w:t>
            </w:r>
          </w:p>
        </w:tc>
        <w:tc>
          <w:tcPr>
            <w:tcW w:w="587" w:type="pct"/>
            <w:noWrap/>
          </w:tcPr>
          <w:p w:rsidR="00F42EAB" w:rsidRDefault="00F42EAB" w:rsidP="0006074C">
            <w:pPr>
              <w:spacing w:beforeLines="40" w:before="96"/>
              <w:jc w:val="right"/>
            </w:pPr>
            <w:r w:rsidRPr="00A24D51">
              <w:rPr>
                <w:color w:val="0D0D0D" w:themeColor="text1" w:themeTint="F2"/>
                <w:szCs w:val="22"/>
              </w:rPr>
              <w:t>-</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$15.16</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$15.37</w:t>
            </w:r>
          </w:p>
        </w:tc>
      </w:tr>
      <w:tr w:rsidR="00F42EAB" w:rsidRPr="00CE26EA" w:rsidTr="0006074C">
        <w:trPr>
          <w:trHeight w:val="113"/>
        </w:trPr>
        <w:tc>
          <w:tcPr>
            <w:tcW w:w="3237" w:type="pct"/>
            <w:noWrap/>
            <w:hideMark/>
          </w:tcPr>
          <w:p w:rsidR="00F42EAB" w:rsidRPr="00D8554F" w:rsidRDefault="00F42EAB" w:rsidP="0006074C">
            <w:pPr>
              <w:spacing w:beforeLines="40" w:before="96"/>
              <w:rPr>
                <w:color w:val="0D0D0D" w:themeColor="text1" w:themeTint="F2"/>
                <w:szCs w:val="22"/>
              </w:rPr>
            </w:pPr>
            <w:r>
              <w:rPr>
                <w:color w:val="0D0D0D" w:themeColor="text1" w:themeTint="F2"/>
                <w:szCs w:val="22"/>
              </w:rPr>
              <w:t>MMM 7</w:t>
            </w:r>
          </w:p>
        </w:tc>
        <w:tc>
          <w:tcPr>
            <w:tcW w:w="587" w:type="pct"/>
            <w:noWrap/>
          </w:tcPr>
          <w:p w:rsidR="00F42EAB" w:rsidRDefault="00F42EAB" w:rsidP="0006074C">
            <w:pPr>
              <w:spacing w:beforeLines="40" w:before="96"/>
              <w:jc w:val="right"/>
            </w:pPr>
            <w:r w:rsidRPr="00A24D51">
              <w:rPr>
                <w:color w:val="0D0D0D" w:themeColor="text1" w:themeTint="F2"/>
                <w:szCs w:val="22"/>
              </w:rPr>
              <w:t>-</w:t>
            </w:r>
          </w:p>
        </w:tc>
        <w:tc>
          <w:tcPr>
            <w:tcW w:w="588" w:type="pct"/>
          </w:tcPr>
          <w:p w:rsidR="00F42EAB" w:rsidRPr="00CE26EA" w:rsidRDefault="00F42EAB" w:rsidP="0006074C">
            <w:pPr>
              <w:spacing w:beforeLines="40" w:before="96"/>
              <w:jc w:val="right"/>
              <w:rPr>
                <w:color w:val="0D0D0D" w:themeColor="text1" w:themeTint="F2"/>
                <w:szCs w:val="22"/>
              </w:rPr>
            </w:pPr>
            <w:r>
              <w:rPr>
                <w:color w:val="0D0D0D" w:themeColor="text1" w:themeTint="F2"/>
                <w:szCs w:val="22"/>
              </w:rPr>
              <w:t>$18.20</w:t>
            </w:r>
          </w:p>
        </w:tc>
        <w:tc>
          <w:tcPr>
            <w:tcW w:w="588" w:type="pct"/>
          </w:tcPr>
          <w:p w:rsidR="00F42EAB" w:rsidRDefault="00F42EAB" w:rsidP="0006074C">
            <w:pPr>
              <w:spacing w:beforeLines="40" w:before="96"/>
              <w:jc w:val="right"/>
              <w:rPr>
                <w:color w:val="0D0D0D" w:themeColor="text1" w:themeTint="F2"/>
                <w:szCs w:val="22"/>
              </w:rPr>
            </w:pPr>
            <w:r>
              <w:rPr>
                <w:color w:val="0D0D0D" w:themeColor="text1" w:themeTint="F2"/>
                <w:szCs w:val="22"/>
              </w:rPr>
              <w:t>$18.45</w:t>
            </w:r>
          </w:p>
        </w:tc>
      </w:tr>
    </w:tbl>
    <w:p w:rsidR="00C30FD9" w:rsidRPr="002471FD" w:rsidRDefault="00C30FD9" w:rsidP="0006074C">
      <w:pPr>
        <w:pStyle w:val="SourceNotes"/>
        <w:rPr>
          <w:rFonts w:ascii="Segoe UI" w:hAnsi="Segoe UI" w:cs="Segoe UI"/>
          <w:b/>
          <w:color w:val="auto"/>
          <w:szCs w:val="16"/>
        </w:rPr>
      </w:pPr>
      <w:r w:rsidRPr="00596D01">
        <w:t>Note: the MMM classification scale was implement on 1 January</w:t>
      </w:r>
      <w:r w:rsidR="00A261F3" w:rsidRPr="00596D01">
        <w:t> 201</w:t>
      </w:r>
      <w:r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232"/>
        <w:gridCol w:w="1132"/>
        <w:gridCol w:w="1132"/>
        <w:gridCol w:w="1132"/>
      </w:tblGrid>
      <w:tr w:rsidR="00F42EAB" w:rsidRPr="0006074C" w:rsidTr="003A6DD9">
        <w:trPr>
          <w:cnfStyle w:val="100000000000" w:firstRow="1" w:lastRow="0" w:firstColumn="0" w:lastColumn="0" w:oddVBand="0" w:evenVBand="0" w:oddHBand="0" w:evenHBand="0" w:firstRowFirstColumn="0" w:firstRowLastColumn="0" w:lastRowFirstColumn="0" w:lastRowLastColumn="0"/>
          <w:trHeight w:val="113"/>
          <w:tblHeader/>
        </w:trPr>
        <w:tc>
          <w:tcPr>
            <w:tcW w:w="3236" w:type="pct"/>
            <w:noWrap/>
          </w:tcPr>
          <w:p w:rsidR="00F42EAB" w:rsidRPr="0006074C" w:rsidRDefault="00F42EAB" w:rsidP="0006074C">
            <w:pPr>
              <w:rPr>
                <w:rStyle w:val="Strong"/>
              </w:rPr>
            </w:pPr>
          </w:p>
        </w:tc>
        <w:tc>
          <w:tcPr>
            <w:tcW w:w="588" w:type="pct"/>
            <w:noWrap/>
          </w:tcPr>
          <w:p w:rsidR="00F42EAB" w:rsidRPr="0006074C" w:rsidRDefault="00F42EAB" w:rsidP="0006074C">
            <w:pPr>
              <w:jc w:val="right"/>
            </w:pPr>
            <w:r w:rsidRPr="0006074C">
              <w:t>2016</w:t>
            </w:r>
            <w:r w:rsidR="00D8721E" w:rsidRPr="0006074C">
              <w:t>–1</w:t>
            </w:r>
            <w:r w:rsidRPr="0006074C">
              <w:t>7</w:t>
            </w:r>
          </w:p>
        </w:tc>
        <w:tc>
          <w:tcPr>
            <w:tcW w:w="588" w:type="pct"/>
          </w:tcPr>
          <w:p w:rsidR="00F42EAB" w:rsidRPr="0006074C" w:rsidRDefault="00F42EAB" w:rsidP="0006074C">
            <w:pPr>
              <w:jc w:val="right"/>
            </w:pPr>
            <w:r w:rsidRPr="0006074C">
              <w:t>2017</w:t>
            </w:r>
            <w:r w:rsidR="00D8721E" w:rsidRPr="0006074C">
              <w:t>–1</w:t>
            </w:r>
            <w:r w:rsidRPr="0006074C">
              <w:t>8</w:t>
            </w:r>
          </w:p>
        </w:tc>
        <w:tc>
          <w:tcPr>
            <w:tcW w:w="588" w:type="pct"/>
          </w:tcPr>
          <w:p w:rsidR="00F42EAB" w:rsidRPr="0006074C" w:rsidRDefault="00F42EAB" w:rsidP="0006074C">
            <w:pPr>
              <w:jc w:val="right"/>
            </w:pPr>
            <w:r w:rsidRPr="0006074C">
              <w:t>2018</w:t>
            </w:r>
            <w:r w:rsidR="00D8721E" w:rsidRPr="0006074C">
              <w:t>–1</w:t>
            </w:r>
            <w:r w:rsidRPr="0006074C">
              <w:t>9</w:t>
            </w:r>
          </w:p>
        </w:tc>
      </w:tr>
      <w:tr w:rsidR="0006074C" w:rsidRPr="0006074C" w:rsidTr="00303CD5">
        <w:trPr>
          <w:trHeight w:val="113"/>
        </w:trPr>
        <w:tc>
          <w:tcPr>
            <w:tcW w:w="5000" w:type="pct"/>
            <w:gridSpan w:val="4"/>
            <w:shd w:val="clear" w:color="auto" w:fill="E8E8E8" w:themeFill="background2"/>
            <w:noWrap/>
          </w:tcPr>
          <w:p w:rsidR="0006074C" w:rsidRPr="0006074C" w:rsidRDefault="0006074C" w:rsidP="00303CD5">
            <w:r w:rsidRPr="0006074C">
              <w:rPr>
                <w:rStyle w:val="Strong"/>
              </w:rPr>
              <w:t>Home Care Viability supplement – ARIA value viability supplement amount</w:t>
            </w:r>
          </w:p>
        </w:tc>
      </w:tr>
      <w:tr w:rsidR="00F42EAB" w:rsidRPr="0006074C" w:rsidTr="0006074C">
        <w:trPr>
          <w:trHeight w:val="113"/>
        </w:trPr>
        <w:tc>
          <w:tcPr>
            <w:tcW w:w="3236" w:type="pct"/>
            <w:noWrap/>
            <w:hideMark/>
          </w:tcPr>
          <w:p w:rsidR="00F42EAB" w:rsidRPr="0006074C" w:rsidRDefault="00F42EAB" w:rsidP="0006074C">
            <w:r w:rsidRPr="0006074C">
              <w:t>ARIA Score 0 to 3.51 inclusive</w:t>
            </w:r>
          </w:p>
        </w:tc>
        <w:tc>
          <w:tcPr>
            <w:tcW w:w="588" w:type="pct"/>
            <w:noWrap/>
          </w:tcPr>
          <w:p w:rsidR="00F42EAB" w:rsidRPr="0006074C" w:rsidRDefault="00F42EAB" w:rsidP="0006074C">
            <w:pPr>
              <w:jc w:val="right"/>
            </w:pPr>
            <w:r w:rsidRPr="0006074C">
              <w:t>$0.00</w:t>
            </w:r>
          </w:p>
        </w:tc>
        <w:tc>
          <w:tcPr>
            <w:tcW w:w="588" w:type="pct"/>
          </w:tcPr>
          <w:p w:rsidR="00F42EAB" w:rsidRPr="0006074C" w:rsidRDefault="00F42EAB" w:rsidP="0006074C">
            <w:pPr>
              <w:jc w:val="right"/>
            </w:pPr>
            <w:r w:rsidRPr="0006074C">
              <w:t>$0.00</w:t>
            </w:r>
          </w:p>
        </w:tc>
        <w:tc>
          <w:tcPr>
            <w:tcW w:w="588" w:type="pct"/>
          </w:tcPr>
          <w:p w:rsidR="00F42EAB" w:rsidRPr="0006074C" w:rsidRDefault="00F42EAB" w:rsidP="0006074C">
            <w:pPr>
              <w:jc w:val="right"/>
            </w:pPr>
            <w:r w:rsidRPr="0006074C">
              <w:t>$0.00</w:t>
            </w:r>
          </w:p>
        </w:tc>
      </w:tr>
      <w:tr w:rsidR="00F42EAB" w:rsidRPr="0006074C" w:rsidTr="0006074C">
        <w:trPr>
          <w:trHeight w:val="113"/>
        </w:trPr>
        <w:tc>
          <w:tcPr>
            <w:tcW w:w="3236" w:type="pct"/>
            <w:noWrap/>
            <w:hideMark/>
          </w:tcPr>
          <w:p w:rsidR="00F42EAB" w:rsidRPr="0006074C" w:rsidRDefault="00F42EAB" w:rsidP="0006074C">
            <w:r w:rsidRPr="0006074C">
              <w:t>ARIA Score 3.52 to 4.66 inclusive</w:t>
            </w:r>
          </w:p>
        </w:tc>
        <w:tc>
          <w:tcPr>
            <w:tcW w:w="588" w:type="pct"/>
            <w:noWrap/>
          </w:tcPr>
          <w:p w:rsidR="00F42EAB" w:rsidRPr="0006074C" w:rsidRDefault="00F42EAB" w:rsidP="0006074C">
            <w:pPr>
              <w:jc w:val="right"/>
            </w:pPr>
            <w:r w:rsidRPr="0006074C">
              <w:t>$5.30</w:t>
            </w:r>
          </w:p>
        </w:tc>
        <w:tc>
          <w:tcPr>
            <w:tcW w:w="588" w:type="pct"/>
          </w:tcPr>
          <w:p w:rsidR="00F42EAB" w:rsidRPr="0006074C" w:rsidRDefault="00F42EAB" w:rsidP="0006074C">
            <w:pPr>
              <w:jc w:val="right"/>
            </w:pPr>
            <w:r w:rsidRPr="0006074C">
              <w:t>$5.37</w:t>
            </w:r>
          </w:p>
        </w:tc>
        <w:tc>
          <w:tcPr>
            <w:tcW w:w="588" w:type="pct"/>
          </w:tcPr>
          <w:p w:rsidR="00F42EAB" w:rsidRPr="0006074C" w:rsidRDefault="00F42EAB" w:rsidP="0006074C">
            <w:pPr>
              <w:jc w:val="right"/>
            </w:pPr>
            <w:r w:rsidRPr="0006074C">
              <w:t>$5.45</w:t>
            </w:r>
          </w:p>
        </w:tc>
      </w:tr>
      <w:tr w:rsidR="00F42EAB" w:rsidRPr="0006074C" w:rsidTr="0006074C">
        <w:trPr>
          <w:trHeight w:val="113"/>
        </w:trPr>
        <w:tc>
          <w:tcPr>
            <w:tcW w:w="3236" w:type="pct"/>
            <w:noWrap/>
            <w:hideMark/>
          </w:tcPr>
          <w:p w:rsidR="00F42EAB" w:rsidRPr="0006074C" w:rsidRDefault="00F42EAB" w:rsidP="0006074C">
            <w:r w:rsidRPr="0006074C">
              <w:t>ARIA Score 4.67 to 5.80 inclusive</w:t>
            </w:r>
          </w:p>
        </w:tc>
        <w:tc>
          <w:tcPr>
            <w:tcW w:w="588" w:type="pct"/>
            <w:noWrap/>
          </w:tcPr>
          <w:p w:rsidR="00F42EAB" w:rsidRPr="0006074C" w:rsidRDefault="00F42EAB" w:rsidP="0006074C">
            <w:pPr>
              <w:jc w:val="right"/>
            </w:pPr>
            <w:r w:rsidRPr="0006074C">
              <w:t>$6.36</w:t>
            </w:r>
          </w:p>
        </w:tc>
        <w:tc>
          <w:tcPr>
            <w:tcW w:w="588" w:type="pct"/>
          </w:tcPr>
          <w:p w:rsidR="00F42EAB" w:rsidRPr="0006074C" w:rsidRDefault="00F42EAB" w:rsidP="0006074C">
            <w:pPr>
              <w:jc w:val="right"/>
            </w:pPr>
            <w:r w:rsidRPr="0006074C">
              <w:t>$6.45</w:t>
            </w:r>
          </w:p>
        </w:tc>
        <w:tc>
          <w:tcPr>
            <w:tcW w:w="588" w:type="pct"/>
          </w:tcPr>
          <w:p w:rsidR="00F42EAB" w:rsidRPr="0006074C" w:rsidRDefault="00F42EAB" w:rsidP="0006074C">
            <w:pPr>
              <w:jc w:val="right"/>
            </w:pPr>
            <w:r w:rsidRPr="0006074C">
              <w:t>$6.54</w:t>
            </w:r>
          </w:p>
        </w:tc>
      </w:tr>
      <w:tr w:rsidR="00F42EAB" w:rsidRPr="0006074C" w:rsidTr="0006074C">
        <w:trPr>
          <w:trHeight w:val="113"/>
        </w:trPr>
        <w:tc>
          <w:tcPr>
            <w:tcW w:w="3236" w:type="pct"/>
            <w:noWrap/>
            <w:hideMark/>
          </w:tcPr>
          <w:p w:rsidR="00F42EAB" w:rsidRPr="0006074C" w:rsidRDefault="00F42EAB" w:rsidP="0006074C">
            <w:r w:rsidRPr="0006074C">
              <w:t>ARIA Score 5.81 to 7.44 inclusive</w:t>
            </w:r>
          </w:p>
        </w:tc>
        <w:tc>
          <w:tcPr>
            <w:tcW w:w="588" w:type="pct"/>
            <w:noWrap/>
          </w:tcPr>
          <w:p w:rsidR="00F42EAB" w:rsidRPr="0006074C" w:rsidRDefault="00F42EAB" w:rsidP="0006074C">
            <w:pPr>
              <w:jc w:val="right"/>
            </w:pPr>
            <w:r w:rsidRPr="0006074C">
              <w:t>$8.90</w:t>
            </w:r>
          </w:p>
        </w:tc>
        <w:tc>
          <w:tcPr>
            <w:tcW w:w="588" w:type="pct"/>
          </w:tcPr>
          <w:p w:rsidR="00F42EAB" w:rsidRPr="0006074C" w:rsidRDefault="00F42EAB" w:rsidP="0006074C">
            <w:pPr>
              <w:jc w:val="right"/>
            </w:pPr>
            <w:r w:rsidRPr="0006074C">
              <w:t>$9.02</w:t>
            </w:r>
          </w:p>
        </w:tc>
        <w:tc>
          <w:tcPr>
            <w:tcW w:w="588" w:type="pct"/>
          </w:tcPr>
          <w:p w:rsidR="00F42EAB" w:rsidRPr="0006074C" w:rsidRDefault="00F42EAB" w:rsidP="0006074C">
            <w:pPr>
              <w:jc w:val="right"/>
            </w:pPr>
            <w:r w:rsidRPr="0006074C">
              <w:t>$9.15</w:t>
            </w:r>
          </w:p>
        </w:tc>
      </w:tr>
      <w:tr w:rsidR="00F42EAB" w:rsidRPr="0006074C" w:rsidTr="0006074C">
        <w:trPr>
          <w:trHeight w:val="113"/>
        </w:trPr>
        <w:tc>
          <w:tcPr>
            <w:tcW w:w="3236" w:type="pct"/>
            <w:noWrap/>
            <w:hideMark/>
          </w:tcPr>
          <w:p w:rsidR="00F42EAB" w:rsidRPr="0006074C" w:rsidRDefault="00F42EAB" w:rsidP="0006074C">
            <w:r w:rsidRPr="0006074C">
              <w:t>ARIA Score 7.45 to 9.08 inclusive</w:t>
            </w:r>
          </w:p>
        </w:tc>
        <w:tc>
          <w:tcPr>
            <w:tcW w:w="588" w:type="pct"/>
            <w:noWrap/>
          </w:tcPr>
          <w:p w:rsidR="00F42EAB" w:rsidRPr="0006074C" w:rsidRDefault="00F42EAB" w:rsidP="0006074C">
            <w:pPr>
              <w:jc w:val="right"/>
            </w:pPr>
            <w:r w:rsidRPr="0006074C">
              <w:t>$10.69</w:t>
            </w:r>
          </w:p>
        </w:tc>
        <w:tc>
          <w:tcPr>
            <w:tcW w:w="588" w:type="pct"/>
          </w:tcPr>
          <w:p w:rsidR="00F42EAB" w:rsidRPr="0006074C" w:rsidRDefault="00F42EAB" w:rsidP="0006074C">
            <w:pPr>
              <w:jc w:val="right"/>
            </w:pPr>
            <w:r w:rsidRPr="0006074C">
              <w:t>$10.84</w:t>
            </w:r>
          </w:p>
        </w:tc>
        <w:tc>
          <w:tcPr>
            <w:tcW w:w="588" w:type="pct"/>
          </w:tcPr>
          <w:p w:rsidR="00F42EAB" w:rsidRPr="0006074C" w:rsidRDefault="00F42EAB" w:rsidP="0006074C">
            <w:pPr>
              <w:jc w:val="right"/>
            </w:pPr>
            <w:r w:rsidRPr="0006074C">
              <w:t>$10.99</w:t>
            </w:r>
          </w:p>
        </w:tc>
      </w:tr>
      <w:tr w:rsidR="00F42EAB" w:rsidRPr="0006074C" w:rsidTr="0006074C">
        <w:trPr>
          <w:trHeight w:val="113"/>
        </w:trPr>
        <w:tc>
          <w:tcPr>
            <w:tcW w:w="3236" w:type="pct"/>
            <w:noWrap/>
            <w:hideMark/>
          </w:tcPr>
          <w:p w:rsidR="00F42EAB" w:rsidRPr="0006074C" w:rsidRDefault="00F42EAB" w:rsidP="0006074C">
            <w:r w:rsidRPr="0006074C">
              <w:t>ARIA Score 9.09 to 10.54 inclusive</w:t>
            </w:r>
          </w:p>
        </w:tc>
        <w:tc>
          <w:tcPr>
            <w:tcW w:w="588" w:type="pct"/>
            <w:noWrap/>
          </w:tcPr>
          <w:p w:rsidR="00F42EAB" w:rsidRPr="0006074C" w:rsidRDefault="00F42EAB" w:rsidP="0006074C">
            <w:pPr>
              <w:jc w:val="right"/>
            </w:pPr>
            <w:r w:rsidRPr="0006074C">
              <w:t>$14.95</w:t>
            </w:r>
          </w:p>
        </w:tc>
        <w:tc>
          <w:tcPr>
            <w:tcW w:w="588" w:type="pct"/>
          </w:tcPr>
          <w:p w:rsidR="00F42EAB" w:rsidRPr="0006074C" w:rsidRDefault="00F42EAB" w:rsidP="0006074C">
            <w:pPr>
              <w:jc w:val="right"/>
            </w:pPr>
            <w:r w:rsidRPr="0006074C">
              <w:t>$15.16</w:t>
            </w:r>
          </w:p>
        </w:tc>
        <w:tc>
          <w:tcPr>
            <w:tcW w:w="588" w:type="pct"/>
          </w:tcPr>
          <w:p w:rsidR="00F42EAB" w:rsidRPr="0006074C" w:rsidRDefault="00F42EAB" w:rsidP="0006074C">
            <w:pPr>
              <w:jc w:val="right"/>
            </w:pPr>
            <w:r w:rsidRPr="0006074C">
              <w:t>$15.37</w:t>
            </w:r>
          </w:p>
        </w:tc>
      </w:tr>
      <w:tr w:rsidR="00F42EAB" w:rsidRPr="0006074C" w:rsidTr="0006074C">
        <w:trPr>
          <w:trHeight w:val="113"/>
        </w:trPr>
        <w:tc>
          <w:tcPr>
            <w:tcW w:w="3236" w:type="pct"/>
            <w:noWrap/>
            <w:hideMark/>
          </w:tcPr>
          <w:p w:rsidR="00F42EAB" w:rsidRPr="0006074C" w:rsidRDefault="00F42EAB" w:rsidP="0006074C">
            <w:r w:rsidRPr="0006074C">
              <w:t>ARIA Score 10.55 to 12.00 inclusive</w:t>
            </w:r>
          </w:p>
        </w:tc>
        <w:tc>
          <w:tcPr>
            <w:tcW w:w="588" w:type="pct"/>
            <w:noWrap/>
          </w:tcPr>
          <w:p w:rsidR="00F42EAB" w:rsidRPr="0006074C" w:rsidRDefault="00F42EAB" w:rsidP="0006074C">
            <w:pPr>
              <w:jc w:val="right"/>
            </w:pPr>
            <w:r w:rsidRPr="0006074C">
              <w:t>$17.95</w:t>
            </w:r>
          </w:p>
        </w:tc>
        <w:tc>
          <w:tcPr>
            <w:tcW w:w="588" w:type="pct"/>
          </w:tcPr>
          <w:p w:rsidR="00F42EAB" w:rsidRPr="0006074C" w:rsidRDefault="00F42EAB" w:rsidP="0006074C">
            <w:pPr>
              <w:jc w:val="right"/>
            </w:pPr>
            <w:r w:rsidRPr="0006074C">
              <w:t>$18.20</w:t>
            </w:r>
          </w:p>
        </w:tc>
        <w:tc>
          <w:tcPr>
            <w:tcW w:w="588" w:type="pct"/>
          </w:tcPr>
          <w:p w:rsidR="00F42EAB" w:rsidRPr="0006074C" w:rsidRDefault="00F42EAB" w:rsidP="0006074C">
            <w:pPr>
              <w:jc w:val="right"/>
            </w:pPr>
            <w:r w:rsidRPr="0006074C">
              <w:t>$18.45</w:t>
            </w:r>
          </w:p>
        </w:tc>
      </w:tr>
    </w:tbl>
    <w:p w:rsidR="00D8721E" w:rsidRDefault="002471FD" w:rsidP="0006074C">
      <w:pPr>
        <w:pStyle w:val="SourceNotes"/>
        <w:rPr>
          <w:rFonts w:ascii="Segoe UI" w:hAnsi="Segoe UI" w:cs="Segoe UI"/>
          <w:b/>
          <w:color w:val="auto"/>
          <w:szCs w:val="16"/>
        </w:rPr>
      </w:pPr>
      <w:r w:rsidRPr="002471FD">
        <w:rPr>
          <w:rFonts w:ascii="Segoe UI" w:hAnsi="Segoe UI" w:cs="Segoe UI"/>
          <w:color w:val="auto"/>
          <w:szCs w:val="16"/>
        </w:rPr>
        <w:t>Note: the MMM classification scale was implement on 1 January</w:t>
      </w:r>
      <w:r w:rsidR="00A261F3">
        <w:rPr>
          <w:rFonts w:ascii="Segoe UI" w:hAnsi="Segoe UI" w:cs="Segoe UI"/>
          <w:color w:val="auto"/>
          <w:szCs w:val="16"/>
        </w:rPr>
        <w:t> 201</w:t>
      </w:r>
      <w:r w:rsidRPr="002471FD">
        <w:rPr>
          <w:rFonts w:ascii="Segoe UI" w:hAnsi="Segoe UI" w:cs="Segoe UI"/>
          <w:color w:val="auto"/>
          <w:szCs w:val="16"/>
        </w:rPr>
        <w:t>7</w:t>
      </w:r>
    </w:p>
    <w:p w:rsidR="00694587" w:rsidRPr="00596D01" w:rsidRDefault="005754A2" w:rsidP="0006074C">
      <w:pPr>
        <w:pStyle w:val="AppendixTable"/>
      </w:pPr>
      <w:r w:rsidRPr="00596D01">
        <w:t xml:space="preserve">Summary of Australian Government payments </w:t>
      </w:r>
      <w:r w:rsidR="00FD22F3" w:rsidRPr="00596D01">
        <w:t>of</w:t>
      </w:r>
      <w:r w:rsidRPr="00596D01">
        <w:t xml:space="preserve"> subsidies and supplements of home care,</w:t>
      </w:r>
      <w:r w:rsidR="00A261F3" w:rsidRPr="00596D01">
        <w:t> 201</w:t>
      </w:r>
      <w:r w:rsidRPr="00596D01">
        <w:t>5</w:t>
      </w:r>
      <w:r w:rsidR="00D8721E" w:rsidRPr="00596D01">
        <w:t>–1</w:t>
      </w:r>
      <w:r w:rsidRPr="00596D01">
        <w:t>6</w:t>
      </w:r>
      <w:r w:rsidR="00C02D8E" w:rsidRPr="00596D01">
        <w:t xml:space="preserve"> to</w:t>
      </w:r>
      <w:r w:rsidR="00A261F3" w:rsidRPr="00596D01">
        <w:t> 201</w:t>
      </w:r>
      <w:r w:rsidR="00C02D8E" w:rsidRPr="00596D01">
        <w:t>6</w:t>
      </w:r>
      <w:r w:rsidR="00D8721E" w:rsidRPr="00596D01">
        <w:t>–1</w:t>
      </w:r>
      <w:r w:rsidR="00C02D8E" w:rsidRPr="00596D01">
        <w:t>7</w:t>
      </w:r>
    </w:p>
    <w:tbl>
      <w:tblPr>
        <w:tblStyle w:val="DefaultTable1"/>
        <w:tblW w:w="5000" w:type="pct"/>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7366"/>
        <w:gridCol w:w="1134"/>
        <w:gridCol w:w="1128"/>
      </w:tblGrid>
      <w:tr w:rsidR="00C02D8E" w:rsidRPr="0006074C" w:rsidTr="00303CD5">
        <w:trPr>
          <w:cnfStyle w:val="100000000000" w:firstRow="1" w:lastRow="0" w:firstColumn="0" w:lastColumn="0" w:oddVBand="0" w:evenVBand="0" w:oddHBand="0" w:evenHBand="0" w:firstRowFirstColumn="0" w:firstRowLastColumn="0" w:lastRowFirstColumn="0" w:lastRowLastColumn="0"/>
          <w:trHeight w:val="113"/>
          <w:tblHeader/>
        </w:trPr>
        <w:tc>
          <w:tcPr>
            <w:tcW w:w="3825" w:type="pct"/>
          </w:tcPr>
          <w:p w:rsidR="00C02D8E" w:rsidRPr="0006074C" w:rsidRDefault="00C02D8E" w:rsidP="0006074C">
            <w:r w:rsidRPr="0006074C">
              <w:t>Supplement</w:t>
            </w:r>
          </w:p>
        </w:tc>
        <w:tc>
          <w:tcPr>
            <w:tcW w:w="589" w:type="pct"/>
          </w:tcPr>
          <w:p w:rsidR="00C02D8E" w:rsidRPr="0006074C" w:rsidRDefault="00C02D8E" w:rsidP="0006074C">
            <w:pPr>
              <w:jc w:val="right"/>
            </w:pPr>
            <w:r w:rsidRPr="0006074C">
              <w:t>2015</w:t>
            </w:r>
            <w:r w:rsidR="00D8721E" w:rsidRPr="0006074C">
              <w:t>–1</w:t>
            </w:r>
            <w:r w:rsidRPr="0006074C">
              <w:t>6</w:t>
            </w:r>
          </w:p>
        </w:tc>
        <w:tc>
          <w:tcPr>
            <w:tcW w:w="586" w:type="pct"/>
          </w:tcPr>
          <w:p w:rsidR="00C02D8E" w:rsidRPr="0006074C" w:rsidRDefault="00C02D8E" w:rsidP="0006074C">
            <w:pPr>
              <w:jc w:val="right"/>
            </w:pPr>
            <w:r w:rsidRPr="0006074C">
              <w:t>2016</w:t>
            </w:r>
            <w:r w:rsidR="00D8721E" w:rsidRPr="0006074C">
              <w:t>–1</w:t>
            </w:r>
            <w:r w:rsidRPr="0006074C">
              <w:t>7</w:t>
            </w:r>
          </w:p>
        </w:tc>
      </w:tr>
      <w:tr w:rsidR="00C02D8E" w:rsidRPr="0006074C" w:rsidTr="0006074C">
        <w:trPr>
          <w:trHeight w:val="113"/>
        </w:trPr>
        <w:tc>
          <w:tcPr>
            <w:tcW w:w="3825" w:type="pct"/>
          </w:tcPr>
          <w:p w:rsidR="00C02D8E" w:rsidRPr="0006074C" w:rsidRDefault="00FD22F3" w:rsidP="0006074C">
            <w:r w:rsidRPr="0006074C">
              <w:t>Dementia and c</w:t>
            </w:r>
            <w:r w:rsidR="00C02D8E" w:rsidRPr="0006074C">
              <w:t>ognition supplement</w:t>
            </w:r>
          </w:p>
        </w:tc>
        <w:tc>
          <w:tcPr>
            <w:tcW w:w="589" w:type="pct"/>
          </w:tcPr>
          <w:p w:rsidR="00C02D8E" w:rsidRPr="0006074C" w:rsidDel="00F478B8" w:rsidRDefault="00C02D8E" w:rsidP="0006074C">
            <w:pPr>
              <w:jc w:val="right"/>
            </w:pPr>
            <w:r w:rsidRPr="0006074C">
              <w:t>$21.7m</w:t>
            </w:r>
          </w:p>
        </w:tc>
        <w:tc>
          <w:tcPr>
            <w:tcW w:w="586" w:type="pct"/>
          </w:tcPr>
          <w:p w:rsidR="00C02D8E" w:rsidRPr="0006074C" w:rsidRDefault="00C02D8E" w:rsidP="0006074C">
            <w:pPr>
              <w:jc w:val="right"/>
            </w:pPr>
            <w:r w:rsidRPr="0006074C">
              <w:t>$24.7m</w:t>
            </w:r>
          </w:p>
        </w:tc>
      </w:tr>
      <w:tr w:rsidR="00C02D8E" w:rsidRPr="0006074C" w:rsidTr="0006074C">
        <w:trPr>
          <w:trHeight w:val="113"/>
        </w:trPr>
        <w:tc>
          <w:tcPr>
            <w:tcW w:w="3825" w:type="pct"/>
          </w:tcPr>
          <w:p w:rsidR="00C02D8E" w:rsidRPr="0006074C" w:rsidRDefault="00C02D8E" w:rsidP="0006074C">
            <w:r w:rsidRPr="0006074C">
              <w:t>Veterans’ supplement</w:t>
            </w:r>
          </w:p>
        </w:tc>
        <w:tc>
          <w:tcPr>
            <w:tcW w:w="589" w:type="pct"/>
          </w:tcPr>
          <w:p w:rsidR="00C02D8E" w:rsidRPr="0006074C" w:rsidDel="00F478B8" w:rsidRDefault="00C02D8E" w:rsidP="0006074C">
            <w:pPr>
              <w:jc w:val="right"/>
            </w:pPr>
            <w:r w:rsidRPr="0006074C">
              <w:t>$0.2m</w:t>
            </w:r>
          </w:p>
        </w:tc>
        <w:tc>
          <w:tcPr>
            <w:tcW w:w="586" w:type="pct"/>
          </w:tcPr>
          <w:p w:rsidR="00C02D8E" w:rsidRPr="0006074C" w:rsidRDefault="00C02D8E" w:rsidP="0006074C">
            <w:pPr>
              <w:jc w:val="right"/>
            </w:pPr>
            <w:r w:rsidRPr="0006074C">
              <w:t>$0.2m</w:t>
            </w:r>
          </w:p>
        </w:tc>
      </w:tr>
      <w:tr w:rsidR="00C02D8E" w:rsidRPr="0006074C" w:rsidTr="0006074C">
        <w:trPr>
          <w:trHeight w:val="113"/>
        </w:trPr>
        <w:tc>
          <w:tcPr>
            <w:tcW w:w="3825" w:type="pct"/>
          </w:tcPr>
          <w:p w:rsidR="00C02D8E" w:rsidRPr="0006074C" w:rsidRDefault="00C02D8E" w:rsidP="0006074C">
            <w:r w:rsidRPr="0006074C">
              <w:t>Oxygen supplement</w:t>
            </w:r>
          </w:p>
        </w:tc>
        <w:tc>
          <w:tcPr>
            <w:tcW w:w="589" w:type="pct"/>
          </w:tcPr>
          <w:p w:rsidR="00C02D8E" w:rsidRPr="0006074C" w:rsidDel="00F478B8" w:rsidRDefault="00C02D8E" w:rsidP="0006074C">
            <w:pPr>
              <w:jc w:val="right"/>
            </w:pPr>
            <w:r w:rsidRPr="0006074C">
              <w:t>$1.8 m</w:t>
            </w:r>
          </w:p>
        </w:tc>
        <w:tc>
          <w:tcPr>
            <w:tcW w:w="586" w:type="pct"/>
          </w:tcPr>
          <w:p w:rsidR="00C02D8E" w:rsidRPr="0006074C" w:rsidRDefault="00C02D8E" w:rsidP="0006074C">
            <w:pPr>
              <w:jc w:val="right"/>
            </w:pPr>
            <w:r w:rsidRPr="0006074C">
              <w:t>$2.4m</w:t>
            </w:r>
          </w:p>
        </w:tc>
      </w:tr>
      <w:tr w:rsidR="00C02D8E" w:rsidRPr="0006074C" w:rsidTr="0006074C">
        <w:trPr>
          <w:trHeight w:val="113"/>
        </w:trPr>
        <w:tc>
          <w:tcPr>
            <w:tcW w:w="3825" w:type="pct"/>
          </w:tcPr>
          <w:p w:rsidR="00C02D8E" w:rsidRPr="0006074C" w:rsidRDefault="00C02D8E" w:rsidP="0006074C">
            <w:r w:rsidRPr="0006074C">
              <w:t>Enteral </w:t>
            </w:r>
            <w:r w:rsidR="00FD22F3" w:rsidRPr="0006074C">
              <w:t>f</w:t>
            </w:r>
            <w:r w:rsidRPr="0006074C">
              <w:t>eeding supplement</w:t>
            </w:r>
          </w:p>
        </w:tc>
        <w:tc>
          <w:tcPr>
            <w:tcW w:w="589" w:type="pct"/>
          </w:tcPr>
          <w:p w:rsidR="00C02D8E" w:rsidRPr="0006074C" w:rsidDel="00F478B8" w:rsidRDefault="00C02D8E" w:rsidP="0006074C">
            <w:pPr>
              <w:jc w:val="right"/>
            </w:pPr>
            <w:r w:rsidRPr="0006074C">
              <w:t>$0.5m</w:t>
            </w:r>
          </w:p>
        </w:tc>
        <w:tc>
          <w:tcPr>
            <w:tcW w:w="586" w:type="pct"/>
          </w:tcPr>
          <w:p w:rsidR="00C02D8E" w:rsidRPr="0006074C" w:rsidRDefault="00C02D8E" w:rsidP="0006074C">
            <w:pPr>
              <w:jc w:val="right"/>
            </w:pPr>
            <w:r w:rsidRPr="0006074C">
              <w:t>$0.7m</w:t>
            </w:r>
          </w:p>
        </w:tc>
      </w:tr>
      <w:tr w:rsidR="00C02D8E" w:rsidRPr="0006074C" w:rsidTr="0006074C">
        <w:trPr>
          <w:trHeight w:val="113"/>
        </w:trPr>
        <w:tc>
          <w:tcPr>
            <w:tcW w:w="3825" w:type="pct"/>
          </w:tcPr>
          <w:p w:rsidR="00C02D8E" w:rsidRPr="0006074C" w:rsidRDefault="00C02D8E" w:rsidP="0006074C">
            <w:r w:rsidRPr="0006074C">
              <w:t>Viability supplement</w:t>
            </w:r>
          </w:p>
        </w:tc>
        <w:tc>
          <w:tcPr>
            <w:tcW w:w="589" w:type="pct"/>
          </w:tcPr>
          <w:p w:rsidR="00C02D8E" w:rsidRPr="0006074C" w:rsidDel="00F478B8" w:rsidRDefault="00C02D8E" w:rsidP="0006074C">
            <w:pPr>
              <w:jc w:val="right"/>
            </w:pPr>
            <w:r w:rsidRPr="0006074C">
              <w:t>$7.2m</w:t>
            </w:r>
          </w:p>
        </w:tc>
        <w:tc>
          <w:tcPr>
            <w:tcW w:w="586" w:type="pct"/>
          </w:tcPr>
          <w:p w:rsidR="00C02D8E" w:rsidRPr="0006074C" w:rsidRDefault="00C02D8E" w:rsidP="0006074C">
            <w:pPr>
              <w:jc w:val="right"/>
            </w:pPr>
            <w:r w:rsidRPr="0006074C">
              <w:t>$11.4m</w:t>
            </w:r>
          </w:p>
        </w:tc>
      </w:tr>
      <w:tr w:rsidR="00C02D8E" w:rsidRPr="0006074C" w:rsidTr="0006074C">
        <w:trPr>
          <w:trHeight w:val="113"/>
        </w:trPr>
        <w:tc>
          <w:tcPr>
            <w:tcW w:w="3825" w:type="pct"/>
          </w:tcPr>
          <w:p w:rsidR="00C02D8E" w:rsidRPr="0006074C" w:rsidRDefault="00C02D8E" w:rsidP="0006074C">
            <w:r w:rsidRPr="0006074C">
              <w:t>Hardship supplement</w:t>
            </w:r>
          </w:p>
        </w:tc>
        <w:tc>
          <w:tcPr>
            <w:tcW w:w="589" w:type="pct"/>
          </w:tcPr>
          <w:p w:rsidR="00C02D8E" w:rsidRPr="0006074C" w:rsidDel="00F478B8" w:rsidRDefault="00C02D8E" w:rsidP="0006074C">
            <w:pPr>
              <w:jc w:val="right"/>
            </w:pPr>
            <w:r w:rsidRPr="0006074C">
              <w:t>$0.2m</w:t>
            </w:r>
          </w:p>
        </w:tc>
        <w:tc>
          <w:tcPr>
            <w:tcW w:w="586" w:type="pct"/>
          </w:tcPr>
          <w:p w:rsidR="00C02D8E" w:rsidRPr="0006074C" w:rsidRDefault="00C02D8E" w:rsidP="0006074C">
            <w:pPr>
              <w:jc w:val="right"/>
            </w:pPr>
            <w:r w:rsidRPr="0006074C">
              <w:t>$0.2m</w:t>
            </w:r>
          </w:p>
        </w:tc>
      </w:tr>
    </w:tbl>
    <w:p w:rsidR="00694587" w:rsidRPr="00596D01" w:rsidRDefault="00694587" w:rsidP="0006074C"/>
    <w:p w:rsidR="009727F0" w:rsidRPr="006C33D4" w:rsidRDefault="0019125D" w:rsidP="0006074C">
      <w:pPr>
        <w:pStyle w:val="AppendixNumbered"/>
      </w:pPr>
      <w:bookmarkStart w:id="1083" w:name="_Toc457549958"/>
      <w:bookmarkStart w:id="1084" w:name="_Toc524424842"/>
      <w:r>
        <w:lastRenderedPageBreak/>
        <w:t>Residential aged care and home care financial data</w:t>
      </w:r>
      <w:bookmarkEnd w:id="1083"/>
      <w:bookmarkEnd w:id="1084"/>
      <w:r w:rsidR="009727F0" w:rsidRPr="006C33D4">
        <w:t xml:space="preserve"> </w:t>
      </w:r>
    </w:p>
    <w:p w:rsidR="0019125D" w:rsidRPr="007A56CF" w:rsidRDefault="0019125D" w:rsidP="00C64F57">
      <w:pPr>
        <w:pStyle w:val="Bullet1"/>
        <w:rPr>
          <w:lang w:val="en-US"/>
        </w:rPr>
      </w:pPr>
      <w:bookmarkStart w:id="1085" w:name="_Home_Care_2"/>
      <w:bookmarkStart w:id="1086" w:name="_Toc425243192"/>
      <w:bookmarkStart w:id="1087" w:name="_Toc425696598"/>
      <w:bookmarkStart w:id="1088" w:name="_Toc425778900"/>
      <w:bookmarkStart w:id="1089" w:name="_Toc425861694"/>
      <w:bookmarkStart w:id="1090" w:name="_Toc426111713"/>
      <w:bookmarkStart w:id="1091" w:name="_Toc426120817"/>
      <w:bookmarkStart w:id="1092" w:name="_Toc448833190"/>
      <w:bookmarkStart w:id="1093" w:name="_Toc450149079"/>
      <w:bookmarkStart w:id="1094" w:name="_Toc450735119"/>
      <w:bookmarkStart w:id="1095" w:name="_Toc457549960"/>
      <w:bookmarkEnd w:id="1085"/>
      <w:r>
        <w:rPr>
          <w:lang w:val="en-US"/>
        </w:rPr>
        <w:t>R</w:t>
      </w:r>
      <w:r w:rsidRPr="007A56CF">
        <w:rPr>
          <w:lang w:val="en-US"/>
        </w:rPr>
        <w:t xml:space="preserve">esidential </w:t>
      </w:r>
      <w:r>
        <w:rPr>
          <w:lang w:val="en-US"/>
        </w:rPr>
        <w:t>A</w:t>
      </w:r>
      <w:r w:rsidRPr="007A56CF">
        <w:rPr>
          <w:lang w:val="en-US"/>
        </w:rPr>
        <w:t xml:space="preserve">ged </w:t>
      </w:r>
      <w:r>
        <w:rPr>
          <w:lang w:val="en-US"/>
        </w:rPr>
        <w:t>C</w:t>
      </w:r>
      <w:r w:rsidRPr="007A56CF">
        <w:rPr>
          <w:lang w:val="en-US"/>
        </w:rPr>
        <w:t xml:space="preserve">are </w:t>
      </w:r>
      <w:r>
        <w:rPr>
          <w:lang w:val="en-US"/>
        </w:rPr>
        <w:t xml:space="preserve">and Home Care </w:t>
      </w:r>
      <w:r w:rsidRPr="007A56CF">
        <w:rPr>
          <w:lang w:val="en-US"/>
        </w:rPr>
        <w:t xml:space="preserve">providers </w:t>
      </w:r>
      <w:r>
        <w:rPr>
          <w:lang w:val="en-US"/>
        </w:rPr>
        <w:t xml:space="preserve">financial data </w:t>
      </w:r>
      <w:r w:rsidRPr="007A56CF">
        <w:rPr>
          <w:lang w:val="en-US"/>
        </w:rPr>
        <w:t xml:space="preserve">is obtained from Aged Care Financial Reports (ACFRs) required to be prepared and submitted by providers of residential aged care under the </w:t>
      </w:r>
      <w:r w:rsidRPr="00596D01">
        <w:rPr>
          <w:rStyle w:val="Emphasis"/>
        </w:rPr>
        <w:t>Accountability Principles</w:t>
      </w:r>
      <w:r w:rsidR="00A261F3" w:rsidRPr="00596D01">
        <w:rPr>
          <w:rStyle w:val="Emphasis"/>
        </w:rPr>
        <w:t> 201</w:t>
      </w:r>
      <w:r w:rsidRPr="00596D01">
        <w:rPr>
          <w:rStyle w:val="Emphasis"/>
        </w:rPr>
        <w:t>4 (Section 35, 35A, 36, 37 and 37A) made under Section 96</w:t>
      </w:r>
      <w:r w:rsidR="00D8721E" w:rsidRPr="00596D01">
        <w:rPr>
          <w:rStyle w:val="Emphasis"/>
        </w:rPr>
        <w:t>–1</w:t>
      </w:r>
      <w:r w:rsidRPr="00596D01">
        <w:rPr>
          <w:rStyle w:val="Emphasis"/>
        </w:rPr>
        <w:t xml:space="preserve"> of the Aged Care Act 1997.</w:t>
      </w:r>
    </w:p>
    <w:p w:rsidR="00D8721E" w:rsidRDefault="0019125D" w:rsidP="00C64F57">
      <w:pPr>
        <w:pStyle w:val="Bullet1"/>
        <w:rPr>
          <w:lang w:val="en-US"/>
        </w:rPr>
      </w:pPr>
      <w:r w:rsidRPr="007A56CF">
        <w:rPr>
          <w:lang w:val="en-US"/>
        </w:rPr>
        <w:t xml:space="preserve">Residential </w:t>
      </w:r>
      <w:r>
        <w:rPr>
          <w:lang w:val="en-US"/>
        </w:rPr>
        <w:t>and Home Care</w:t>
      </w:r>
      <w:r w:rsidRPr="007A56CF">
        <w:rPr>
          <w:lang w:val="en-US"/>
        </w:rPr>
        <w:t xml:space="preserve"> financial </w:t>
      </w:r>
      <w:r>
        <w:rPr>
          <w:lang w:val="en-US"/>
        </w:rPr>
        <w:t>data</w:t>
      </w:r>
      <w:r w:rsidRPr="007A56CF">
        <w:rPr>
          <w:lang w:val="en-US"/>
        </w:rPr>
        <w:t xml:space="preserve"> and analysis</w:t>
      </w:r>
      <w:r w:rsidRPr="002B4983">
        <w:rPr>
          <w:lang w:val="en-US"/>
        </w:rPr>
        <w:t xml:space="preserve"> given in this report includes financial information for only those services that were operational </w:t>
      </w:r>
      <w:r>
        <w:rPr>
          <w:lang w:val="en-US"/>
        </w:rPr>
        <w:t xml:space="preserve">from 01 </w:t>
      </w:r>
      <w:r w:rsidRPr="002B4983">
        <w:rPr>
          <w:lang w:val="en-US"/>
        </w:rPr>
        <w:t>July</w:t>
      </w:r>
      <w:r w:rsidR="00A261F3">
        <w:rPr>
          <w:lang w:val="en-US"/>
        </w:rPr>
        <w:t> 201</w:t>
      </w:r>
      <w:r w:rsidRPr="002B4983">
        <w:rPr>
          <w:lang w:val="en-US"/>
        </w:rPr>
        <w:t>6 to</w:t>
      </w:r>
      <w:r w:rsidR="00D8721E">
        <w:rPr>
          <w:lang w:val="en-US"/>
        </w:rPr>
        <w:t xml:space="preserve"> </w:t>
      </w:r>
      <w:r w:rsidR="00A261F3">
        <w:rPr>
          <w:lang w:val="en-US"/>
        </w:rPr>
        <w:t>30 J</w:t>
      </w:r>
      <w:r w:rsidRPr="002B4983">
        <w:rPr>
          <w:lang w:val="en-US"/>
        </w:rPr>
        <w:t>une</w:t>
      </w:r>
      <w:r w:rsidR="00A261F3">
        <w:rPr>
          <w:lang w:val="en-US"/>
        </w:rPr>
        <w:t> 201</w:t>
      </w:r>
      <w:r w:rsidRPr="002B4983">
        <w:rPr>
          <w:lang w:val="en-US"/>
        </w:rPr>
        <w:t>7 and whose financial information is received by the Department</w:t>
      </w:r>
      <w:r w:rsidR="00D8721E">
        <w:rPr>
          <w:lang w:val="en-US"/>
        </w:rPr>
        <w:t>.</w:t>
      </w:r>
    </w:p>
    <w:p w:rsidR="00D8721E" w:rsidRDefault="0019125D" w:rsidP="00C64F57">
      <w:pPr>
        <w:pStyle w:val="Bullet1"/>
        <w:rPr>
          <w:lang w:val="en-US"/>
        </w:rPr>
      </w:pPr>
      <w:r w:rsidRPr="002B4983">
        <w:rPr>
          <w:lang w:val="en-US"/>
        </w:rPr>
        <w:t>A</w:t>
      </w:r>
      <w:r>
        <w:rPr>
          <w:lang w:val="en-US"/>
        </w:rPr>
        <w:t>pproximately 99</w:t>
      </w:r>
      <w:r w:rsidR="00A261F3">
        <w:rPr>
          <w:lang w:val="en-US"/>
        </w:rPr>
        <w:t> per cent</w:t>
      </w:r>
      <w:r>
        <w:rPr>
          <w:lang w:val="en-US"/>
        </w:rPr>
        <w:t xml:space="preserve"> of residential aged care providers and </w:t>
      </w:r>
      <w:r w:rsidRPr="002B4983">
        <w:rPr>
          <w:lang w:val="en-US"/>
        </w:rPr>
        <w:t>95</w:t>
      </w:r>
      <w:r w:rsidR="00A261F3">
        <w:rPr>
          <w:lang w:val="en-US"/>
        </w:rPr>
        <w:t> per cent</w:t>
      </w:r>
      <w:r w:rsidRPr="002B4983">
        <w:rPr>
          <w:lang w:val="en-US"/>
        </w:rPr>
        <w:t xml:space="preserve"> of the Home Care </w:t>
      </w:r>
      <w:r>
        <w:rPr>
          <w:lang w:val="en-US"/>
        </w:rPr>
        <w:t xml:space="preserve">Providers </w:t>
      </w:r>
      <w:r w:rsidRPr="002B4983">
        <w:rPr>
          <w:lang w:val="en-US"/>
        </w:rPr>
        <w:t xml:space="preserve">submitted their </w:t>
      </w:r>
      <w:r>
        <w:rPr>
          <w:lang w:val="en-US"/>
        </w:rPr>
        <w:t xml:space="preserve">ACFRs. Whilst the majority of residential data was used, only </w:t>
      </w:r>
      <w:r w:rsidRPr="002B4983">
        <w:rPr>
          <w:lang w:val="en-US"/>
        </w:rPr>
        <w:t>the data from 83</w:t>
      </w:r>
      <w:r w:rsidR="00A261F3">
        <w:rPr>
          <w:lang w:val="en-US"/>
        </w:rPr>
        <w:t> per cent</w:t>
      </w:r>
      <w:r w:rsidRPr="002B4983">
        <w:rPr>
          <w:lang w:val="en-US"/>
        </w:rPr>
        <w:t xml:space="preserve"> of Home Care </w:t>
      </w:r>
      <w:r>
        <w:rPr>
          <w:lang w:val="en-US"/>
        </w:rPr>
        <w:t xml:space="preserve">provider data </w:t>
      </w:r>
      <w:r w:rsidRPr="002B4983">
        <w:rPr>
          <w:lang w:val="en-US"/>
        </w:rPr>
        <w:t xml:space="preserve">was </w:t>
      </w:r>
      <w:r>
        <w:rPr>
          <w:lang w:val="en-US"/>
        </w:rPr>
        <w:t xml:space="preserve">submitted </w:t>
      </w:r>
      <w:r w:rsidRPr="002B4983">
        <w:rPr>
          <w:lang w:val="en-US"/>
        </w:rPr>
        <w:t>in useable form to derive the necessary analysis and measurements</w:t>
      </w:r>
      <w:r w:rsidR="00D8721E">
        <w:rPr>
          <w:lang w:val="en-US"/>
        </w:rPr>
        <w:t>.</w:t>
      </w:r>
    </w:p>
    <w:p w:rsidR="0019125D" w:rsidRPr="002B4983" w:rsidRDefault="0019125D" w:rsidP="00C64F57">
      <w:pPr>
        <w:pStyle w:val="Bullet1"/>
        <w:rPr>
          <w:lang w:val="en-US"/>
        </w:rPr>
      </w:pPr>
      <w:r>
        <w:rPr>
          <w:lang w:val="en-US"/>
        </w:rPr>
        <w:t>F</w:t>
      </w:r>
      <w:r w:rsidRPr="002B4983">
        <w:rPr>
          <w:lang w:val="en-US"/>
        </w:rPr>
        <w:t xml:space="preserve">inancial information contained in ACFRs varies from provider to provider. </w:t>
      </w:r>
      <w:r>
        <w:rPr>
          <w:lang w:val="en-US"/>
        </w:rPr>
        <w:t>A</w:t>
      </w:r>
      <w:r w:rsidRPr="002B4983">
        <w:rPr>
          <w:lang w:val="en-US"/>
        </w:rPr>
        <w:t>ccounting standards are subject to interpretation and it is possible that interpretations may differ between provider</w:t>
      </w:r>
      <w:r>
        <w:rPr>
          <w:lang w:val="en-US"/>
        </w:rPr>
        <w:t>s. T</w:t>
      </w:r>
      <w:r w:rsidRPr="002B4983">
        <w:rPr>
          <w:lang w:val="en-US"/>
        </w:rPr>
        <w:t xml:space="preserve">he Department </w:t>
      </w:r>
      <w:r>
        <w:rPr>
          <w:lang w:val="en-US"/>
        </w:rPr>
        <w:t xml:space="preserve">has not verified provider’s </w:t>
      </w:r>
      <w:r w:rsidRPr="002B4983">
        <w:rPr>
          <w:lang w:val="en-US"/>
        </w:rPr>
        <w:t xml:space="preserve">interpretation </w:t>
      </w:r>
      <w:r>
        <w:rPr>
          <w:lang w:val="en-US"/>
        </w:rPr>
        <w:t xml:space="preserve">and application </w:t>
      </w:r>
      <w:r w:rsidRPr="002B4983">
        <w:rPr>
          <w:lang w:val="en-US"/>
        </w:rPr>
        <w:t xml:space="preserve">of the accounting </w:t>
      </w:r>
      <w:r>
        <w:rPr>
          <w:lang w:val="en-US"/>
        </w:rPr>
        <w:t>standards.</w:t>
      </w:r>
    </w:p>
    <w:p w:rsidR="00D8721E" w:rsidRDefault="0019125D" w:rsidP="00C64F57">
      <w:pPr>
        <w:pStyle w:val="Bullet1"/>
        <w:rPr>
          <w:lang w:val="en-US"/>
        </w:rPr>
      </w:pPr>
      <w:r w:rsidRPr="002B4983">
        <w:rPr>
          <w:lang w:val="en-US"/>
        </w:rPr>
        <w:t>The information in the ACFR is not audited</w:t>
      </w:r>
      <w:r>
        <w:rPr>
          <w:lang w:val="en-US"/>
        </w:rPr>
        <w:t>. It is however tested for reasonableness to the Approved P</w:t>
      </w:r>
      <w:r w:rsidRPr="002B4983">
        <w:rPr>
          <w:lang w:val="en-US"/>
        </w:rPr>
        <w:t>rovider’s</w:t>
      </w:r>
      <w:r>
        <w:rPr>
          <w:lang w:val="en-US"/>
        </w:rPr>
        <w:t xml:space="preserve"> audited General Purpose Financial Report which is also submitted annually. Whilst some verification of data is undertaken by the department, a significant portion of data submitted through the </w:t>
      </w:r>
      <w:r w:rsidRPr="002B4983">
        <w:rPr>
          <w:lang w:val="en-US"/>
        </w:rPr>
        <w:t>ACFR has not been verified by the Approved Providers</w:t>
      </w:r>
      <w:r w:rsidR="00D8721E">
        <w:rPr>
          <w:lang w:val="en-US"/>
        </w:rPr>
        <w:t>.</w:t>
      </w:r>
    </w:p>
    <w:p w:rsidR="0019125D" w:rsidRPr="002B4983" w:rsidRDefault="0019125D" w:rsidP="00C64F57">
      <w:pPr>
        <w:pStyle w:val="Bullet1"/>
        <w:rPr>
          <w:lang w:val="en-US"/>
        </w:rPr>
      </w:pPr>
      <w:r>
        <w:rPr>
          <w:lang w:val="en-US"/>
        </w:rPr>
        <w:t>A</w:t>
      </w:r>
      <w:r w:rsidRPr="002B4983">
        <w:rPr>
          <w:lang w:val="en-US"/>
        </w:rPr>
        <w:t xml:space="preserve">nalysis of financial data </w:t>
      </w:r>
      <w:r>
        <w:rPr>
          <w:lang w:val="en-US"/>
        </w:rPr>
        <w:t xml:space="preserve">may be </w:t>
      </w:r>
      <w:r w:rsidRPr="002B4983">
        <w:rPr>
          <w:lang w:val="en-US"/>
        </w:rPr>
        <w:t>affected by incomplete</w:t>
      </w:r>
      <w:r>
        <w:rPr>
          <w:lang w:val="en-US"/>
        </w:rPr>
        <w:t xml:space="preserve">, </w:t>
      </w:r>
      <w:r w:rsidRPr="002B4983">
        <w:rPr>
          <w:lang w:val="en-US"/>
        </w:rPr>
        <w:t xml:space="preserve">aggregated data provided </w:t>
      </w:r>
      <w:r>
        <w:rPr>
          <w:lang w:val="en-US"/>
        </w:rPr>
        <w:t>in ACFRs.</w:t>
      </w:r>
      <w:r w:rsidRPr="002B4983">
        <w:rPr>
          <w:lang w:val="en-US"/>
        </w:rPr>
        <w:t xml:space="preserve"> As a result</w:t>
      </w:r>
      <w:r>
        <w:rPr>
          <w:lang w:val="en-US"/>
        </w:rPr>
        <w:t>, averages stated in the report</w:t>
      </w:r>
      <w:r w:rsidRPr="002B4983">
        <w:rPr>
          <w:lang w:val="en-US"/>
        </w:rPr>
        <w:t xml:space="preserve"> may not fully represent </w:t>
      </w:r>
      <w:r>
        <w:rPr>
          <w:lang w:val="en-US"/>
        </w:rPr>
        <w:t>the sector.</w:t>
      </w:r>
    </w:p>
    <w:p w:rsidR="0019125D" w:rsidRPr="002B4983" w:rsidRDefault="0019125D" w:rsidP="00C64F57">
      <w:pPr>
        <w:pStyle w:val="Bullet1"/>
        <w:rPr>
          <w:lang w:val="en-US"/>
        </w:rPr>
      </w:pPr>
      <w:r w:rsidRPr="002B4983">
        <w:rPr>
          <w:lang w:val="en-US"/>
        </w:rPr>
        <w:t xml:space="preserve">Discrepancies occur in the </w:t>
      </w:r>
      <w:r>
        <w:rPr>
          <w:lang w:val="en-US"/>
        </w:rPr>
        <w:t xml:space="preserve">ACFR </w:t>
      </w:r>
      <w:r w:rsidRPr="002B4983">
        <w:rPr>
          <w:lang w:val="en-US"/>
        </w:rPr>
        <w:t xml:space="preserve">home care </w:t>
      </w:r>
      <w:r>
        <w:rPr>
          <w:lang w:val="en-US"/>
        </w:rPr>
        <w:t>income statement</w:t>
      </w:r>
      <w:r w:rsidRPr="002B4983">
        <w:rPr>
          <w:lang w:val="en-US"/>
        </w:rPr>
        <w:t xml:space="preserve"> </w:t>
      </w:r>
      <w:r>
        <w:rPr>
          <w:lang w:val="en-US"/>
        </w:rPr>
        <w:t xml:space="preserve">which can impact the </w:t>
      </w:r>
      <w:r w:rsidRPr="002B4983">
        <w:rPr>
          <w:lang w:val="en-US"/>
        </w:rPr>
        <w:t xml:space="preserve">overall average results of the sector. For example, </w:t>
      </w:r>
      <w:r>
        <w:rPr>
          <w:lang w:val="en-US"/>
        </w:rPr>
        <w:t>th</w:t>
      </w:r>
      <w:r w:rsidRPr="002B4983">
        <w:rPr>
          <w:lang w:val="en-US"/>
        </w:rPr>
        <w:t xml:space="preserve">ere are instances where the </w:t>
      </w:r>
      <w:r>
        <w:rPr>
          <w:lang w:val="en-US"/>
        </w:rPr>
        <w:t>d</w:t>
      </w:r>
      <w:r w:rsidRPr="002B4983">
        <w:rPr>
          <w:lang w:val="en-US"/>
        </w:rPr>
        <w:t>etails of the expenses are aggregated to other expenses or total expenses</w:t>
      </w:r>
      <w:r>
        <w:rPr>
          <w:lang w:val="en-US"/>
        </w:rPr>
        <w:t>. There are also instances where income and expenditure through brokered services are not disclosed in their entirety thus understating revenue and expenditure</w:t>
      </w:r>
      <w:r w:rsidRPr="002B4983">
        <w:rPr>
          <w:lang w:val="en-US"/>
        </w:rPr>
        <w:t>. Th</w:t>
      </w:r>
      <w:r>
        <w:rPr>
          <w:lang w:val="en-US"/>
        </w:rPr>
        <w:t>ese instances</w:t>
      </w:r>
      <w:r w:rsidRPr="002B4983">
        <w:rPr>
          <w:lang w:val="en-US"/>
        </w:rPr>
        <w:t xml:space="preserve"> result in inconsistency and limitations in deriving various metrics a</w:t>
      </w:r>
      <w:r>
        <w:rPr>
          <w:lang w:val="en-US"/>
        </w:rPr>
        <w:t>nd measurements</w:t>
      </w:r>
      <w:r w:rsidR="004F37D3">
        <w:rPr>
          <w:lang w:val="en-US"/>
        </w:rPr>
        <w:t>.</w:t>
      </w:r>
    </w:p>
    <w:p w:rsidR="0019125D" w:rsidRPr="002B4983" w:rsidRDefault="0019125D" w:rsidP="00C64F57">
      <w:pPr>
        <w:pStyle w:val="Bullet1"/>
        <w:rPr>
          <w:lang w:val="en-US"/>
        </w:rPr>
      </w:pPr>
      <w:r w:rsidRPr="002B4983">
        <w:rPr>
          <w:lang w:val="en-US"/>
        </w:rPr>
        <w:t xml:space="preserve">It </w:t>
      </w:r>
      <w:r>
        <w:rPr>
          <w:lang w:val="en-US"/>
        </w:rPr>
        <w:t xml:space="preserve">is apparent through </w:t>
      </w:r>
      <w:r w:rsidRPr="002B4983">
        <w:rPr>
          <w:lang w:val="en-US"/>
        </w:rPr>
        <w:t xml:space="preserve">home care </w:t>
      </w:r>
      <w:r>
        <w:rPr>
          <w:lang w:val="en-US"/>
        </w:rPr>
        <w:t>income statement that</w:t>
      </w:r>
      <w:r w:rsidRPr="002B4983">
        <w:rPr>
          <w:lang w:val="en-US"/>
        </w:rPr>
        <w:t xml:space="preserve"> some services have moved their carry-over previous year/future year income or expense amounts to the current year period</w:t>
      </w:r>
      <w:r>
        <w:rPr>
          <w:lang w:val="en-US"/>
        </w:rPr>
        <w:t>. This accounting difference may affect</w:t>
      </w:r>
      <w:r w:rsidRPr="002B4983">
        <w:rPr>
          <w:lang w:val="en-US"/>
        </w:rPr>
        <w:t xml:space="preserve"> the average results for </w:t>
      </w:r>
      <w:r>
        <w:rPr>
          <w:lang w:val="en-US"/>
        </w:rPr>
        <w:t>the</w:t>
      </w:r>
      <w:r w:rsidR="00A261F3">
        <w:rPr>
          <w:lang w:val="en-US"/>
        </w:rPr>
        <w:t> 201</w:t>
      </w:r>
      <w:r>
        <w:rPr>
          <w:lang w:val="en-US"/>
        </w:rPr>
        <w:t>6</w:t>
      </w:r>
      <w:r w:rsidR="00D8721E">
        <w:rPr>
          <w:lang w:val="en-US"/>
        </w:rPr>
        <w:t>–1</w:t>
      </w:r>
      <w:r>
        <w:rPr>
          <w:lang w:val="en-US"/>
        </w:rPr>
        <w:t>7 year</w:t>
      </w:r>
      <w:r w:rsidRPr="002B4983">
        <w:rPr>
          <w:lang w:val="en-US"/>
        </w:rPr>
        <w:t>.</w:t>
      </w:r>
    </w:p>
    <w:p w:rsidR="0019125D" w:rsidRPr="002B4983" w:rsidRDefault="0019125D" w:rsidP="00C64F57">
      <w:pPr>
        <w:pStyle w:val="Bullet1"/>
        <w:rPr>
          <w:lang w:val="en-US"/>
        </w:rPr>
      </w:pPr>
      <w:r w:rsidRPr="002B4983">
        <w:rPr>
          <w:lang w:val="en-US"/>
        </w:rPr>
        <w:t xml:space="preserve">The </w:t>
      </w:r>
      <w:r>
        <w:rPr>
          <w:lang w:val="en-US"/>
        </w:rPr>
        <w:t>ACFR h</w:t>
      </w:r>
      <w:r w:rsidRPr="002B4983">
        <w:rPr>
          <w:lang w:val="en-US"/>
        </w:rPr>
        <w:t xml:space="preserve">ome </w:t>
      </w:r>
      <w:r>
        <w:rPr>
          <w:lang w:val="en-US"/>
        </w:rPr>
        <w:t>c</w:t>
      </w:r>
      <w:r w:rsidRPr="002B4983">
        <w:rPr>
          <w:lang w:val="en-US"/>
        </w:rPr>
        <w:t>are income and expense</w:t>
      </w:r>
      <w:r>
        <w:rPr>
          <w:lang w:val="en-US"/>
        </w:rPr>
        <w:t>s</w:t>
      </w:r>
      <w:r w:rsidRPr="002B4983">
        <w:rPr>
          <w:lang w:val="en-US"/>
        </w:rPr>
        <w:t xml:space="preserve"> </w:t>
      </w:r>
      <w:r>
        <w:rPr>
          <w:lang w:val="en-US"/>
        </w:rPr>
        <w:t xml:space="preserve">are aggregated for </w:t>
      </w:r>
      <w:r w:rsidRPr="002B4983">
        <w:rPr>
          <w:lang w:val="en-US"/>
        </w:rPr>
        <w:t>Common</w:t>
      </w:r>
      <w:r>
        <w:rPr>
          <w:lang w:val="en-US"/>
        </w:rPr>
        <w:t xml:space="preserve">wealth </w:t>
      </w:r>
      <w:r w:rsidRPr="002B4983">
        <w:rPr>
          <w:lang w:val="en-US"/>
        </w:rPr>
        <w:t>Government funded packaged clients and private clients</w:t>
      </w:r>
      <w:r>
        <w:rPr>
          <w:lang w:val="en-US"/>
        </w:rPr>
        <w:t xml:space="preserve">. </w:t>
      </w:r>
      <w:r w:rsidRPr="002B4983">
        <w:rPr>
          <w:lang w:val="en-US"/>
        </w:rPr>
        <w:t>Therefore, the analysis used in this report is not interpretable for</w:t>
      </w:r>
      <w:r>
        <w:rPr>
          <w:lang w:val="en-US"/>
        </w:rPr>
        <w:t xml:space="preserve"> any particular </w:t>
      </w:r>
      <w:r w:rsidRPr="002B4983">
        <w:rPr>
          <w:lang w:val="en-US"/>
        </w:rPr>
        <w:t xml:space="preserve">group of clients </w:t>
      </w:r>
      <w:r>
        <w:rPr>
          <w:lang w:val="en-US"/>
        </w:rPr>
        <w:t xml:space="preserve">who are receiving/paying </w:t>
      </w:r>
      <w:r w:rsidRPr="002B4983">
        <w:rPr>
          <w:lang w:val="en-US"/>
        </w:rPr>
        <w:t>any particular funding type.</w:t>
      </w:r>
    </w:p>
    <w:p w:rsidR="00D8721E" w:rsidRDefault="0019125D" w:rsidP="00C64F57">
      <w:pPr>
        <w:pStyle w:val="Bullet1"/>
        <w:rPr>
          <w:rFonts w:ascii="Segoe UI" w:eastAsia="Times" w:hAnsi="Segoe UI" w:cs="Segoe UI"/>
          <w:noProof/>
          <w:lang w:val="en-US"/>
        </w:rPr>
      </w:pPr>
      <w:r w:rsidRPr="004F37D3">
        <w:rPr>
          <w:lang w:val="en-US"/>
        </w:rPr>
        <w:t>Assets and liabilities reported in the residential aged care balance sheet contain, where not already fully verifiable, some proportional allocations based on the historical and sector trends from other sources within provider ACFRs and GPFRs. These allocations have not been verified by the Aged Care providers.</w:t>
      </w:r>
      <w:bookmarkEnd w:id="1086"/>
      <w:bookmarkEnd w:id="1087"/>
      <w:bookmarkEnd w:id="1088"/>
      <w:bookmarkEnd w:id="1089"/>
      <w:bookmarkEnd w:id="1090"/>
      <w:bookmarkEnd w:id="1091"/>
      <w:bookmarkEnd w:id="1092"/>
      <w:bookmarkEnd w:id="1093"/>
      <w:bookmarkEnd w:id="1094"/>
      <w:bookmarkEnd w:id="1095"/>
    </w:p>
    <w:p w:rsidR="00966BAF" w:rsidRDefault="00966BAF" w:rsidP="00C64F57">
      <w:pPr>
        <w:rPr>
          <w:noProof/>
          <w:lang w:val="en-US"/>
        </w:rPr>
      </w:pPr>
    </w:p>
    <w:p w:rsidR="00D8721E" w:rsidRDefault="00DB20DB" w:rsidP="00C64F57">
      <w:pPr>
        <w:pStyle w:val="AppendixNumbered"/>
      </w:pPr>
      <w:bookmarkStart w:id="1096" w:name="_Toc457549962"/>
      <w:bookmarkStart w:id="1097" w:name="_Toc524424843"/>
      <w:r w:rsidRPr="006C33D4">
        <w:lastRenderedPageBreak/>
        <w:t>References</w:t>
      </w:r>
      <w:bookmarkEnd w:id="1096"/>
      <w:bookmarkEnd w:id="1097"/>
    </w:p>
    <w:p w:rsidR="00240610" w:rsidRPr="00C64F57" w:rsidRDefault="00B876BE" w:rsidP="00C64F57">
      <w:r w:rsidRPr="00C64F57">
        <w:t>Aged Care Financing Authority- Report on the Funding and Financing of the Aged Care</w:t>
      </w:r>
      <w:r w:rsidR="00240610" w:rsidRPr="00C64F57">
        <w:t xml:space="preserve"> Sector- Various editions, available at </w:t>
      </w:r>
      <w:hyperlink r:id="rId114" w:tooltip="Aged Care website" w:history="1">
        <w:r w:rsidR="00240610" w:rsidRPr="00C64F57">
          <w:rPr>
            <w:rStyle w:val="Hyperlink"/>
          </w:rPr>
          <w:t>&lt;https://agedcare.health.gov.au/aged-care-reform/aged-care-financing-authority</w:t>
        </w:r>
      </w:hyperlink>
    </w:p>
    <w:p w:rsidR="00794F3F" w:rsidRPr="00C64F57" w:rsidRDefault="00794F3F" w:rsidP="00C64F57">
      <w:pPr>
        <w:rPr>
          <w:rStyle w:val="Hyperlink"/>
        </w:rPr>
      </w:pPr>
      <w:r w:rsidRPr="00C64F57">
        <w:t xml:space="preserve">Aged Care Financing Authority (2016), ‘Report on Issues Affecting the Financial Performance of Rural and Remote Providers, both Residential and Home Care Providers, available at </w:t>
      </w:r>
      <w:hyperlink r:id="rId115" w:tooltip="Aged Care website" w:history="1">
        <w:r w:rsidRPr="00C64F57">
          <w:rPr>
            <w:rStyle w:val="Hyperlink"/>
          </w:rPr>
          <w:t>&lt;https://agedcare.health.gov.au/aged-care-reform/aged-care-financing-authority</w:t>
        </w:r>
      </w:hyperlink>
    </w:p>
    <w:p w:rsidR="00B02EBC" w:rsidRPr="00C64F57" w:rsidRDefault="00B02EBC" w:rsidP="00C64F57">
      <w:pPr>
        <w:rPr>
          <w:rStyle w:val="Hyperlink"/>
        </w:rPr>
      </w:pPr>
      <w:r w:rsidRPr="00C64F57">
        <w:t>Aged Care Financing Authority (2016), Report to inform the</w:t>
      </w:r>
      <w:r w:rsidR="00A261F3" w:rsidRPr="00C64F57">
        <w:t> 201</w:t>
      </w:r>
      <w:r w:rsidRPr="00C64F57">
        <w:t>6</w:t>
      </w:r>
      <w:r w:rsidR="00D8721E" w:rsidRPr="00C64F57">
        <w:t>–1</w:t>
      </w:r>
      <w:r w:rsidRPr="00C64F57">
        <w:t xml:space="preserve">7 review of amendments to the Aged Care Act 1997, available at </w:t>
      </w:r>
      <w:hyperlink r:id="rId116" w:tooltip="Aged Care website" w:history="1">
        <w:r w:rsidRPr="00C64F57">
          <w:rPr>
            <w:rStyle w:val="Hyperlink"/>
          </w:rPr>
          <w:t>https://agedcare.health.gov.au/reform/report-to-inform-the</w:t>
        </w:r>
        <w:r w:rsidR="00D8721E" w:rsidRPr="00C64F57">
          <w:rPr>
            <w:rStyle w:val="Hyperlink"/>
          </w:rPr>
          <w:t>–2</w:t>
        </w:r>
        <w:r w:rsidRPr="00C64F57">
          <w:rPr>
            <w:rStyle w:val="Hyperlink"/>
          </w:rPr>
          <w:t>016</w:t>
        </w:r>
        <w:r w:rsidR="00D8721E" w:rsidRPr="00C64F57">
          <w:rPr>
            <w:rStyle w:val="Hyperlink"/>
          </w:rPr>
          <w:t>–1</w:t>
        </w:r>
        <w:r w:rsidRPr="00C64F57">
          <w:rPr>
            <w:rStyle w:val="Hyperlink"/>
          </w:rPr>
          <w:t>7-review-of-amendments-to-the-aged-care-act</w:t>
        </w:r>
        <w:r w:rsidR="00D8721E" w:rsidRPr="00C64F57">
          <w:rPr>
            <w:rStyle w:val="Hyperlink"/>
          </w:rPr>
          <w:t>–1</w:t>
        </w:r>
        <w:r w:rsidRPr="00C64F57">
          <w:rPr>
            <w:rStyle w:val="Hyperlink"/>
          </w:rPr>
          <w:t>997</w:t>
        </w:r>
      </w:hyperlink>
      <w:r w:rsidRPr="00C64F57">
        <w:rPr>
          <w:rStyle w:val="Hyperlink"/>
        </w:rPr>
        <w:t xml:space="preserve"> </w:t>
      </w:r>
    </w:p>
    <w:p w:rsidR="00794F3F" w:rsidRPr="00C64F57" w:rsidRDefault="00794F3F" w:rsidP="00C64F57">
      <w:r w:rsidRPr="00C64F57">
        <w:t xml:space="preserve">Australian Accounting Standards Board, </w:t>
      </w:r>
      <w:r w:rsidRPr="00C64F57">
        <w:rPr>
          <w:rStyle w:val="Emphasis"/>
        </w:rPr>
        <w:t>Accounting Standard AASB 101 Presentation of Financial Statements</w:t>
      </w:r>
      <w:r w:rsidRPr="00C64F57">
        <w:t xml:space="preserve">, Commonwealth of Australia, Melbourne, available at: </w:t>
      </w:r>
      <w:hyperlink r:id="rId117" w:tooltip="Australian Accounting Standards Board website" w:history="1">
        <w:r w:rsidRPr="00C64F57">
          <w:rPr>
            <w:rStyle w:val="Hyperlink"/>
          </w:rPr>
          <w:t>AASB</w:t>
        </w:r>
      </w:hyperlink>
    </w:p>
    <w:p w:rsidR="00794F3F" w:rsidRPr="00C64F57" w:rsidRDefault="00794F3F" w:rsidP="00C64F57">
      <w:r w:rsidRPr="00C64F57">
        <w:t xml:space="preserve">Australian Bureau of Statistics (ABS), </w:t>
      </w:r>
      <w:r w:rsidRPr="00C64F57">
        <w:rPr>
          <w:rStyle w:val="Emphasis"/>
        </w:rPr>
        <w:t>Australian Demographic Statistics, Jun</w:t>
      </w:r>
      <w:r w:rsidR="00A261F3" w:rsidRPr="00C64F57">
        <w:rPr>
          <w:rStyle w:val="Emphasis"/>
        </w:rPr>
        <w:t> 201</w:t>
      </w:r>
      <w:r w:rsidR="0083776B" w:rsidRPr="00C64F57">
        <w:rPr>
          <w:rStyle w:val="Emphasis"/>
        </w:rPr>
        <w:t>6</w:t>
      </w:r>
      <w:r w:rsidRPr="00C64F57">
        <w:t xml:space="preserve"> Cat No. 3101.0 Commonwealth of Australia, available at </w:t>
      </w:r>
      <w:hyperlink r:id="rId118" w:tooltip="Australian Bureau of Statistics website" w:history="1">
        <w:r w:rsidRPr="00C64F57">
          <w:rPr>
            <w:rStyle w:val="Hyperlink"/>
          </w:rPr>
          <w:t>the ABS website</w:t>
        </w:r>
      </w:hyperlink>
    </w:p>
    <w:p w:rsidR="00794F3F" w:rsidRPr="00C64F57" w:rsidRDefault="00794F3F" w:rsidP="00C64F57">
      <w:r w:rsidRPr="00C64F57">
        <w:t>Australian Bureau of Statistics (ABS),</w:t>
      </w:r>
      <w:r w:rsidRPr="00C64F57">
        <w:rPr>
          <w:rStyle w:val="Emphasis"/>
        </w:rPr>
        <w:t xml:space="preserve"> Building Activity</w:t>
      </w:r>
      <w:r w:rsidRPr="00C64F57">
        <w:t xml:space="preserve">, Cat No. 8762.0 Commonwealth of Australia, Canberra, available at </w:t>
      </w:r>
      <w:hyperlink r:id="rId119" w:tooltip="Australian Bureau of Statistics website" w:history="1">
        <w:r w:rsidRPr="00C64F57">
          <w:rPr>
            <w:rStyle w:val="Hyperlink"/>
          </w:rPr>
          <w:t>the weblink to the ABS website: www.abs.gov.au</w:t>
        </w:r>
      </w:hyperlink>
    </w:p>
    <w:p w:rsidR="00794F3F" w:rsidRPr="00C64F57" w:rsidRDefault="00794F3F" w:rsidP="00C64F57">
      <w:r w:rsidRPr="00C64F57">
        <w:t xml:space="preserve">Australian Bureau of Statistics (ABS), </w:t>
      </w:r>
      <w:r w:rsidRPr="00C64F57">
        <w:rPr>
          <w:rStyle w:val="Emphasis"/>
        </w:rPr>
        <w:t>Building Approvals</w:t>
      </w:r>
      <w:r w:rsidRPr="00C64F57">
        <w:t xml:space="preserve">, Cat No. 8731.0 Commonwealth of Australia, Canberra, available at: </w:t>
      </w:r>
      <w:hyperlink r:id="rId120" w:tooltip="Australian Bureau of Statistics website" w:history="1">
        <w:r w:rsidRPr="00C64F57">
          <w:rPr>
            <w:rStyle w:val="Hyperlink"/>
          </w:rPr>
          <w:t>the weblink to the ABS website: www.abs.gov.au</w:t>
        </w:r>
      </w:hyperlink>
    </w:p>
    <w:p w:rsidR="00794F3F" w:rsidRPr="00C64F57" w:rsidRDefault="00794F3F" w:rsidP="00C64F57">
      <w:r w:rsidRPr="00C64F57">
        <w:rPr>
          <w:rStyle w:val="Emphasis"/>
        </w:rPr>
        <w:t>The National Aged Care Workforce Census and Survey – The Aged Care Workforce,</w:t>
      </w:r>
      <w:r w:rsidR="00A261F3" w:rsidRPr="00C64F57">
        <w:rPr>
          <w:rStyle w:val="Emphasis"/>
        </w:rPr>
        <w:t> 201</w:t>
      </w:r>
      <w:r w:rsidR="0083776B" w:rsidRPr="00C64F57">
        <w:rPr>
          <w:rStyle w:val="Emphasis"/>
        </w:rPr>
        <w:t>6</w:t>
      </w:r>
      <w:r w:rsidRPr="00C64F57">
        <w:rPr>
          <w:rStyle w:val="Emphasis"/>
        </w:rPr>
        <w:t xml:space="preserve"> Final Report</w:t>
      </w:r>
      <w:r w:rsidRPr="00C64F57">
        <w:t>, Commonwealth of Australia, Canberra</w:t>
      </w:r>
    </w:p>
    <w:p w:rsidR="00B02EBC" w:rsidRPr="00C64F57" w:rsidRDefault="00B02EBC" w:rsidP="00C64F57">
      <w:r w:rsidRPr="00C64F57">
        <w:t xml:space="preserve">David Tune, </w:t>
      </w:r>
      <w:r w:rsidRPr="00C64F57">
        <w:rPr>
          <w:rStyle w:val="Emphasis"/>
        </w:rPr>
        <w:t>Legislated Review of Aged Care</w:t>
      </w:r>
      <w:r w:rsidR="00A261F3" w:rsidRPr="00C64F57">
        <w:rPr>
          <w:rStyle w:val="Emphasis"/>
        </w:rPr>
        <w:t> 201</w:t>
      </w:r>
      <w:r w:rsidRPr="00C64F57">
        <w:rPr>
          <w:rStyle w:val="Emphasis"/>
        </w:rPr>
        <w:t>7</w:t>
      </w:r>
      <w:r w:rsidRPr="00C64F57">
        <w:t xml:space="preserve">, available at </w:t>
      </w:r>
      <w:hyperlink r:id="rId121" w:tooltip="Aged Care website" w:history="1">
        <w:r w:rsidRPr="00C64F57">
          <w:rPr>
            <w:rStyle w:val="Hyperlink"/>
          </w:rPr>
          <w:t>https://agedcare.health.gov.au/legislated-review-of-aged-care</w:t>
        </w:r>
        <w:r w:rsidR="00D8721E" w:rsidRPr="00C64F57">
          <w:rPr>
            <w:rStyle w:val="Hyperlink"/>
          </w:rPr>
          <w:t>–2</w:t>
        </w:r>
        <w:r w:rsidRPr="00C64F57">
          <w:rPr>
            <w:rStyle w:val="Hyperlink"/>
          </w:rPr>
          <w:t>017-report</w:t>
        </w:r>
      </w:hyperlink>
      <w:r w:rsidRPr="00C64F57">
        <w:t xml:space="preserve"> </w:t>
      </w:r>
    </w:p>
    <w:p w:rsidR="00794F3F" w:rsidRPr="00C64F57" w:rsidRDefault="00794F3F" w:rsidP="00C64F57">
      <w:r w:rsidRPr="00C64F57">
        <w:t>Department of Health (Australia),</w:t>
      </w:r>
      <w:r w:rsidR="00A261F3" w:rsidRPr="00C64F57">
        <w:t> 201</w:t>
      </w:r>
      <w:r w:rsidR="008D63E1" w:rsidRPr="00C64F57">
        <w:t>6</w:t>
      </w:r>
      <w:r w:rsidR="00D8721E" w:rsidRPr="00C64F57">
        <w:t>–1</w:t>
      </w:r>
      <w:r w:rsidR="008D63E1" w:rsidRPr="00C64F57">
        <w:t>7</w:t>
      </w:r>
      <w:r w:rsidRPr="00C64F57">
        <w:t xml:space="preserve"> Report on the Operation of the </w:t>
      </w:r>
      <w:r w:rsidRPr="00C64F57">
        <w:rPr>
          <w:rStyle w:val="Emphasis"/>
        </w:rPr>
        <w:t>Aged Care Act</w:t>
      </w:r>
      <w:r w:rsidRPr="00C64F57">
        <w:t xml:space="preserve"> 1997 (ROACA), Commonwealth of Australia Canberra</w:t>
      </w:r>
    </w:p>
    <w:p w:rsidR="00794F3F" w:rsidRPr="00C64F57" w:rsidRDefault="00794F3F" w:rsidP="00C64F57">
      <w:r w:rsidRPr="00C64F57">
        <w:t>Department of the Treasury (Australia),</w:t>
      </w:r>
      <w:r w:rsidR="00A261F3" w:rsidRPr="00C64F57">
        <w:t> 201</w:t>
      </w:r>
      <w:r w:rsidRPr="00C64F57">
        <w:t>5 Intergenerational Report: Australia in 2055. Department of the Treasury (Australia)</w:t>
      </w:r>
    </w:p>
    <w:p w:rsidR="00794F3F" w:rsidRPr="00C64F57" w:rsidRDefault="00794F3F" w:rsidP="00C64F57">
      <w:proofErr w:type="spellStart"/>
      <w:r w:rsidRPr="00C64F57">
        <w:t>StewartBrown</w:t>
      </w:r>
      <w:proofErr w:type="spellEnd"/>
      <w:r w:rsidRPr="00C64F57">
        <w:t xml:space="preserve">, </w:t>
      </w:r>
      <w:r w:rsidRPr="00C64F57">
        <w:rPr>
          <w:rStyle w:val="Emphasis"/>
        </w:rPr>
        <w:t>Aged Care Financial Performance Surveys: Home Care Report – various editions</w:t>
      </w:r>
    </w:p>
    <w:p w:rsidR="00794F3F" w:rsidRPr="00C64F57" w:rsidRDefault="008D63E1" w:rsidP="00C64F57">
      <w:pPr>
        <w:rPr>
          <w:rStyle w:val="Emphasis"/>
        </w:rPr>
      </w:pPr>
      <w:proofErr w:type="spellStart"/>
      <w:r w:rsidRPr="00C64F57">
        <w:t>StewartBrown</w:t>
      </w:r>
      <w:proofErr w:type="spellEnd"/>
      <w:r w:rsidR="00794F3F" w:rsidRPr="00C64F57">
        <w:t xml:space="preserve">, </w:t>
      </w:r>
      <w:r w:rsidR="00794F3F" w:rsidRPr="00C64F57">
        <w:rPr>
          <w:rStyle w:val="Emphasis"/>
        </w:rPr>
        <w:t>Aged Care Financial Performance Survey: Residential Aged Care Report – various editions</w:t>
      </w:r>
    </w:p>
    <w:p w:rsidR="009512A6" w:rsidRPr="00C64F57" w:rsidRDefault="00794F3F" w:rsidP="00C64F57">
      <w:r w:rsidRPr="00C64F57">
        <w:rPr>
          <w:rStyle w:val="Emphasis"/>
        </w:rPr>
        <w:t>The Intergenerational Report</w:t>
      </w:r>
      <w:r w:rsidR="00A261F3" w:rsidRPr="00C64F57">
        <w:rPr>
          <w:rStyle w:val="Emphasis"/>
        </w:rPr>
        <w:t> 201</w:t>
      </w:r>
      <w:r w:rsidRPr="00C64F57">
        <w:rPr>
          <w:rStyle w:val="Emphasis"/>
        </w:rPr>
        <w:t>5– Australia to 2050</w:t>
      </w:r>
      <w:r w:rsidRPr="00C64F57">
        <w:t xml:space="preserve">, Commonwealth of Australia, Canberra, available at: </w:t>
      </w:r>
      <w:hyperlink r:id="rId122" w:tgtFrame="_blank" w:tooltip="Intergenerational Report 2010" w:history="1">
        <w:r w:rsidRPr="00C64F57">
          <w:t>http://archive.treasury.gov.au/igr/igr2010/default.asp</w:t>
        </w:r>
      </w:hyperlink>
    </w:p>
    <w:sectPr w:rsidR="009512A6" w:rsidRPr="00C64F57" w:rsidSect="00A261F3">
      <w:pgSz w:w="11906" w:h="16838" w:code="9"/>
      <w:pgMar w:top="1134" w:right="1134" w:bottom="1134" w:left="1134"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5DBF" w:rsidRDefault="00D45DBF" w:rsidP="00680968">
      <w:r>
        <w:separator/>
      </w:r>
    </w:p>
    <w:p w:rsidR="00D45DBF" w:rsidRDefault="00D45DBF"/>
  </w:endnote>
  <w:endnote w:type="continuationSeparator" w:id="0">
    <w:p w:rsidR="00D45DBF" w:rsidRDefault="00D45DBF" w:rsidP="00680968">
      <w:r>
        <w:continuationSeparator/>
      </w:r>
    </w:p>
    <w:p w:rsidR="00D45DBF" w:rsidRDefault="00D45D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 w:fontKey="{99A7C8DB-79B5-4C58-AFB1-830DAC4D552A}"/>
    <w:embedBold r:id="rId2" w:fontKey="{9E34C10A-F43D-4036-B215-FE68624DFE7A}"/>
    <w:embedItalic r:id="rId3" w:fontKey="{04A4C15B-BE0B-48C3-8B1A-F83B799809B8}"/>
    <w:embedBoldItalic r:id="rId4" w:fontKey="{A815D680-F63E-44AE-8D7B-C7C14F01FACF}"/>
  </w:font>
  <w:font w:name="Calibri">
    <w:panose1 w:val="020F0502020204030204"/>
    <w:charset w:val="00"/>
    <w:family w:val="swiss"/>
    <w:pitch w:val="variable"/>
    <w:sig w:usb0="E0002AFF" w:usb1="C000247B" w:usb2="00000009" w:usb3="00000000" w:csb0="000001FF" w:csb1="00000000"/>
    <w:embedRegular r:id="rId5" w:fontKey="{2958319F-DBE4-437B-8DE8-7C52103F0C04}"/>
    <w:embedBold r:id="rId6" w:fontKey="{AE622CFD-5163-4C16-96CB-1416B9D0E8F4}"/>
    <w:embedItalic r:id="rId7" w:fontKey="{A91A760D-0FEB-45F5-AC09-2668C893782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45 Light">
    <w:altName w:val="Helvetica 45 Light"/>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DBF" w:rsidRDefault="00D45DBF">
    <w:pPr>
      <w:pStyle w:val="Footer"/>
    </w:pPr>
  </w:p>
  <w:p w:rsidR="00D45DBF" w:rsidRDefault="00D45DBF"/>
  <w:p w:rsidR="00D45DBF" w:rsidRDefault="00D45DB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DBF" w:rsidRPr="00080615" w:rsidRDefault="00D45DBF" w:rsidP="00596D01">
    <w:pPr>
      <w:pStyle w:val="Footer"/>
    </w:pPr>
    <w:r>
      <w:rPr>
        <w:noProof/>
      </w:rPr>
      <w:fldChar w:fldCharType="begin"/>
    </w:r>
    <w:r>
      <w:rPr>
        <w:noProof/>
      </w:rPr>
      <w:instrText xml:space="preserve"> STYLEREF  Subtitle  \* MERGEFORMAT </w:instrText>
    </w:r>
    <w:r>
      <w:rPr>
        <w:noProof/>
      </w:rPr>
      <w:fldChar w:fldCharType="separate"/>
    </w:r>
    <w:r w:rsidR="00CD5700">
      <w:rPr>
        <w:noProof/>
      </w:rPr>
      <w:t>Aged Care Financing Authority</w:t>
    </w:r>
    <w:r>
      <w:rPr>
        <w:noProof/>
      </w:rPr>
      <w:fldChar w:fldCharType="end"/>
    </w:r>
    <w:r w:rsidRPr="00080615">
      <w:rPr>
        <w:noProof/>
      </w:rPr>
      <mc:AlternateContent>
        <mc:Choice Requires="wps">
          <w:drawing>
            <wp:anchor distT="0" distB="0" distL="114300" distR="114300" simplePos="0" relativeHeight="251659264" behindDoc="0" locked="1" layoutInCell="1" allowOverlap="1" wp14:anchorId="72C1F639" wp14:editId="160FE76A">
              <wp:simplePos x="0" y="0"/>
              <wp:positionH relativeFrom="page">
                <wp:align>right</wp:align>
              </wp:positionH>
              <wp:positionV relativeFrom="page">
                <wp:align>bottom</wp:align>
              </wp:positionV>
              <wp:extent cx="1490400" cy="468000"/>
              <wp:effectExtent l="0" t="0" r="0" b="8255"/>
              <wp:wrapNone/>
              <wp:docPr id="2" name="Text Box 2"/>
              <wp:cNvGraphicFramePr/>
              <a:graphic xmlns:a="http://schemas.openxmlformats.org/drawingml/2006/main">
                <a:graphicData uri="http://schemas.microsoft.com/office/word/2010/wordprocessingShape">
                  <wps:wsp>
                    <wps:cNvSpPr txBox="1"/>
                    <wps:spPr>
                      <a:xfrm>
                        <a:off x="0" y="0"/>
                        <a:ext cx="1490400" cy="468000"/>
                      </a:xfrm>
                      <a:prstGeom prst="rect">
                        <a:avLst/>
                      </a:prstGeom>
                      <a:noFill/>
                      <a:ln w="6350">
                        <a:noFill/>
                      </a:ln>
                    </wps:spPr>
                    <wps:txbx>
                      <w:txbxContent>
                        <w:p w:rsidR="00D45DBF" w:rsidRDefault="00D45DBF" w:rsidP="00596D01">
                          <w:pPr>
                            <w:pStyle w:val="Footer"/>
                            <w:jc w:val="right"/>
                          </w:pPr>
                          <w:r>
                            <w:t xml:space="preserve">Page </w:t>
                          </w:r>
                          <w:r>
                            <w:fldChar w:fldCharType="begin"/>
                          </w:r>
                          <w:r>
                            <w:instrText xml:space="preserve"> PAGE   \* MERGEFORMAT </w:instrText>
                          </w:r>
                          <w:r>
                            <w:fldChar w:fldCharType="separate"/>
                          </w:r>
                          <w:r w:rsidR="00CD5700">
                            <w:rPr>
                              <w:noProof/>
                            </w:rPr>
                            <w:t>67</w:t>
                          </w:r>
                          <w:r>
                            <w:rPr>
                              <w:noProof/>
                            </w:rPr>
                            <w:fldChar w:fldCharType="end"/>
                          </w:r>
                        </w:p>
                      </w:txbxContent>
                    </wps:txbx>
                    <wps:bodyPr rot="0" spcFirstLastPara="0" vertOverflow="overflow" horzOverflow="overflow" vert="horz" wrap="square" lIns="0" tIns="0" rIns="72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C1F639" id="_x0000_t202" coordsize="21600,21600" o:spt="202" path="m,l,21600r21600,l21600,xe">
              <v:stroke joinstyle="miter"/>
              <v:path gradientshapeok="t" o:connecttype="rect"/>
            </v:shapetype>
            <v:shape id="Text Box 2" o:spid="_x0000_s1026" type="#_x0000_t202" style="position:absolute;margin-left:66.15pt;margin-top:0;width:117.35pt;height:36.85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" filled="f" stroked="f" strokeweight=".5pt">
              <v:textbox inset="0,0,20mm,0">
                <w:txbxContent>
                  <w:p w:rsidR="00D45DBF" w:rsidRDefault="00D45DBF" w:rsidP="00596D01">
                    <w:pPr>
                      <w:pStyle w:val="Footer"/>
                      <w:jc w:val="right"/>
                    </w:pPr>
                    <w:r>
                      <w:t xml:space="preserve">Page </w:t>
                    </w:r>
                    <w:r>
                      <w:fldChar w:fldCharType="begin"/>
                    </w:r>
                    <w:r>
                      <w:instrText xml:space="preserve"> PAGE   \* MERGEFORMAT </w:instrText>
                    </w:r>
                    <w:r>
                      <w:fldChar w:fldCharType="separate"/>
                    </w:r>
                    <w:r w:rsidR="00CD5700">
                      <w:rPr>
                        <w:noProof/>
                      </w:rPr>
                      <w:t>67</w:t>
                    </w:r>
                    <w:r>
                      <w:rPr>
                        <w:noProof/>
                      </w:rPr>
                      <w:fldChar w:fldCharType="end"/>
                    </w:r>
                  </w:p>
                </w:txbxContent>
              </v:textbox>
              <w10:wrap anchorx="page" anchory="page"/>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5DBF" w:rsidRDefault="00D45DBF" w:rsidP="00680968">
      <w:r>
        <w:separator/>
      </w:r>
    </w:p>
  </w:footnote>
  <w:footnote w:type="continuationSeparator" w:id="0">
    <w:p w:rsidR="00D45DBF" w:rsidRDefault="00D45DBF" w:rsidP="00680968">
      <w:r>
        <w:continuationSeparator/>
      </w:r>
    </w:p>
    <w:p w:rsidR="00D45DBF" w:rsidRDefault="00D45DBF"/>
  </w:footnote>
  <w:footnote w:id="1">
    <w:p w:rsidR="00D45DBF" w:rsidRPr="002C6887" w:rsidRDefault="00D45DBF" w:rsidP="00474F3E">
      <w:pPr>
        <w:pStyle w:val="FootnoteText"/>
        <w:rPr>
          <w:color w:val="404040" w:themeColor="text1" w:themeTint="BF"/>
        </w:rPr>
      </w:pPr>
      <w:r w:rsidRPr="002C6887">
        <w:rPr>
          <w:rStyle w:val="FootnoteReference"/>
          <w:color w:val="404040" w:themeColor="text1" w:themeTint="BF"/>
        </w:rPr>
        <w:footnoteRef/>
      </w:r>
      <w:r w:rsidRPr="002C6887">
        <w:rPr>
          <w:color w:val="404040" w:themeColor="text1" w:themeTint="BF"/>
        </w:rPr>
        <w:t xml:space="preserve"> This differs from the figure of $24.7 billion in section 10 of this report and Chapter 10 of the main report as $24.8 billion is the lump sum deposits held by all residential care providers whereas $24.7 billion is the total held by the 99 per cent of residential care providers who submitted their ACFRs.</w:t>
      </w:r>
    </w:p>
  </w:footnote>
  <w:footnote w:id="2">
    <w:p w:rsidR="00D45DBF" w:rsidRPr="002C6887" w:rsidRDefault="00D45DBF">
      <w:pPr>
        <w:pStyle w:val="FootnoteText"/>
        <w:rPr>
          <w:szCs w:val="18"/>
        </w:rPr>
      </w:pPr>
      <w:r w:rsidRPr="002C6887">
        <w:rPr>
          <w:rStyle w:val="FootnoteReference"/>
          <w:szCs w:val="18"/>
        </w:rPr>
        <w:footnoteRef/>
      </w:r>
      <w:r w:rsidRPr="002C6887">
        <w:rPr>
          <w:szCs w:val="18"/>
        </w:rPr>
        <w:t xml:space="preserve"> </w:t>
      </w:r>
      <w:r w:rsidRPr="002C6887">
        <w:rPr>
          <w:color w:val="404040" w:themeColor="text1" w:themeTint="BF"/>
          <w:szCs w:val="18"/>
        </w:rPr>
        <w:t>Mike Callaghan commenced as ACFA chairman in May 2018. Prior to this, Lynda O’Grady held the position of chairman since ACFA’s inception in 2012.</w:t>
      </w:r>
    </w:p>
  </w:footnote>
  <w:footnote w:id="3">
    <w:p w:rsidR="00D45DBF" w:rsidRPr="00596D01" w:rsidRDefault="00D45DBF" w:rsidP="00596D01">
      <w:pPr>
        <w:pStyle w:val="FootnoteText"/>
      </w:pPr>
      <w:r w:rsidRPr="00596D01">
        <w:rPr>
          <w:rStyle w:val="FootnoteReference"/>
          <w:vertAlign w:val="baseline"/>
        </w:rPr>
        <w:footnoteRef/>
      </w:r>
      <w:r w:rsidRPr="00596D01">
        <w:t xml:space="preserve"> Previous ACFA annual reports can be accessed at </w:t>
      </w:r>
      <w:hyperlink r:id="rId1" w:history="1">
        <w:r w:rsidRPr="00596D01">
          <w:rPr>
            <w:rStyle w:val="Hyperlink"/>
          </w:rPr>
          <w:t>https://agedcare.health.gov.au/aged-care-reform/aged-care-financing-authority</w:t>
        </w:r>
      </w:hyperlink>
    </w:p>
  </w:footnote>
  <w:footnote w:id="4">
    <w:p w:rsidR="00D45DBF" w:rsidRPr="00596D01" w:rsidRDefault="00D45DBF" w:rsidP="00596D01">
      <w:pPr>
        <w:rPr>
          <w:rFonts w:ascii="Calibri" w:hAnsi="Calibri"/>
          <w:color w:val="404040" w:themeColor="text1" w:themeTint="BF"/>
          <w:sz w:val="18"/>
          <w:szCs w:val="18"/>
        </w:rPr>
      </w:pPr>
      <w:r w:rsidRPr="002C6887">
        <w:rPr>
          <w:rStyle w:val="FootnoteReference"/>
          <w:color w:val="404040" w:themeColor="text1" w:themeTint="BF"/>
          <w:szCs w:val="18"/>
        </w:rPr>
        <w:footnoteRef/>
      </w:r>
      <w:r w:rsidRPr="002C6887">
        <w:rPr>
          <w:color w:val="404040" w:themeColor="text1" w:themeTint="BF"/>
          <w:sz w:val="18"/>
          <w:szCs w:val="18"/>
        </w:rPr>
        <w:t xml:space="preserve"> </w:t>
      </w:r>
      <w:r w:rsidRPr="002C6887">
        <w:rPr>
          <w:rFonts w:ascii="Calibri" w:hAnsi="Calibri"/>
          <w:color w:val="404040" w:themeColor="text1" w:themeTint="BF"/>
          <w:sz w:val="18"/>
          <w:szCs w:val="18"/>
        </w:rPr>
        <w:t xml:space="preserve">A home care service is a location to which a consumer goes to interact with an approved home care provider regarding their package of services. </w:t>
      </w:r>
    </w:p>
  </w:footnote>
  <w:footnote w:id="5">
    <w:p w:rsidR="00D45DBF" w:rsidRPr="002C6887" w:rsidRDefault="00D45DBF" w:rsidP="00596D01">
      <w:pPr>
        <w:pStyle w:val="FootnoteText"/>
        <w:rPr>
          <w:color w:val="404040" w:themeColor="text1" w:themeTint="BF"/>
          <w:szCs w:val="18"/>
        </w:rPr>
      </w:pPr>
      <w:r w:rsidRPr="002C6887">
        <w:rPr>
          <w:rStyle w:val="FootnoteReference"/>
          <w:color w:val="404040" w:themeColor="text1" w:themeTint="BF"/>
          <w:szCs w:val="18"/>
        </w:rPr>
        <w:footnoteRef/>
      </w:r>
      <w:r w:rsidRPr="002C6887">
        <w:rPr>
          <w:color w:val="404040" w:themeColor="text1" w:themeTint="BF"/>
          <w:szCs w:val="18"/>
        </w:rPr>
        <w:t xml:space="preserve"> The figure of 1.3 million consumers includes all consumers of Government funded aged care. Much of this report discusses only home support, home care and residential care and therefore total consumers reported may not always match.</w:t>
      </w:r>
    </w:p>
  </w:footnote>
  <w:footnote w:id="6">
    <w:p w:rsidR="00D45DBF" w:rsidRPr="00596D01" w:rsidRDefault="00D45DBF" w:rsidP="00596D01">
      <w:pPr>
        <w:rPr>
          <w:rFonts w:ascii="Calibri" w:hAnsi="Calibri"/>
          <w:color w:val="404040" w:themeColor="text1" w:themeTint="BF"/>
          <w:sz w:val="18"/>
          <w:szCs w:val="18"/>
        </w:rPr>
      </w:pPr>
      <w:r w:rsidRPr="002C6887">
        <w:rPr>
          <w:rStyle w:val="FootnoteReference"/>
          <w:color w:val="404040" w:themeColor="text1" w:themeTint="BF"/>
          <w:szCs w:val="18"/>
        </w:rPr>
        <w:footnoteRef/>
      </w:r>
      <w:r w:rsidRPr="002C6887">
        <w:rPr>
          <w:color w:val="404040" w:themeColor="text1" w:themeTint="BF"/>
          <w:sz w:val="18"/>
          <w:szCs w:val="18"/>
        </w:rPr>
        <w:t xml:space="preserve"> </w:t>
      </w:r>
      <w:r w:rsidRPr="002C6887">
        <w:rPr>
          <w:rFonts w:ascii="Calibri" w:hAnsi="Calibri"/>
          <w:color w:val="404040" w:themeColor="text1" w:themeTint="BF"/>
          <w:sz w:val="18"/>
          <w:szCs w:val="18"/>
        </w:rPr>
        <w:t>In ACFA’s 2015</w:t>
      </w:r>
      <w:r w:rsidRPr="002C6887">
        <w:rPr>
          <w:rFonts w:ascii="Calibri" w:hAnsi="Calibri"/>
          <w:color w:val="404040" w:themeColor="text1" w:themeTint="BF"/>
          <w:sz w:val="18"/>
          <w:szCs w:val="18"/>
        </w:rPr>
        <w:noBreakHyphen/>
        <w:t xml:space="preserve">16 report, the proportion of people aged 65 and over living at home while accessing home support and care was reported as 25 per cent, compared with 22 per cent in this report. The difference is primarily due to the counting methodology employed for CHSP consumer data being different in 2015-16 compared with 2016-17. </w:t>
      </w:r>
    </w:p>
  </w:footnote>
  <w:footnote w:id="7">
    <w:p w:rsidR="00D45DBF" w:rsidRPr="002C6887" w:rsidRDefault="00D45DBF" w:rsidP="00D27338">
      <w:pPr>
        <w:pStyle w:val="FootnoteText"/>
        <w:rPr>
          <w:color w:val="404040" w:themeColor="text1" w:themeTint="BF"/>
        </w:rPr>
      </w:pPr>
      <w:r w:rsidRPr="002C6887">
        <w:rPr>
          <w:rStyle w:val="FootnoteReference"/>
          <w:color w:val="404040" w:themeColor="text1" w:themeTint="BF"/>
        </w:rPr>
        <w:footnoteRef/>
      </w:r>
      <w:r w:rsidRPr="002C6887">
        <w:rPr>
          <w:color w:val="404040" w:themeColor="text1" w:themeTint="BF"/>
        </w:rPr>
        <w:t xml:space="preserve"> The Commonwealth Home and Community Care program was created on 1 July 2012 following agreement to the transfer of all formerly joint Commonwealth-state/territory HACC programs, except Victoria and Western Australia.</w:t>
      </w:r>
    </w:p>
  </w:footnote>
  <w:footnote w:id="8">
    <w:p w:rsidR="00D45DBF" w:rsidRDefault="00D45DBF" w:rsidP="00596D01">
      <w:pPr>
        <w:pStyle w:val="FootnoteText"/>
      </w:pPr>
      <w:r w:rsidRPr="00930FED">
        <w:rPr>
          <w:rStyle w:val="FootnoteReference"/>
          <w:color w:val="404040" w:themeColor="text1" w:themeTint="BF"/>
        </w:rPr>
        <w:footnoteRef/>
      </w:r>
      <w:r w:rsidRPr="00930FED">
        <w:rPr>
          <w:color w:val="404040" w:themeColor="text1" w:themeTint="BF"/>
        </w:rPr>
        <w:t xml:space="preserve"> Since the changes in February 2017 packages are no longer assigned to providers and as such are not counted as they were in previous years.</w:t>
      </w:r>
    </w:p>
  </w:footnote>
  <w:footnote w:id="9">
    <w:p w:rsidR="00D45DBF" w:rsidRPr="002C6887" w:rsidRDefault="00D45DBF" w:rsidP="00B17AB0">
      <w:pPr>
        <w:pStyle w:val="FootnoteText"/>
        <w:rPr>
          <w:color w:val="404040" w:themeColor="text1" w:themeTint="BF"/>
        </w:rPr>
      </w:pPr>
      <w:r w:rsidRPr="002C6887">
        <w:rPr>
          <w:rStyle w:val="FootnoteReference"/>
          <w:color w:val="404040" w:themeColor="text1" w:themeTint="BF"/>
        </w:rPr>
        <w:footnoteRef/>
      </w:r>
      <w:r w:rsidRPr="002C6887">
        <w:rPr>
          <w:color w:val="404040" w:themeColor="text1" w:themeTint="BF"/>
        </w:rPr>
        <w:t xml:space="preserve"> Department of the Treasury </w:t>
      </w:r>
      <w:r w:rsidRPr="002C6887">
        <w:rPr>
          <w:i/>
          <w:color w:val="404040" w:themeColor="text1" w:themeTint="BF"/>
        </w:rPr>
        <w:t>Intergenerational Report, 2015</w:t>
      </w:r>
      <w:r w:rsidRPr="002C6887">
        <w:rPr>
          <w:color w:val="404040" w:themeColor="text1" w:themeTint="BF"/>
        </w:rPr>
        <w:t>.</w:t>
      </w:r>
    </w:p>
  </w:footnote>
  <w:footnote w:id="10">
    <w:p w:rsidR="00D45DBF" w:rsidRDefault="00D45DBF">
      <w:pPr>
        <w:pStyle w:val="FootnoteText"/>
      </w:pPr>
      <w:r>
        <w:rPr>
          <w:rStyle w:val="FootnoteReference"/>
        </w:rPr>
        <w:footnoteRef/>
      </w:r>
      <w:r>
        <w:t xml:space="preserve"> </w:t>
      </w:r>
      <w:r w:rsidRPr="00CD0DDF">
        <w:rPr>
          <w:rFonts w:ascii="Segoe UI" w:hAnsi="Segoe UI" w:cs="Segoe UI"/>
          <w:szCs w:val="16"/>
        </w:rPr>
        <w:t xml:space="preserve">ACFA notes that </w:t>
      </w:r>
      <w:r>
        <w:rPr>
          <w:rFonts w:ascii="Segoe UI" w:hAnsi="Segoe UI" w:cs="Segoe UI"/>
          <w:szCs w:val="16"/>
        </w:rPr>
        <w:t>some</w:t>
      </w:r>
      <w:r w:rsidRPr="00CD0DDF">
        <w:rPr>
          <w:rFonts w:ascii="Segoe UI" w:hAnsi="Segoe UI" w:cs="Segoe UI"/>
          <w:szCs w:val="16"/>
        </w:rPr>
        <w:t xml:space="preserve"> aged care providers, especially not-for-profit providers, also provide disability services and seniors’ housing.</w:t>
      </w:r>
    </w:p>
  </w:footnote>
  <w:footnote w:id="11">
    <w:p w:rsidR="00D45DBF" w:rsidRPr="002C6887" w:rsidRDefault="00D45DBF">
      <w:pPr>
        <w:pStyle w:val="FootnoteText"/>
        <w:rPr>
          <w:color w:val="404040" w:themeColor="text1" w:themeTint="BF"/>
          <w:szCs w:val="18"/>
        </w:rPr>
      </w:pPr>
      <w:r w:rsidRPr="002C6887">
        <w:rPr>
          <w:rStyle w:val="FootnoteReference"/>
          <w:color w:val="404040" w:themeColor="text1" w:themeTint="BF"/>
          <w:szCs w:val="18"/>
        </w:rPr>
        <w:footnoteRef/>
      </w:r>
      <w:r w:rsidRPr="002C6887">
        <w:rPr>
          <w:color w:val="404040" w:themeColor="text1" w:themeTint="BF"/>
          <w:szCs w:val="18"/>
        </w:rPr>
        <w:t xml:space="preserve"> Productivity Commission, </w:t>
      </w:r>
      <w:r w:rsidRPr="002C6887">
        <w:rPr>
          <w:i/>
          <w:color w:val="404040" w:themeColor="text1" w:themeTint="BF"/>
          <w:szCs w:val="18"/>
        </w:rPr>
        <w:t>Caring for Older Australians</w:t>
      </w:r>
      <w:r w:rsidRPr="002C6887">
        <w:rPr>
          <w:color w:val="404040" w:themeColor="text1" w:themeTint="BF"/>
          <w:szCs w:val="18"/>
        </w:rPr>
        <w:t xml:space="preserve"> 2011.</w:t>
      </w:r>
    </w:p>
  </w:footnote>
  <w:footnote w:id="12">
    <w:p w:rsidR="00D45DBF" w:rsidRPr="001865B8" w:rsidRDefault="00D45DBF" w:rsidP="001865B8">
      <w:pPr>
        <w:pStyle w:val="FootnoteText"/>
      </w:pPr>
      <w:r w:rsidRPr="001865B8">
        <w:rPr>
          <w:rStyle w:val="FootnoteReference"/>
          <w:vertAlign w:val="baseline"/>
        </w:rPr>
        <w:footnoteRef/>
      </w:r>
      <w:r w:rsidRPr="001865B8">
        <w:t xml:space="preserve"> </w:t>
      </w:r>
      <w:hyperlink r:id="rId2" w:history="1">
        <w:r w:rsidRPr="001865B8">
          <w:rPr>
            <w:rStyle w:val="Hyperlink"/>
          </w:rPr>
          <w:t>https://agedcare.health.gov.au/news-and-resources/publications/2016-national-aged-care-workforce-census-and-survey-the-aged-care-workforce-2016</w:t>
        </w:r>
      </w:hyperlink>
    </w:p>
  </w:footnote>
  <w:footnote w:id="13">
    <w:p w:rsidR="00D45DBF" w:rsidRPr="002C6887" w:rsidRDefault="00D45DBF">
      <w:pPr>
        <w:pStyle w:val="FootnoteText"/>
        <w:rPr>
          <w:rStyle w:val="Hyperlink"/>
          <w:color w:val="1361FF" w:themeColor="accent1" w:themeTint="99"/>
          <w:sz w:val="18"/>
          <w:szCs w:val="18"/>
        </w:rPr>
      </w:pPr>
      <w:r w:rsidRPr="002C6887">
        <w:rPr>
          <w:rStyle w:val="FootnoteReference"/>
          <w:szCs w:val="18"/>
        </w:rPr>
        <w:footnoteRef/>
      </w:r>
      <w:r w:rsidRPr="002C6887">
        <w:rPr>
          <w:szCs w:val="18"/>
        </w:rPr>
        <w:t xml:space="preserve"> </w:t>
      </w:r>
      <w:r w:rsidRPr="002C6887">
        <w:rPr>
          <w:color w:val="404040" w:themeColor="text1" w:themeTint="BF"/>
          <w:szCs w:val="18"/>
        </w:rPr>
        <w:t xml:space="preserve">The terms of reference can be found at </w:t>
      </w:r>
      <w:hyperlink r:id="rId3" w:history="1">
        <w:r w:rsidRPr="002C6887">
          <w:rPr>
            <w:rStyle w:val="Hyperlink"/>
            <w:color w:val="1361FF" w:themeColor="accent1" w:themeTint="99"/>
            <w:sz w:val="18"/>
            <w:szCs w:val="18"/>
          </w:rPr>
          <w:t>https://agedcare.health.gov.au/reform/aged-care-workforce-strategy-taskforce</w:t>
        </w:r>
      </w:hyperlink>
    </w:p>
  </w:footnote>
  <w:footnote w:id="14">
    <w:p w:rsidR="00D45DBF" w:rsidRPr="002C6887" w:rsidRDefault="00D45DBF" w:rsidP="001865B8">
      <w:pPr>
        <w:pStyle w:val="FootnoteText"/>
      </w:pPr>
      <w:r w:rsidRPr="002C6887">
        <w:rPr>
          <w:rStyle w:val="FootnoteReference"/>
          <w:rFonts w:cstheme="minorHAnsi"/>
          <w:szCs w:val="18"/>
        </w:rPr>
        <w:footnoteRef/>
      </w:r>
      <w:r w:rsidRPr="002C6887">
        <w:t xml:space="preserve"> </w:t>
      </w:r>
      <w:r w:rsidRPr="002C6887">
        <w:rPr>
          <w:lang w:val="en-GB"/>
        </w:rPr>
        <w:t xml:space="preserve">ACFA’s Report to Inform the </w:t>
      </w:r>
      <w:r w:rsidRPr="002C6887">
        <w:rPr>
          <w:i/>
          <w:lang w:val="en-GB"/>
        </w:rPr>
        <w:t>2016-17 Review of Amendments to the Aged Care Act 1997, Part One – Analysis and Observations</w:t>
      </w:r>
      <w:r w:rsidRPr="002C6887">
        <w:rPr>
          <w:lang w:val="en-GB"/>
        </w:rPr>
        <w:t xml:space="preserve">, available at </w:t>
      </w:r>
      <w:hyperlink r:id="rId4" w:history="1">
        <w:r w:rsidRPr="002C6887">
          <w:rPr>
            <w:rStyle w:val="Hyperlink"/>
            <w:rFonts w:cstheme="minorHAnsi"/>
            <w:color w:val="1361FF" w:themeColor="accent1" w:themeTint="99"/>
            <w:sz w:val="18"/>
            <w:szCs w:val="18"/>
          </w:rPr>
          <w:t>https://agedcare.health.gov.au/aged-care-reform/aged-care-financing-authority</w:t>
        </w:r>
      </w:hyperlink>
      <w:r w:rsidRPr="002C6887">
        <w:rPr>
          <w:rStyle w:val="Hyperlink"/>
          <w:rFonts w:cstheme="minorHAnsi"/>
          <w:color w:val="1361FF" w:themeColor="accent1" w:themeTint="99"/>
          <w:sz w:val="18"/>
          <w:szCs w:val="18"/>
        </w:rPr>
        <w:t>.</w:t>
      </w:r>
    </w:p>
  </w:footnote>
  <w:footnote w:id="15">
    <w:p w:rsidR="00D45DBF" w:rsidRPr="002C6887" w:rsidRDefault="00D45DBF" w:rsidP="001865B8">
      <w:pPr>
        <w:pStyle w:val="FootnoteText"/>
        <w:rPr>
          <w:rStyle w:val="Hyperlink"/>
          <w:rFonts w:cstheme="minorHAnsi"/>
          <w:color w:val="1361FF" w:themeColor="accent1" w:themeTint="99"/>
          <w:sz w:val="18"/>
          <w:szCs w:val="18"/>
        </w:rPr>
      </w:pPr>
      <w:r w:rsidRPr="002C6887">
        <w:rPr>
          <w:rStyle w:val="FootnoteReference"/>
          <w:rFonts w:cstheme="minorHAnsi"/>
          <w:szCs w:val="18"/>
        </w:rPr>
        <w:footnoteRef/>
      </w:r>
      <w:r w:rsidRPr="002C6887">
        <w:rPr>
          <w:rFonts w:cstheme="minorHAnsi"/>
          <w:szCs w:val="18"/>
        </w:rPr>
        <w:t xml:space="preserve"> </w:t>
      </w:r>
      <w:r w:rsidRPr="002C6887">
        <w:rPr>
          <w:rFonts w:cstheme="minorHAnsi"/>
          <w:color w:val="404040" w:themeColor="text1" w:themeTint="BF"/>
          <w:szCs w:val="18"/>
          <w:lang w:val="en-GB"/>
        </w:rPr>
        <w:t>The Aged Care Roadmap available at</w:t>
      </w:r>
      <w:r w:rsidRPr="002C6887">
        <w:rPr>
          <w:rFonts w:cstheme="minorHAnsi"/>
          <w:color w:val="404040" w:themeColor="text1" w:themeTint="BF"/>
          <w:szCs w:val="18"/>
        </w:rPr>
        <w:t xml:space="preserve"> </w:t>
      </w:r>
      <w:hyperlink r:id="rId5" w:history="1">
        <w:r w:rsidRPr="002C6887">
          <w:rPr>
            <w:rStyle w:val="Hyperlink"/>
            <w:rFonts w:cstheme="minorHAnsi"/>
            <w:color w:val="1361FF" w:themeColor="accent1" w:themeTint="99"/>
            <w:sz w:val="18"/>
            <w:szCs w:val="18"/>
          </w:rPr>
          <w:t>https://agedcare.health.gov.au/aged-care-reform/aged-care-roadmap</w:t>
        </w:r>
      </w:hyperlink>
    </w:p>
  </w:footnote>
  <w:footnote w:id="16">
    <w:p w:rsidR="00D45DBF" w:rsidRPr="001865B8" w:rsidRDefault="00D45DBF" w:rsidP="001865B8">
      <w:pPr>
        <w:pStyle w:val="FootnoteText"/>
        <w:rPr>
          <w:rFonts w:cstheme="minorHAnsi"/>
          <w:color w:val="313131"/>
          <w:szCs w:val="18"/>
          <w:lang w:val="en-GB"/>
        </w:rPr>
      </w:pPr>
      <w:r w:rsidRPr="002C6887">
        <w:rPr>
          <w:rStyle w:val="FootnoteReference"/>
          <w:rFonts w:cstheme="minorHAnsi"/>
          <w:szCs w:val="18"/>
        </w:rPr>
        <w:footnoteRef/>
      </w:r>
      <w:r w:rsidRPr="002C6887">
        <w:rPr>
          <w:rFonts w:cstheme="minorHAnsi"/>
          <w:szCs w:val="18"/>
        </w:rPr>
        <w:t xml:space="preserve"> </w:t>
      </w:r>
      <w:r w:rsidRPr="002C6887">
        <w:rPr>
          <w:rFonts w:cstheme="minorHAnsi"/>
          <w:color w:val="404040" w:themeColor="text1" w:themeTint="BF"/>
          <w:szCs w:val="18"/>
          <w:lang w:val="en-GB"/>
        </w:rPr>
        <w:t>This differs from the figure of $24.7 billion in section 10 of this report and Chapter 10 of the main report as $24.8 billion is the lump sum deposits held by all residential care providers whereas $24.7 billion is the total held by the 99 per cent of residential care providers who submitted their ACFRs and GPFRs.</w:t>
      </w:r>
    </w:p>
  </w:footnote>
  <w:footnote w:id="17">
    <w:p w:rsidR="00D45DBF" w:rsidRPr="002C6887" w:rsidRDefault="00D45DBF" w:rsidP="00B66832">
      <w:pPr>
        <w:pStyle w:val="FootnoteText"/>
        <w:rPr>
          <w:rFonts w:cstheme="minorHAnsi"/>
          <w:szCs w:val="18"/>
        </w:rPr>
      </w:pPr>
      <w:r w:rsidRPr="002C6887">
        <w:rPr>
          <w:rStyle w:val="FootnoteReference"/>
          <w:rFonts w:cstheme="minorHAnsi"/>
          <w:szCs w:val="18"/>
        </w:rPr>
        <w:footnoteRef/>
      </w:r>
      <w:r w:rsidRPr="002C6887">
        <w:rPr>
          <w:rStyle w:val="Hyperlink"/>
          <w:rFonts w:cstheme="minorHAnsi"/>
          <w:color w:val="1361FF" w:themeColor="accent1" w:themeTint="99"/>
          <w:sz w:val="18"/>
          <w:szCs w:val="18"/>
        </w:rPr>
        <w:t xml:space="preserve"> </w:t>
      </w:r>
      <w:hyperlink r:id="rId6" w:history="1">
        <w:r w:rsidRPr="002C6887">
          <w:rPr>
            <w:rStyle w:val="Hyperlink"/>
            <w:rFonts w:cstheme="minorHAnsi"/>
            <w:color w:val="1361FF" w:themeColor="accent1" w:themeTint="99"/>
            <w:sz w:val="18"/>
            <w:szCs w:val="18"/>
          </w:rPr>
          <w:t>https://agedcare.health.gov.au/aged-care-reform/aged-care-financing-authority</w:t>
        </w:r>
      </w:hyperlink>
    </w:p>
  </w:footnote>
  <w:footnote w:id="18">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Accommodation payments apply in permanent residential care, where residents are subject to a means test. They do not apply in residential respite care.</w:t>
      </w:r>
    </w:p>
  </w:footnote>
  <w:footnote w:id="19">
    <w:p w:rsidR="00D45DBF" w:rsidRPr="002C6887" w:rsidRDefault="00D45DBF">
      <w:pPr>
        <w:pStyle w:val="FootnoteText"/>
        <w:rPr>
          <w:rStyle w:val="FootnoteReference"/>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Style w:val="FootnoteReference"/>
          <w:rFonts w:cstheme="minorHAnsi"/>
          <w:color w:val="404040" w:themeColor="text1" w:themeTint="BF"/>
          <w:szCs w:val="18"/>
        </w:rPr>
        <w:t xml:space="preserve"> </w:t>
      </w:r>
      <w:r w:rsidRPr="002C6887">
        <w:rPr>
          <w:rFonts w:cstheme="minorHAnsi"/>
          <w:color w:val="404040" w:themeColor="text1" w:themeTint="BF"/>
          <w:szCs w:val="18"/>
        </w:rPr>
        <w:t>The maximum price above was set at $550,00 (non-indexed)</w:t>
      </w:r>
      <w:r>
        <w:rPr>
          <w:rFonts w:cstheme="minorHAnsi"/>
          <w:color w:val="404040" w:themeColor="text1" w:themeTint="BF"/>
          <w:szCs w:val="18"/>
        </w:rPr>
        <w:t xml:space="preserve"> </w:t>
      </w:r>
    </w:p>
  </w:footnote>
  <w:footnote w:id="20">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The figure of $18.21 billion presented for 2014-15 in Chart 4.1 differs from the June 2015 figure of $19.84 billion in Chart 3.1 of ACFA’s 2016 annual report. This is because the latter figure from the monitoring surveys includes lump sums held and receivable, whereas figures in Chart 4.1 are sourced from the Annual Prudential Compliance Statement returns of those providers who submitted their GPFR, and do not include lump sums receivable.</w:t>
      </w:r>
    </w:p>
  </w:footnote>
  <w:footnote w:id="21">
    <w:p w:rsidR="00D45DBF" w:rsidRPr="002C6887" w:rsidRDefault="00D45DBF" w:rsidP="003C207A">
      <w:pPr>
        <w:pStyle w:val="BodyText"/>
        <w:spacing w:before="60" w:after="60"/>
        <w:rPr>
          <w:rFonts w:asciiTheme="minorHAnsi" w:hAnsiTheme="minorHAnsi" w:cstheme="minorHAnsi"/>
          <w:color w:val="404040" w:themeColor="text1" w:themeTint="BF"/>
          <w:sz w:val="18"/>
          <w:szCs w:val="18"/>
          <w:lang w:val="en-AU"/>
        </w:rPr>
      </w:pPr>
      <w:r w:rsidRPr="002C6887">
        <w:rPr>
          <w:rStyle w:val="FootnoteReference"/>
          <w:rFonts w:asciiTheme="minorHAnsi" w:hAnsiTheme="minorHAnsi" w:cstheme="minorHAnsi"/>
          <w:color w:val="404040" w:themeColor="text1" w:themeTint="BF"/>
          <w:szCs w:val="18"/>
        </w:rPr>
        <w:footnoteRef/>
      </w:r>
      <w:r w:rsidRPr="002C6887">
        <w:rPr>
          <w:rFonts w:asciiTheme="minorHAnsi" w:hAnsiTheme="minorHAnsi" w:cstheme="minorHAnsi"/>
          <w:color w:val="404040" w:themeColor="text1" w:themeTint="BF"/>
          <w:sz w:val="18"/>
          <w:szCs w:val="18"/>
          <w:lang w:val="en-AU"/>
        </w:rPr>
        <w:t xml:space="preserve"> The MPIR is the rate used to calculate the equivalent daily payment of a RAD. The RAD amount is multiplied by the MPIR and divided by 365 days. The MPIR is determined in accordance with Section 6 of the </w:t>
      </w:r>
      <w:r w:rsidRPr="002C6887">
        <w:rPr>
          <w:rFonts w:asciiTheme="minorHAnsi" w:hAnsiTheme="minorHAnsi" w:cstheme="minorHAnsi"/>
          <w:i/>
          <w:color w:val="404040" w:themeColor="text1" w:themeTint="BF"/>
          <w:sz w:val="18"/>
          <w:szCs w:val="18"/>
          <w:lang w:val="en-AU"/>
        </w:rPr>
        <w:t>Fees and Payments Principles 2014 (No. 2).</w:t>
      </w:r>
      <w:r w:rsidRPr="002C6887">
        <w:rPr>
          <w:rFonts w:asciiTheme="minorHAnsi" w:hAnsiTheme="minorHAnsi" w:cstheme="minorHAnsi"/>
          <w:color w:val="404040" w:themeColor="text1" w:themeTint="BF"/>
          <w:sz w:val="18"/>
          <w:szCs w:val="18"/>
          <w:lang w:val="en-AU"/>
        </w:rPr>
        <w:t xml:space="preserve"> The MPIR is available on the Department of Health website and is updated every three months.</w:t>
      </w:r>
    </w:p>
  </w:footnote>
  <w:footnote w:id="22">
    <w:p w:rsidR="00D45DBF" w:rsidRDefault="00D45DBF">
      <w:pPr>
        <w:pStyle w:val="FootnoteText"/>
      </w:pPr>
      <w:r>
        <w:rPr>
          <w:rStyle w:val="FootnoteReference"/>
        </w:rPr>
        <w:footnoteRef/>
      </w:r>
      <w:r>
        <w:t xml:space="preserve"> Extra service and additional service fees only apply to residential care.</w:t>
      </w:r>
    </w:p>
  </w:footnote>
  <w:footnote w:id="23">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Pension rates are indexed on 20 March and 20 September each year so the rate as at 1 July 2018 was set on 20 March 2018.</w:t>
      </w:r>
    </w:p>
  </w:footnote>
  <w:footnote w:id="24">
    <w:p w:rsidR="00D45DBF" w:rsidRPr="001C335A" w:rsidRDefault="00D45DBF" w:rsidP="001C335A">
      <w:pPr>
        <w:rPr>
          <w:rFonts w:cstheme="minorHAnsi"/>
          <w:i/>
          <w:iCs/>
          <w:color w:val="404040" w:themeColor="text1" w:themeTint="BF"/>
          <w:sz w:val="18"/>
          <w:szCs w:val="18"/>
        </w:rPr>
      </w:pPr>
      <w:r w:rsidRPr="002C6887">
        <w:rPr>
          <w:rStyle w:val="FootnoteReference"/>
          <w:rFonts w:cstheme="minorHAnsi"/>
          <w:color w:val="404040" w:themeColor="text1" w:themeTint="BF"/>
          <w:szCs w:val="18"/>
        </w:rPr>
        <w:footnoteRef/>
      </w:r>
      <w:r>
        <w:rPr>
          <w:rFonts w:cstheme="minorHAnsi"/>
          <w:color w:val="404040" w:themeColor="text1" w:themeTint="BF"/>
          <w:sz w:val="18"/>
          <w:szCs w:val="18"/>
        </w:rPr>
        <w:t xml:space="preserve"> </w:t>
      </w:r>
      <w:r w:rsidRPr="002C6887">
        <w:rPr>
          <w:rFonts w:cstheme="minorHAnsi"/>
          <w:iCs/>
          <w:color w:val="404040" w:themeColor="text1" w:themeTint="BF"/>
          <w:sz w:val="18"/>
          <w:szCs w:val="18"/>
        </w:rPr>
        <w:t>CALD status is derived from self-reported information provided by consumers</w:t>
      </w:r>
      <w:r w:rsidRPr="002C6887">
        <w:rPr>
          <w:rFonts w:cstheme="minorHAnsi"/>
          <w:i/>
          <w:iCs/>
          <w:color w:val="404040" w:themeColor="text1" w:themeTint="BF"/>
          <w:sz w:val="18"/>
          <w:szCs w:val="18"/>
        </w:rPr>
        <w:t>.</w:t>
      </w:r>
    </w:p>
  </w:footnote>
  <w:footnote w:id="25">
    <w:p w:rsidR="00D45DBF" w:rsidRPr="001C335A" w:rsidRDefault="00D45DBF" w:rsidP="001C335A">
      <w:pPr>
        <w:rPr>
          <w:rFonts w:cstheme="minorHAnsi"/>
          <w:i/>
          <w:iCs/>
          <w:color w:val="404040" w:themeColor="text1" w:themeTint="BF"/>
          <w:sz w:val="18"/>
          <w:szCs w:val="18"/>
        </w:rPr>
      </w:pPr>
      <w:r w:rsidRPr="002C6887">
        <w:rPr>
          <w:rStyle w:val="FootnoteReference"/>
          <w:rFonts w:cstheme="minorHAnsi"/>
          <w:color w:val="404040" w:themeColor="text1" w:themeTint="BF"/>
          <w:szCs w:val="18"/>
        </w:rPr>
        <w:footnoteRef/>
      </w:r>
      <w:r>
        <w:rPr>
          <w:rFonts w:cstheme="minorHAnsi"/>
          <w:color w:val="404040" w:themeColor="text1" w:themeTint="BF"/>
          <w:sz w:val="18"/>
          <w:szCs w:val="18"/>
        </w:rPr>
        <w:t xml:space="preserve"> </w:t>
      </w:r>
      <w:r w:rsidRPr="002C6887">
        <w:rPr>
          <w:rFonts w:cstheme="minorHAnsi"/>
          <w:iCs/>
          <w:color w:val="404040" w:themeColor="text1" w:themeTint="BF"/>
          <w:sz w:val="18"/>
          <w:szCs w:val="18"/>
        </w:rPr>
        <w:t>Indigenous status is derived from self-reported information provided by consumers.</w:t>
      </w:r>
    </w:p>
  </w:footnote>
  <w:footnote w:id="26">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Other types of respite care can be accessed through the CHSP or through a home care package</w:t>
      </w:r>
    </w:p>
  </w:footnote>
  <w:footnote w:id="27">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A residential respite ‘stay’ refers to a single stay and is from when they enter to when they exit, no matter the duration.</w:t>
      </w:r>
    </w:p>
  </w:footnote>
  <w:footnote w:id="28">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w:t>
      </w:r>
      <w:r w:rsidRPr="002C6887">
        <w:rPr>
          <w:rFonts w:cstheme="minorHAnsi"/>
          <w:color w:val="404040" w:themeColor="text1" w:themeTint="BF"/>
          <w:szCs w:val="18"/>
          <w:lang w:val="en-GB"/>
        </w:rPr>
        <w:t>Source: ABS population projections, 2012</w:t>
      </w:r>
    </w:p>
  </w:footnote>
  <w:footnote w:id="29">
    <w:p w:rsidR="00D45DBF" w:rsidRPr="002C6887" w:rsidRDefault="00D45DBF" w:rsidP="001C335A">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w:t>
      </w:r>
      <w:r w:rsidRPr="002C6887">
        <w:rPr>
          <w:rFonts w:cstheme="minorHAnsi"/>
          <w:color w:val="404040" w:themeColor="text1" w:themeTint="BF"/>
          <w:szCs w:val="18"/>
          <w:lang w:val="en-GB"/>
        </w:rPr>
        <w:t>There has been a change to the counting methodology used for 2016-17 due to more comprehensive reporting by CHSP providers through the Department of Social Services’ Data Exchange reporting system.</w:t>
      </w:r>
    </w:p>
  </w:footnote>
  <w:footnote w:id="30">
    <w:p w:rsidR="00D45DBF" w:rsidRPr="002C6887" w:rsidRDefault="00D45DBF" w:rsidP="001C335A">
      <w:pPr>
        <w:pStyle w:val="FootnoteText"/>
        <w:spacing w:before="0"/>
        <w:rPr>
          <w:rFonts w:cstheme="minorHAnsi"/>
          <w:color w:val="404040" w:themeColor="text1" w:themeTint="BF"/>
          <w:szCs w:val="18"/>
          <w:lang w:val="en-GB"/>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w:t>
      </w:r>
      <w:r w:rsidRPr="002C6887">
        <w:rPr>
          <w:rFonts w:cstheme="minorHAnsi"/>
          <w:color w:val="404040" w:themeColor="text1" w:themeTint="BF"/>
          <w:szCs w:val="18"/>
          <w:lang w:val="en-GB"/>
        </w:rPr>
        <w:t>Total home support consumers</w:t>
      </w:r>
      <w:r>
        <w:rPr>
          <w:rFonts w:cstheme="minorHAnsi"/>
          <w:color w:val="404040" w:themeColor="text1" w:themeTint="BF"/>
          <w:szCs w:val="18"/>
          <w:lang w:val="en-GB"/>
        </w:rPr>
        <w:t>,</w:t>
      </w:r>
      <w:r w:rsidRPr="002C6887">
        <w:rPr>
          <w:rFonts w:cstheme="minorHAnsi"/>
          <w:color w:val="404040" w:themeColor="text1" w:themeTint="BF"/>
          <w:szCs w:val="18"/>
          <w:lang w:val="en-GB"/>
        </w:rPr>
        <w:t xml:space="preserve"> for 2015</w:t>
      </w:r>
      <w:r w:rsidRPr="002C6887">
        <w:rPr>
          <w:rFonts w:cstheme="minorHAnsi"/>
          <w:color w:val="404040" w:themeColor="text1" w:themeTint="BF"/>
          <w:szCs w:val="18"/>
          <w:lang w:val="en-GB"/>
        </w:rPr>
        <w:noBreakHyphen/>
        <w:t>16 was reported as 925,432. This total is likely overstated due to lack of accurate data and differences in counting methods used for the new CHSP.</w:t>
      </w:r>
    </w:p>
  </w:footnote>
  <w:footnote w:id="31">
    <w:p w:rsidR="00D45DBF" w:rsidRDefault="00D45DBF">
      <w:pPr>
        <w:pStyle w:val="FootnoteText"/>
      </w:pPr>
      <w:r>
        <w:rPr>
          <w:rStyle w:val="FootnoteReference"/>
        </w:rPr>
        <w:footnoteRef/>
      </w:r>
      <w:r>
        <w:t xml:space="preserve"> Victorian HACC services for older people were incorporated into the CHSP as of 1 July 2016.</w:t>
      </w:r>
    </w:p>
  </w:footnote>
  <w:footnote w:id="32">
    <w:p w:rsidR="00D45DBF" w:rsidRPr="00D6484C" w:rsidRDefault="00D45DBF">
      <w:pPr>
        <w:pStyle w:val="FootnoteText"/>
        <w:rPr>
          <w:rFonts w:cstheme="minorHAnsi"/>
        </w:rPr>
      </w:pPr>
      <w:r w:rsidRPr="00D6484C">
        <w:rPr>
          <w:rStyle w:val="FootnoteReference"/>
          <w:rFonts w:cstheme="minorHAnsi"/>
        </w:rPr>
        <w:footnoteRef/>
      </w:r>
      <w:r w:rsidRPr="00D6484C">
        <w:rPr>
          <w:rFonts w:cstheme="minorHAnsi"/>
        </w:rPr>
        <w:t xml:space="preserve"> </w:t>
      </w:r>
      <w:r w:rsidRPr="00D6484C">
        <w:rPr>
          <w:rFonts w:cstheme="minorHAnsi"/>
          <w:color w:val="404040" w:themeColor="text1" w:themeTint="BF"/>
          <w:szCs w:val="18"/>
        </w:rPr>
        <w:t xml:space="preserve">CHSP </w:t>
      </w:r>
      <w:r>
        <w:rPr>
          <w:rFonts w:cstheme="minorHAnsi"/>
          <w:color w:val="404040" w:themeColor="text1" w:themeTint="BF"/>
          <w:szCs w:val="18"/>
        </w:rPr>
        <w:t>expenditure</w:t>
      </w:r>
      <w:r w:rsidRPr="00D6484C">
        <w:rPr>
          <w:rFonts w:cstheme="minorHAnsi"/>
          <w:color w:val="404040" w:themeColor="text1" w:themeTint="BF"/>
          <w:szCs w:val="18"/>
        </w:rPr>
        <w:t xml:space="preserve"> shown here excludes</w:t>
      </w:r>
      <w:r>
        <w:rPr>
          <w:rFonts w:cstheme="minorHAnsi"/>
          <w:color w:val="404040" w:themeColor="text1" w:themeTint="BF"/>
          <w:szCs w:val="18"/>
        </w:rPr>
        <w:t xml:space="preserve"> the expenditure on RAS and My Age Care support services of $148 million in </w:t>
      </w:r>
      <w:r w:rsidRPr="00D6484C">
        <w:rPr>
          <w:rFonts w:cstheme="minorHAnsi"/>
          <w:color w:val="404040" w:themeColor="text1" w:themeTint="BF"/>
          <w:szCs w:val="18"/>
        </w:rPr>
        <w:t>2015</w:t>
      </w:r>
      <w:r w:rsidRPr="00D6484C">
        <w:rPr>
          <w:rFonts w:cstheme="minorHAnsi"/>
          <w:color w:val="404040" w:themeColor="text1" w:themeTint="BF"/>
          <w:szCs w:val="18"/>
        </w:rPr>
        <w:noBreakHyphen/>
        <w:t>16</w:t>
      </w:r>
      <w:r>
        <w:rPr>
          <w:rFonts w:cstheme="minorHAnsi"/>
          <w:color w:val="404040" w:themeColor="text1" w:themeTint="BF"/>
          <w:szCs w:val="18"/>
        </w:rPr>
        <w:t xml:space="preserve"> and $123 million in </w:t>
      </w:r>
      <w:r w:rsidRPr="00D6484C">
        <w:rPr>
          <w:rFonts w:cstheme="minorHAnsi"/>
          <w:color w:val="404040" w:themeColor="text1" w:themeTint="BF"/>
          <w:szCs w:val="18"/>
        </w:rPr>
        <w:t>2016</w:t>
      </w:r>
      <w:r w:rsidRPr="00D6484C">
        <w:rPr>
          <w:rFonts w:cstheme="minorHAnsi"/>
          <w:color w:val="404040" w:themeColor="text1" w:themeTint="BF"/>
          <w:szCs w:val="18"/>
        </w:rPr>
        <w:noBreakHyphen/>
        <w:t>17</w:t>
      </w:r>
      <w:r>
        <w:rPr>
          <w:rFonts w:cstheme="minorHAnsi"/>
          <w:color w:val="404040" w:themeColor="text1" w:themeTint="BF"/>
          <w:szCs w:val="18"/>
        </w:rPr>
        <w:t xml:space="preserve"> as they were not for services to consumers.</w:t>
      </w:r>
    </w:p>
  </w:footnote>
  <w:footnote w:id="33">
    <w:p w:rsidR="00D45DBF" w:rsidRPr="002C6887" w:rsidRDefault="00D45DBF">
      <w:pPr>
        <w:pStyle w:val="FootnoteText"/>
        <w:rPr>
          <w:rFonts w:cstheme="minorHAnsi"/>
          <w:color w:val="404040" w:themeColor="text1" w:themeTint="BF"/>
          <w:szCs w:val="18"/>
        </w:rPr>
      </w:pPr>
      <w:r w:rsidRPr="002C6887">
        <w:rPr>
          <w:rStyle w:val="FootnoteReference"/>
          <w:rFonts w:cstheme="minorHAnsi"/>
          <w:color w:val="404040" w:themeColor="text1" w:themeTint="BF"/>
          <w:szCs w:val="18"/>
        </w:rPr>
        <w:footnoteRef/>
      </w:r>
      <w:r w:rsidRPr="002C6887">
        <w:rPr>
          <w:rFonts w:cstheme="minorHAnsi"/>
          <w:color w:val="404040" w:themeColor="text1" w:themeTint="BF"/>
          <w:szCs w:val="18"/>
        </w:rPr>
        <w:t xml:space="preserve"> The former non-HACC components of the CHSP all transferred to the CHSP from 2015-16. The $24.7 million identified under the CHSP in 2016-17 for Western Australia relates to the non-HACC components.</w:t>
      </w:r>
    </w:p>
  </w:footnote>
  <w:footnote w:id="34">
    <w:p w:rsidR="00D45DBF" w:rsidRPr="002C6887" w:rsidRDefault="00D45DBF" w:rsidP="00A4014C">
      <w:pPr>
        <w:pStyle w:val="FootnoteText"/>
        <w:rPr>
          <w:color w:val="404040" w:themeColor="text1" w:themeTint="BF"/>
        </w:rPr>
      </w:pPr>
      <w:r w:rsidRPr="002C6887">
        <w:rPr>
          <w:rStyle w:val="FootnoteReference"/>
          <w:color w:val="404040" w:themeColor="text1" w:themeTint="BF"/>
        </w:rPr>
        <w:footnoteRef/>
      </w:r>
      <w:r w:rsidRPr="002C6887">
        <w:rPr>
          <w:color w:val="404040" w:themeColor="text1" w:themeTint="BF"/>
        </w:rPr>
        <w:t xml:space="preserve"> The total revenue, expenses and profit noted here are estimates of all providers based on the 85 per cent of providers who submitted their Aged Care Financial Reports.</w:t>
      </w:r>
    </w:p>
  </w:footnote>
  <w:footnote w:id="35">
    <w:p w:rsidR="00D45DBF" w:rsidRDefault="00D45DBF" w:rsidP="005E3337">
      <w:pPr>
        <w:pStyle w:val="FootnoteText"/>
      </w:pPr>
      <w:r>
        <w:rPr>
          <w:rStyle w:val="FootnoteReference"/>
        </w:rPr>
        <w:footnoteRef/>
      </w:r>
      <w:r>
        <w:t xml:space="preserve"> </w:t>
      </w:r>
      <w:proofErr w:type="spellStart"/>
      <w:r>
        <w:t>StewartBrown</w:t>
      </w:r>
      <w:proofErr w:type="spellEnd"/>
      <w:r>
        <w:t xml:space="preserve"> collects detailed financial and operational data from providers who service approximately 25 per cent of home care packages in their quarterly Aged Care Performance Surveys. </w:t>
      </w:r>
      <w:proofErr w:type="spellStart"/>
      <w:r>
        <w:t>StewartBrown’s</w:t>
      </w:r>
      <w:proofErr w:type="spellEnd"/>
      <w:r>
        <w:t xml:space="preserve"> survey participants are predominantly not-for-profit entities.</w:t>
      </w:r>
    </w:p>
  </w:footnote>
  <w:footnote w:id="36">
    <w:p w:rsidR="00D45DBF" w:rsidRDefault="00D45DBF">
      <w:pPr>
        <w:pStyle w:val="FootnoteText"/>
      </w:pPr>
      <w:r>
        <w:rPr>
          <w:rStyle w:val="FootnoteReference"/>
        </w:rPr>
        <w:footnoteRef/>
      </w:r>
      <w:r>
        <w:t xml:space="preserve"> </w:t>
      </w:r>
      <w:r w:rsidRPr="00520573">
        <w:rPr>
          <w:color w:val="404040" w:themeColor="text1" w:themeTint="BF"/>
        </w:rPr>
        <w:t>In residential care, a ‘facility’ refers to an aged care home or service.</w:t>
      </w:r>
    </w:p>
  </w:footnote>
  <w:footnote w:id="37">
    <w:p w:rsidR="00D45DBF" w:rsidRPr="000A68FB" w:rsidRDefault="00D45DBF" w:rsidP="00A47B05">
      <w:pPr>
        <w:pStyle w:val="FootnoteText"/>
        <w:rPr>
          <w:color w:val="404040" w:themeColor="text1" w:themeTint="BF"/>
        </w:rPr>
      </w:pPr>
      <w:r>
        <w:rPr>
          <w:rStyle w:val="FootnoteReference"/>
        </w:rPr>
        <w:footnoteRef/>
      </w:r>
      <w:r>
        <w:t xml:space="preserve"> </w:t>
      </w:r>
      <w:r w:rsidRPr="000A68FB">
        <w:rPr>
          <w:color w:val="404040" w:themeColor="text1" w:themeTint="BF"/>
        </w:rPr>
        <w:t>In the aged care context, ‘regional’ includes rural and remote aged care areas.</w:t>
      </w:r>
    </w:p>
  </w:footnote>
  <w:footnote w:id="38">
    <w:p w:rsidR="00D45DBF" w:rsidRPr="00BA16F9" w:rsidRDefault="00D45DBF" w:rsidP="00A4014C">
      <w:pPr>
        <w:pStyle w:val="FootnoteText"/>
        <w:ind w:left="142" w:hanging="142"/>
      </w:pPr>
      <w:r>
        <w:rPr>
          <w:rStyle w:val="FootnoteReference"/>
        </w:rPr>
        <w:footnoteRef/>
      </w:r>
      <w:r>
        <w:t xml:space="preserve"> </w:t>
      </w:r>
      <w:r w:rsidRPr="00BA16F9">
        <w:t>For this report</w:t>
      </w:r>
      <w:r>
        <w:t>,</w:t>
      </w:r>
      <w:r w:rsidRPr="00BA16F9">
        <w:t xml:space="preserve"> ACFA was able to gain additional insights on the sources of ‘other income’ for residential providers through the introduction of the A</w:t>
      </w:r>
      <w:r>
        <w:t>CFR</w:t>
      </w:r>
      <w:r w:rsidRPr="00BA16F9">
        <w:t xml:space="preserve"> in 2016-17. The </w:t>
      </w:r>
      <w:r>
        <w:t>‘</w:t>
      </w:r>
      <w:r w:rsidRPr="00BA16F9">
        <w:t>other income</w:t>
      </w:r>
      <w:r>
        <w:t>’</w:t>
      </w:r>
      <w:r w:rsidRPr="00BA16F9">
        <w:t xml:space="preserve"> sources have been separately identified where possible</w:t>
      </w:r>
      <w:r>
        <w:t xml:space="preserve"> for 2016</w:t>
      </w:r>
      <w:r>
        <w:noBreakHyphen/>
        <w:t>17, and accounts for the reduction compared with 2015</w:t>
      </w:r>
      <w:r>
        <w:noBreakHyphen/>
        <w:t>16. In addition, c</w:t>
      </w:r>
      <w:r w:rsidRPr="00BA16F9">
        <w:t xml:space="preserve">omparisons may not always be possible </w:t>
      </w:r>
      <w:r>
        <w:t>with</w:t>
      </w:r>
      <w:r w:rsidRPr="00BA16F9">
        <w:t xml:space="preserve"> 2015</w:t>
      </w:r>
      <w:r w:rsidRPr="00BA16F9">
        <w:noBreakHyphen/>
        <w:t>16 due to the change in reporting methods. </w:t>
      </w:r>
    </w:p>
    <w:p w:rsidR="00D45DBF" w:rsidRDefault="00D45DBF" w:rsidP="00A4014C">
      <w:pPr>
        <w:pStyle w:val="FootnoteText"/>
      </w:pPr>
    </w:p>
  </w:footnote>
  <w:footnote w:id="39">
    <w:p w:rsidR="00D45DBF" w:rsidRDefault="00D45DBF">
      <w:pPr>
        <w:pStyle w:val="FootnoteText"/>
      </w:pPr>
      <w:r>
        <w:rPr>
          <w:rStyle w:val="FootnoteReference"/>
        </w:rPr>
        <w:footnoteRef/>
      </w:r>
      <w:r>
        <w:t xml:space="preserve"> </w:t>
      </w:r>
      <w:r w:rsidRPr="005F2E5B">
        <w:rPr>
          <w:color w:val="000000"/>
          <w:szCs w:val="16"/>
          <w:lang w:val="en-US"/>
        </w:rPr>
        <w:t>For this report, ‘regional’ is any area that i</w:t>
      </w:r>
      <w:r>
        <w:rPr>
          <w:color w:val="000000"/>
          <w:szCs w:val="16"/>
          <w:lang w:val="en-US"/>
        </w:rPr>
        <w:t>s</w:t>
      </w:r>
      <w:r w:rsidRPr="005F2E5B">
        <w:rPr>
          <w:color w:val="000000"/>
          <w:szCs w:val="16"/>
          <w:lang w:val="en-US"/>
        </w:rPr>
        <w:t xml:space="preserve"> outside of a major city. That is, inner and outer regional, remote and very remote are combined. A provider is classified as metropolitan if 70 per cent or more of their residents are in facilities in metropolitan locations and classified as regional if 70 per cent or more of their residents are in facilities in regional locations.</w:t>
      </w:r>
    </w:p>
  </w:footnote>
  <w:footnote w:id="40">
    <w:p w:rsidR="00D45DBF" w:rsidRDefault="00D45DBF" w:rsidP="00AA72E1">
      <w:pPr>
        <w:pStyle w:val="FootnoteText"/>
      </w:pPr>
      <w:r>
        <w:rPr>
          <w:rStyle w:val="FootnoteReference"/>
        </w:rPr>
        <w:footnoteRef/>
      </w:r>
      <w:r>
        <w:t xml:space="preserve"> </w:t>
      </w:r>
      <w:r w:rsidRPr="00410770">
        <w:rPr>
          <w:szCs w:val="16"/>
        </w:rPr>
        <w:t xml:space="preserve">An additional amount is </w:t>
      </w:r>
      <w:r>
        <w:rPr>
          <w:szCs w:val="16"/>
        </w:rPr>
        <w:t xml:space="preserve">paid to residential care </w:t>
      </w:r>
      <w:r w:rsidRPr="00410770">
        <w:rPr>
          <w:szCs w:val="16"/>
        </w:rPr>
        <w:t>providers if they use an average of 70 per cent or more of their respite care allocation during the 12</w:t>
      </w:r>
      <w:r>
        <w:rPr>
          <w:szCs w:val="16"/>
        </w:rPr>
        <w:t> </w:t>
      </w:r>
      <w:r w:rsidRPr="00410770">
        <w:rPr>
          <w:szCs w:val="16"/>
        </w:rPr>
        <w:t>months up to and including the month providing respite care. If the 70</w:t>
      </w:r>
      <w:r>
        <w:rPr>
          <w:szCs w:val="16"/>
        </w:rPr>
        <w:t> </w:t>
      </w:r>
      <w:r w:rsidRPr="00410770">
        <w:rPr>
          <w:szCs w:val="16"/>
        </w:rPr>
        <w:t>per</w:t>
      </w:r>
      <w:r>
        <w:rPr>
          <w:szCs w:val="16"/>
        </w:rPr>
        <w:t> </w:t>
      </w:r>
      <w:r w:rsidRPr="00410770">
        <w:rPr>
          <w:szCs w:val="16"/>
        </w:rPr>
        <w:t>cent target is met, a payment is made at the end of the month for each of the high care respite days provided during that month</w:t>
      </w:r>
    </w:p>
  </w:footnote>
  <w:footnote w:id="41">
    <w:p w:rsidR="00D45DBF" w:rsidRDefault="00D45DBF">
      <w:pPr>
        <w:pStyle w:val="FootnoteText"/>
      </w:pPr>
      <w:r>
        <w:rPr>
          <w:rStyle w:val="FootnoteReference"/>
        </w:rPr>
        <w:footnoteRef/>
      </w:r>
      <w:r>
        <w:t xml:space="preserve"> The figure of $100 million combines $75 million for residential care and $25 million for home care and other flexible care.</w:t>
      </w:r>
    </w:p>
  </w:footnote>
  <w:footnote w:id="42">
    <w:p w:rsidR="00D45DBF" w:rsidRDefault="00D45DBF" w:rsidP="003834CC">
      <w:pPr>
        <w:rPr>
          <w:color w:val="1F497D"/>
        </w:rPr>
      </w:pPr>
      <w:r>
        <w:rPr>
          <w:rStyle w:val="FootnoteReference"/>
        </w:rPr>
        <w:footnoteRef/>
      </w:r>
      <w:r>
        <w:t xml:space="preserve"> </w:t>
      </w:r>
      <w:r w:rsidRPr="003834CC">
        <w:rPr>
          <w:rFonts w:ascii="Segoe UI" w:hAnsi="Segoe UI" w:cs="Segoe UI"/>
          <w:sz w:val="16"/>
          <w:szCs w:val="16"/>
        </w:rPr>
        <w:t>Fees and charges received from a resident in respect of occasional care services like consultation, therapy, med</w:t>
      </w:r>
      <w:r>
        <w:rPr>
          <w:rFonts w:ascii="Segoe UI" w:hAnsi="Segoe UI" w:cs="Segoe UI"/>
          <w:sz w:val="16"/>
          <w:szCs w:val="16"/>
        </w:rPr>
        <w:t xml:space="preserve">ication, treatment or procedure </w:t>
      </w:r>
      <w:r w:rsidRPr="00D73C22">
        <w:rPr>
          <w:rFonts w:ascii="Segoe UI" w:hAnsi="Segoe UI" w:cs="Segoe UI"/>
          <w:sz w:val="16"/>
          <w:szCs w:val="16"/>
        </w:rPr>
        <w:t xml:space="preserve">provided in addition to services required to be delivered under Schedule 1 of the </w:t>
      </w:r>
      <w:r w:rsidRPr="00D73C22">
        <w:rPr>
          <w:rFonts w:ascii="Segoe UI" w:hAnsi="Segoe UI" w:cs="Segoe UI"/>
          <w:i/>
          <w:sz w:val="16"/>
          <w:szCs w:val="16"/>
        </w:rPr>
        <w:t>Aged Care1997.</w:t>
      </w:r>
    </w:p>
    <w:p w:rsidR="00D45DBF" w:rsidRDefault="00D45DBF">
      <w:pPr>
        <w:pStyle w:val="FootnoteText"/>
      </w:pPr>
    </w:p>
  </w:footnote>
  <w:footnote w:id="43">
    <w:p w:rsidR="00D45DBF" w:rsidRPr="00DE51CA" w:rsidRDefault="00D45DBF" w:rsidP="00036E66">
      <w:pPr>
        <w:pStyle w:val="FootnoteText"/>
        <w:rPr>
          <w:rFonts w:cstheme="minorHAnsi"/>
          <w:szCs w:val="18"/>
        </w:rPr>
      </w:pPr>
      <w:r w:rsidRPr="007946FD">
        <w:rPr>
          <w:rStyle w:val="FootnoteReference"/>
          <w:rFonts w:cstheme="minorHAnsi"/>
          <w:szCs w:val="18"/>
        </w:rPr>
        <w:footnoteRef/>
      </w:r>
      <w:r w:rsidRPr="007946FD">
        <w:rPr>
          <w:rFonts w:cstheme="minorHAnsi"/>
          <w:szCs w:val="18"/>
        </w:rPr>
        <w:t xml:space="preserve"> </w:t>
      </w:r>
      <w:r w:rsidRPr="007946FD">
        <w:rPr>
          <w:rFonts w:cstheme="minorHAnsi"/>
          <w:color w:val="313131"/>
          <w:szCs w:val="18"/>
          <w:lang w:val="en-GB"/>
        </w:rPr>
        <w:t xml:space="preserve">In ACFA’s </w:t>
      </w:r>
      <w:r w:rsidRPr="007946FD">
        <w:rPr>
          <w:rFonts w:cstheme="minorHAnsi"/>
          <w:i/>
          <w:color w:val="313131"/>
          <w:szCs w:val="18"/>
          <w:lang w:val="en-GB"/>
        </w:rPr>
        <w:t>Report on the Issues Affecting the Financial Performance of Rural and Remote Providers</w:t>
      </w:r>
      <w:r w:rsidRPr="007946FD">
        <w:rPr>
          <w:rFonts w:cstheme="minorHAnsi"/>
          <w:color w:val="313131"/>
          <w:szCs w:val="18"/>
          <w:lang w:val="en-GB"/>
        </w:rPr>
        <w:t>, it was noted that government owned</w:t>
      </w:r>
      <w:r>
        <w:t> </w:t>
      </w:r>
      <w:r w:rsidRPr="007946FD">
        <w:rPr>
          <w:rFonts w:cstheme="minorHAnsi"/>
          <w:color w:val="313131"/>
          <w:szCs w:val="18"/>
          <w:lang w:val="en-GB"/>
        </w:rPr>
        <w:t>facilities reported high levels of state/territory and local government subsidies. Detailed analysis on this is not able to be undertaken</w:t>
      </w:r>
      <w:r>
        <w:rPr>
          <w:rFonts w:cstheme="minorHAnsi"/>
          <w:color w:val="313131"/>
          <w:szCs w:val="18"/>
          <w:lang w:val="en-GB"/>
        </w:rPr>
        <w:t> </w:t>
      </w:r>
      <w:r w:rsidRPr="007946FD">
        <w:rPr>
          <w:rFonts w:cstheme="minorHAnsi"/>
          <w:color w:val="313131"/>
          <w:szCs w:val="18"/>
          <w:lang w:val="en-GB"/>
        </w:rPr>
        <w:t>here.</w:t>
      </w:r>
    </w:p>
  </w:footnote>
  <w:footnote w:id="44">
    <w:p w:rsidR="00D45DBF" w:rsidRPr="007946FD" w:rsidRDefault="00D45DBF" w:rsidP="0049019F">
      <w:pPr>
        <w:pStyle w:val="FootnoteText"/>
        <w:rPr>
          <w:rFonts w:cstheme="minorHAnsi"/>
          <w:szCs w:val="18"/>
        </w:rPr>
      </w:pPr>
      <w:r w:rsidRPr="007946FD">
        <w:rPr>
          <w:rStyle w:val="FootnoteReference"/>
          <w:rFonts w:cstheme="minorHAnsi"/>
          <w:szCs w:val="18"/>
        </w:rPr>
        <w:footnoteRef/>
      </w:r>
      <w:r w:rsidRPr="007946FD">
        <w:rPr>
          <w:rFonts w:cstheme="minorHAnsi"/>
          <w:szCs w:val="18"/>
        </w:rPr>
        <w:t xml:space="preserve"> </w:t>
      </w:r>
      <w:proofErr w:type="spellStart"/>
      <w:r w:rsidRPr="007946FD">
        <w:rPr>
          <w:rFonts w:cstheme="minorHAnsi"/>
          <w:color w:val="313131"/>
          <w:szCs w:val="18"/>
          <w:lang w:val="en-GB"/>
        </w:rPr>
        <w:t>StewartBrown</w:t>
      </w:r>
      <w:proofErr w:type="spellEnd"/>
      <w:r w:rsidRPr="007946FD">
        <w:rPr>
          <w:rFonts w:cstheme="minorHAnsi"/>
          <w:color w:val="313131"/>
          <w:szCs w:val="18"/>
          <w:lang w:val="en-GB"/>
        </w:rPr>
        <w:t xml:space="preserve"> collects detailed financial and supporting data from over 38 per cent of residential aged care facilities through its quarterly Aged Care Financial Performance Surveys.</w:t>
      </w:r>
    </w:p>
  </w:footnote>
  <w:footnote w:id="45">
    <w:p w:rsidR="00D45DBF" w:rsidRPr="007946FD" w:rsidRDefault="00D45DBF" w:rsidP="0049019F">
      <w:pPr>
        <w:pStyle w:val="FootnoteText"/>
        <w:rPr>
          <w:rFonts w:cstheme="minorHAnsi"/>
          <w:szCs w:val="18"/>
        </w:rPr>
      </w:pPr>
      <w:r w:rsidRPr="007946FD">
        <w:rPr>
          <w:rStyle w:val="FootnoteReference"/>
          <w:rFonts w:cstheme="minorHAnsi"/>
          <w:szCs w:val="18"/>
        </w:rPr>
        <w:footnoteRef/>
      </w:r>
      <w:r w:rsidRPr="007946FD">
        <w:rPr>
          <w:rFonts w:cstheme="minorHAnsi"/>
          <w:szCs w:val="18"/>
        </w:rPr>
        <w:t xml:space="preserve"> </w:t>
      </w:r>
      <w:r w:rsidRPr="007946FD">
        <w:rPr>
          <w:rFonts w:cstheme="minorHAnsi"/>
          <w:color w:val="313131"/>
          <w:szCs w:val="18"/>
          <w:lang w:val="en-GB"/>
        </w:rPr>
        <w:t xml:space="preserve">Results reported by </w:t>
      </w:r>
      <w:proofErr w:type="spellStart"/>
      <w:r w:rsidRPr="007946FD">
        <w:rPr>
          <w:rFonts w:cstheme="minorHAnsi"/>
          <w:color w:val="313131"/>
          <w:szCs w:val="18"/>
          <w:lang w:val="en-GB"/>
        </w:rPr>
        <w:t>StewartBrown</w:t>
      </w:r>
      <w:proofErr w:type="spellEnd"/>
      <w:r w:rsidRPr="007946FD">
        <w:rPr>
          <w:rFonts w:cstheme="minorHAnsi"/>
          <w:color w:val="313131"/>
          <w:szCs w:val="18"/>
          <w:lang w:val="en-GB"/>
        </w:rPr>
        <w:t xml:space="preserve"> reflect only the operational results of the facilities they gather data from (approximately 38 per cent of facilities, predominantly in the not-for-profit sector), and thus are generally lower than the results reported through ACFA. They concentrate on care and accommodation results (metrics developed by </w:t>
      </w:r>
      <w:proofErr w:type="spellStart"/>
      <w:r w:rsidRPr="007946FD">
        <w:rPr>
          <w:rFonts w:cstheme="minorHAnsi"/>
          <w:color w:val="313131"/>
          <w:szCs w:val="18"/>
          <w:lang w:val="en-GB"/>
        </w:rPr>
        <w:t>StewartBrown</w:t>
      </w:r>
      <w:proofErr w:type="spellEnd"/>
      <w:r w:rsidRPr="007946FD">
        <w:rPr>
          <w:rFonts w:cstheme="minorHAnsi"/>
          <w:color w:val="313131"/>
          <w:szCs w:val="18"/>
          <w:lang w:val="en-GB"/>
        </w:rPr>
        <w:t xml:space="preserve"> for the survey) to allow their participating facilities to benchmark their operational performance. One of the larger differences to the results presented through ACFA is that </w:t>
      </w:r>
      <w:proofErr w:type="spellStart"/>
      <w:r w:rsidRPr="007946FD">
        <w:rPr>
          <w:rFonts w:cstheme="minorHAnsi"/>
          <w:color w:val="313131"/>
          <w:szCs w:val="18"/>
          <w:lang w:val="en-GB"/>
        </w:rPr>
        <w:t>StewartBrown</w:t>
      </w:r>
      <w:proofErr w:type="spellEnd"/>
      <w:r w:rsidRPr="007946FD">
        <w:rPr>
          <w:rFonts w:cstheme="minorHAnsi"/>
          <w:color w:val="313131"/>
          <w:szCs w:val="18"/>
          <w:lang w:val="en-GB"/>
        </w:rPr>
        <w:t xml:space="preserve"> do not include non-operational revenue and expenses, for example they do not include the interest revenue providers earn on accommodation deposits/bonds. ACFA results also include 97 per cent of the for-profit sector, which further improve the sector results.</w:t>
      </w:r>
      <w:r w:rsidRPr="007946FD">
        <w:rPr>
          <w:rFonts w:cstheme="minorHAnsi"/>
          <w:szCs w:val="18"/>
        </w:rPr>
        <w:t xml:space="preserve"> </w:t>
      </w:r>
    </w:p>
  </w:footnote>
  <w:footnote w:id="46">
    <w:p w:rsidR="00D45DBF" w:rsidRPr="007946FD" w:rsidRDefault="00D45DBF" w:rsidP="0049019F">
      <w:pPr>
        <w:pStyle w:val="FootnoteText"/>
        <w:rPr>
          <w:rFonts w:cstheme="minorHAnsi"/>
          <w:szCs w:val="18"/>
        </w:rPr>
      </w:pPr>
      <w:r w:rsidRPr="007946FD">
        <w:rPr>
          <w:rStyle w:val="FootnoteReference"/>
          <w:rFonts w:cstheme="minorHAnsi"/>
          <w:szCs w:val="18"/>
        </w:rPr>
        <w:footnoteRef/>
      </w:r>
      <w:r w:rsidRPr="007946FD">
        <w:rPr>
          <w:rFonts w:cstheme="minorHAnsi"/>
          <w:szCs w:val="18"/>
        </w:rPr>
        <w:t xml:space="preserve"> </w:t>
      </w:r>
      <w:r w:rsidRPr="007946FD">
        <w:rPr>
          <w:rFonts w:cstheme="minorHAnsi"/>
          <w:color w:val="313131"/>
          <w:szCs w:val="18"/>
          <w:lang w:val="en-GB"/>
        </w:rPr>
        <w:t xml:space="preserve">Care and accommodation refer to metrics developed by </w:t>
      </w:r>
      <w:proofErr w:type="spellStart"/>
      <w:r w:rsidRPr="007946FD">
        <w:rPr>
          <w:rFonts w:cstheme="minorHAnsi"/>
          <w:color w:val="313131"/>
          <w:szCs w:val="18"/>
          <w:lang w:val="en-GB"/>
        </w:rPr>
        <w:t>StewartBrown</w:t>
      </w:r>
      <w:proofErr w:type="spellEnd"/>
      <w:r w:rsidRPr="007946FD">
        <w:rPr>
          <w:rFonts w:cstheme="minorHAnsi"/>
          <w:color w:val="313131"/>
          <w:szCs w:val="18"/>
          <w:lang w:val="en-GB"/>
        </w:rPr>
        <w:t xml:space="preserve"> to assist survey participants in the benchmarking of their operational facility results. Care results = ACFI result + everyday living result + administration result.</w:t>
      </w:r>
      <w:r w:rsidRPr="007946FD">
        <w:rPr>
          <w:rFonts w:cstheme="minorHAnsi"/>
          <w:szCs w:val="18"/>
        </w:rPr>
        <w:t xml:space="preserve"> </w:t>
      </w:r>
    </w:p>
  </w:footnote>
  <w:footnote w:id="47">
    <w:p w:rsidR="00D45DBF" w:rsidRPr="007946FD" w:rsidRDefault="00D45DBF" w:rsidP="00DE634F">
      <w:pPr>
        <w:pStyle w:val="FootnoteText"/>
        <w:rPr>
          <w:rFonts w:cstheme="minorHAnsi"/>
        </w:rPr>
      </w:pPr>
      <w:r w:rsidRPr="007946FD">
        <w:rPr>
          <w:rStyle w:val="FootnoteReference"/>
          <w:rFonts w:cstheme="minorHAnsi"/>
        </w:rPr>
        <w:footnoteRef/>
      </w:r>
      <w:r w:rsidRPr="007946FD">
        <w:rPr>
          <w:rFonts w:cstheme="minorHAnsi"/>
        </w:rPr>
        <w:t xml:space="preserve"> Accommodation result is the net of accommodation revenue (DAPs/DACs/Accommodation supplements and expenses related to depreciation, property rental and refurbishment costs.</w:t>
      </w:r>
    </w:p>
  </w:footnote>
  <w:footnote w:id="48">
    <w:p w:rsidR="00D45DBF" w:rsidRPr="007946FD" w:rsidRDefault="00D45DBF" w:rsidP="00B7720C">
      <w:pPr>
        <w:pStyle w:val="FootnoteText"/>
        <w:rPr>
          <w:rFonts w:cstheme="minorHAnsi"/>
          <w:color w:val="404040" w:themeColor="text1" w:themeTint="BF"/>
        </w:rPr>
      </w:pPr>
      <w:r w:rsidRPr="007946FD">
        <w:rPr>
          <w:rStyle w:val="FootnoteReference"/>
          <w:rFonts w:cstheme="minorHAnsi"/>
          <w:color w:val="404040" w:themeColor="text1" w:themeTint="BF"/>
        </w:rPr>
        <w:footnoteRef/>
      </w:r>
      <w:r w:rsidRPr="007946FD">
        <w:rPr>
          <w:rFonts w:cstheme="minorHAnsi"/>
          <w:color w:val="404040" w:themeColor="text1" w:themeTint="BF"/>
        </w:rPr>
        <w:t xml:space="preserve"> Additional data was collected through the ACFR regarding non-current assets in 2016-17 which makes comparison with 2015</w:t>
      </w:r>
      <w:r w:rsidRPr="007946FD">
        <w:rPr>
          <w:rFonts w:cstheme="minorHAnsi"/>
          <w:color w:val="404040" w:themeColor="text1" w:themeTint="BF"/>
        </w:rPr>
        <w:noBreakHyphen/>
        <w:t xml:space="preserve">16 not possible. </w:t>
      </w:r>
    </w:p>
  </w:footnote>
  <w:footnote w:id="49">
    <w:p w:rsidR="00D45DBF" w:rsidRPr="00B7720C" w:rsidRDefault="00D45DBF" w:rsidP="00B7720C">
      <w:pPr>
        <w:rPr>
          <w:rFonts w:cstheme="minorHAnsi"/>
          <w:color w:val="1F497D"/>
          <w:sz w:val="18"/>
          <w:szCs w:val="18"/>
        </w:rPr>
      </w:pPr>
      <w:r w:rsidRPr="007946FD">
        <w:rPr>
          <w:rStyle w:val="FootnoteReference"/>
          <w:rFonts w:cstheme="minorHAnsi"/>
          <w:szCs w:val="18"/>
        </w:rPr>
        <w:footnoteRef/>
      </w:r>
      <w:r w:rsidRPr="007946FD">
        <w:rPr>
          <w:rFonts w:cstheme="minorHAnsi"/>
          <w:sz w:val="18"/>
          <w:szCs w:val="18"/>
        </w:rPr>
        <w:t xml:space="preserve"> </w:t>
      </w:r>
      <w:r w:rsidRPr="007946FD">
        <w:rPr>
          <w:rFonts w:cstheme="minorHAnsi"/>
          <w:color w:val="313131"/>
          <w:sz w:val="18"/>
          <w:szCs w:val="18"/>
        </w:rPr>
        <w:t>The requirements for the presentation of financial statements is set out in AASB 101 and paragraph 69(d) relates to liabilities where there is no right to defer settlement of the liability for at least 12 months after the reporting period. The average length of stay of a resident is three years and as a result, the liability for repayment of an accommodation deposit can extend beyond 12 months after year end if the resident is still in care.</w:t>
      </w:r>
      <w:r w:rsidRPr="007946FD">
        <w:rPr>
          <w:rFonts w:cstheme="minorHAnsi"/>
          <w:color w:val="1F497D"/>
          <w:sz w:val="18"/>
          <w:szCs w:val="18"/>
        </w:rPr>
        <w:t xml:space="preserve"> </w:t>
      </w:r>
    </w:p>
  </w:footnote>
  <w:footnote w:id="50">
    <w:p w:rsidR="00D45DBF" w:rsidRPr="002C6887" w:rsidRDefault="00D45DBF">
      <w:pPr>
        <w:pStyle w:val="FootnoteText"/>
        <w:rPr>
          <w:rFonts w:cstheme="minorHAnsi"/>
          <w:color w:val="404040" w:themeColor="text1" w:themeTint="BF"/>
        </w:rPr>
      </w:pPr>
      <w:r>
        <w:rPr>
          <w:rStyle w:val="FootnoteReference"/>
        </w:rPr>
        <w:footnoteRef/>
      </w:r>
      <w:r>
        <w:t xml:space="preserve"> </w:t>
      </w:r>
      <w:r w:rsidRPr="002C6887">
        <w:rPr>
          <w:color w:val="404040" w:themeColor="text1" w:themeTint="BF"/>
        </w:rPr>
        <w:t>Fees and charges received from a resident in respect of occasional care services like consultation, therapy, medication, treatment or procedure.</w:t>
      </w:r>
    </w:p>
  </w:footnote>
  <w:footnote w:id="51">
    <w:p w:rsidR="00D45DBF" w:rsidRPr="002C6887" w:rsidRDefault="00D45DBF">
      <w:pPr>
        <w:pStyle w:val="FootnoteText"/>
        <w:rPr>
          <w:rFonts w:cstheme="minorHAnsi"/>
          <w:color w:val="404040" w:themeColor="text1" w:themeTint="BF"/>
        </w:rPr>
      </w:pPr>
      <w:r w:rsidRPr="002C6887">
        <w:rPr>
          <w:rStyle w:val="FootnoteReference"/>
          <w:rFonts w:cstheme="minorHAnsi"/>
          <w:color w:val="404040" w:themeColor="text1" w:themeTint="BF"/>
        </w:rPr>
        <w:footnoteRef/>
      </w:r>
      <w:r w:rsidRPr="002C6887">
        <w:rPr>
          <w:rFonts w:cstheme="minorHAnsi"/>
          <w:color w:val="404040" w:themeColor="text1" w:themeTint="BF"/>
        </w:rPr>
        <w:t xml:space="preserve"> ACFA notes that analysis by </w:t>
      </w:r>
      <w:proofErr w:type="spellStart"/>
      <w:r w:rsidRPr="002C6887">
        <w:rPr>
          <w:rFonts w:cstheme="minorHAnsi"/>
          <w:color w:val="404040" w:themeColor="text1" w:themeTint="BF"/>
        </w:rPr>
        <w:t>StewartBrown</w:t>
      </w:r>
      <w:proofErr w:type="spellEnd"/>
      <w:r w:rsidRPr="002C6887">
        <w:rPr>
          <w:rFonts w:cstheme="minorHAnsi"/>
          <w:color w:val="404040" w:themeColor="text1" w:themeTint="BF"/>
        </w:rPr>
        <w:t xml:space="preserve"> is at the facility level whereas data provided by the Department, on which ACFA analysis is based, is at the provider level.</w:t>
      </w:r>
    </w:p>
  </w:footnote>
  <w:footnote w:id="52">
    <w:p w:rsidR="00D45DBF" w:rsidRPr="002C6887" w:rsidRDefault="00D45DBF" w:rsidP="002A11A8">
      <w:pPr>
        <w:pStyle w:val="FootnoteText"/>
        <w:rPr>
          <w:rFonts w:cstheme="minorHAnsi"/>
          <w:color w:val="404040" w:themeColor="text1" w:themeTint="BF"/>
        </w:rPr>
      </w:pPr>
      <w:r w:rsidRPr="002C6887">
        <w:rPr>
          <w:rStyle w:val="FootnoteReference"/>
          <w:rFonts w:cstheme="minorHAnsi"/>
          <w:color w:val="404040" w:themeColor="text1" w:themeTint="BF"/>
        </w:rPr>
        <w:footnoteRef/>
      </w:r>
      <w:r w:rsidRPr="002C6887">
        <w:rPr>
          <w:rFonts w:cstheme="minorHAnsi"/>
          <w:color w:val="404040" w:themeColor="text1" w:themeTint="BF"/>
        </w:rPr>
        <w:t xml:space="preserve"> Department of the Treasury, Intergenerational Report, 2015</w:t>
      </w:r>
    </w:p>
  </w:footnote>
  <w:footnote w:id="53">
    <w:p w:rsidR="00D45DBF" w:rsidRPr="002C6887" w:rsidRDefault="00D45DBF">
      <w:pPr>
        <w:pStyle w:val="FootnoteText"/>
        <w:rPr>
          <w:rFonts w:cstheme="minorHAnsi"/>
          <w:color w:val="404040" w:themeColor="text1" w:themeTint="BF"/>
        </w:rPr>
      </w:pPr>
      <w:r w:rsidRPr="002C6887">
        <w:rPr>
          <w:rStyle w:val="FootnoteReference"/>
          <w:rFonts w:cstheme="minorHAnsi"/>
          <w:color w:val="404040" w:themeColor="text1" w:themeTint="BF"/>
        </w:rPr>
        <w:footnoteRef/>
      </w:r>
      <w:r w:rsidRPr="002C6887">
        <w:rPr>
          <w:rFonts w:cstheme="minorHAnsi"/>
          <w:color w:val="404040" w:themeColor="text1" w:themeTint="BF"/>
        </w:rPr>
        <w:t xml:space="preserve"> Excludes Multi-Purpose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DBF" w:rsidRDefault="00D45DBF">
    <w:pPr>
      <w:pStyle w:val="Header"/>
    </w:pPr>
  </w:p>
  <w:p w:rsidR="00D45DBF" w:rsidRDefault="00D45DBF"/>
  <w:p w:rsidR="00D45DBF" w:rsidRDefault="00D45DBF"/>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DBF" w:rsidRPr="00BB00EB" w:rsidRDefault="00D45DBF" w:rsidP="00596D01">
    <w:pPr>
      <w:pStyle w:val="Header"/>
    </w:pPr>
    <w:r>
      <w:rPr>
        <w:noProof/>
      </w:rPr>
      <w:fldChar w:fldCharType="begin"/>
    </w:r>
    <w:r>
      <w:rPr>
        <w:noProof/>
      </w:rPr>
      <w:instrText xml:space="preserve"> STYLEREF  Title  \* MERGEFORMAT </w:instrText>
    </w:r>
    <w:r>
      <w:rPr>
        <w:noProof/>
      </w:rPr>
      <w:fldChar w:fldCharType="separate"/>
    </w:r>
    <w:r w:rsidR="00CD5700">
      <w:rPr>
        <w:noProof/>
      </w:rPr>
      <w:t>Sixth report on the Funding and Financing of the Aged Care Sector</w:t>
    </w:r>
    <w:r>
      <w:rPr>
        <w:noProof/>
      </w:rPr>
      <w:fldChar w:fldCharType="end"/>
    </w:r>
    <w:r w:rsidRPr="00BB00EB">
      <w:t xml:space="preserve"> | </w:t>
    </w:r>
    <w:r>
      <w:rPr>
        <w:noProof/>
      </w:rPr>
      <w:fldChar w:fldCharType="begin"/>
    </w:r>
    <w:r>
      <w:rPr>
        <w:noProof/>
      </w:rPr>
      <w:instrText xml:space="preserve"> STYLEREF  "Cover Date"  \* MERGEFORMAT </w:instrText>
    </w:r>
    <w:r>
      <w:rPr>
        <w:noProof/>
      </w:rPr>
      <w:fldChar w:fldCharType="separate"/>
    </w:r>
    <w:r w:rsidR="00CD5700">
      <w:rPr>
        <w:noProof/>
      </w:rPr>
      <w:t>July 2018</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4A0AB94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3B04A5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FA7419"/>
    <w:multiLevelType w:val="multilevel"/>
    <w:tmpl w:val="D182E8A2"/>
    <w:numStyleLink w:val="NumberedHeadings"/>
  </w:abstractNum>
  <w:abstractNum w:abstractNumId="3"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002776" w:themeColor="text2"/>
      </w:rPr>
    </w:lvl>
    <w:lvl w:ilvl="2">
      <w:start w:val="1"/>
      <w:numFmt w:val="bullet"/>
      <w:lvlText w:val="»"/>
      <w:lvlJc w:val="left"/>
      <w:pPr>
        <w:ind w:left="852" w:hanging="284"/>
      </w:pPr>
      <w:rPr>
        <w:rFonts w:ascii="Arial" w:hAnsi="Arial" w:hint="default"/>
        <w:color w:val="002776"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0C86D94"/>
    <w:multiLevelType w:val="multilevel"/>
    <w:tmpl w:val="3DE62686"/>
    <w:lvl w:ilvl="0">
      <w:start w:val="1"/>
      <w:numFmt w:val="bullet"/>
      <w:pStyle w:val="Boxed1Bullet2"/>
      <w:lvlText w:val=""/>
      <w:lvlJc w:val="left"/>
      <w:pPr>
        <w:tabs>
          <w:tab w:val="num" w:pos="284"/>
        </w:tabs>
        <w:ind w:left="567" w:hanging="283"/>
      </w:pPr>
      <w:rPr>
        <w:rFonts w:ascii="Symbol" w:hAnsi="Symbol" w:hint="default"/>
        <w:color w:val="AADDF0" w:themeColor="accent5" w:themeTint="99"/>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002776" w:themeColor="text2"/>
      </w:rPr>
    </w:lvl>
    <w:lvl w:ilvl="3">
      <w:start w:val="1"/>
      <w:numFmt w:val="bullet"/>
      <w:lvlText w:val="»"/>
      <w:lvlJc w:val="left"/>
      <w:pPr>
        <w:ind w:left="794" w:hanging="510"/>
      </w:pPr>
      <w:rPr>
        <w:rFonts w:ascii="Arial" w:hAnsi="Arial" w:hint="default"/>
        <w:color w:val="002776"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5" w15:restartNumberingAfterBreak="0">
    <w:nsid w:val="13671C8A"/>
    <w:multiLevelType w:val="multilevel"/>
    <w:tmpl w:val="581C9AC6"/>
    <w:numStyleLink w:val="AppendixNumbers"/>
  </w:abstractNum>
  <w:abstractNum w:abstractNumId="6"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7" w15:restartNumberingAfterBreak="0">
    <w:nsid w:val="1C354B73"/>
    <w:multiLevelType w:val="singleLevel"/>
    <w:tmpl w:val="EE4A2D06"/>
    <w:name w:val="NumberedList"/>
    <w:lvl w:ilvl="0">
      <w:start w:val="1"/>
      <w:numFmt w:val="decimal"/>
      <w:lvlRestart w:val="0"/>
      <w:lvlText w:val="%1"/>
      <w:lvlJc w:val="left"/>
      <w:pPr>
        <w:tabs>
          <w:tab w:val="num" w:pos="567"/>
        </w:tabs>
        <w:ind w:left="567" w:hanging="567"/>
      </w:pPr>
      <w:rPr>
        <w:rFonts w:ascii="Arial" w:hAnsi="Arial" w:cs="Arial"/>
      </w:rPr>
    </w:lvl>
  </w:abstractNum>
  <w:abstractNum w:abstractNumId="8" w15:restartNumberingAfterBreak="0">
    <w:nsid w:val="1CC862E1"/>
    <w:multiLevelType w:val="multilevel"/>
    <w:tmpl w:val="6352A582"/>
    <w:styleLink w:val="FigureNumbers"/>
    <w:lvl w:ilvl="0">
      <w:start w:val="1"/>
      <w:numFmt w:val="decimal"/>
      <w:lvlText w:val="Figure %1."/>
      <w:lvlJc w:val="left"/>
      <w:pPr>
        <w:ind w:left="1134" w:hanging="1134"/>
      </w:pPr>
      <w:rPr>
        <w:rFonts w:hint="default"/>
        <w:b/>
        <w:i w:val="0"/>
        <w:caps w:val="0"/>
        <w:color w:val="002776"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002776"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09F2649"/>
    <w:multiLevelType w:val="singleLevel"/>
    <w:tmpl w:val="78AE38C0"/>
    <w:name w:val="AlphabeticList"/>
    <w:lvl w:ilvl="0">
      <w:start w:val="1"/>
      <w:numFmt w:val="upperLetter"/>
      <w:lvlRestart w:val="0"/>
      <w:lvlText w:val="%1"/>
      <w:lvlJc w:val="left"/>
      <w:pPr>
        <w:tabs>
          <w:tab w:val="num" w:pos="567"/>
        </w:tabs>
        <w:ind w:left="567" w:hanging="567"/>
      </w:pPr>
      <w:rPr>
        <w:rFonts w:ascii="Arial" w:hAnsi="Arial" w:cs="Arial" w:hint="default"/>
        <w:b w:val="0"/>
        <w:i w:val="0"/>
        <w:color w:val="000000"/>
        <w:sz w:val="22"/>
        <w:szCs w:val="22"/>
      </w:rPr>
    </w:lvl>
  </w:abstractNum>
  <w:abstractNum w:abstractNumId="11" w15:restartNumberingAfterBreak="0">
    <w:nsid w:val="293C1ADA"/>
    <w:multiLevelType w:val="multilevel"/>
    <w:tmpl w:val="DBA860AA"/>
    <w:lvl w:ilvl="0">
      <w:start w:val="1"/>
      <w:numFmt w:val="decimal"/>
      <w:lvlText w:val="%1"/>
      <w:lvlJc w:val="left"/>
      <w:pPr>
        <w:ind w:left="360" w:hanging="360"/>
      </w:pPr>
      <w:rPr>
        <w:rFonts w:hint="default"/>
        <w:b w:val="0"/>
        <w:i w:val="0"/>
        <w:color w:val="002776"/>
        <w:sz w:val="56"/>
        <w:szCs w:val="56"/>
      </w:rPr>
    </w:lvl>
    <w:lvl w:ilvl="1">
      <w:start w:val="1"/>
      <w:numFmt w:val="decimal"/>
      <w:lvlText w:val="%1.%2"/>
      <w:lvlJc w:val="left"/>
      <w:pPr>
        <w:tabs>
          <w:tab w:val="num" w:pos="567"/>
        </w:tabs>
        <w:ind w:left="567" w:hanging="567"/>
      </w:pPr>
      <w:rPr>
        <w:rFonts w:ascii="Segoe UI" w:hAnsi="Segoe UI" w:cs="Segoe UI" w:hint="default"/>
        <w:b/>
        <w:i w:val="0"/>
        <w:color w:val="002776" w:themeColor="accent1"/>
        <w:sz w:val="28"/>
        <w:szCs w:val="28"/>
      </w:rPr>
    </w:lvl>
    <w:lvl w:ilvl="2">
      <w:start w:val="1"/>
      <w:numFmt w:val="decimal"/>
      <w:lvlText w:val="%1.%2.%3"/>
      <w:lvlJc w:val="left"/>
      <w:pPr>
        <w:tabs>
          <w:tab w:val="num" w:pos="1134"/>
        </w:tabs>
        <w:ind w:left="1134" w:hanging="1134"/>
      </w:pPr>
      <w:rPr>
        <w:rFonts w:ascii="Calibri" w:hAnsi="Calibri" w:cs="Arial" w:hint="default"/>
        <w:b/>
        <w:i w:val="0"/>
        <w:color w:val="313131"/>
        <w:sz w:val="28"/>
        <w:szCs w:val="24"/>
      </w:rPr>
    </w:lvl>
    <w:lvl w:ilvl="3">
      <w:start w:val="1"/>
      <w:numFmt w:val="decimal"/>
      <w:lvlText w:val="%1.%2.%3.%4"/>
      <w:lvlJc w:val="left"/>
      <w:pPr>
        <w:tabs>
          <w:tab w:val="num" w:pos="1134"/>
        </w:tabs>
        <w:ind w:left="1134" w:hanging="1134"/>
      </w:pPr>
      <w:rPr>
        <w:rFonts w:ascii="Calibri" w:hAnsi="Calibri" w:cs="Arial" w:hint="default"/>
        <w:b/>
        <w:i w:val="0"/>
        <w:color w:val="00A1DE"/>
        <w:sz w:val="24"/>
        <w:szCs w:val="24"/>
        <w:u w:val="none"/>
      </w:rPr>
    </w:lvl>
    <w:lvl w:ilvl="4">
      <w:start w:val="1"/>
      <w:numFmt w:val="decimal"/>
      <w:lvlRestart w:val="1"/>
      <w:suff w:val="space"/>
      <w:lvlText w:val="Box %1.%5"/>
      <w:lvlJc w:val="left"/>
      <w:pPr>
        <w:ind w:left="1134" w:hanging="850"/>
      </w:pPr>
      <w:rPr>
        <w:rFonts w:ascii="Calibri" w:hAnsi="Calibri" w:cs="Arial" w:hint="default"/>
        <w:b/>
        <w:i w:val="0"/>
        <w:color w:val="FFFFFF"/>
        <w:sz w:val="20"/>
        <w:szCs w:val="20"/>
      </w:rPr>
    </w:lvl>
    <w:lvl w:ilvl="5">
      <w:start w:val="1"/>
      <w:numFmt w:val="none"/>
      <w:lvlRestart w:val="0"/>
      <w:lvlText w:val=""/>
      <w:lvlJc w:val="center"/>
      <w:pPr>
        <w:ind w:left="0" w:firstLine="0"/>
      </w:pPr>
      <w:rPr>
        <w:rFonts w:ascii="Arial" w:hAnsi="Arial" w:cs="Arial" w:hint="default"/>
        <w:b/>
        <w:i w:val="0"/>
        <w:color w:val="931638"/>
        <w:sz w:val="20"/>
        <w:szCs w:val="20"/>
      </w:rPr>
    </w:lvl>
    <w:lvl w:ilvl="6">
      <w:start w:val="1"/>
      <w:numFmt w:val="decimal"/>
      <w:lvlRestart w:val="1"/>
      <w:pStyle w:val="CaptionTable"/>
      <w:suff w:val="nothing"/>
      <w:lvlText w:val="Table %1.%7"/>
      <w:lvlJc w:val="left"/>
      <w:pPr>
        <w:ind w:left="993" w:firstLine="0"/>
      </w:pPr>
      <w:rPr>
        <w:rFonts w:ascii="Segoe UI" w:hAnsi="Segoe UI" w:cs="Segoe UI" w:hint="default"/>
        <w:b/>
        <w:i w:val="0"/>
        <w:color w:val="002776"/>
        <w:sz w:val="22"/>
        <w:szCs w:val="20"/>
      </w:rPr>
    </w:lvl>
    <w:lvl w:ilvl="7">
      <w:start w:val="1"/>
      <w:numFmt w:val="decimal"/>
      <w:lvlRestart w:val="1"/>
      <w:suff w:val="nothing"/>
      <w:lvlText w:val="Chart %1.%8"/>
      <w:lvlJc w:val="left"/>
      <w:pPr>
        <w:ind w:left="142" w:firstLine="0"/>
      </w:pPr>
      <w:rPr>
        <w:rFonts w:ascii="Segoe UI" w:hAnsi="Segoe UI" w:cs="Segoe UI" w:hint="default"/>
        <w:b/>
        <w:i w:val="0"/>
        <w:color w:val="002776"/>
        <w:sz w:val="22"/>
        <w:szCs w:val="20"/>
      </w:rPr>
    </w:lvl>
    <w:lvl w:ilvl="8">
      <w:start w:val="1"/>
      <w:numFmt w:val="decimal"/>
      <w:lvlRestart w:val="1"/>
      <w:pStyle w:val="CaptionFigure"/>
      <w:suff w:val="nothing"/>
      <w:lvlText w:val="Chart %1.%9"/>
      <w:lvlJc w:val="left"/>
      <w:pPr>
        <w:ind w:left="3544" w:firstLine="0"/>
      </w:pPr>
      <w:rPr>
        <w:rFonts w:ascii="Segoe UI" w:hAnsi="Segoe UI" w:cs="Segoe UI" w:hint="default"/>
        <w:b/>
        <w:i w:val="0"/>
        <w:strike w:val="0"/>
        <w:color w:val="002776"/>
        <w:sz w:val="22"/>
        <w:szCs w:val="20"/>
      </w:rPr>
    </w:lvl>
  </w:abstractNum>
  <w:abstractNum w:abstractNumId="12"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2CD135B"/>
    <w:multiLevelType w:val="hybridMultilevel"/>
    <w:tmpl w:val="76144F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92B73D6"/>
    <w:multiLevelType w:val="hybridMultilevel"/>
    <w:tmpl w:val="1450AD28"/>
    <w:name w:val="BulletList"/>
    <w:lvl w:ilvl="0" w:tplc="E8882CC4">
      <w:start w:val="1"/>
      <w:numFmt w:val="bullet"/>
      <w:lvlText w:val=""/>
      <w:lvlJc w:val="left"/>
      <w:pPr>
        <w:ind w:left="720" w:hanging="360"/>
      </w:pPr>
      <w:rPr>
        <w:rFonts w:ascii="Symbol" w:hAnsi="Symbol" w:hint="default"/>
      </w:rPr>
    </w:lvl>
    <w:lvl w:ilvl="1" w:tplc="A6F6CB9A" w:tentative="1">
      <w:start w:val="1"/>
      <w:numFmt w:val="bullet"/>
      <w:lvlText w:val="o"/>
      <w:lvlJc w:val="left"/>
      <w:pPr>
        <w:ind w:left="1440" w:hanging="360"/>
      </w:pPr>
      <w:rPr>
        <w:rFonts w:ascii="Courier New" w:hAnsi="Courier New" w:cs="Courier New" w:hint="default"/>
      </w:rPr>
    </w:lvl>
    <w:lvl w:ilvl="2" w:tplc="6A302F10" w:tentative="1">
      <w:start w:val="1"/>
      <w:numFmt w:val="bullet"/>
      <w:lvlText w:val=""/>
      <w:lvlJc w:val="left"/>
      <w:pPr>
        <w:ind w:left="2160" w:hanging="360"/>
      </w:pPr>
      <w:rPr>
        <w:rFonts w:ascii="Wingdings" w:hAnsi="Wingdings" w:hint="default"/>
      </w:rPr>
    </w:lvl>
    <w:lvl w:ilvl="3" w:tplc="C3DC6F38" w:tentative="1">
      <w:start w:val="1"/>
      <w:numFmt w:val="bullet"/>
      <w:lvlText w:val=""/>
      <w:lvlJc w:val="left"/>
      <w:pPr>
        <w:ind w:left="2880" w:hanging="360"/>
      </w:pPr>
      <w:rPr>
        <w:rFonts w:ascii="Symbol" w:hAnsi="Symbol" w:hint="default"/>
      </w:rPr>
    </w:lvl>
    <w:lvl w:ilvl="4" w:tplc="2D28A880" w:tentative="1">
      <w:start w:val="1"/>
      <w:numFmt w:val="bullet"/>
      <w:lvlText w:val="o"/>
      <w:lvlJc w:val="left"/>
      <w:pPr>
        <w:ind w:left="3600" w:hanging="360"/>
      </w:pPr>
      <w:rPr>
        <w:rFonts w:ascii="Courier New" w:hAnsi="Courier New" w:cs="Courier New" w:hint="default"/>
      </w:rPr>
    </w:lvl>
    <w:lvl w:ilvl="5" w:tplc="CDC46302" w:tentative="1">
      <w:start w:val="1"/>
      <w:numFmt w:val="bullet"/>
      <w:lvlText w:val=""/>
      <w:lvlJc w:val="left"/>
      <w:pPr>
        <w:ind w:left="4320" w:hanging="360"/>
      </w:pPr>
      <w:rPr>
        <w:rFonts w:ascii="Wingdings" w:hAnsi="Wingdings" w:hint="default"/>
      </w:rPr>
    </w:lvl>
    <w:lvl w:ilvl="6" w:tplc="C6D0D70C" w:tentative="1">
      <w:start w:val="1"/>
      <w:numFmt w:val="bullet"/>
      <w:lvlText w:val=""/>
      <w:lvlJc w:val="left"/>
      <w:pPr>
        <w:ind w:left="5040" w:hanging="360"/>
      </w:pPr>
      <w:rPr>
        <w:rFonts w:ascii="Symbol" w:hAnsi="Symbol" w:hint="default"/>
      </w:rPr>
    </w:lvl>
    <w:lvl w:ilvl="7" w:tplc="5F6413EE" w:tentative="1">
      <w:start w:val="1"/>
      <w:numFmt w:val="bullet"/>
      <w:lvlText w:val="o"/>
      <w:lvlJc w:val="left"/>
      <w:pPr>
        <w:ind w:left="5760" w:hanging="360"/>
      </w:pPr>
      <w:rPr>
        <w:rFonts w:ascii="Courier New" w:hAnsi="Courier New" w:cs="Courier New" w:hint="default"/>
      </w:rPr>
    </w:lvl>
    <w:lvl w:ilvl="8" w:tplc="05EC6A42" w:tentative="1">
      <w:start w:val="1"/>
      <w:numFmt w:val="bullet"/>
      <w:lvlText w:val=""/>
      <w:lvlJc w:val="left"/>
      <w:pPr>
        <w:ind w:left="6480" w:hanging="360"/>
      </w:pPr>
      <w:rPr>
        <w:rFonts w:ascii="Wingdings" w:hAnsi="Wingdings" w:hint="default"/>
      </w:rPr>
    </w:lvl>
  </w:abstractNum>
  <w:abstractNum w:abstractNumId="15" w15:restartNumberingAfterBreak="0">
    <w:nsid w:val="41396E59"/>
    <w:multiLevelType w:val="multilevel"/>
    <w:tmpl w:val="FE688822"/>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002776" w:themeColor="text2"/>
      </w:rPr>
    </w:lvl>
    <w:lvl w:ilvl="3">
      <w:start w:val="1"/>
      <w:numFmt w:val="bullet"/>
      <w:lvlText w:val="»"/>
      <w:lvlJc w:val="left"/>
      <w:pPr>
        <w:ind w:left="794" w:hanging="510"/>
      </w:pPr>
      <w:rPr>
        <w:rFonts w:ascii="Arial" w:hAnsi="Arial" w:hint="default"/>
        <w:color w:val="002776"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6" w15:restartNumberingAfterBreak="0">
    <w:nsid w:val="42142A31"/>
    <w:multiLevelType w:val="multilevel"/>
    <w:tmpl w:val="48D0AD32"/>
    <w:lvl w:ilvl="0">
      <w:start w:val="1"/>
      <w:numFmt w:val="upperLetter"/>
      <w:suff w:val="nothing"/>
      <w:lvlText w:val="Appendix %1"/>
      <w:lvlJc w:val="left"/>
      <w:pPr>
        <w:ind w:left="2694" w:firstLine="0"/>
      </w:pPr>
      <w:rPr>
        <w:rFonts w:hint="default"/>
        <w:b w:val="0"/>
      </w:rPr>
    </w:lvl>
    <w:lvl w:ilvl="1">
      <w:start w:val="1"/>
      <w:numFmt w:val="decimal"/>
      <w:pStyle w:val="AppendixTableOriginalSupplied"/>
      <w:suff w:val="nothing"/>
      <w:lvlText w:val="Table %1.%2"/>
      <w:lvlJc w:val="left"/>
      <w:pPr>
        <w:ind w:left="284" w:firstLine="0"/>
      </w:pPr>
      <w:rPr>
        <w:rFonts w:ascii="Segoe UI" w:hAnsi="Segoe UI" w:cs="Segoe UI" w:hint="default"/>
        <w:b/>
        <w:i w:val="0"/>
        <w:color w:val="002776"/>
        <w:sz w:val="24"/>
      </w:rPr>
    </w:lvl>
    <w:lvl w:ilvl="2">
      <w:start w:val="1"/>
      <w:numFmt w:val="decimal"/>
      <w:lvlRestart w:val="1"/>
      <w:suff w:val="nothing"/>
      <w:lvlText w:val="Chart %1.%3"/>
      <w:lvlJc w:val="left"/>
      <w:pPr>
        <w:ind w:left="0" w:firstLine="0"/>
      </w:pPr>
      <w:rPr>
        <w:rFonts w:ascii="Calibri" w:hAnsi="Calibri" w:cs="Arial" w:hint="default"/>
        <w:b/>
        <w:i w:val="0"/>
        <w:color w:val="002776"/>
        <w:sz w:val="22"/>
        <w:szCs w:val="24"/>
      </w:rPr>
    </w:lvl>
    <w:lvl w:ilvl="3">
      <w:start w:val="1"/>
      <w:numFmt w:val="decimal"/>
      <w:lvlRestart w:val="1"/>
      <w:suff w:val="nothing"/>
      <w:lvlText w:val="Figure %1.%4"/>
      <w:lvlJc w:val="left"/>
      <w:pPr>
        <w:ind w:left="0" w:firstLine="0"/>
      </w:pPr>
      <w:rPr>
        <w:rFonts w:ascii="Calibri" w:hAnsi="Calibri" w:cs="Arial" w:hint="default"/>
        <w:b/>
        <w:i w:val="0"/>
        <w:color w:val="002776"/>
        <w:sz w:val="22"/>
        <w:szCs w:val="24"/>
      </w:rPr>
    </w:lvl>
    <w:lvl w:ilvl="4">
      <w:start w:val="1"/>
      <w:numFmt w:val="decimal"/>
      <w:lvlText w:val="%1.%2.%3.%4.%5"/>
      <w:lvlJc w:val="left"/>
      <w:pPr>
        <w:tabs>
          <w:tab w:val="num" w:pos="1134"/>
        </w:tabs>
        <w:ind w:left="1134" w:hanging="1134"/>
      </w:pPr>
      <w:rPr>
        <w:rFonts w:ascii="Arial" w:hAnsi="Arial" w:cs="Arial" w:hint="default"/>
        <w:b w:val="0"/>
        <w:i w:val="0"/>
        <w:color w:val="931638"/>
        <w:sz w:val="20"/>
      </w:rPr>
    </w:lvl>
    <w:lvl w:ilvl="5">
      <w:start w:val="1"/>
      <w:numFmt w:val="decimal"/>
      <w:lvlText w:val="%1.%2.%3.%4.%5.%6"/>
      <w:lvlJc w:val="left"/>
      <w:pPr>
        <w:tabs>
          <w:tab w:val="num" w:pos="1701"/>
        </w:tabs>
        <w:ind w:left="1701" w:hanging="1701"/>
      </w:pPr>
      <w:rPr>
        <w:rFonts w:ascii="Arial" w:hAnsi="Arial" w:cs="Arial" w:hint="default"/>
        <w:b w:val="0"/>
        <w:i w:val="0"/>
        <w:color w:val="931638"/>
        <w:sz w:val="20"/>
      </w:rPr>
    </w:lvl>
    <w:lvl w:ilvl="6">
      <w:start w:val="1"/>
      <w:numFmt w:val="decimal"/>
      <w:lvlText w:val="%1.%2.%3.%4.%5.%6.%7"/>
      <w:lvlJc w:val="left"/>
      <w:pPr>
        <w:tabs>
          <w:tab w:val="num" w:pos="1701"/>
        </w:tabs>
        <w:ind w:left="1701" w:hanging="1701"/>
      </w:pPr>
      <w:rPr>
        <w:rFonts w:ascii="Arial" w:hAnsi="Arial" w:cs="Arial" w:hint="default"/>
        <w:b w:val="0"/>
        <w:i w:val="0"/>
        <w:color w:val="931638"/>
        <w:sz w:val="20"/>
      </w:rPr>
    </w:lvl>
    <w:lvl w:ilvl="7">
      <w:start w:val="1"/>
      <w:numFmt w:val="decimal"/>
      <w:lvlText w:val="%1.%2.%3.%4.%5.%6.%7.%8"/>
      <w:lvlJc w:val="left"/>
      <w:pPr>
        <w:tabs>
          <w:tab w:val="num" w:pos="1701"/>
        </w:tabs>
        <w:ind w:left="1701" w:hanging="1701"/>
      </w:pPr>
      <w:rPr>
        <w:rFonts w:ascii="Arial" w:hAnsi="Arial" w:cs="Arial" w:hint="default"/>
        <w:b w:val="0"/>
        <w:i w:val="0"/>
        <w:color w:val="931638"/>
        <w:sz w:val="20"/>
      </w:rPr>
    </w:lvl>
    <w:lvl w:ilvl="8">
      <w:start w:val="1"/>
      <w:numFmt w:val="decimal"/>
      <w:lvlText w:val="%1.%2.%3.%4.%5.%6.%7.%8.%9"/>
      <w:lvlJc w:val="left"/>
      <w:pPr>
        <w:tabs>
          <w:tab w:val="num" w:pos="1701"/>
        </w:tabs>
        <w:ind w:left="1701" w:hanging="1701"/>
      </w:pPr>
      <w:rPr>
        <w:rFonts w:ascii="Arial" w:hAnsi="Arial" w:cs="Arial" w:hint="default"/>
        <w:b w:val="0"/>
        <w:i w:val="0"/>
        <w:color w:val="931638"/>
        <w:sz w:val="20"/>
      </w:rPr>
    </w:lvl>
  </w:abstractNum>
  <w:abstractNum w:abstractNumId="17" w15:restartNumberingAfterBreak="0">
    <w:nsid w:val="4CA04DDB"/>
    <w:multiLevelType w:val="multilevel"/>
    <w:tmpl w:val="0409001D"/>
    <w:name w:val="IndentDash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51614D94"/>
    <w:multiLevelType w:val="hybridMultilevel"/>
    <w:tmpl w:val="E79A8004"/>
    <w:lvl w:ilvl="0" w:tplc="6B982C78">
      <w:start w:val="1"/>
      <w:numFmt w:val="decimal"/>
      <w:lvlText w:val="%1."/>
      <w:lvlJc w:val="left"/>
      <w:pPr>
        <w:ind w:left="720" w:hanging="360"/>
      </w:pPr>
      <w:rPr>
        <w:rFonts w:hint="default"/>
        <w:caps w:val="0"/>
        <w:vanish w:val="0"/>
        <w:color w:val="000000" w:themeColor="text1"/>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35249AF"/>
    <w:multiLevelType w:val="multilevel"/>
    <w:tmpl w:val="581C9AC6"/>
    <w:styleLink w:val="AppendixNumbers"/>
    <w:lvl w:ilvl="0">
      <w:start w:val="1"/>
      <w:numFmt w:val="upperLetter"/>
      <w:pStyle w:val="AppendixNumbered"/>
      <w:suff w:val="space"/>
      <w:lvlText w:val="Appendix %1"/>
      <w:lvlJc w:val="left"/>
      <w:pPr>
        <w:ind w:left="2126" w:hanging="2126"/>
      </w:pPr>
      <w:rPr>
        <w:rFonts w:hint="default"/>
      </w:rPr>
    </w:lvl>
    <w:lvl w:ilvl="1">
      <w:start w:val="1"/>
      <w:numFmt w:val="decimal"/>
      <w:pStyle w:val="AppendixTable"/>
      <w:lvlText w:val="Table %1.%2"/>
      <w:lvlJc w:val="left"/>
      <w:pPr>
        <w:ind w:left="1134" w:hanging="1134"/>
      </w:pPr>
      <w:rPr>
        <w:rFonts w:hint="default"/>
        <w:b/>
        <w:i w:val="0"/>
      </w:rPr>
    </w:lvl>
    <w:lvl w:ilvl="2">
      <w:start w:val="1"/>
      <w:numFmt w:val="decimal"/>
      <w:lvlRestart w:val="1"/>
      <w:pStyle w:val="AppendixFigure"/>
      <w:lvlText w:val="Figure %1.%3"/>
      <w:lvlJc w:val="left"/>
      <w:pPr>
        <w:ind w:left="1134" w:hanging="1134"/>
      </w:pPr>
      <w:rPr>
        <w:rFonts w:hint="default"/>
        <w:b/>
        <w:i w:val="0"/>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6DB5F4C"/>
    <w:multiLevelType w:val="multilevel"/>
    <w:tmpl w:val="D182E8A2"/>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pStyle w:val="Heading4Numbered"/>
      <w:lvlText w:val="%1.%2.%3.%4"/>
      <w:lvlJc w:val="left"/>
      <w:pPr>
        <w:ind w:left="1134" w:hanging="1134"/>
      </w:pPr>
      <w:rPr>
        <w:rFonts w:hint="default"/>
      </w:rPr>
    </w:lvl>
    <w:lvl w:ilvl="4">
      <w:start w:val="1"/>
      <w:numFmt w:val="decimal"/>
      <w:lvlRestart w:val="1"/>
      <w:pStyle w:val="FigureTitle"/>
      <w:lvlText w:val="Figure %1.%5"/>
      <w:lvlJc w:val="left"/>
      <w:pPr>
        <w:ind w:left="1418" w:hanging="1418"/>
      </w:pPr>
      <w:rPr>
        <w:rFonts w:hint="default"/>
        <w:b/>
        <w:i w:val="0"/>
      </w:rPr>
    </w:lvl>
    <w:lvl w:ilvl="5">
      <w:start w:val="1"/>
      <w:numFmt w:val="decimal"/>
      <w:lvlRestart w:val="1"/>
      <w:pStyle w:val="TableTitle"/>
      <w:lvlText w:val="Table %1.%6"/>
      <w:lvlJc w:val="left"/>
      <w:pPr>
        <w:ind w:left="1701" w:hanging="1701"/>
      </w:pPr>
      <w:rPr>
        <w:rFonts w:hint="default"/>
        <w:b/>
        <w:i w:val="0"/>
      </w:rPr>
    </w:lvl>
    <w:lvl w:ilvl="6">
      <w:start w:val="1"/>
      <w:numFmt w:val="decimal"/>
      <w:lvlRestart w:val="1"/>
      <w:pStyle w:val="ChartTitle"/>
      <w:lvlText w:val="Chart %1.%7"/>
      <w:lvlJc w:val="left"/>
      <w:pPr>
        <w:ind w:left="1701" w:hanging="1701"/>
      </w:pPr>
      <w:rPr>
        <w:rFonts w:hint="default"/>
        <w:b/>
        <w:i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8615703"/>
    <w:multiLevelType w:val="multilevel"/>
    <w:tmpl w:val="803CF862"/>
    <w:numStyleLink w:val="List1Numbered"/>
  </w:abstractNum>
  <w:abstractNum w:abstractNumId="22" w15:restartNumberingAfterBreak="0">
    <w:nsid w:val="5A693A46"/>
    <w:multiLevelType w:val="singleLevel"/>
    <w:tmpl w:val="8E3AB198"/>
    <w:name w:val="NumberedList"/>
    <w:lvl w:ilvl="0">
      <w:start w:val="1"/>
      <w:numFmt w:val="lowerLetter"/>
      <w:lvlRestart w:val="0"/>
      <w:lvlText w:val="%1"/>
      <w:lvlJc w:val="left"/>
      <w:pPr>
        <w:tabs>
          <w:tab w:val="num" w:pos="1134"/>
        </w:tabs>
        <w:ind w:left="1134" w:hanging="567"/>
      </w:pPr>
      <w:rPr>
        <w:rFonts w:ascii="Arial" w:hAnsi="Arial" w:cs="Arial" w:hint="default"/>
        <w:b w:val="0"/>
        <w:i w:val="0"/>
        <w:color w:val="000000"/>
        <w:sz w:val="24"/>
        <w:szCs w:val="22"/>
      </w:rPr>
    </w:lvl>
  </w:abstractNum>
  <w:abstractNum w:abstractNumId="23" w15:restartNumberingAfterBreak="0">
    <w:nsid w:val="5BEA6677"/>
    <w:multiLevelType w:val="hybridMultilevel"/>
    <w:tmpl w:val="42C01E0C"/>
    <w:name w:val="IndentAlphabeticList"/>
    <w:lvl w:ilvl="0" w:tplc="130C176A">
      <w:start w:val="1"/>
      <w:numFmt w:val="bullet"/>
      <w:lvlText w:val=""/>
      <w:lvlJc w:val="left"/>
      <w:pPr>
        <w:ind w:left="720" w:hanging="360"/>
      </w:pPr>
      <w:rPr>
        <w:rFonts w:ascii="Symbol" w:hAnsi="Symbol" w:hint="default"/>
      </w:rPr>
    </w:lvl>
    <w:lvl w:ilvl="1" w:tplc="9AEE3FCA" w:tentative="1">
      <w:start w:val="1"/>
      <w:numFmt w:val="bullet"/>
      <w:lvlText w:val="o"/>
      <w:lvlJc w:val="left"/>
      <w:pPr>
        <w:ind w:left="1440" w:hanging="360"/>
      </w:pPr>
      <w:rPr>
        <w:rFonts w:ascii="Courier New" w:hAnsi="Courier New" w:cs="Courier New" w:hint="default"/>
      </w:rPr>
    </w:lvl>
    <w:lvl w:ilvl="2" w:tplc="9F68C952" w:tentative="1">
      <w:start w:val="1"/>
      <w:numFmt w:val="bullet"/>
      <w:lvlText w:val=""/>
      <w:lvlJc w:val="left"/>
      <w:pPr>
        <w:ind w:left="2160" w:hanging="360"/>
      </w:pPr>
      <w:rPr>
        <w:rFonts w:ascii="Wingdings" w:hAnsi="Wingdings" w:hint="default"/>
      </w:rPr>
    </w:lvl>
    <w:lvl w:ilvl="3" w:tplc="03A2D29A" w:tentative="1">
      <w:start w:val="1"/>
      <w:numFmt w:val="bullet"/>
      <w:lvlText w:val=""/>
      <w:lvlJc w:val="left"/>
      <w:pPr>
        <w:ind w:left="2880" w:hanging="360"/>
      </w:pPr>
      <w:rPr>
        <w:rFonts w:ascii="Symbol" w:hAnsi="Symbol" w:hint="default"/>
      </w:rPr>
    </w:lvl>
    <w:lvl w:ilvl="4" w:tplc="079E955C" w:tentative="1">
      <w:start w:val="1"/>
      <w:numFmt w:val="bullet"/>
      <w:lvlText w:val="o"/>
      <w:lvlJc w:val="left"/>
      <w:pPr>
        <w:ind w:left="3600" w:hanging="360"/>
      </w:pPr>
      <w:rPr>
        <w:rFonts w:ascii="Courier New" w:hAnsi="Courier New" w:cs="Courier New" w:hint="default"/>
      </w:rPr>
    </w:lvl>
    <w:lvl w:ilvl="5" w:tplc="717070D0" w:tentative="1">
      <w:start w:val="1"/>
      <w:numFmt w:val="bullet"/>
      <w:lvlText w:val=""/>
      <w:lvlJc w:val="left"/>
      <w:pPr>
        <w:ind w:left="4320" w:hanging="360"/>
      </w:pPr>
      <w:rPr>
        <w:rFonts w:ascii="Wingdings" w:hAnsi="Wingdings" w:hint="default"/>
      </w:rPr>
    </w:lvl>
    <w:lvl w:ilvl="6" w:tplc="5B10D098" w:tentative="1">
      <w:start w:val="1"/>
      <w:numFmt w:val="bullet"/>
      <w:lvlText w:val=""/>
      <w:lvlJc w:val="left"/>
      <w:pPr>
        <w:ind w:left="5040" w:hanging="360"/>
      </w:pPr>
      <w:rPr>
        <w:rFonts w:ascii="Symbol" w:hAnsi="Symbol" w:hint="default"/>
      </w:rPr>
    </w:lvl>
    <w:lvl w:ilvl="7" w:tplc="0366C4A8" w:tentative="1">
      <w:start w:val="1"/>
      <w:numFmt w:val="bullet"/>
      <w:lvlText w:val="o"/>
      <w:lvlJc w:val="left"/>
      <w:pPr>
        <w:ind w:left="5760" w:hanging="360"/>
      </w:pPr>
      <w:rPr>
        <w:rFonts w:ascii="Courier New" w:hAnsi="Courier New" w:cs="Courier New" w:hint="default"/>
      </w:rPr>
    </w:lvl>
    <w:lvl w:ilvl="8" w:tplc="ED520634" w:tentative="1">
      <w:start w:val="1"/>
      <w:numFmt w:val="bullet"/>
      <w:lvlText w:val=""/>
      <w:lvlJc w:val="left"/>
      <w:pPr>
        <w:ind w:left="6480" w:hanging="360"/>
      </w:pPr>
      <w:rPr>
        <w:rFonts w:ascii="Wingdings" w:hAnsi="Wingdings" w:hint="default"/>
      </w:rPr>
    </w:lvl>
  </w:abstractNum>
  <w:abstractNum w:abstractNumId="24" w15:restartNumberingAfterBreak="0">
    <w:nsid w:val="6C2815A0"/>
    <w:multiLevelType w:val="multilevel"/>
    <w:tmpl w:val="2240431E"/>
    <w:name w:val="AlphabeticList"/>
    <w:lvl w:ilvl="0">
      <w:numFmt w:val="none"/>
      <w:lvlText w:val=""/>
      <w:lvlJc w:val="left"/>
      <w:pPr>
        <w:tabs>
          <w:tab w:val="num" w:pos="360"/>
        </w:tabs>
      </w:pPr>
    </w:lvl>
    <w:lvl w:ilvl="1">
      <w:start w:val="1"/>
      <w:numFmt w:val="bullet"/>
      <w:lvlRestart w:val="0"/>
      <w:lvlText w:val=""/>
      <w:lvlJc w:val="left"/>
      <w:pPr>
        <w:tabs>
          <w:tab w:val="num" w:pos="1134"/>
        </w:tabs>
        <w:ind w:left="1134" w:hanging="567"/>
      </w:pPr>
      <w:rPr>
        <w:rFonts w:ascii="Wingdings 3" w:hAnsi="Wingdings 3" w:hint="default"/>
        <w:b/>
        <w:i w:val="0"/>
        <w:color w:val="931638"/>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738A4D83"/>
    <w:multiLevelType w:val="multilevel"/>
    <w:tmpl w:val="03A8C23A"/>
    <w:styleLink w:val="DefaultBullets"/>
    <w:lvl w:ilvl="0">
      <w:start w:val="1"/>
      <w:numFmt w:val="bullet"/>
      <w:pStyle w:val="Bullet1"/>
      <w:lvlText w:val=""/>
      <w:lvlJc w:val="left"/>
      <w:pPr>
        <w:ind w:left="284" w:hanging="284"/>
      </w:pPr>
      <w:rPr>
        <w:rFonts w:ascii="Symbol" w:hAnsi="Symbol" w:hint="default"/>
        <w:color w:val="002776" w:themeColor="text2"/>
      </w:rPr>
    </w:lvl>
    <w:lvl w:ilvl="1">
      <w:start w:val="1"/>
      <w:numFmt w:val="bullet"/>
      <w:pStyle w:val="Bullet2"/>
      <w:lvlText w:val=""/>
      <w:lvlJc w:val="left"/>
      <w:pPr>
        <w:ind w:left="568" w:hanging="284"/>
      </w:pPr>
      <w:rPr>
        <w:rFonts w:ascii="Symbol" w:hAnsi="Symbol" w:hint="default"/>
        <w:color w:val="007EB1" w:themeColor="accent3"/>
      </w:rPr>
    </w:lvl>
    <w:lvl w:ilvl="2">
      <w:start w:val="1"/>
      <w:numFmt w:val="bullet"/>
      <w:pStyle w:val="Bullet3"/>
      <w:lvlText w:val=""/>
      <w:lvlJc w:val="left"/>
      <w:pPr>
        <w:ind w:left="852" w:hanging="284"/>
      </w:pPr>
      <w:rPr>
        <w:rFonts w:ascii="Symbol" w:hAnsi="Symbol" w:hint="default"/>
        <w:color w:val="128A00" w:themeColor="accen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16"/>
  </w:num>
  <w:num w:numId="2">
    <w:abstractNumId w:val="0"/>
  </w:num>
  <w:num w:numId="3">
    <w:abstractNumId w:val="11"/>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19"/>
  </w:num>
  <w:num w:numId="7">
    <w:abstractNumId w:val="4"/>
  </w:num>
  <w:num w:numId="8">
    <w:abstractNumId w:val="15"/>
  </w:num>
  <w:num w:numId="9">
    <w:abstractNumId w:val="25"/>
    <w:lvlOverride w:ilvl="0">
      <w:lvl w:ilvl="0">
        <w:start w:val="1"/>
        <w:numFmt w:val="bullet"/>
        <w:pStyle w:val="Bullet1"/>
        <w:lvlText w:val=""/>
        <w:lvlJc w:val="left"/>
        <w:pPr>
          <w:ind w:left="284" w:hanging="284"/>
        </w:pPr>
        <w:rPr>
          <w:rFonts w:ascii="Symbol" w:hAnsi="Symbol" w:hint="default"/>
          <w:color w:val="002776" w:themeColor="text2"/>
        </w:rPr>
      </w:lvl>
    </w:lvlOverride>
  </w:num>
  <w:num w:numId="10">
    <w:abstractNumId w:val="8"/>
  </w:num>
  <w:num w:numId="11">
    <w:abstractNumId w:val="3"/>
  </w:num>
  <w:num w:numId="12">
    <w:abstractNumId w:val="6"/>
  </w:num>
  <w:num w:numId="13">
    <w:abstractNumId w:val="21"/>
  </w:num>
  <w:num w:numId="14">
    <w:abstractNumId w:val="20"/>
  </w:num>
  <w:num w:numId="15">
    <w:abstractNumId w:val="12"/>
  </w:num>
  <w:num w:numId="16">
    <w:abstractNumId w:val="9"/>
  </w:num>
  <w:num w:numId="17">
    <w:abstractNumId w:val="2"/>
    <w:lvlOverride w:ilvl="0">
      <w:lvl w:ilvl="0">
        <w:start w:val="1"/>
        <w:numFmt w:val="decimal"/>
        <w:pStyle w:val="Heading1Numbered"/>
        <w:lvlText w:val="%1."/>
        <w:lvlJc w:val="left"/>
        <w:pPr>
          <w:ind w:left="567" w:hanging="567"/>
        </w:pPr>
        <w:rPr>
          <w:rFonts w:hint="default"/>
        </w:rPr>
      </w:lvl>
    </w:lvlOverride>
    <w:lvlOverride w:ilvl="1">
      <w:lvl w:ilvl="1">
        <w:start w:val="1"/>
        <w:numFmt w:val="decimal"/>
        <w:pStyle w:val="Heading2Numbered"/>
        <w:lvlText w:val="%1.%2"/>
        <w:lvlJc w:val="left"/>
        <w:pPr>
          <w:ind w:left="851" w:hanging="851"/>
        </w:pPr>
        <w:rPr>
          <w:rFonts w:hint="default"/>
        </w:rPr>
      </w:lvl>
    </w:lvlOverride>
    <w:lvlOverride w:ilvl="2">
      <w:lvl w:ilvl="2">
        <w:start w:val="1"/>
        <w:numFmt w:val="decimal"/>
        <w:pStyle w:val="Heading3Numbered"/>
        <w:lvlText w:val="%1.%2.%3"/>
        <w:lvlJc w:val="left"/>
        <w:pPr>
          <w:ind w:left="851" w:hanging="851"/>
        </w:pPr>
        <w:rPr>
          <w:rFonts w:hint="default"/>
        </w:rPr>
      </w:lvl>
    </w:lvlOverride>
    <w:lvlOverride w:ilvl="3">
      <w:lvl w:ilvl="3">
        <w:start w:val="1"/>
        <w:numFmt w:val="decimal"/>
        <w:pStyle w:val="Heading4Numbered"/>
        <w:lvlText w:val="%1.%2.%3.%4"/>
        <w:lvlJc w:val="left"/>
        <w:pPr>
          <w:ind w:left="1134" w:hanging="1134"/>
        </w:pPr>
        <w:rPr>
          <w:rFonts w:hint="default"/>
        </w:rPr>
      </w:lvl>
    </w:lvlOverride>
    <w:lvlOverride w:ilvl="4">
      <w:lvl w:ilvl="4">
        <w:start w:val="1"/>
        <w:numFmt w:val="decimal"/>
        <w:lvlRestart w:val="1"/>
        <w:pStyle w:val="FigureTitle"/>
        <w:lvlText w:val="Figure %1.%5"/>
        <w:lvlJc w:val="left"/>
        <w:pPr>
          <w:ind w:left="1418" w:hanging="1418"/>
        </w:pPr>
        <w:rPr>
          <w:rFonts w:hint="default"/>
          <w:b/>
          <w:i w:val="0"/>
        </w:rPr>
      </w:lvl>
    </w:lvlOverride>
    <w:lvlOverride w:ilvl="5">
      <w:lvl w:ilvl="5">
        <w:start w:val="1"/>
        <w:numFmt w:val="decimal"/>
        <w:lvlRestart w:val="1"/>
        <w:pStyle w:val="TableTitle"/>
        <w:lvlText w:val="Table %1.%6"/>
        <w:lvlJc w:val="left"/>
        <w:pPr>
          <w:ind w:left="1701" w:hanging="1701"/>
        </w:pPr>
        <w:rPr>
          <w:rFonts w:hint="default"/>
          <w:b/>
          <w:i w:val="0"/>
        </w:rPr>
      </w:lvl>
    </w:lvlOverride>
    <w:lvlOverride w:ilvl="6">
      <w:lvl w:ilvl="6">
        <w:start w:val="1"/>
        <w:numFmt w:val="decimal"/>
        <w:lvlRestart w:val="1"/>
        <w:pStyle w:val="ChartTitle"/>
        <w:lvlText w:val="Chart %1.%7"/>
        <w:lvlJc w:val="left"/>
        <w:pPr>
          <w:ind w:left="1701" w:hanging="1701"/>
        </w:pPr>
        <w:rPr>
          <w:rFonts w:hint="default"/>
          <w:b/>
          <w:i w:val="0"/>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8">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9">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0">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1">
    <w:abstractNumId w:val="12"/>
    <w:lvlOverride w:ilvl="0">
      <w:startOverride w:val="1"/>
    </w:lvlOverride>
  </w:num>
  <w:num w:numId="22">
    <w:abstractNumId w:val="12"/>
    <w:lvlOverride w:ilvl="0">
      <w:startOverride w:val="1"/>
    </w:lvlOverride>
  </w:num>
  <w:num w:numId="23">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4">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5">
    <w:abstractNumId w:val="12"/>
    <w:lvlOverride w:ilvl="0">
      <w:startOverride w:val="1"/>
    </w:lvlOverride>
  </w:num>
  <w:num w:numId="26">
    <w:abstractNumId w:val="12"/>
    <w:lvlOverride w:ilvl="0">
      <w:startOverride w:val="1"/>
    </w:lvlOverride>
  </w:num>
  <w:num w:numId="27">
    <w:abstractNumId w:val="12"/>
    <w:lvlOverride w:ilvl="0">
      <w:startOverride w:val="1"/>
    </w:lvlOverride>
  </w:num>
  <w:num w:numId="28">
    <w:abstractNumId w:val="12"/>
    <w:lvlOverride w:ilvl="0">
      <w:startOverride w:val="1"/>
    </w:lvlOverride>
  </w:num>
  <w:num w:numId="29">
    <w:abstractNumId w:val="18"/>
  </w:num>
  <w:num w:numId="30">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1">
    <w:abstractNumId w:val="2"/>
    <w:lvlOverride w:ilvl="0">
      <w:startOverride w:val="1"/>
      <w:lvl w:ilvl="0">
        <w:start w:val="1"/>
        <w:numFmt w:val="decimal"/>
        <w:pStyle w:val="Heading1Numbered"/>
        <w:lvlText w:val="%1."/>
        <w:lvlJc w:val="left"/>
        <w:pPr>
          <w:ind w:left="567" w:hanging="567"/>
        </w:pPr>
        <w:rPr>
          <w:rFonts w:hint="default"/>
        </w:rPr>
      </w:lvl>
    </w:lvlOverride>
    <w:lvlOverride w:ilvl="1">
      <w:startOverride w:val="1"/>
      <w:lvl w:ilvl="1">
        <w:start w:val="1"/>
        <w:numFmt w:val="decimal"/>
        <w:pStyle w:val="Heading2Numbered"/>
        <w:lvlText w:val="%1.%2"/>
        <w:lvlJc w:val="left"/>
        <w:pPr>
          <w:ind w:left="851" w:hanging="851"/>
        </w:pPr>
        <w:rPr>
          <w:rFonts w:hint="default"/>
        </w:rPr>
      </w:lvl>
    </w:lvlOverride>
    <w:lvlOverride w:ilvl="2">
      <w:startOverride w:val="1"/>
      <w:lvl w:ilvl="2">
        <w:start w:val="1"/>
        <w:numFmt w:val="decimal"/>
        <w:pStyle w:val="Heading3Numbered"/>
        <w:lvlText w:val="%1.%2.%3"/>
        <w:lvlJc w:val="left"/>
        <w:pPr>
          <w:ind w:left="851" w:hanging="851"/>
        </w:pPr>
        <w:rPr>
          <w:rFonts w:hint="default"/>
        </w:rPr>
      </w:lvl>
    </w:lvlOverride>
    <w:lvlOverride w:ilvl="3">
      <w:startOverride w:val="1"/>
      <w:lvl w:ilvl="3">
        <w:start w:val="1"/>
        <w:numFmt w:val="decimal"/>
        <w:pStyle w:val="Heading4Numbered"/>
        <w:lvlText w:val="%1.%2.%3.%4"/>
        <w:lvlJc w:val="left"/>
        <w:pPr>
          <w:ind w:left="1134" w:hanging="1134"/>
        </w:pPr>
        <w:rPr>
          <w:rFonts w:hint="default"/>
        </w:rPr>
      </w:lvl>
    </w:lvlOverride>
    <w:lvlOverride w:ilvl="4">
      <w:startOverride w:val="1"/>
      <w:lvl w:ilvl="4">
        <w:start w:val="1"/>
        <w:numFmt w:val="decimal"/>
        <w:lvlRestart w:val="1"/>
        <w:pStyle w:val="FigureTitle"/>
        <w:lvlText w:val="Figure %1.%5"/>
        <w:lvlJc w:val="left"/>
        <w:pPr>
          <w:ind w:left="1418" w:hanging="1418"/>
        </w:pPr>
        <w:rPr>
          <w:rFonts w:hint="default"/>
          <w:b/>
          <w:i w:val="0"/>
        </w:rPr>
      </w:lvl>
    </w:lvlOverride>
    <w:lvlOverride w:ilvl="5">
      <w:startOverride w:val="1"/>
      <w:lvl w:ilvl="5">
        <w:start w:val="1"/>
        <w:numFmt w:val="decimal"/>
        <w:lvlRestart w:val="1"/>
        <w:pStyle w:val="TableTitle"/>
        <w:lvlText w:val="Table %1.%6"/>
        <w:lvlJc w:val="left"/>
        <w:pPr>
          <w:ind w:left="1701" w:hanging="1701"/>
        </w:pPr>
        <w:rPr>
          <w:rFonts w:hint="default"/>
          <w:b/>
          <w:i w:val="0"/>
        </w:rPr>
      </w:lvl>
    </w:lvlOverride>
    <w:lvlOverride w:ilvl="6">
      <w:startOverride w:val="1"/>
      <w:lvl w:ilvl="6">
        <w:start w:val="1"/>
        <w:numFmt w:val="decimal"/>
        <w:lvlRestart w:val="1"/>
        <w:pStyle w:val="ChartTitle"/>
        <w:lvlText w:val="Chart %1.%7"/>
        <w:lvlJc w:val="left"/>
        <w:pPr>
          <w:ind w:left="1701" w:hanging="1701"/>
        </w:pPr>
        <w:rPr>
          <w:rFonts w:hint="default"/>
          <w:b/>
          <w:i w:val="0"/>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
    <w:abstractNumId w:val="12"/>
    <w:lvlOverride w:ilvl="0">
      <w:startOverride w:val="1"/>
    </w:lvlOverride>
  </w:num>
  <w:num w:numId="33">
    <w:abstractNumId w:val="12"/>
    <w:lvlOverride w:ilvl="0">
      <w:startOverride w:val="1"/>
    </w:lvlOverride>
  </w:num>
  <w:num w:numId="34">
    <w:abstractNumId w:val="5"/>
  </w:num>
  <w:num w:numId="35">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saveSubsetFont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rawingGridHorizontalSpacing w:val="110"/>
  <w:displayHorizontalDrawingGridEvery w:val="2"/>
  <w:noPunctuationKerning/>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88B"/>
    <w:rsid w:val="0000013E"/>
    <w:rsid w:val="000001AB"/>
    <w:rsid w:val="00000F7A"/>
    <w:rsid w:val="00001040"/>
    <w:rsid w:val="00001431"/>
    <w:rsid w:val="0000152F"/>
    <w:rsid w:val="000019B0"/>
    <w:rsid w:val="00001BC8"/>
    <w:rsid w:val="00001ECF"/>
    <w:rsid w:val="00002528"/>
    <w:rsid w:val="0000252D"/>
    <w:rsid w:val="00002D4F"/>
    <w:rsid w:val="00002F4D"/>
    <w:rsid w:val="0000305E"/>
    <w:rsid w:val="00003C34"/>
    <w:rsid w:val="00003CAE"/>
    <w:rsid w:val="00003DD9"/>
    <w:rsid w:val="00003EC3"/>
    <w:rsid w:val="000042A7"/>
    <w:rsid w:val="000042B8"/>
    <w:rsid w:val="000043FE"/>
    <w:rsid w:val="000045B8"/>
    <w:rsid w:val="00004BA1"/>
    <w:rsid w:val="00004E3E"/>
    <w:rsid w:val="00005216"/>
    <w:rsid w:val="00005899"/>
    <w:rsid w:val="000058CD"/>
    <w:rsid w:val="00005A81"/>
    <w:rsid w:val="00005BBA"/>
    <w:rsid w:val="0000603F"/>
    <w:rsid w:val="00006244"/>
    <w:rsid w:val="000062F1"/>
    <w:rsid w:val="0000630F"/>
    <w:rsid w:val="0000642E"/>
    <w:rsid w:val="000065DD"/>
    <w:rsid w:val="00006690"/>
    <w:rsid w:val="000068A7"/>
    <w:rsid w:val="00006909"/>
    <w:rsid w:val="00006A09"/>
    <w:rsid w:val="00006A7F"/>
    <w:rsid w:val="00006A9F"/>
    <w:rsid w:val="00006AFB"/>
    <w:rsid w:val="00006D4B"/>
    <w:rsid w:val="000072EA"/>
    <w:rsid w:val="000075C2"/>
    <w:rsid w:val="000076DE"/>
    <w:rsid w:val="00007A25"/>
    <w:rsid w:val="00010019"/>
    <w:rsid w:val="00010311"/>
    <w:rsid w:val="0001071B"/>
    <w:rsid w:val="00010776"/>
    <w:rsid w:val="00010875"/>
    <w:rsid w:val="000109BA"/>
    <w:rsid w:val="00010C36"/>
    <w:rsid w:val="00010E7D"/>
    <w:rsid w:val="00010FE4"/>
    <w:rsid w:val="0001118F"/>
    <w:rsid w:val="0001128F"/>
    <w:rsid w:val="000112CC"/>
    <w:rsid w:val="0001144F"/>
    <w:rsid w:val="000118C0"/>
    <w:rsid w:val="000118C9"/>
    <w:rsid w:val="00011A9D"/>
    <w:rsid w:val="00011B99"/>
    <w:rsid w:val="00011CA9"/>
    <w:rsid w:val="00011D2A"/>
    <w:rsid w:val="00011D72"/>
    <w:rsid w:val="00012270"/>
    <w:rsid w:val="00012871"/>
    <w:rsid w:val="00012C70"/>
    <w:rsid w:val="00012DBB"/>
    <w:rsid w:val="00012E29"/>
    <w:rsid w:val="00012FFE"/>
    <w:rsid w:val="000130EA"/>
    <w:rsid w:val="00013132"/>
    <w:rsid w:val="0001319F"/>
    <w:rsid w:val="0001347D"/>
    <w:rsid w:val="00013733"/>
    <w:rsid w:val="00013D86"/>
    <w:rsid w:val="00013E80"/>
    <w:rsid w:val="00014203"/>
    <w:rsid w:val="00014351"/>
    <w:rsid w:val="000143AB"/>
    <w:rsid w:val="0001451A"/>
    <w:rsid w:val="0001464A"/>
    <w:rsid w:val="00014B2C"/>
    <w:rsid w:val="00014F33"/>
    <w:rsid w:val="000150CA"/>
    <w:rsid w:val="00015583"/>
    <w:rsid w:val="0001562B"/>
    <w:rsid w:val="000159FA"/>
    <w:rsid w:val="00015A23"/>
    <w:rsid w:val="00015B4F"/>
    <w:rsid w:val="00015ED4"/>
    <w:rsid w:val="00016313"/>
    <w:rsid w:val="000164A5"/>
    <w:rsid w:val="0001651D"/>
    <w:rsid w:val="000167FF"/>
    <w:rsid w:val="00016846"/>
    <w:rsid w:val="000168B8"/>
    <w:rsid w:val="0001700F"/>
    <w:rsid w:val="000171FE"/>
    <w:rsid w:val="000172BB"/>
    <w:rsid w:val="000172D1"/>
    <w:rsid w:val="0001732F"/>
    <w:rsid w:val="000175BD"/>
    <w:rsid w:val="000179BD"/>
    <w:rsid w:val="00017F9E"/>
    <w:rsid w:val="00017FF9"/>
    <w:rsid w:val="00020245"/>
    <w:rsid w:val="0002033E"/>
    <w:rsid w:val="000205A7"/>
    <w:rsid w:val="00020691"/>
    <w:rsid w:val="00020986"/>
    <w:rsid w:val="00020A6C"/>
    <w:rsid w:val="00020ABB"/>
    <w:rsid w:val="00020CCD"/>
    <w:rsid w:val="00020E2D"/>
    <w:rsid w:val="00020EE1"/>
    <w:rsid w:val="0002127D"/>
    <w:rsid w:val="000214FB"/>
    <w:rsid w:val="0002165A"/>
    <w:rsid w:val="000216EF"/>
    <w:rsid w:val="00021862"/>
    <w:rsid w:val="00021E53"/>
    <w:rsid w:val="00021EC9"/>
    <w:rsid w:val="00022072"/>
    <w:rsid w:val="00022612"/>
    <w:rsid w:val="00022897"/>
    <w:rsid w:val="00022C34"/>
    <w:rsid w:val="00022E4F"/>
    <w:rsid w:val="0002306E"/>
    <w:rsid w:val="00023134"/>
    <w:rsid w:val="00023176"/>
    <w:rsid w:val="0002352C"/>
    <w:rsid w:val="0002358E"/>
    <w:rsid w:val="000238FC"/>
    <w:rsid w:val="000239CE"/>
    <w:rsid w:val="00023C31"/>
    <w:rsid w:val="00023E13"/>
    <w:rsid w:val="00023F64"/>
    <w:rsid w:val="00024112"/>
    <w:rsid w:val="000242C7"/>
    <w:rsid w:val="00024338"/>
    <w:rsid w:val="000248B5"/>
    <w:rsid w:val="00025022"/>
    <w:rsid w:val="0002552C"/>
    <w:rsid w:val="00025823"/>
    <w:rsid w:val="000259C8"/>
    <w:rsid w:val="00025B68"/>
    <w:rsid w:val="000260C0"/>
    <w:rsid w:val="000262F5"/>
    <w:rsid w:val="000263B6"/>
    <w:rsid w:val="00026477"/>
    <w:rsid w:val="00026595"/>
    <w:rsid w:val="000267F2"/>
    <w:rsid w:val="00026A3F"/>
    <w:rsid w:val="00026AC5"/>
    <w:rsid w:val="00026CB1"/>
    <w:rsid w:val="00026F08"/>
    <w:rsid w:val="00027048"/>
    <w:rsid w:val="0002730A"/>
    <w:rsid w:val="0002734B"/>
    <w:rsid w:val="000274FC"/>
    <w:rsid w:val="00027A98"/>
    <w:rsid w:val="00027AED"/>
    <w:rsid w:val="00027CE4"/>
    <w:rsid w:val="00030092"/>
    <w:rsid w:val="00030332"/>
    <w:rsid w:val="0003040E"/>
    <w:rsid w:val="0003053E"/>
    <w:rsid w:val="00030C1E"/>
    <w:rsid w:val="00030E61"/>
    <w:rsid w:val="000310A9"/>
    <w:rsid w:val="0003113F"/>
    <w:rsid w:val="00031184"/>
    <w:rsid w:val="00031307"/>
    <w:rsid w:val="00031ADB"/>
    <w:rsid w:val="00031E68"/>
    <w:rsid w:val="0003208E"/>
    <w:rsid w:val="000327E2"/>
    <w:rsid w:val="00032BCA"/>
    <w:rsid w:val="00032BD1"/>
    <w:rsid w:val="00032CC0"/>
    <w:rsid w:val="00032E26"/>
    <w:rsid w:val="00033340"/>
    <w:rsid w:val="0003384F"/>
    <w:rsid w:val="000339CD"/>
    <w:rsid w:val="000340EC"/>
    <w:rsid w:val="00034307"/>
    <w:rsid w:val="00034645"/>
    <w:rsid w:val="00034663"/>
    <w:rsid w:val="000346C5"/>
    <w:rsid w:val="000346D0"/>
    <w:rsid w:val="0003480D"/>
    <w:rsid w:val="00034D1D"/>
    <w:rsid w:val="00034D58"/>
    <w:rsid w:val="00035139"/>
    <w:rsid w:val="000351C6"/>
    <w:rsid w:val="0003555C"/>
    <w:rsid w:val="00035623"/>
    <w:rsid w:val="00035632"/>
    <w:rsid w:val="000359D8"/>
    <w:rsid w:val="00036110"/>
    <w:rsid w:val="00036E3B"/>
    <w:rsid w:val="00036E66"/>
    <w:rsid w:val="00036E79"/>
    <w:rsid w:val="00037391"/>
    <w:rsid w:val="00037B25"/>
    <w:rsid w:val="000401B3"/>
    <w:rsid w:val="00040225"/>
    <w:rsid w:val="000402BA"/>
    <w:rsid w:val="00040333"/>
    <w:rsid w:val="0004048E"/>
    <w:rsid w:val="00040526"/>
    <w:rsid w:val="00040AA9"/>
    <w:rsid w:val="00040B63"/>
    <w:rsid w:val="00041082"/>
    <w:rsid w:val="0004142B"/>
    <w:rsid w:val="000414D3"/>
    <w:rsid w:val="000415F7"/>
    <w:rsid w:val="000417B3"/>
    <w:rsid w:val="00041ADD"/>
    <w:rsid w:val="00041D29"/>
    <w:rsid w:val="00041EC6"/>
    <w:rsid w:val="000422DC"/>
    <w:rsid w:val="00042A90"/>
    <w:rsid w:val="00042BAF"/>
    <w:rsid w:val="00042CA7"/>
    <w:rsid w:val="0004315E"/>
    <w:rsid w:val="0004322F"/>
    <w:rsid w:val="00043497"/>
    <w:rsid w:val="00043551"/>
    <w:rsid w:val="00043622"/>
    <w:rsid w:val="00043E63"/>
    <w:rsid w:val="00043EFA"/>
    <w:rsid w:val="00043F43"/>
    <w:rsid w:val="0004425D"/>
    <w:rsid w:val="000443DA"/>
    <w:rsid w:val="000445ED"/>
    <w:rsid w:val="00044C38"/>
    <w:rsid w:val="00044EB4"/>
    <w:rsid w:val="00044F69"/>
    <w:rsid w:val="00045020"/>
    <w:rsid w:val="0004523A"/>
    <w:rsid w:val="00045725"/>
    <w:rsid w:val="00045788"/>
    <w:rsid w:val="000458D0"/>
    <w:rsid w:val="00046105"/>
    <w:rsid w:val="000463E5"/>
    <w:rsid w:val="000466AC"/>
    <w:rsid w:val="00046B51"/>
    <w:rsid w:val="00046BF9"/>
    <w:rsid w:val="00046CBE"/>
    <w:rsid w:val="00046DB0"/>
    <w:rsid w:val="00046FC1"/>
    <w:rsid w:val="000471A7"/>
    <w:rsid w:val="0004736A"/>
    <w:rsid w:val="00047569"/>
    <w:rsid w:val="000475DD"/>
    <w:rsid w:val="00047B17"/>
    <w:rsid w:val="00047D04"/>
    <w:rsid w:val="0005006C"/>
    <w:rsid w:val="000501E6"/>
    <w:rsid w:val="00050319"/>
    <w:rsid w:val="00050334"/>
    <w:rsid w:val="00050762"/>
    <w:rsid w:val="000507E7"/>
    <w:rsid w:val="00050E22"/>
    <w:rsid w:val="000510BC"/>
    <w:rsid w:val="00051116"/>
    <w:rsid w:val="00051164"/>
    <w:rsid w:val="000511D7"/>
    <w:rsid w:val="000519AD"/>
    <w:rsid w:val="00051C3C"/>
    <w:rsid w:val="00052184"/>
    <w:rsid w:val="00052188"/>
    <w:rsid w:val="000522AF"/>
    <w:rsid w:val="00052632"/>
    <w:rsid w:val="000528EE"/>
    <w:rsid w:val="00052A73"/>
    <w:rsid w:val="00052BBF"/>
    <w:rsid w:val="00053049"/>
    <w:rsid w:val="00053058"/>
    <w:rsid w:val="000530A5"/>
    <w:rsid w:val="000530D5"/>
    <w:rsid w:val="00053253"/>
    <w:rsid w:val="0005361D"/>
    <w:rsid w:val="000538D4"/>
    <w:rsid w:val="00053ABD"/>
    <w:rsid w:val="00053B08"/>
    <w:rsid w:val="00053C15"/>
    <w:rsid w:val="00053CF0"/>
    <w:rsid w:val="00053D34"/>
    <w:rsid w:val="000541D7"/>
    <w:rsid w:val="0005434D"/>
    <w:rsid w:val="00054A03"/>
    <w:rsid w:val="00054D16"/>
    <w:rsid w:val="00054F38"/>
    <w:rsid w:val="00055267"/>
    <w:rsid w:val="000552E9"/>
    <w:rsid w:val="000556F2"/>
    <w:rsid w:val="0005576E"/>
    <w:rsid w:val="00055905"/>
    <w:rsid w:val="000559C8"/>
    <w:rsid w:val="00055B1B"/>
    <w:rsid w:val="00055D52"/>
    <w:rsid w:val="00055E33"/>
    <w:rsid w:val="00055F36"/>
    <w:rsid w:val="0005606C"/>
    <w:rsid w:val="0005617C"/>
    <w:rsid w:val="00056483"/>
    <w:rsid w:val="00056B07"/>
    <w:rsid w:val="00056D12"/>
    <w:rsid w:val="000572F8"/>
    <w:rsid w:val="00057796"/>
    <w:rsid w:val="00057978"/>
    <w:rsid w:val="00057A0B"/>
    <w:rsid w:val="00057D1D"/>
    <w:rsid w:val="00060340"/>
    <w:rsid w:val="0006074C"/>
    <w:rsid w:val="00060BFB"/>
    <w:rsid w:val="00060D3C"/>
    <w:rsid w:val="00060F1E"/>
    <w:rsid w:val="000617DE"/>
    <w:rsid w:val="00061808"/>
    <w:rsid w:val="00061D46"/>
    <w:rsid w:val="00061D5F"/>
    <w:rsid w:val="00062180"/>
    <w:rsid w:val="0006285E"/>
    <w:rsid w:val="00062984"/>
    <w:rsid w:val="00062E6C"/>
    <w:rsid w:val="00062E93"/>
    <w:rsid w:val="00062FD5"/>
    <w:rsid w:val="00062FEF"/>
    <w:rsid w:val="00063350"/>
    <w:rsid w:val="000633AB"/>
    <w:rsid w:val="000633F3"/>
    <w:rsid w:val="0006373B"/>
    <w:rsid w:val="0006380D"/>
    <w:rsid w:val="000640AF"/>
    <w:rsid w:val="000641AE"/>
    <w:rsid w:val="00064483"/>
    <w:rsid w:val="000644B0"/>
    <w:rsid w:val="00064662"/>
    <w:rsid w:val="000646E5"/>
    <w:rsid w:val="00064FDE"/>
    <w:rsid w:val="000650D2"/>
    <w:rsid w:val="0006521F"/>
    <w:rsid w:val="00065293"/>
    <w:rsid w:val="0006539D"/>
    <w:rsid w:val="0006557F"/>
    <w:rsid w:val="00065AD1"/>
    <w:rsid w:val="00065AEB"/>
    <w:rsid w:val="00065FB9"/>
    <w:rsid w:val="000663EF"/>
    <w:rsid w:val="00066753"/>
    <w:rsid w:val="00066B32"/>
    <w:rsid w:val="00066CEA"/>
    <w:rsid w:val="0006719C"/>
    <w:rsid w:val="000673CA"/>
    <w:rsid w:val="00067562"/>
    <w:rsid w:val="000675FC"/>
    <w:rsid w:val="0006799D"/>
    <w:rsid w:val="00067AD0"/>
    <w:rsid w:val="00067B35"/>
    <w:rsid w:val="00067C36"/>
    <w:rsid w:val="00067DDD"/>
    <w:rsid w:val="00070037"/>
    <w:rsid w:val="00070328"/>
    <w:rsid w:val="00070881"/>
    <w:rsid w:val="00070D97"/>
    <w:rsid w:val="00070E1C"/>
    <w:rsid w:val="00070E48"/>
    <w:rsid w:val="00071072"/>
    <w:rsid w:val="0007111C"/>
    <w:rsid w:val="0007132E"/>
    <w:rsid w:val="0007136C"/>
    <w:rsid w:val="0007148D"/>
    <w:rsid w:val="00071A01"/>
    <w:rsid w:val="00071CC2"/>
    <w:rsid w:val="00071DD1"/>
    <w:rsid w:val="00071FE6"/>
    <w:rsid w:val="00072041"/>
    <w:rsid w:val="0007208B"/>
    <w:rsid w:val="000724E2"/>
    <w:rsid w:val="00072CDE"/>
    <w:rsid w:val="00072ECB"/>
    <w:rsid w:val="00072EEF"/>
    <w:rsid w:val="000733AB"/>
    <w:rsid w:val="000734A8"/>
    <w:rsid w:val="000735D5"/>
    <w:rsid w:val="000736F1"/>
    <w:rsid w:val="000737F6"/>
    <w:rsid w:val="00073D20"/>
    <w:rsid w:val="0007410E"/>
    <w:rsid w:val="0007461B"/>
    <w:rsid w:val="000746C8"/>
    <w:rsid w:val="000747F5"/>
    <w:rsid w:val="00074B26"/>
    <w:rsid w:val="00074C49"/>
    <w:rsid w:val="0007522F"/>
    <w:rsid w:val="00075B02"/>
    <w:rsid w:val="00076635"/>
    <w:rsid w:val="00076A8F"/>
    <w:rsid w:val="00076CA7"/>
    <w:rsid w:val="00076E8F"/>
    <w:rsid w:val="00077240"/>
    <w:rsid w:val="00077299"/>
    <w:rsid w:val="000774C2"/>
    <w:rsid w:val="00077860"/>
    <w:rsid w:val="00077B00"/>
    <w:rsid w:val="00077ECD"/>
    <w:rsid w:val="00080287"/>
    <w:rsid w:val="00080392"/>
    <w:rsid w:val="0008070D"/>
    <w:rsid w:val="00080E04"/>
    <w:rsid w:val="00080EE7"/>
    <w:rsid w:val="00080F67"/>
    <w:rsid w:val="000811E1"/>
    <w:rsid w:val="000819AB"/>
    <w:rsid w:val="000819F6"/>
    <w:rsid w:val="00081A49"/>
    <w:rsid w:val="00081BF5"/>
    <w:rsid w:val="00081D52"/>
    <w:rsid w:val="00082296"/>
    <w:rsid w:val="000825CA"/>
    <w:rsid w:val="00082738"/>
    <w:rsid w:val="000828BC"/>
    <w:rsid w:val="00082BD0"/>
    <w:rsid w:val="00082F09"/>
    <w:rsid w:val="00082F9C"/>
    <w:rsid w:val="00083009"/>
    <w:rsid w:val="00083128"/>
    <w:rsid w:val="00083609"/>
    <w:rsid w:val="000837F7"/>
    <w:rsid w:val="000839D2"/>
    <w:rsid w:val="00084276"/>
    <w:rsid w:val="000842B7"/>
    <w:rsid w:val="00084329"/>
    <w:rsid w:val="0008465B"/>
    <w:rsid w:val="000848A9"/>
    <w:rsid w:val="000849CB"/>
    <w:rsid w:val="00084A95"/>
    <w:rsid w:val="00084C3F"/>
    <w:rsid w:val="00084FDC"/>
    <w:rsid w:val="000850D6"/>
    <w:rsid w:val="0008519B"/>
    <w:rsid w:val="000852F8"/>
    <w:rsid w:val="000855CF"/>
    <w:rsid w:val="000856D5"/>
    <w:rsid w:val="00085862"/>
    <w:rsid w:val="00085A88"/>
    <w:rsid w:val="00085AE1"/>
    <w:rsid w:val="00085EC0"/>
    <w:rsid w:val="00086046"/>
    <w:rsid w:val="000866C4"/>
    <w:rsid w:val="000868EF"/>
    <w:rsid w:val="00087A0D"/>
    <w:rsid w:val="000900CF"/>
    <w:rsid w:val="00090D32"/>
    <w:rsid w:val="00090E2B"/>
    <w:rsid w:val="00091059"/>
    <w:rsid w:val="0009120D"/>
    <w:rsid w:val="00091248"/>
    <w:rsid w:val="000912CB"/>
    <w:rsid w:val="00091503"/>
    <w:rsid w:val="00091AEC"/>
    <w:rsid w:val="00091CFE"/>
    <w:rsid w:val="00091EDC"/>
    <w:rsid w:val="000920F7"/>
    <w:rsid w:val="000924E8"/>
    <w:rsid w:val="00092C4C"/>
    <w:rsid w:val="00092E57"/>
    <w:rsid w:val="00092FA3"/>
    <w:rsid w:val="00092FE1"/>
    <w:rsid w:val="00092FE5"/>
    <w:rsid w:val="000931A4"/>
    <w:rsid w:val="0009332A"/>
    <w:rsid w:val="000933EE"/>
    <w:rsid w:val="000934A8"/>
    <w:rsid w:val="00093912"/>
    <w:rsid w:val="00093BB6"/>
    <w:rsid w:val="00093ED5"/>
    <w:rsid w:val="00093F37"/>
    <w:rsid w:val="0009422D"/>
    <w:rsid w:val="000943B2"/>
    <w:rsid w:val="0009440B"/>
    <w:rsid w:val="00094CFA"/>
    <w:rsid w:val="00094E42"/>
    <w:rsid w:val="000956C6"/>
    <w:rsid w:val="00095836"/>
    <w:rsid w:val="00095BAB"/>
    <w:rsid w:val="00095C1E"/>
    <w:rsid w:val="00095D13"/>
    <w:rsid w:val="00095F46"/>
    <w:rsid w:val="000962E7"/>
    <w:rsid w:val="00096A34"/>
    <w:rsid w:val="00096DFC"/>
    <w:rsid w:val="00096EFE"/>
    <w:rsid w:val="00096F80"/>
    <w:rsid w:val="00097040"/>
    <w:rsid w:val="00097071"/>
    <w:rsid w:val="00097190"/>
    <w:rsid w:val="00097217"/>
    <w:rsid w:val="000972FD"/>
    <w:rsid w:val="00097323"/>
    <w:rsid w:val="000973FE"/>
    <w:rsid w:val="000974E2"/>
    <w:rsid w:val="00097581"/>
    <w:rsid w:val="00097AF4"/>
    <w:rsid w:val="00097C23"/>
    <w:rsid w:val="00097C35"/>
    <w:rsid w:val="00097C7D"/>
    <w:rsid w:val="000A0076"/>
    <w:rsid w:val="000A0457"/>
    <w:rsid w:val="000A06CE"/>
    <w:rsid w:val="000A07AE"/>
    <w:rsid w:val="000A08E6"/>
    <w:rsid w:val="000A0908"/>
    <w:rsid w:val="000A0BE7"/>
    <w:rsid w:val="000A0DDE"/>
    <w:rsid w:val="000A1953"/>
    <w:rsid w:val="000A1A5E"/>
    <w:rsid w:val="000A1CD2"/>
    <w:rsid w:val="000A1DC9"/>
    <w:rsid w:val="000A1EB5"/>
    <w:rsid w:val="000A1EDC"/>
    <w:rsid w:val="000A2891"/>
    <w:rsid w:val="000A2C46"/>
    <w:rsid w:val="000A2C6F"/>
    <w:rsid w:val="000A2D2A"/>
    <w:rsid w:val="000A2EAC"/>
    <w:rsid w:val="000A32F8"/>
    <w:rsid w:val="000A36B5"/>
    <w:rsid w:val="000A3744"/>
    <w:rsid w:val="000A38D1"/>
    <w:rsid w:val="000A3938"/>
    <w:rsid w:val="000A395A"/>
    <w:rsid w:val="000A3A82"/>
    <w:rsid w:val="000A3C46"/>
    <w:rsid w:val="000A4088"/>
    <w:rsid w:val="000A4282"/>
    <w:rsid w:val="000A45F1"/>
    <w:rsid w:val="000A4AB1"/>
    <w:rsid w:val="000A4B38"/>
    <w:rsid w:val="000A4C54"/>
    <w:rsid w:val="000A4E31"/>
    <w:rsid w:val="000A4E61"/>
    <w:rsid w:val="000A4F83"/>
    <w:rsid w:val="000A50CA"/>
    <w:rsid w:val="000A5397"/>
    <w:rsid w:val="000A5483"/>
    <w:rsid w:val="000A54E4"/>
    <w:rsid w:val="000A5D64"/>
    <w:rsid w:val="000A6492"/>
    <w:rsid w:val="000A6583"/>
    <w:rsid w:val="000A65CB"/>
    <w:rsid w:val="000A68FB"/>
    <w:rsid w:val="000A6990"/>
    <w:rsid w:val="000A69C0"/>
    <w:rsid w:val="000A6A1A"/>
    <w:rsid w:val="000A6ABD"/>
    <w:rsid w:val="000A6BD1"/>
    <w:rsid w:val="000A718C"/>
    <w:rsid w:val="000A72F6"/>
    <w:rsid w:val="000A7483"/>
    <w:rsid w:val="000A754C"/>
    <w:rsid w:val="000A7581"/>
    <w:rsid w:val="000A7C47"/>
    <w:rsid w:val="000A7DED"/>
    <w:rsid w:val="000A7E7A"/>
    <w:rsid w:val="000B06B7"/>
    <w:rsid w:val="000B089B"/>
    <w:rsid w:val="000B0B36"/>
    <w:rsid w:val="000B118A"/>
    <w:rsid w:val="000B14D6"/>
    <w:rsid w:val="000B15F8"/>
    <w:rsid w:val="000B1EB9"/>
    <w:rsid w:val="000B2002"/>
    <w:rsid w:val="000B2163"/>
    <w:rsid w:val="000B243C"/>
    <w:rsid w:val="000B2761"/>
    <w:rsid w:val="000B2983"/>
    <w:rsid w:val="000B2FCC"/>
    <w:rsid w:val="000B2FE1"/>
    <w:rsid w:val="000B340B"/>
    <w:rsid w:val="000B37D4"/>
    <w:rsid w:val="000B3975"/>
    <w:rsid w:val="000B3A70"/>
    <w:rsid w:val="000B3CEC"/>
    <w:rsid w:val="000B3ED2"/>
    <w:rsid w:val="000B3F3D"/>
    <w:rsid w:val="000B4135"/>
    <w:rsid w:val="000B422F"/>
    <w:rsid w:val="000B42F9"/>
    <w:rsid w:val="000B4300"/>
    <w:rsid w:val="000B4A9B"/>
    <w:rsid w:val="000B4B7B"/>
    <w:rsid w:val="000B4DE8"/>
    <w:rsid w:val="000B5276"/>
    <w:rsid w:val="000B54A5"/>
    <w:rsid w:val="000B56D4"/>
    <w:rsid w:val="000B5F92"/>
    <w:rsid w:val="000B60D2"/>
    <w:rsid w:val="000B6234"/>
    <w:rsid w:val="000B6266"/>
    <w:rsid w:val="000B68E5"/>
    <w:rsid w:val="000B6973"/>
    <w:rsid w:val="000B72BC"/>
    <w:rsid w:val="000B72EB"/>
    <w:rsid w:val="000B7310"/>
    <w:rsid w:val="000B73C2"/>
    <w:rsid w:val="000B7B80"/>
    <w:rsid w:val="000B7BAB"/>
    <w:rsid w:val="000B7BDE"/>
    <w:rsid w:val="000B7E8B"/>
    <w:rsid w:val="000B7FDB"/>
    <w:rsid w:val="000C01F0"/>
    <w:rsid w:val="000C051B"/>
    <w:rsid w:val="000C0B39"/>
    <w:rsid w:val="000C0D8A"/>
    <w:rsid w:val="000C0E54"/>
    <w:rsid w:val="000C1549"/>
    <w:rsid w:val="000C15C6"/>
    <w:rsid w:val="000C185B"/>
    <w:rsid w:val="000C1A51"/>
    <w:rsid w:val="000C1AE2"/>
    <w:rsid w:val="000C1C35"/>
    <w:rsid w:val="000C1C3A"/>
    <w:rsid w:val="000C1CED"/>
    <w:rsid w:val="000C24C5"/>
    <w:rsid w:val="000C2506"/>
    <w:rsid w:val="000C26C4"/>
    <w:rsid w:val="000C2720"/>
    <w:rsid w:val="000C289A"/>
    <w:rsid w:val="000C2C50"/>
    <w:rsid w:val="000C3874"/>
    <w:rsid w:val="000C387F"/>
    <w:rsid w:val="000C3991"/>
    <w:rsid w:val="000C3B61"/>
    <w:rsid w:val="000C4005"/>
    <w:rsid w:val="000C409B"/>
    <w:rsid w:val="000C421C"/>
    <w:rsid w:val="000C423B"/>
    <w:rsid w:val="000C464A"/>
    <w:rsid w:val="000C4977"/>
    <w:rsid w:val="000C4BFA"/>
    <w:rsid w:val="000C4C86"/>
    <w:rsid w:val="000C53D6"/>
    <w:rsid w:val="000C5578"/>
    <w:rsid w:val="000C567B"/>
    <w:rsid w:val="000C5C98"/>
    <w:rsid w:val="000C5D1B"/>
    <w:rsid w:val="000C5D78"/>
    <w:rsid w:val="000C5DF5"/>
    <w:rsid w:val="000C623F"/>
    <w:rsid w:val="000C62B7"/>
    <w:rsid w:val="000C6386"/>
    <w:rsid w:val="000C6AA1"/>
    <w:rsid w:val="000C6EE6"/>
    <w:rsid w:val="000C6F09"/>
    <w:rsid w:val="000C74AD"/>
    <w:rsid w:val="000C7659"/>
    <w:rsid w:val="000C76B8"/>
    <w:rsid w:val="000C7839"/>
    <w:rsid w:val="000D0299"/>
    <w:rsid w:val="000D0304"/>
    <w:rsid w:val="000D03C1"/>
    <w:rsid w:val="000D07F8"/>
    <w:rsid w:val="000D09FA"/>
    <w:rsid w:val="000D0C1C"/>
    <w:rsid w:val="000D0D40"/>
    <w:rsid w:val="000D0EFD"/>
    <w:rsid w:val="000D115F"/>
    <w:rsid w:val="000D1433"/>
    <w:rsid w:val="000D1661"/>
    <w:rsid w:val="000D19BE"/>
    <w:rsid w:val="000D1A4D"/>
    <w:rsid w:val="000D1AD9"/>
    <w:rsid w:val="000D2161"/>
    <w:rsid w:val="000D238E"/>
    <w:rsid w:val="000D2C81"/>
    <w:rsid w:val="000D350A"/>
    <w:rsid w:val="000D3637"/>
    <w:rsid w:val="000D3777"/>
    <w:rsid w:val="000D3821"/>
    <w:rsid w:val="000D3A3E"/>
    <w:rsid w:val="000D3BEF"/>
    <w:rsid w:val="000D3E09"/>
    <w:rsid w:val="000D42F8"/>
    <w:rsid w:val="000D4521"/>
    <w:rsid w:val="000D47B0"/>
    <w:rsid w:val="000D47CB"/>
    <w:rsid w:val="000D4AB8"/>
    <w:rsid w:val="000D4CEE"/>
    <w:rsid w:val="000D5127"/>
    <w:rsid w:val="000D5365"/>
    <w:rsid w:val="000D57F6"/>
    <w:rsid w:val="000D5A5E"/>
    <w:rsid w:val="000D5AA6"/>
    <w:rsid w:val="000D5ADB"/>
    <w:rsid w:val="000D5D6D"/>
    <w:rsid w:val="000D5E6B"/>
    <w:rsid w:val="000D601D"/>
    <w:rsid w:val="000D632E"/>
    <w:rsid w:val="000D6490"/>
    <w:rsid w:val="000D6517"/>
    <w:rsid w:val="000D6650"/>
    <w:rsid w:val="000D67BA"/>
    <w:rsid w:val="000D6AF4"/>
    <w:rsid w:val="000D6BEF"/>
    <w:rsid w:val="000D6DC4"/>
    <w:rsid w:val="000D700A"/>
    <w:rsid w:val="000D70B5"/>
    <w:rsid w:val="000D781A"/>
    <w:rsid w:val="000D7C43"/>
    <w:rsid w:val="000E0118"/>
    <w:rsid w:val="000E027F"/>
    <w:rsid w:val="000E03B2"/>
    <w:rsid w:val="000E03E9"/>
    <w:rsid w:val="000E046C"/>
    <w:rsid w:val="000E066C"/>
    <w:rsid w:val="000E06AD"/>
    <w:rsid w:val="000E08FA"/>
    <w:rsid w:val="000E0B9A"/>
    <w:rsid w:val="000E0FB8"/>
    <w:rsid w:val="000E170C"/>
    <w:rsid w:val="000E1823"/>
    <w:rsid w:val="000E183D"/>
    <w:rsid w:val="000E1AC3"/>
    <w:rsid w:val="000E1B0A"/>
    <w:rsid w:val="000E1B0D"/>
    <w:rsid w:val="000E1BAA"/>
    <w:rsid w:val="000E1C39"/>
    <w:rsid w:val="000E2140"/>
    <w:rsid w:val="000E2829"/>
    <w:rsid w:val="000E2896"/>
    <w:rsid w:val="000E2B35"/>
    <w:rsid w:val="000E2C48"/>
    <w:rsid w:val="000E2D1B"/>
    <w:rsid w:val="000E2E14"/>
    <w:rsid w:val="000E2F7C"/>
    <w:rsid w:val="000E30DD"/>
    <w:rsid w:val="000E3726"/>
    <w:rsid w:val="000E3AE4"/>
    <w:rsid w:val="000E3C82"/>
    <w:rsid w:val="000E3FBE"/>
    <w:rsid w:val="000E403C"/>
    <w:rsid w:val="000E40FB"/>
    <w:rsid w:val="000E4270"/>
    <w:rsid w:val="000E4362"/>
    <w:rsid w:val="000E445C"/>
    <w:rsid w:val="000E45F8"/>
    <w:rsid w:val="000E474A"/>
    <w:rsid w:val="000E4866"/>
    <w:rsid w:val="000E4DA5"/>
    <w:rsid w:val="000E4F01"/>
    <w:rsid w:val="000E5055"/>
    <w:rsid w:val="000E53F9"/>
    <w:rsid w:val="000E5695"/>
    <w:rsid w:val="000E5B78"/>
    <w:rsid w:val="000E5DB6"/>
    <w:rsid w:val="000E678D"/>
    <w:rsid w:val="000E69EF"/>
    <w:rsid w:val="000E6A10"/>
    <w:rsid w:val="000E6B85"/>
    <w:rsid w:val="000E6FAA"/>
    <w:rsid w:val="000E7286"/>
    <w:rsid w:val="000E7351"/>
    <w:rsid w:val="000E76ED"/>
    <w:rsid w:val="000E7721"/>
    <w:rsid w:val="000E7C2D"/>
    <w:rsid w:val="000F0191"/>
    <w:rsid w:val="000F1CD5"/>
    <w:rsid w:val="000F1E7F"/>
    <w:rsid w:val="000F232A"/>
    <w:rsid w:val="000F2369"/>
    <w:rsid w:val="000F2F28"/>
    <w:rsid w:val="000F2F8D"/>
    <w:rsid w:val="000F34A3"/>
    <w:rsid w:val="000F3676"/>
    <w:rsid w:val="000F39A5"/>
    <w:rsid w:val="000F3C3C"/>
    <w:rsid w:val="000F3CBD"/>
    <w:rsid w:val="000F3DE2"/>
    <w:rsid w:val="000F3FAE"/>
    <w:rsid w:val="000F4202"/>
    <w:rsid w:val="000F4625"/>
    <w:rsid w:val="000F46A4"/>
    <w:rsid w:val="000F46B8"/>
    <w:rsid w:val="000F4A0D"/>
    <w:rsid w:val="000F4B82"/>
    <w:rsid w:val="000F4EED"/>
    <w:rsid w:val="000F4FFC"/>
    <w:rsid w:val="000F510E"/>
    <w:rsid w:val="000F52CE"/>
    <w:rsid w:val="000F532F"/>
    <w:rsid w:val="000F533C"/>
    <w:rsid w:val="000F580E"/>
    <w:rsid w:val="000F5BFB"/>
    <w:rsid w:val="000F5CAB"/>
    <w:rsid w:val="000F5D83"/>
    <w:rsid w:val="000F61BC"/>
    <w:rsid w:val="000F62F8"/>
    <w:rsid w:val="000F6572"/>
    <w:rsid w:val="000F693C"/>
    <w:rsid w:val="000F6D59"/>
    <w:rsid w:val="000F7058"/>
    <w:rsid w:val="000F72D0"/>
    <w:rsid w:val="000F75B2"/>
    <w:rsid w:val="000F78C6"/>
    <w:rsid w:val="000F7927"/>
    <w:rsid w:val="000F7B86"/>
    <w:rsid w:val="000F7D70"/>
    <w:rsid w:val="00100843"/>
    <w:rsid w:val="001008B5"/>
    <w:rsid w:val="00100CE8"/>
    <w:rsid w:val="00100E26"/>
    <w:rsid w:val="00100E27"/>
    <w:rsid w:val="00100ED2"/>
    <w:rsid w:val="00100FA7"/>
    <w:rsid w:val="0010106D"/>
    <w:rsid w:val="001010AE"/>
    <w:rsid w:val="0010125C"/>
    <w:rsid w:val="001013C2"/>
    <w:rsid w:val="001015F2"/>
    <w:rsid w:val="00101D24"/>
    <w:rsid w:val="00101D4B"/>
    <w:rsid w:val="00101DEE"/>
    <w:rsid w:val="00102125"/>
    <w:rsid w:val="0010260E"/>
    <w:rsid w:val="00102741"/>
    <w:rsid w:val="00102CD4"/>
    <w:rsid w:val="00102E33"/>
    <w:rsid w:val="0010310F"/>
    <w:rsid w:val="0010333F"/>
    <w:rsid w:val="001033B7"/>
    <w:rsid w:val="0010344F"/>
    <w:rsid w:val="001034AA"/>
    <w:rsid w:val="001036F8"/>
    <w:rsid w:val="00103C73"/>
    <w:rsid w:val="00103C79"/>
    <w:rsid w:val="0010458D"/>
    <w:rsid w:val="00104AD6"/>
    <w:rsid w:val="00104CCC"/>
    <w:rsid w:val="00104E61"/>
    <w:rsid w:val="00104F1B"/>
    <w:rsid w:val="001050B8"/>
    <w:rsid w:val="0010511E"/>
    <w:rsid w:val="0010517F"/>
    <w:rsid w:val="00105443"/>
    <w:rsid w:val="00105456"/>
    <w:rsid w:val="00105460"/>
    <w:rsid w:val="001054DD"/>
    <w:rsid w:val="001054EB"/>
    <w:rsid w:val="001057BD"/>
    <w:rsid w:val="001057D7"/>
    <w:rsid w:val="0010583E"/>
    <w:rsid w:val="00105977"/>
    <w:rsid w:val="00105E71"/>
    <w:rsid w:val="00105E75"/>
    <w:rsid w:val="00105E76"/>
    <w:rsid w:val="00105F36"/>
    <w:rsid w:val="00106300"/>
    <w:rsid w:val="0010653F"/>
    <w:rsid w:val="00106F80"/>
    <w:rsid w:val="001070A9"/>
    <w:rsid w:val="0010745D"/>
    <w:rsid w:val="00107908"/>
    <w:rsid w:val="00107A1A"/>
    <w:rsid w:val="00107D2E"/>
    <w:rsid w:val="00110318"/>
    <w:rsid w:val="001103A6"/>
    <w:rsid w:val="001103FD"/>
    <w:rsid w:val="001105F2"/>
    <w:rsid w:val="00110739"/>
    <w:rsid w:val="00110B2E"/>
    <w:rsid w:val="00110C3A"/>
    <w:rsid w:val="00111110"/>
    <w:rsid w:val="00111411"/>
    <w:rsid w:val="00111596"/>
    <w:rsid w:val="00111689"/>
    <w:rsid w:val="00111987"/>
    <w:rsid w:val="00111DDD"/>
    <w:rsid w:val="00111E44"/>
    <w:rsid w:val="00112141"/>
    <w:rsid w:val="001123AD"/>
    <w:rsid w:val="0011281B"/>
    <w:rsid w:val="00112957"/>
    <w:rsid w:val="00112B42"/>
    <w:rsid w:val="00112CBF"/>
    <w:rsid w:val="00112EA9"/>
    <w:rsid w:val="0011307E"/>
    <w:rsid w:val="001130B7"/>
    <w:rsid w:val="00113169"/>
    <w:rsid w:val="00113328"/>
    <w:rsid w:val="001133EB"/>
    <w:rsid w:val="001134A2"/>
    <w:rsid w:val="001134E0"/>
    <w:rsid w:val="00113631"/>
    <w:rsid w:val="00113644"/>
    <w:rsid w:val="001136F8"/>
    <w:rsid w:val="0011374D"/>
    <w:rsid w:val="0011388C"/>
    <w:rsid w:val="00113B04"/>
    <w:rsid w:val="001141C5"/>
    <w:rsid w:val="001148D8"/>
    <w:rsid w:val="001149AE"/>
    <w:rsid w:val="00114A8E"/>
    <w:rsid w:val="00114B6E"/>
    <w:rsid w:val="00114C7E"/>
    <w:rsid w:val="001151B9"/>
    <w:rsid w:val="0011529E"/>
    <w:rsid w:val="00115859"/>
    <w:rsid w:val="00115C8C"/>
    <w:rsid w:val="00115DC5"/>
    <w:rsid w:val="00115E9F"/>
    <w:rsid w:val="00116186"/>
    <w:rsid w:val="001162C3"/>
    <w:rsid w:val="001167F3"/>
    <w:rsid w:val="001168F3"/>
    <w:rsid w:val="00116990"/>
    <w:rsid w:val="0011727D"/>
    <w:rsid w:val="001174D8"/>
    <w:rsid w:val="0011781F"/>
    <w:rsid w:val="00117825"/>
    <w:rsid w:val="00117966"/>
    <w:rsid w:val="00117CC5"/>
    <w:rsid w:val="00117EB6"/>
    <w:rsid w:val="0012010D"/>
    <w:rsid w:val="0012016D"/>
    <w:rsid w:val="00120A0B"/>
    <w:rsid w:val="00120A9D"/>
    <w:rsid w:val="00120B42"/>
    <w:rsid w:val="0012151D"/>
    <w:rsid w:val="00121C04"/>
    <w:rsid w:val="00121CFF"/>
    <w:rsid w:val="00122070"/>
    <w:rsid w:val="00122224"/>
    <w:rsid w:val="001222DB"/>
    <w:rsid w:val="00122303"/>
    <w:rsid w:val="001227D0"/>
    <w:rsid w:val="00122956"/>
    <w:rsid w:val="001229BA"/>
    <w:rsid w:val="00122D0E"/>
    <w:rsid w:val="00122F2A"/>
    <w:rsid w:val="00123115"/>
    <w:rsid w:val="0012316B"/>
    <w:rsid w:val="00123194"/>
    <w:rsid w:val="00123213"/>
    <w:rsid w:val="00123567"/>
    <w:rsid w:val="0012357E"/>
    <w:rsid w:val="001236D5"/>
    <w:rsid w:val="00123764"/>
    <w:rsid w:val="00123A96"/>
    <w:rsid w:val="00123BAB"/>
    <w:rsid w:val="00123BF4"/>
    <w:rsid w:val="00123FEA"/>
    <w:rsid w:val="00124023"/>
    <w:rsid w:val="001240CF"/>
    <w:rsid w:val="00124860"/>
    <w:rsid w:val="00124AAC"/>
    <w:rsid w:val="00124DA9"/>
    <w:rsid w:val="001255CB"/>
    <w:rsid w:val="00125644"/>
    <w:rsid w:val="00125D7C"/>
    <w:rsid w:val="00125E88"/>
    <w:rsid w:val="00125EA0"/>
    <w:rsid w:val="00125F5F"/>
    <w:rsid w:val="00126589"/>
    <w:rsid w:val="00126722"/>
    <w:rsid w:val="00126B58"/>
    <w:rsid w:val="00126B9B"/>
    <w:rsid w:val="00126C95"/>
    <w:rsid w:val="00126E45"/>
    <w:rsid w:val="00127130"/>
    <w:rsid w:val="001275E6"/>
    <w:rsid w:val="0012782D"/>
    <w:rsid w:val="001278E7"/>
    <w:rsid w:val="00127C25"/>
    <w:rsid w:val="00127E28"/>
    <w:rsid w:val="00127E7F"/>
    <w:rsid w:val="001302D0"/>
    <w:rsid w:val="0013062D"/>
    <w:rsid w:val="0013084D"/>
    <w:rsid w:val="00130876"/>
    <w:rsid w:val="00130D6C"/>
    <w:rsid w:val="00130F51"/>
    <w:rsid w:val="001311D9"/>
    <w:rsid w:val="001312EC"/>
    <w:rsid w:val="00131609"/>
    <w:rsid w:val="00131852"/>
    <w:rsid w:val="001318D8"/>
    <w:rsid w:val="00131AB6"/>
    <w:rsid w:val="00131B2E"/>
    <w:rsid w:val="00132279"/>
    <w:rsid w:val="0013227F"/>
    <w:rsid w:val="00132673"/>
    <w:rsid w:val="00132912"/>
    <w:rsid w:val="00132E8F"/>
    <w:rsid w:val="00133516"/>
    <w:rsid w:val="00133579"/>
    <w:rsid w:val="00133853"/>
    <w:rsid w:val="00133DBD"/>
    <w:rsid w:val="00133ED9"/>
    <w:rsid w:val="00133FE0"/>
    <w:rsid w:val="0013405B"/>
    <w:rsid w:val="0013409E"/>
    <w:rsid w:val="001340D4"/>
    <w:rsid w:val="00134C4D"/>
    <w:rsid w:val="00134DA5"/>
    <w:rsid w:val="00134E04"/>
    <w:rsid w:val="00135041"/>
    <w:rsid w:val="00135620"/>
    <w:rsid w:val="00135A68"/>
    <w:rsid w:val="00135DEF"/>
    <w:rsid w:val="00136037"/>
    <w:rsid w:val="001369D7"/>
    <w:rsid w:val="00136E02"/>
    <w:rsid w:val="00136FB1"/>
    <w:rsid w:val="001370FA"/>
    <w:rsid w:val="001371DD"/>
    <w:rsid w:val="00137388"/>
    <w:rsid w:val="001374D2"/>
    <w:rsid w:val="00137A2B"/>
    <w:rsid w:val="00137C54"/>
    <w:rsid w:val="00137DA6"/>
    <w:rsid w:val="001403D2"/>
    <w:rsid w:val="001403DE"/>
    <w:rsid w:val="00140517"/>
    <w:rsid w:val="00140537"/>
    <w:rsid w:val="00140600"/>
    <w:rsid w:val="001406D0"/>
    <w:rsid w:val="00140770"/>
    <w:rsid w:val="0014077D"/>
    <w:rsid w:val="00140AAB"/>
    <w:rsid w:val="00140AD0"/>
    <w:rsid w:val="00140C60"/>
    <w:rsid w:val="00140C80"/>
    <w:rsid w:val="00140E49"/>
    <w:rsid w:val="0014125E"/>
    <w:rsid w:val="0014151E"/>
    <w:rsid w:val="00141AEF"/>
    <w:rsid w:val="00142976"/>
    <w:rsid w:val="00142CA9"/>
    <w:rsid w:val="00142DA1"/>
    <w:rsid w:val="00142DB0"/>
    <w:rsid w:val="0014321A"/>
    <w:rsid w:val="0014387D"/>
    <w:rsid w:val="00143C94"/>
    <w:rsid w:val="00143EAB"/>
    <w:rsid w:val="00143F53"/>
    <w:rsid w:val="0014411E"/>
    <w:rsid w:val="001444AD"/>
    <w:rsid w:val="001444C2"/>
    <w:rsid w:val="0014456F"/>
    <w:rsid w:val="001449D8"/>
    <w:rsid w:val="00144A43"/>
    <w:rsid w:val="00144C61"/>
    <w:rsid w:val="00144CB8"/>
    <w:rsid w:val="00144CDB"/>
    <w:rsid w:val="00144CF0"/>
    <w:rsid w:val="00144D80"/>
    <w:rsid w:val="00144F58"/>
    <w:rsid w:val="001450C1"/>
    <w:rsid w:val="00145360"/>
    <w:rsid w:val="00145587"/>
    <w:rsid w:val="00145632"/>
    <w:rsid w:val="001458B6"/>
    <w:rsid w:val="00145B0B"/>
    <w:rsid w:val="00145D50"/>
    <w:rsid w:val="00145F2D"/>
    <w:rsid w:val="00146256"/>
    <w:rsid w:val="0014650C"/>
    <w:rsid w:val="00146717"/>
    <w:rsid w:val="00146759"/>
    <w:rsid w:val="00146849"/>
    <w:rsid w:val="00146AE0"/>
    <w:rsid w:val="00146D13"/>
    <w:rsid w:val="00146D4D"/>
    <w:rsid w:val="00146E16"/>
    <w:rsid w:val="00146E61"/>
    <w:rsid w:val="00146EF5"/>
    <w:rsid w:val="00147211"/>
    <w:rsid w:val="00147334"/>
    <w:rsid w:val="00147399"/>
    <w:rsid w:val="001473CE"/>
    <w:rsid w:val="00147656"/>
    <w:rsid w:val="001476B4"/>
    <w:rsid w:val="001477D1"/>
    <w:rsid w:val="001478C2"/>
    <w:rsid w:val="00147963"/>
    <w:rsid w:val="00147A71"/>
    <w:rsid w:val="00147B54"/>
    <w:rsid w:val="00147C30"/>
    <w:rsid w:val="001503CF"/>
    <w:rsid w:val="001506E1"/>
    <w:rsid w:val="00150FEB"/>
    <w:rsid w:val="001510D9"/>
    <w:rsid w:val="00151188"/>
    <w:rsid w:val="001514A5"/>
    <w:rsid w:val="00151629"/>
    <w:rsid w:val="00151A9A"/>
    <w:rsid w:val="00151ACE"/>
    <w:rsid w:val="00151AFE"/>
    <w:rsid w:val="00151F05"/>
    <w:rsid w:val="001521CA"/>
    <w:rsid w:val="001521F2"/>
    <w:rsid w:val="00152575"/>
    <w:rsid w:val="00152692"/>
    <w:rsid w:val="001528DE"/>
    <w:rsid w:val="00152920"/>
    <w:rsid w:val="00152C19"/>
    <w:rsid w:val="001535D0"/>
    <w:rsid w:val="001535EF"/>
    <w:rsid w:val="001537C9"/>
    <w:rsid w:val="00153AAD"/>
    <w:rsid w:val="00153E58"/>
    <w:rsid w:val="001541DA"/>
    <w:rsid w:val="00154957"/>
    <w:rsid w:val="00154BCC"/>
    <w:rsid w:val="00154C95"/>
    <w:rsid w:val="00154DAA"/>
    <w:rsid w:val="00154EE7"/>
    <w:rsid w:val="00154FAB"/>
    <w:rsid w:val="00155105"/>
    <w:rsid w:val="001552A0"/>
    <w:rsid w:val="001552F1"/>
    <w:rsid w:val="00155340"/>
    <w:rsid w:val="00155879"/>
    <w:rsid w:val="001562E0"/>
    <w:rsid w:val="001566BB"/>
    <w:rsid w:val="0015693E"/>
    <w:rsid w:val="00156A78"/>
    <w:rsid w:val="00156BBB"/>
    <w:rsid w:val="00156BC6"/>
    <w:rsid w:val="00156EDF"/>
    <w:rsid w:val="00157257"/>
    <w:rsid w:val="0015768D"/>
    <w:rsid w:val="001576C9"/>
    <w:rsid w:val="001576EF"/>
    <w:rsid w:val="0015773A"/>
    <w:rsid w:val="00157743"/>
    <w:rsid w:val="001577EC"/>
    <w:rsid w:val="001579BE"/>
    <w:rsid w:val="00157DAB"/>
    <w:rsid w:val="00157E29"/>
    <w:rsid w:val="00157EAB"/>
    <w:rsid w:val="00160106"/>
    <w:rsid w:val="00160137"/>
    <w:rsid w:val="00160376"/>
    <w:rsid w:val="00160452"/>
    <w:rsid w:val="001608C0"/>
    <w:rsid w:val="00160A65"/>
    <w:rsid w:val="0016101F"/>
    <w:rsid w:val="0016102D"/>
    <w:rsid w:val="00161359"/>
    <w:rsid w:val="00161699"/>
    <w:rsid w:val="00161894"/>
    <w:rsid w:val="00161BC7"/>
    <w:rsid w:val="00161C48"/>
    <w:rsid w:val="00161EF7"/>
    <w:rsid w:val="0016207D"/>
    <w:rsid w:val="001621DE"/>
    <w:rsid w:val="001621FC"/>
    <w:rsid w:val="00162284"/>
    <w:rsid w:val="00162353"/>
    <w:rsid w:val="001624DF"/>
    <w:rsid w:val="001625C7"/>
    <w:rsid w:val="001626DE"/>
    <w:rsid w:val="001629BB"/>
    <w:rsid w:val="00163068"/>
    <w:rsid w:val="0016354B"/>
    <w:rsid w:val="00163605"/>
    <w:rsid w:val="00163698"/>
    <w:rsid w:val="001637D7"/>
    <w:rsid w:val="00163822"/>
    <w:rsid w:val="0016398C"/>
    <w:rsid w:val="00163A5E"/>
    <w:rsid w:val="00163BE8"/>
    <w:rsid w:val="00163D2C"/>
    <w:rsid w:val="00163D58"/>
    <w:rsid w:val="00163E2A"/>
    <w:rsid w:val="00163E41"/>
    <w:rsid w:val="00163EB0"/>
    <w:rsid w:val="00164296"/>
    <w:rsid w:val="0016446A"/>
    <w:rsid w:val="00164891"/>
    <w:rsid w:val="00164D72"/>
    <w:rsid w:val="00164EFF"/>
    <w:rsid w:val="00164F0E"/>
    <w:rsid w:val="00165064"/>
    <w:rsid w:val="001650BD"/>
    <w:rsid w:val="00165331"/>
    <w:rsid w:val="0016534C"/>
    <w:rsid w:val="00165735"/>
    <w:rsid w:val="0016590D"/>
    <w:rsid w:val="001660B8"/>
    <w:rsid w:val="0016645B"/>
    <w:rsid w:val="001664A6"/>
    <w:rsid w:val="001666BA"/>
    <w:rsid w:val="00166D0C"/>
    <w:rsid w:val="00166D2A"/>
    <w:rsid w:val="00166F16"/>
    <w:rsid w:val="00167004"/>
    <w:rsid w:val="0016704B"/>
    <w:rsid w:val="00167186"/>
    <w:rsid w:val="001671D7"/>
    <w:rsid w:val="00167265"/>
    <w:rsid w:val="00167671"/>
    <w:rsid w:val="0016778F"/>
    <w:rsid w:val="00167BB1"/>
    <w:rsid w:val="00167BF4"/>
    <w:rsid w:val="00167C42"/>
    <w:rsid w:val="00167D66"/>
    <w:rsid w:val="0017029F"/>
    <w:rsid w:val="001704A0"/>
    <w:rsid w:val="0017066C"/>
    <w:rsid w:val="00170EFF"/>
    <w:rsid w:val="00170FC8"/>
    <w:rsid w:val="00171398"/>
    <w:rsid w:val="001718E4"/>
    <w:rsid w:val="00171CE9"/>
    <w:rsid w:val="00171E1B"/>
    <w:rsid w:val="00171FA4"/>
    <w:rsid w:val="00172007"/>
    <w:rsid w:val="0017224D"/>
    <w:rsid w:val="0017228E"/>
    <w:rsid w:val="00172456"/>
    <w:rsid w:val="0017265E"/>
    <w:rsid w:val="00172BA5"/>
    <w:rsid w:val="00172DEC"/>
    <w:rsid w:val="00172E5B"/>
    <w:rsid w:val="00173206"/>
    <w:rsid w:val="001732D3"/>
    <w:rsid w:val="001737C5"/>
    <w:rsid w:val="001738DB"/>
    <w:rsid w:val="001739D6"/>
    <w:rsid w:val="00173D3C"/>
    <w:rsid w:val="00173E2B"/>
    <w:rsid w:val="00173EAF"/>
    <w:rsid w:val="0017446D"/>
    <w:rsid w:val="001744D3"/>
    <w:rsid w:val="00174535"/>
    <w:rsid w:val="00174553"/>
    <w:rsid w:val="0017526B"/>
    <w:rsid w:val="0017537C"/>
    <w:rsid w:val="0017561C"/>
    <w:rsid w:val="00175620"/>
    <w:rsid w:val="0017564E"/>
    <w:rsid w:val="0017578D"/>
    <w:rsid w:val="00175792"/>
    <w:rsid w:val="001757F0"/>
    <w:rsid w:val="00175844"/>
    <w:rsid w:val="00175A5C"/>
    <w:rsid w:val="00175CA1"/>
    <w:rsid w:val="001760CE"/>
    <w:rsid w:val="001763C9"/>
    <w:rsid w:val="00176BAB"/>
    <w:rsid w:val="00176DB8"/>
    <w:rsid w:val="00176DF8"/>
    <w:rsid w:val="00177013"/>
    <w:rsid w:val="00177256"/>
    <w:rsid w:val="001775D0"/>
    <w:rsid w:val="001776CD"/>
    <w:rsid w:val="00177916"/>
    <w:rsid w:val="00177A48"/>
    <w:rsid w:val="00177A64"/>
    <w:rsid w:val="00177CCD"/>
    <w:rsid w:val="00177FA9"/>
    <w:rsid w:val="001803E0"/>
    <w:rsid w:val="00180A99"/>
    <w:rsid w:val="00180D5E"/>
    <w:rsid w:val="00180D7F"/>
    <w:rsid w:val="00181073"/>
    <w:rsid w:val="0018164C"/>
    <w:rsid w:val="00181994"/>
    <w:rsid w:val="00181D69"/>
    <w:rsid w:val="00182090"/>
    <w:rsid w:val="0018217F"/>
    <w:rsid w:val="001824F0"/>
    <w:rsid w:val="001826BD"/>
    <w:rsid w:val="001829CD"/>
    <w:rsid w:val="00182C0E"/>
    <w:rsid w:val="00182E4C"/>
    <w:rsid w:val="00183213"/>
    <w:rsid w:val="00183220"/>
    <w:rsid w:val="001839DB"/>
    <w:rsid w:val="00183D38"/>
    <w:rsid w:val="00184340"/>
    <w:rsid w:val="00184571"/>
    <w:rsid w:val="00184632"/>
    <w:rsid w:val="00184657"/>
    <w:rsid w:val="0018475E"/>
    <w:rsid w:val="00184AF9"/>
    <w:rsid w:val="00184B33"/>
    <w:rsid w:val="00185039"/>
    <w:rsid w:val="0018531B"/>
    <w:rsid w:val="001857A6"/>
    <w:rsid w:val="00186001"/>
    <w:rsid w:val="00186546"/>
    <w:rsid w:val="001865B8"/>
    <w:rsid w:val="0018670E"/>
    <w:rsid w:val="0018674B"/>
    <w:rsid w:val="001869F0"/>
    <w:rsid w:val="00186B1E"/>
    <w:rsid w:val="00186D48"/>
    <w:rsid w:val="0018707F"/>
    <w:rsid w:val="001870F4"/>
    <w:rsid w:val="0018764D"/>
    <w:rsid w:val="00187683"/>
    <w:rsid w:val="00187780"/>
    <w:rsid w:val="0018786C"/>
    <w:rsid w:val="001879CC"/>
    <w:rsid w:val="00187A49"/>
    <w:rsid w:val="00187ABE"/>
    <w:rsid w:val="00187CB5"/>
    <w:rsid w:val="00187D34"/>
    <w:rsid w:val="00187F35"/>
    <w:rsid w:val="0019029C"/>
    <w:rsid w:val="00190711"/>
    <w:rsid w:val="00190783"/>
    <w:rsid w:val="001908E9"/>
    <w:rsid w:val="001909E5"/>
    <w:rsid w:val="00190A67"/>
    <w:rsid w:val="00190DE1"/>
    <w:rsid w:val="0019125D"/>
    <w:rsid w:val="0019129B"/>
    <w:rsid w:val="001912CD"/>
    <w:rsid w:val="00191BEE"/>
    <w:rsid w:val="00191D12"/>
    <w:rsid w:val="0019255F"/>
    <w:rsid w:val="00192907"/>
    <w:rsid w:val="0019295B"/>
    <w:rsid w:val="00192988"/>
    <w:rsid w:val="00192ABA"/>
    <w:rsid w:val="00192AD1"/>
    <w:rsid w:val="0019329C"/>
    <w:rsid w:val="0019377E"/>
    <w:rsid w:val="0019387D"/>
    <w:rsid w:val="00193EFE"/>
    <w:rsid w:val="00194153"/>
    <w:rsid w:val="00194231"/>
    <w:rsid w:val="0019466C"/>
    <w:rsid w:val="00194DFB"/>
    <w:rsid w:val="001954D0"/>
    <w:rsid w:val="001955FC"/>
    <w:rsid w:val="001959E9"/>
    <w:rsid w:val="00195CD8"/>
    <w:rsid w:val="00195D66"/>
    <w:rsid w:val="00195E24"/>
    <w:rsid w:val="00196297"/>
    <w:rsid w:val="00196349"/>
    <w:rsid w:val="001966AB"/>
    <w:rsid w:val="00196880"/>
    <w:rsid w:val="00196A12"/>
    <w:rsid w:val="00196E4F"/>
    <w:rsid w:val="00196F31"/>
    <w:rsid w:val="0019756F"/>
    <w:rsid w:val="001979A3"/>
    <w:rsid w:val="00197C82"/>
    <w:rsid w:val="00197E4F"/>
    <w:rsid w:val="001A00BF"/>
    <w:rsid w:val="001A0261"/>
    <w:rsid w:val="001A05FD"/>
    <w:rsid w:val="001A0A2E"/>
    <w:rsid w:val="001A1160"/>
    <w:rsid w:val="001A1319"/>
    <w:rsid w:val="001A17CE"/>
    <w:rsid w:val="001A185A"/>
    <w:rsid w:val="001A1B58"/>
    <w:rsid w:val="001A1FEB"/>
    <w:rsid w:val="001A23B9"/>
    <w:rsid w:val="001A26A0"/>
    <w:rsid w:val="001A294A"/>
    <w:rsid w:val="001A2B57"/>
    <w:rsid w:val="001A2EDC"/>
    <w:rsid w:val="001A301B"/>
    <w:rsid w:val="001A31F1"/>
    <w:rsid w:val="001A3283"/>
    <w:rsid w:val="001A3303"/>
    <w:rsid w:val="001A34CD"/>
    <w:rsid w:val="001A3A23"/>
    <w:rsid w:val="001A3E39"/>
    <w:rsid w:val="001A4585"/>
    <w:rsid w:val="001A4728"/>
    <w:rsid w:val="001A493E"/>
    <w:rsid w:val="001A4969"/>
    <w:rsid w:val="001A4EB7"/>
    <w:rsid w:val="001A50DC"/>
    <w:rsid w:val="001A51B5"/>
    <w:rsid w:val="001A53B7"/>
    <w:rsid w:val="001A55BE"/>
    <w:rsid w:val="001A5807"/>
    <w:rsid w:val="001A596B"/>
    <w:rsid w:val="001A5A48"/>
    <w:rsid w:val="001A5F7F"/>
    <w:rsid w:val="001A5F92"/>
    <w:rsid w:val="001A5FB9"/>
    <w:rsid w:val="001A6173"/>
    <w:rsid w:val="001A6424"/>
    <w:rsid w:val="001A6C35"/>
    <w:rsid w:val="001A6EB6"/>
    <w:rsid w:val="001A753C"/>
    <w:rsid w:val="001A759D"/>
    <w:rsid w:val="001A7609"/>
    <w:rsid w:val="001A7A5B"/>
    <w:rsid w:val="001A7D99"/>
    <w:rsid w:val="001B0540"/>
    <w:rsid w:val="001B0676"/>
    <w:rsid w:val="001B07CE"/>
    <w:rsid w:val="001B0AFE"/>
    <w:rsid w:val="001B0B63"/>
    <w:rsid w:val="001B0DAB"/>
    <w:rsid w:val="001B0DF8"/>
    <w:rsid w:val="001B1540"/>
    <w:rsid w:val="001B1728"/>
    <w:rsid w:val="001B1852"/>
    <w:rsid w:val="001B1A2F"/>
    <w:rsid w:val="001B1AC2"/>
    <w:rsid w:val="001B1B3F"/>
    <w:rsid w:val="001B1C56"/>
    <w:rsid w:val="001B1E8C"/>
    <w:rsid w:val="001B1F8E"/>
    <w:rsid w:val="001B245B"/>
    <w:rsid w:val="001B24F2"/>
    <w:rsid w:val="001B2514"/>
    <w:rsid w:val="001B2A88"/>
    <w:rsid w:val="001B2C9F"/>
    <w:rsid w:val="001B2E33"/>
    <w:rsid w:val="001B3365"/>
    <w:rsid w:val="001B3767"/>
    <w:rsid w:val="001B3B4C"/>
    <w:rsid w:val="001B3B83"/>
    <w:rsid w:val="001B3E3B"/>
    <w:rsid w:val="001B3F9E"/>
    <w:rsid w:val="001B4073"/>
    <w:rsid w:val="001B407F"/>
    <w:rsid w:val="001B4194"/>
    <w:rsid w:val="001B419B"/>
    <w:rsid w:val="001B44F5"/>
    <w:rsid w:val="001B47D9"/>
    <w:rsid w:val="001B495F"/>
    <w:rsid w:val="001B4A4B"/>
    <w:rsid w:val="001B4E21"/>
    <w:rsid w:val="001B525D"/>
    <w:rsid w:val="001B52B9"/>
    <w:rsid w:val="001B549E"/>
    <w:rsid w:val="001B56E0"/>
    <w:rsid w:val="001B56F7"/>
    <w:rsid w:val="001B5C44"/>
    <w:rsid w:val="001B6083"/>
    <w:rsid w:val="001B6509"/>
    <w:rsid w:val="001B6B02"/>
    <w:rsid w:val="001B6D29"/>
    <w:rsid w:val="001B701A"/>
    <w:rsid w:val="001B724B"/>
    <w:rsid w:val="001B7360"/>
    <w:rsid w:val="001B74A3"/>
    <w:rsid w:val="001B756F"/>
    <w:rsid w:val="001B7870"/>
    <w:rsid w:val="001B7ACE"/>
    <w:rsid w:val="001B7BF3"/>
    <w:rsid w:val="001B7C02"/>
    <w:rsid w:val="001B7C72"/>
    <w:rsid w:val="001B7D72"/>
    <w:rsid w:val="001B7E66"/>
    <w:rsid w:val="001B7F08"/>
    <w:rsid w:val="001C0581"/>
    <w:rsid w:val="001C05A2"/>
    <w:rsid w:val="001C0614"/>
    <w:rsid w:val="001C0751"/>
    <w:rsid w:val="001C08DD"/>
    <w:rsid w:val="001C0A87"/>
    <w:rsid w:val="001C0C71"/>
    <w:rsid w:val="001C115F"/>
    <w:rsid w:val="001C1194"/>
    <w:rsid w:val="001C1414"/>
    <w:rsid w:val="001C153C"/>
    <w:rsid w:val="001C16AF"/>
    <w:rsid w:val="001C16D5"/>
    <w:rsid w:val="001C1C50"/>
    <w:rsid w:val="001C1D7D"/>
    <w:rsid w:val="001C21B2"/>
    <w:rsid w:val="001C22CF"/>
    <w:rsid w:val="001C2685"/>
    <w:rsid w:val="001C26F8"/>
    <w:rsid w:val="001C27B1"/>
    <w:rsid w:val="001C28E6"/>
    <w:rsid w:val="001C2BAF"/>
    <w:rsid w:val="001C2D7A"/>
    <w:rsid w:val="001C2E93"/>
    <w:rsid w:val="001C335A"/>
    <w:rsid w:val="001C3581"/>
    <w:rsid w:val="001C35BC"/>
    <w:rsid w:val="001C381C"/>
    <w:rsid w:val="001C390C"/>
    <w:rsid w:val="001C3A7E"/>
    <w:rsid w:val="001C3B7B"/>
    <w:rsid w:val="001C3EE3"/>
    <w:rsid w:val="001C4285"/>
    <w:rsid w:val="001C488B"/>
    <w:rsid w:val="001C4D4C"/>
    <w:rsid w:val="001C5074"/>
    <w:rsid w:val="001C50E9"/>
    <w:rsid w:val="001C5491"/>
    <w:rsid w:val="001C5DF5"/>
    <w:rsid w:val="001C5EC1"/>
    <w:rsid w:val="001C5FB1"/>
    <w:rsid w:val="001C600A"/>
    <w:rsid w:val="001C60A3"/>
    <w:rsid w:val="001C6150"/>
    <w:rsid w:val="001C6262"/>
    <w:rsid w:val="001C6370"/>
    <w:rsid w:val="001C63C5"/>
    <w:rsid w:val="001C68C2"/>
    <w:rsid w:val="001C69D2"/>
    <w:rsid w:val="001C6BBD"/>
    <w:rsid w:val="001C7126"/>
    <w:rsid w:val="001C766E"/>
    <w:rsid w:val="001C79C3"/>
    <w:rsid w:val="001C7A9B"/>
    <w:rsid w:val="001C7CED"/>
    <w:rsid w:val="001D020F"/>
    <w:rsid w:val="001D0237"/>
    <w:rsid w:val="001D02EC"/>
    <w:rsid w:val="001D0317"/>
    <w:rsid w:val="001D04E4"/>
    <w:rsid w:val="001D0680"/>
    <w:rsid w:val="001D07B9"/>
    <w:rsid w:val="001D1197"/>
    <w:rsid w:val="001D177C"/>
    <w:rsid w:val="001D1E88"/>
    <w:rsid w:val="001D20CF"/>
    <w:rsid w:val="001D21B4"/>
    <w:rsid w:val="001D231C"/>
    <w:rsid w:val="001D261C"/>
    <w:rsid w:val="001D263A"/>
    <w:rsid w:val="001D29B0"/>
    <w:rsid w:val="001D2B1A"/>
    <w:rsid w:val="001D34B0"/>
    <w:rsid w:val="001D35E6"/>
    <w:rsid w:val="001D3778"/>
    <w:rsid w:val="001D3E48"/>
    <w:rsid w:val="001D3FF4"/>
    <w:rsid w:val="001D4336"/>
    <w:rsid w:val="001D44B2"/>
    <w:rsid w:val="001D4E87"/>
    <w:rsid w:val="001D4EBB"/>
    <w:rsid w:val="001D5309"/>
    <w:rsid w:val="001D53A0"/>
    <w:rsid w:val="001D573C"/>
    <w:rsid w:val="001D5CE5"/>
    <w:rsid w:val="001D5DB2"/>
    <w:rsid w:val="001D5FC5"/>
    <w:rsid w:val="001D6166"/>
    <w:rsid w:val="001D627D"/>
    <w:rsid w:val="001D680A"/>
    <w:rsid w:val="001D682C"/>
    <w:rsid w:val="001D69E0"/>
    <w:rsid w:val="001D6B0F"/>
    <w:rsid w:val="001D6CA0"/>
    <w:rsid w:val="001D6CF5"/>
    <w:rsid w:val="001D751B"/>
    <w:rsid w:val="001D7945"/>
    <w:rsid w:val="001D7E5D"/>
    <w:rsid w:val="001D7F5E"/>
    <w:rsid w:val="001E01D6"/>
    <w:rsid w:val="001E0294"/>
    <w:rsid w:val="001E051E"/>
    <w:rsid w:val="001E0D33"/>
    <w:rsid w:val="001E0E2D"/>
    <w:rsid w:val="001E0FBB"/>
    <w:rsid w:val="001E1189"/>
    <w:rsid w:val="001E13BD"/>
    <w:rsid w:val="001E13DE"/>
    <w:rsid w:val="001E190A"/>
    <w:rsid w:val="001E1BEE"/>
    <w:rsid w:val="001E1DB2"/>
    <w:rsid w:val="001E1F64"/>
    <w:rsid w:val="001E2044"/>
    <w:rsid w:val="001E2081"/>
    <w:rsid w:val="001E2595"/>
    <w:rsid w:val="001E2706"/>
    <w:rsid w:val="001E2907"/>
    <w:rsid w:val="001E2C61"/>
    <w:rsid w:val="001E2F6E"/>
    <w:rsid w:val="001E33B5"/>
    <w:rsid w:val="001E33E2"/>
    <w:rsid w:val="001E343E"/>
    <w:rsid w:val="001E37D6"/>
    <w:rsid w:val="001E3813"/>
    <w:rsid w:val="001E38C1"/>
    <w:rsid w:val="001E39E4"/>
    <w:rsid w:val="001E3DBD"/>
    <w:rsid w:val="001E3F67"/>
    <w:rsid w:val="001E402E"/>
    <w:rsid w:val="001E45DC"/>
    <w:rsid w:val="001E45F9"/>
    <w:rsid w:val="001E467B"/>
    <w:rsid w:val="001E4794"/>
    <w:rsid w:val="001E489A"/>
    <w:rsid w:val="001E493C"/>
    <w:rsid w:val="001E5085"/>
    <w:rsid w:val="001E51F8"/>
    <w:rsid w:val="001E548A"/>
    <w:rsid w:val="001E6050"/>
    <w:rsid w:val="001E6A16"/>
    <w:rsid w:val="001E6A77"/>
    <w:rsid w:val="001E7051"/>
    <w:rsid w:val="001E72D4"/>
    <w:rsid w:val="001E7384"/>
    <w:rsid w:val="001E7506"/>
    <w:rsid w:val="001E77D2"/>
    <w:rsid w:val="001E791B"/>
    <w:rsid w:val="001E798D"/>
    <w:rsid w:val="001E7B13"/>
    <w:rsid w:val="001E7E85"/>
    <w:rsid w:val="001F023F"/>
    <w:rsid w:val="001F047A"/>
    <w:rsid w:val="001F0531"/>
    <w:rsid w:val="001F079C"/>
    <w:rsid w:val="001F0E92"/>
    <w:rsid w:val="001F0FF9"/>
    <w:rsid w:val="001F14DB"/>
    <w:rsid w:val="001F1561"/>
    <w:rsid w:val="001F15BF"/>
    <w:rsid w:val="001F199F"/>
    <w:rsid w:val="001F1D01"/>
    <w:rsid w:val="001F1FF0"/>
    <w:rsid w:val="001F222F"/>
    <w:rsid w:val="001F296C"/>
    <w:rsid w:val="001F2A07"/>
    <w:rsid w:val="001F2D6D"/>
    <w:rsid w:val="001F2E41"/>
    <w:rsid w:val="001F36BE"/>
    <w:rsid w:val="001F38DE"/>
    <w:rsid w:val="001F3E5E"/>
    <w:rsid w:val="001F420F"/>
    <w:rsid w:val="001F43A0"/>
    <w:rsid w:val="001F4561"/>
    <w:rsid w:val="001F4AA4"/>
    <w:rsid w:val="001F4BC8"/>
    <w:rsid w:val="001F53B9"/>
    <w:rsid w:val="001F5A0B"/>
    <w:rsid w:val="001F65E0"/>
    <w:rsid w:val="001F6ADB"/>
    <w:rsid w:val="001F6BFA"/>
    <w:rsid w:val="001F6DB7"/>
    <w:rsid w:val="001F6E1F"/>
    <w:rsid w:val="001F6FAA"/>
    <w:rsid w:val="001F7215"/>
    <w:rsid w:val="001F72A7"/>
    <w:rsid w:val="001F798A"/>
    <w:rsid w:val="001F7E67"/>
    <w:rsid w:val="00200478"/>
    <w:rsid w:val="00200719"/>
    <w:rsid w:val="00200776"/>
    <w:rsid w:val="0020081B"/>
    <w:rsid w:val="00200A5F"/>
    <w:rsid w:val="00200DCD"/>
    <w:rsid w:val="00200E72"/>
    <w:rsid w:val="0020115F"/>
    <w:rsid w:val="00201331"/>
    <w:rsid w:val="002013D9"/>
    <w:rsid w:val="00201657"/>
    <w:rsid w:val="0020189A"/>
    <w:rsid w:val="002019FF"/>
    <w:rsid w:val="00201AAE"/>
    <w:rsid w:val="00201DBA"/>
    <w:rsid w:val="00201E47"/>
    <w:rsid w:val="0020250E"/>
    <w:rsid w:val="0020284B"/>
    <w:rsid w:val="00203925"/>
    <w:rsid w:val="00203CDD"/>
    <w:rsid w:val="00204136"/>
    <w:rsid w:val="00204172"/>
    <w:rsid w:val="0020434C"/>
    <w:rsid w:val="002046CB"/>
    <w:rsid w:val="002046D2"/>
    <w:rsid w:val="00204ADD"/>
    <w:rsid w:val="00204C17"/>
    <w:rsid w:val="0020509E"/>
    <w:rsid w:val="00205151"/>
    <w:rsid w:val="002056B8"/>
    <w:rsid w:val="00205862"/>
    <w:rsid w:val="00205AA2"/>
    <w:rsid w:val="00205B00"/>
    <w:rsid w:val="00205D95"/>
    <w:rsid w:val="00205D9D"/>
    <w:rsid w:val="0020638D"/>
    <w:rsid w:val="002066D3"/>
    <w:rsid w:val="00206D03"/>
    <w:rsid w:val="00206E2B"/>
    <w:rsid w:val="002075FC"/>
    <w:rsid w:val="00207878"/>
    <w:rsid w:val="00207C08"/>
    <w:rsid w:val="00207E9F"/>
    <w:rsid w:val="0021007E"/>
    <w:rsid w:val="0021044A"/>
    <w:rsid w:val="00210CA2"/>
    <w:rsid w:val="002110C3"/>
    <w:rsid w:val="00211157"/>
    <w:rsid w:val="0021117B"/>
    <w:rsid w:val="00211219"/>
    <w:rsid w:val="00211324"/>
    <w:rsid w:val="00211335"/>
    <w:rsid w:val="00211435"/>
    <w:rsid w:val="002118A9"/>
    <w:rsid w:val="00211A44"/>
    <w:rsid w:val="00211A64"/>
    <w:rsid w:val="00211B32"/>
    <w:rsid w:val="00211BD4"/>
    <w:rsid w:val="0021237A"/>
    <w:rsid w:val="0021238C"/>
    <w:rsid w:val="00212505"/>
    <w:rsid w:val="002129A6"/>
    <w:rsid w:val="002129AB"/>
    <w:rsid w:val="00212A43"/>
    <w:rsid w:val="00212AAF"/>
    <w:rsid w:val="00212B9E"/>
    <w:rsid w:val="00212F88"/>
    <w:rsid w:val="002130C6"/>
    <w:rsid w:val="00213292"/>
    <w:rsid w:val="00213406"/>
    <w:rsid w:val="002136E8"/>
    <w:rsid w:val="0021398F"/>
    <w:rsid w:val="002139F5"/>
    <w:rsid w:val="00213A69"/>
    <w:rsid w:val="00213AB5"/>
    <w:rsid w:val="00213E7B"/>
    <w:rsid w:val="00214060"/>
    <w:rsid w:val="00214539"/>
    <w:rsid w:val="002146AA"/>
    <w:rsid w:val="00214ADE"/>
    <w:rsid w:val="00214D58"/>
    <w:rsid w:val="00214DEC"/>
    <w:rsid w:val="00214F6D"/>
    <w:rsid w:val="00215026"/>
    <w:rsid w:val="0021573B"/>
    <w:rsid w:val="00215CE4"/>
    <w:rsid w:val="002164DB"/>
    <w:rsid w:val="00216B0F"/>
    <w:rsid w:val="00216BD6"/>
    <w:rsid w:val="00216BF7"/>
    <w:rsid w:val="00217045"/>
    <w:rsid w:val="0021718A"/>
    <w:rsid w:val="0021791F"/>
    <w:rsid w:val="002179BF"/>
    <w:rsid w:val="00217B6A"/>
    <w:rsid w:val="00217E06"/>
    <w:rsid w:val="002200A0"/>
    <w:rsid w:val="00220205"/>
    <w:rsid w:val="00220372"/>
    <w:rsid w:val="00220734"/>
    <w:rsid w:val="00220899"/>
    <w:rsid w:val="00220B45"/>
    <w:rsid w:val="00220E48"/>
    <w:rsid w:val="00220ED2"/>
    <w:rsid w:val="00221007"/>
    <w:rsid w:val="00221301"/>
    <w:rsid w:val="002214F3"/>
    <w:rsid w:val="00221574"/>
    <w:rsid w:val="002217E0"/>
    <w:rsid w:val="00221830"/>
    <w:rsid w:val="002219AB"/>
    <w:rsid w:val="00221A26"/>
    <w:rsid w:val="00221D94"/>
    <w:rsid w:val="00221DCD"/>
    <w:rsid w:val="00221E0E"/>
    <w:rsid w:val="0022205E"/>
    <w:rsid w:val="00222341"/>
    <w:rsid w:val="0022243A"/>
    <w:rsid w:val="0022262E"/>
    <w:rsid w:val="00222636"/>
    <w:rsid w:val="002226DC"/>
    <w:rsid w:val="002228EC"/>
    <w:rsid w:val="00222999"/>
    <w:rsid w:val="00222B70"/>
    <w:rsid w:val="00222BC8"/>
    <w:rsid w:val="00222BEE"/>
    <w:rsid w:val="00222F76"/>
    <w:rsid w:val="00222FC6"/>
    <w:rsid w:val="00223035"/>
    <w:rsid w:val="0022321C"/>
    <w:rsid w:val="00223339"/>
    <w:rsid w:val="002233C7"/>
    <w:rsid w:val="00223430"/>
    <w:rsid w:val="00223470"/>
    <w:rsid w:val="00223485"/>
    <w:rsid w:val="002234A4"/>
    <w:rsid w:val="002235C3"/>
    <w:rsid w:val="002235E7"/>
    <w:rsid w:val="00223639"/>
    <w:rsid w:val="0022385F"/>
    <w:rsid w:val="00223AA6"/>
    <w:rsid w:val="00223AC7"/>
    <w:rsid w:val="00223C0F"/>
    <w:rsid w:val="00223F35"/>
    <w:rsid w:val="00224000"/>
    <w:rsid w:val="002242EC"/>
    <w:rsid w:val="0022469D"/>
    <w:rsid w:val="002246BC"/>
    <w:rsid w:val="002246CD"/>
    <w:rsid w:val="002247AC"/>
    <w:rsid w:val="002248D2"/>
    <w:rsid w:val="00224C09"/>
    <w:rsid w:val="00224C32"/>
    <w:rsid w:val="00224FA3"/>
    <w:rsid w:val="002250F5"/>
    <w:rsid w:val="0022518B"/>
    <w:rsid w:val="00225254"/>
    <w:rsid w:val="0022529D"/>
    <w:rsid w:val="002255A4"/>
    <w:rsid w:val="002258D8"/>
    <w:rsid w:val="00225CB0"/>
    <w:rsid w:val="00225E50"/>
    <w:rsid w:val="00225E53"/>
    <w:rsid w:val="002262AF"/>
    <w:rsid w:val="002264E1"/>
    <w:rsid w:val="00226AB7"/>
    <w:rsid w:val="002270A4"/>
    <w:rsid w:val="0022735A"/>
    <w:rsid w:val="002273F0"/>
    <w:rsid w:val="00227E00"/>
    <w:rsid w:val="0023012C"/>
    <w:rsid w:val="0023024B"/>
    <w:rsid w:val="0023054B"/>
    <w:rsid w:val="002305D1"/>
    <w:rsid w:val="002306E3"/>
    <w:rsid w:val="00230A3B"/>
    <w:rsid w:val="00230A56"/>
    <w:rsid w:val="0023117F"/>
    <w:rsid w:val="002313F1"/>
    <w:rsid w:val="00231431"/>
    <w:rsid w:val="00231487"/>
    <w:rsid w:val="002314B9"/>
    <w:rsid w:val="002315FE"/>
    <w:rsid w:val="00231805"/>
    <w:rsid w:val="0023187C"/>
    <w:rsid w:val="0023194B"/>
    <w:rsid w:val="0023211C"/>
    <w:rsid w:val="0023233E"/>
    <w:rsid w:val="00232525"/>
    <w:rsid w:val="00232A7A"/>
    <w:rsid w:val="002331FD"/>
    <w:rsid w:val="00233238"/>
    <w:rsid w:val="00233743"/>
    <w:rsid w:val="002337B9"/>
    <w:rsid w:val="00233922"/>
    <w:rsid w:val="00233AC5"/>
    <w:rsid w:val="00233BF0"/>
    <w:rsid w:val="00233C04"/>
    <w:rsid w:val="00233E50"/>
    <w:rsid w:val="00233ED2"/>
    <w:rsid w:val="00234060"/>
    <w:rsid w:val="002340F7"/>
    <w:rsid w:val="0023427D"/>
    <w:rsid w:val="00234882"/>
    <w:rsid w:val="00234933"/>
    <w:rsid w:val="00234B96"/>
    <w:rsid w:val="00234DA2"/>
    <w:rsid w:val="00234F32"/>
    <w:rsid w:val="0023599E"/>
    <w:rsid w:val="00235CFC"/>
    <w:rsid w:val="00235FC5"/>
    <w:rsid w:val="00236470"/>
    <w:rsid w:val="00236897"/>
    <w:rsid w:val="00236A94"/>
    <w:rsid w:val="00236AD0"/>
    <w:rsid w:val="00236E3B"/>
    <w:rsid w:val="002373F7"/>
    <w:rsid w:val="002374C0"/>
    <w:rsid w:val="0023786A"/>
    <w:rsid w:val="00237B52"/>
    <w:rsid w:val="00237CE9"/>
    <w:rsid w:val="00237ECD"/>
    <w:rsid w:val="00237FC6"/>
    <w:rsid w:val="002404EF"/>
    <w:rsid w:val="00240610"/>
    <w:rsid w:val="00240A71"/>
    <w:rsid w:val="00240DD9"/>
    <w:rsid w:val="00241085"/>
    <w:rsid w:val="002411EE"/>
    <w:rsid w:val="00241730"/>
    <w:rsid w:val="0024179B"/>
    <w:rsid w:val="002417EB"/>
    <w:rsid w:val="0024185C"/>
    <w:rsid w:val="00241B73"/>
    <w:rsid w:val="00241C57"/>
    <w:rsid w:val="00241E5C"/>
    <w:rsid w:val="00242202"/>
    <w:rsid w:val="002428B1"/>
    <w:rsid w:val="00242F46"/>
    <w:rsid w:val="00243420"/>
    <w:rsid w:val="002434D2"/>
    <w:rsid w:val="0024395E"/>
    <w:rsid w:val="00243A95"/>
    <w:rsid w:val="00243B12"/>
    <w:rsid w:val="00243F24"/>
    <w:rsid w:val="00244211"/>
    <w:rsid w:val="002443E5"/>
    <w:rsid w:val="002444F0"/>
    <w:rsid w:val="00244622"/>
    <w:rsid w:val="00244991"/>
    <w:rsid w:val="00244A1A"/>
    <w:rsid w:val="00244BCE"/>
    <w:rsid w:val="00244E71"/>
    <w:rsid w:val="00245234"/>
    <w:rsid w:val="0024545C"/>
    <w:rsid w:val="00245582"/>
    <w:rsid w:val="002455AB"/>
    <w:rsid w:val="002457A6"/>
    <w:rsid w:val="00245E96"/>
    <w:rsid w:val="002460FB"/>
    <w:rsid w:val="002462E6"/>
    <w:rsid w:val="002463E4"/>
    <w:rsid w:val="002466EF"/>
    <w:rsid w:val="0024675A"/>
    <w:rsid w:val="0024677C"/>
    <w:rsid w:val="00246835"/>
    <w:rsid w:val="00246890"/>
    <w:rsid w:val="00246C40"/>
    <w:rsid w:val="00246F7B"/>
    <w:rsid w:val="00247103"/>
    <w:rsid w:val="002471FD"/>
    <w:rsid w:val="002474CF"/>
    <w:rsid w:val="00247501"/>
    <w:rsid w:val="0024753A"/>
    <w:rsid w:val="0024762C"/>
    <w:rsid w:val="00247B3D"/>
    <w:rsid w:val="00247BB3"/>
    <w:rsid w:val="00247D31"/>
    <w:rsid w:val="00250008"/>
    <w:rsid w:val="00250150"/>
    <w:rsid w:val="002501B2"/>
    <w:rsid w:val="002501BA"/>
    <w:rsid w:val="00250537"/>
    <w:rsid w:val="002507B8"/>
    <w:rsid w:val="00250927"/>
    <w:rsid w:val="00250942"/>
    <w:rsid w:val="00250D50"/>
    <w:rsid w:val="00250E74"/>
    <w:rsid w:val="00251065"/>
    <w:rsid w:val="0025127E"/>
    <w:rsid w:val="00251450"/>
    <w:rsid w:val="0025153E"/>
    <w:rsid w:val="00251564"/>
    <w:rsid w:val="00251632"/>
    <w:rsid w:val="002516DB"/>
    <w:rsid w:val="00251990"/>
    <w:rsid w:val="0025210D"/>
    <w:rsid w:val="0025210E"/>
    <w:rsid w:val="00252227"/>
    <w:rsid w:val="00252350"/>
    <w:rsid w:val="00252694"/>
    <w:rsid w:val="002527A2"/>
    <w:rsid w:val="0025284C"/>
    <w:rsid w:val="002529C1"/>
    <w:rsid w:val="00252E2B"/>
    <w:rsid w:val="002532D5"/>
    <w:rsid w:val="002533CF"/>
    <w:rsid w:val="00253514"/>
    <w:rsid w:val="00253BD1"/>
    <w:rsid w:val="00253F06"/>
    <w:rsid w:val="00253FB3"/>
    <w:rsid w:val="0025408D"/>
    <w:rsid w:val="0025420B"/>
    <w:rsid w:val="002543C0"/>
    <w:rsid w:val="00254DEF"/>
    <w:rsid w:val="00254F26"/>
    <w:rsid w:val="00255505"/>
    <w:rsid w:val="00255703"/>
    <w:rsid w:val="00255836"/>
    <w:rsid w:val="00255CAF"/>
    <w:rsid w:val="00255ED1"/>
    <w:rsid w:val="002560A5"/>
    <w:rsid w:val="0025624C"/>
    <w:rsid w:val="00256267"/>
    <w:rsid w:val="00256C0D"/>
    <w:rsid w:val="00256EF0"/>
    <w:rsid w:val="0025703D"/>
    <w:rsid w:val="0025736A"/>
    <w:rsid w:val="00257409"/>
    <w:rsid w:val="002575BB"/>
    <w:rsid w:val="00257686"/>
    <w:rsid w:val="00257A78"/>
    <w:rsid w:val="00257BA4"/>
    <w:rsid w:val="00260430"/>
    <w:rsid w:val="002604A0"/>
    <w:rsid w:val="00260750"/>
    <w:rsid w:val="00260B24"/>
    <w:rsid w:val="00260B4D"/>
    <w:rsid w:val="002616BF"/>
    <w:rsid w:val="002617AF"/>
    <w:rsid w:val="002617CC"/>
    <w:rsid w:val="00261C00"/>
    <w:rsid w:val="00261F2B"/>
    <w:rsid w:val="00262250"/>
    <w:rsid w:val="00262544"/>
    <w:rsid w:val="00262903"/>
    <w:rsid w:val="00262942"/>
    <w:rsid w:val="00262C66"/>
    <w:rsid w:val="00262EF9"/>
    <w:rsid w:val="00262F9C"/>
    <w:rsid w:val="002630F2"/>
    <w:rsid w:val="00263455"/>
    <w:rsid w:val="0026353A"/>
    <w:rsid w:val="00263542"/>
    <w:rsid w:val="00263803"/>
    <w:rsid w:val="002639DD"/>
    <w:rsid w:val="00263B6E"/>
    <w:rsid w:val="00263F93"/>
    <w:rsid w:val="00264339"/>
    <w:rsid w:val="00264357"/>
    <w:rsid w:val="0026457D"/>
    <w:rsid w:val="00264708"/>
    <w:rsid w:val="0026482B"/>
    <w:rsid w:val="002648AA"/>
    <w:rsid w:val="00264982"/>
    <w:rsid w:val="00264C32"/>
    <w:rsid w:val="00264D41"/>
    <w:rsid w:val="00264DDA"/>
    <w:rsid w:val="00264EBF"/>
    <w:rsid w:val="00264F61"/>
    <w:rsid w:val="00264FE6"/>
    <w:rsid w:val="00265261"/>
    <w:rsid w:val="002653C5"/>
    <w:rsid w:val="002653C6"/>
    <w:rsid w:val="002657DA"/>
    <w:rsid w:val="00265817"/>
    <w:rsid w:val="00265865"/>
    <w:rsid w:val="00265A60"/>
    <w:rsid w:val="00265E02"/>
    <w:rsid w:val="00265EC1"/>
    <w:rsid w:val="00265EED"/>
    <w:rsid w:val="0026636C"/>
    <w:rsid w:val="00266AF4"/>
    <w:rsid w:val="00266C06"/>
    <w:rsid w:val="00267246"/>
    <w:rsid w:val="00267439"/>
    <w:rsid w:val="0026791B"/>
    <w:rsid w:val="00267B3A"/>
    <w:rsid w:val="00267D7C"/>
    <w:rsid w:val="00267DF3"/>
    <w:rsid w:val="00270167"/>
    <w:rsid w:val="0027028A"/>
    <w:rsid w:val="002705C9"/>
    <w:rsid w:val="002705F0"/>
    <w:rsid w:val="00270633"/>
    <w:rsid w:val="002706CD"/>
    <w:rsid w:val="00270DD6"/>
    <w:rsid w:val="00271034"/>
    <w:rsid w:val="0027106C"/>
    <w:rsid w:val="0027124F"/>
    <w:rsid w:val="00271453"/>
    <w:rsid w:val="00271794"/>
    <w:rsid w:val="00271969"/>
    <w:rsid w:val="00271A36"/>
    <w:rsid w:val="00271C9C"/>
    <w:rsid w:val="00271CE8"/>
    <w:rsid w:val="00271F1C"/>
    <w:rsid w:val="00271F2E"/>
    <w:rsid w:val="00272182"/>
    <w:rsid w:val="0027227D"/>
    <w:rsid w:val="00272473"/>
    <w:rsid w:val="0027274D"/>
    <w:rsid w:val="002729A9"/>
    <w:rsid w:val="00272B51"/>
    <w:rsid w:val="00272B5B"/>
    <w:rsid w:val="00272DA6"/>
    <w:rsid w:val="00273132"/>
    <w:rsid w:val="00273818"/>
    <w:rsid w:val="002738EF"/>
    <w:rsid w:val="002739A9"/>
    <w:rsid w:val="00273BD3"/>
    <w:rsid w:val="00273BE6"/>
    <w:rsid w:val="00273CDF"/>
    <w:rsid w:val="00273CE6"/>
    <w:rsid w:val="00273E99"/>
    <w:rsid w:val="0027401D"/>
    <w:rsid w:val="00274281"/>
    <w:rsid w:val="002746AA"/>
    <w:rsid w:val="002748CF"/>
    <w:rsid w:val="00274EB9"/>
    <w:rsid w:val="00274FF9"/>
    <w:rsid w:val="00274FFC"/>
    <w:rsid w:val="0027511B"/>
    <w:rsid w:val="002752D0"/>
    <w:rsid w:val="00275A02"/>
    <w:rsid w:val="00275B7D"/>
    <w:rsid w:val="00275DC5"/>
    <w:rsid w:val="00275F6A"/>
    <w:rsid w:val="0027630F"/>
    <w:rsid w:val="00276647"/>
    <w:rsid w:val="002766CD"/>
    <w:rsid w:val="00276A04"/>
    <w:rsid w:val="00276B78"/>
    <w:rsid w:val="00276B93"/>
    <w:rsid w:val="00276C09"/>
    <w:rsid w:val="00277289"/>
    <w:rsid w:val="00277DB1"/>
    <w:rsid w:val="002801B1"/>
    <w:rsid w:val="002809B2"/>
    <w:rsid w:val="00280B21"/>
    <w:rsid w:val="00280B84"/>
    <w:rsid w:val="002811C2"/>
    <w:rsid w:val="00281398"/>
    <w:rsid w:val="00281654"/>
    <w:rsid w:val="002818DD"/>
    <w:rsid w:val="00281A50"/>
    <w:rsid w:val="00281B07"/>
    <w:rsid w:val="00281D1E"/>
    <w:rsid w:val="00281EDA"/>
    <w:rsid w:val="00281F7A"/>
    <w:rsid w:val="00281F83"/>
    <w:rsid w:val="0028226E"/>
    <w:rsid w:val="00282439"/>
    <w:rsid w:val="00283486"/>
    <w:rsid w:val="00283501"/>
    <w:rsid w:val="00283A18"/>
    <w:rsid w:val="00283A66"/>
    <w:rsid w:val="00284080"/>
    <w:rsid w:val="0028419A"/>
    <w:rsid w:val="00284290"/>
    <w:rsid w:val="002842E6"/>
    <w:rsid w:val="0028451F"/>
    <w:rsid w:val="0028457D"/>
    <w:rsid w:val="002845B1"/>
    <w:rsid w:val="002845D6"/>
    <w:rsid w:val="0028484F"/>
    <w:rsid w:val="00284C49"/>
    <w:rsid w:val="00284DCA"/>
    <w:rsid w:val="00284FCF"/>
    <w:rsid w:val="002852DC"/>
    <w:rsid w:val="002852E7"/>
    <w:rsid w:val="0028531E"/>
    <w:rsid w:val="00285553"/>
    <w:rsid w:val="00285A69"/>
    <w:rsid w:val="00285AB4"/>
    <w:rsid w:val="00285D6C"/>
    <w:rsid w:val="00285F7D"/>
    <w:rsid w:val="002861F7"/>
    <w:rsid w:val="00286310"/>
    <w:rsid w:val="002868A6"/>
    <w:rsid w:val="00286911"/>
    <w:rsid w:val="0028697B"/>
    <w:rsid w:val="002869FC"/>
    <w:rsid w:val="00286AC1"/>
    <w:rsid w:val="00286D3E"/>
    <w:rsid w:val="00286E64"/>
    <w:rsid w:val="00287102"/>
    <w:rsid w:val="002871F0"/>
    <w:rsid w:val="002877C3"/>
    <w:rsid w:val="00287861"/>
    <w:rsid w:val="00287B63"/>
    <w:rsid w:val="00287DFC"/>
    <w:rsid w:val="00287EFB"/>
    <w:rsid w:val="002902FA"/>
    <w:rsid w:val="002909B1"/>
    <w:rsid w:val="00290AA0"/>
    <w:rsid w:val="00290D36"/>
    <w:rsid w:val="00290D51"/>
    <w:rsid w:val="00290F91"/>
    <w:rsid w:val="00291709"/>
    <w:rsid w:val="0029175D"/>
    <w:rsid w:val="00291854"/>
    <w:rsid w:val="002918A9"/>
    <w:rsid w:val="00291AF9"/>
    <w:rsid w:val="00291C7F"/>
    <w:rsid w:val="00291CDE"/>
    <w:rsid w:val="00291E22"/>
    <w:rsid w:val="00291E97"/>
    <w:rsid w:val="002920B1"/>
    <w:rsid w:val="0029259F"/>
    <w:rsid w:val="00292607"/>
    <w:rsid w:val="0029268F"/>
    <w:rsid w:val="00292906"/>
    <w:rsid w:val="00292AF6"/>
    <w:rsid w:val="00292CA6"/>
    <w:rsid w:val="00292EA8"/>
    <w:rsid w:val="00293680"/>
    <w:rsid w:val="00293837"/>
    <w:rsid w:val="00293A78"/>
    <w:rsid w:val="00293D4D"/>
    <w:rsid w:val="00293ED2"/>
    <w:rsid w:val="00293FAD"/>
    <w:rsid w:val="002940A7"/>
    <w:rsid w:val="00294235"/>
    <w:rsid w:val="0029428B"/>
    <w:rsid w:val="002942C3"/>
    <w:rsid w:val="002943AC"/>
    <w:rsid w:val="002948EB"/>
    <w:rsid w:val="00294999"/>
    <w:rsid w:val="00294B81"/>
    <w:rsid w:val="00294ED4"/>
    <w:rsid w:val="00294F60"/>
    <w:rsid w:val="00295028"/>
    <w:rsid w:val="00295145"/>
    <w:rsid w:val="00295391"/>
    <w:rsid w:val="0029555A"/>
    <w:rsid w:val="002955C0"/>
    <w:rsid w:val="002957F0"/>
    <w:rsid w:val="002958C6"/>
    <w:rsid w:val="00295A59"/>
    <w:rsid w:val="00295EF9"/>
    <w:rsid w:val="00295F11"/>
    <w:rsid w:val="002960A8"/>
    <w:rsid w:val="00296202"/>
    <w:rsid w:val="00296282"/>
    <w:rsid w:val="002962F3"/>
    <w:rsid w:val="00296540"/>
    <w:rsid w:val="002965C8"/>
    <w:rsid w:val="0029684A"/>
    <w:rsid w:val="002969A0"/>
    <w:rsid w:val="00297196"/>
    <w:rsid w:val="002973D3"/>
    <w:rsid w:val="00297480"/>
    <w:rsid w:val="00297634"/>
    <w:rsid w:val="00297C47"/>
    <w:rsid w:val="00297ECA"/>
    <w:rsid w:val="002A01F5"/>
    <w:rsid w:val="002A0246"/>
    <w:rsid w:val="002A0394"/>
    <w:rsid w:val="002A05BD"/>
    <w:rsid w:val="002A07C3"/>
    <w:rsid w:val="002A0BF7"/>
    <w:rsid w:val="002A0E10"/>
    <w:rsid w:val="002A0E53"/>
    <w:rsid w:val="002A0F15"/>
    <w:rsid w:val="002A105D"/>
    <w:rsid w:val="002A1086"/>
    <w:rsid w:val="002A10AB"/>
    <w:rsid w:val="002A11A8"/>
    <w:rsid w:val="002A123D"/>
    <w:rsid w:val="002A14F9"/>
    <w:rsid w:val="002A1701"/>
    <w:rsid w:val="002A1A61"/>
    <w:rsid w:val="002A1C44"/>
    <w:rsid w:val="002A2175"/>
    <w:rsid w:val="002A239A"/>
    <w:rsid w:val="002A2638"/>
    <w:rsid w:val="002A28DE"/>
    <w:rsid w:val="002A29FE"/>
    <w:rsid w:val="002A2E71"/>
    <w:rsid w:val="002A33B8"/>
    <w:rsid w:val="002A346E"/>
    <w:rsid w:val="002A34FB"/>
    <w:rsid w:val="002A382F"/>
    <w:rsid w:val="002A38FA"/>
    <w:rsid w:val="002A3A69"/>
    <w:rsid w:val="002A3B5E"/>
    <w:rsid w:val="002A445D"/>
    <w:rsid w:val="002A4597"/>
    <w:rsid w:val="002A4694"/>
    <w:rsid w:val="002A4766"/>
    <w:rsid w:val="002A49F5"/>
    <w:rsid w:val="002A4CC7"/>
    <w:rsid w:val="002A4D4F"/>
    <w:rsid w:val="002A4FA5"/>
    <w:rsid w:val="002A514B"/>
    <w:rsid w:val="002A51D0"/>
    <w:rsid w:val="002A53C6"/>
    <w:rsid w:val="002A5619"/>
    <w:rsid w:val="002A5696"/>
    <w:rsid w:val="002A5756"/>
    <w:rsid w:val="002A577C"/>
    <w:rsid w:val="002A5780"/>
    <w:rsid w:val="002A5950"/>
    <w:rsid w:val="002A5A5D"/>
    <w:rsid w:val="002A5B5F"/>
    <w:rsid w:val="002A5BF6"/>
    <w:rsid w:val="002A6183"/>
    <w:rsid w:val="002A6292"/>
    <w:rsid w:val="002A6569"/>
    <w:rsid w:val="002A67CA"/>
    <w:rsid w:val="002A6A6E"/>
    <w:rsid w:val="002A6F94"/>
    <w:rsid w:val="002A7253"/>
    <w:rsid w:val="002A72F1"/>
    <w:rsid w:val="002A7322"/>
    <w:rsid w:val="002A74E3"/>
    <w:rsid w:val="002A7637"/>
    <w:rsid w:val="002A7B2D"/>
    <w:rsid w:val="002A7B95"/>
    <w:rsid w:val="002A7B9C"/>
    <w:rsid w:val="002A7D8E"/>
    <w:rsid w:val="002A7F97"/>
    <w:rsid w:val="002B011C"/>
    <w:rsid w:val="002B01DE"/>
    <w:rsid w:val="002B030B"/>
    <w:rsid w:val="002B054D"/>
    <w:rsid w:val="002B0680"/>
    <w:rsid w:val="002B07C5"/>
    <w:rsid w:val="002B0AD5"/>
    <w:rsid w:val="002B0AFF"/>
    <w:rsid w:val="002B10C5"/>
    <w:rsid w:val="002B16CF"/>
    <w:rsid w:val="002B189C"/>
    <w:rsid w:val="002B1BC1"/>
    <w:rsid w:val="002B1E0F"/>
    <w:rsid w:val="002B2114"/>
    <w:rsid w:val="002B2340"/>
    <w:rsid w:val="002B2823"/>
    <w:rsid w:val="002B2A30"/>
    <w:rsid w:val="002B2B92"/>
    <w:rsid w:val="002B2EDA"/>
    <w:rsid w:val="002B3385"/>
    <w:rsid w:val="002B33CF"/>
    <w:rsid w:val="002B33E8"/>
    <w:rsid w:val="002B3506"/>
    <w:rsid w:val="002B35CD"/>
    <w:rsid w:val="002B35E3"/>
    <w:rsid w:val="002B3B18"/>
    <w:rsid w:val="002B4282"/>
    <w:rsid w:val="002B48D1"/>
    <w:rsid w:val="002B4CB0"/>
    <w:rsid w:val="002B50DC"/>
    <w:rsid w:val="002B526D"/>
    <w:rsid w:val="002B54AF"/>
    <w:rsid w:val="002B5507"/>
    <w:rsid w:val="002B55A2"/>
    <w:rsid w:val="002B5CDF"/>
    <w:rsid w:val="002B5DEC"/>
    <w:rsid w:val="002B5E2E"/>
    <w:rsid w:val="002B6253"/>
    <w:rsid w:val="002B6498"/>
    <w:rsid w:val="002B66EA"/>
    <w:rsid w:val="002B68A9"/>
    <w:rsid w:val="002B6DD2"/>
    <w:rsid w:val="002B6DF8"/>
    <w:rsid w:val="002B6E5D"/>
    <w:rsid w:val="002B75D8"/>
    <w:rsid w:val="002B7786"/>
    <w:rsid w:val="002B789A"/>
    <w:rsid w:val="002B7900"/>
    <w:rsid w:val="002B79B3"/>
    <w:rsid w:val="002C0127"/>
    <w:rsid w:val="002C046D"/>
    <w:rsid w:val="002C04A4"/>
    <w:rsid w:val="002C055C"/>
    <w:rsid w:val="002C0715"/>
    <w:rsid w:val="002C0908"/>
    <w:rsid w:val="002C0AC2"/>
    <w:rsid w:val="002C0BEB"/>
    <w:rsid w:val="002C15F8"/>
    <w:rsid w:val="002C1852"/>
    <w:rsid w:val="002C2255"/>
    <w:rsid w:val="002C2669"/>
    <w:rsid w:val="002C2899"/>
    <w:rsid w:val="002C298E"/>
    <w:rsid w:val="002C2C80"/>
    <w:rsid w:val="002C31F2"/>
    <w:rsid w:val="002C31FA"/>
    <w:rsid w:val="002C3775"/>
    <w:rsid w:val="002C388A"/>
    <w:rsid w:val="002C3992"/>
    <w:rsid w:val="002C3AFD"/>
    <w:rsid w:val="002C3E0C"/>
    <w:rsid w:val="002C3E47"/>
    <w:rsid w:val="002C4282"/>
    <w:rsid w:val="002C4360"/>
    <w:rsid w:val="002C4546"/>
    <w:rsid w:val="002C4877"/>
    <w:rsid w:val="002C489E"/>
    <w:rsid w:val="002C4B2B"/>
    <w:rsid w:val="002C4BD8"/>
    <w:rsid w:val="002C4E26"/>
    <w:rsid w:val="002C57CD"/>
    <w:rsid w:val="002C58A2"/>
    <w:rsid w:val="002C5DB5"/>
    <w:rsid w:val="002C623B"/>
    <w:rsid w:val="002C6279"/>
    <w:rsid w:val="002C6887"/>
    <w:rsid w:val="002C6EF6"/>
    <w:rsid w:val="002C7283"/>
    <w:rsid w:val="002C7621"/>
    <w:rsid w:val="002D01AC"/>
    <w:rsid w:val="002D0294"/>
    <w:rsid w:val="002D049E"/>
    <w:rsid w:val="002D0645"/>
    <w:rsid w:val="002D0959"/>
    <w:rsid w:val="002D1295"/>
    <w:rsid w:val="002D1314"/>
    <w:rsid w:val="002D1A25"/>
    <w:rsid w:val="002D1C57"/>
    <w:rsid w:val="002D1D93"/>
    <w:rsid w:val="002D1F1F"/>
    <w:rsid w:val="002D2554"/>
    <w:rsid w:val="002D2692"/>
    <w:rsid w:val="002D2974"/>
    <w:rsid w:val="002D2BB3"/>
    <w:rsid w:val="002D2DD7"/>
    <w:rsid w:val="002D2E0B"/>
    <w:rsid w:val="002D30F6"/>
    <w:rsid w:val="002D32FB"/>
    <w:rsid w:val="002D370D"/>
    <w:rsid w:val="002D3A7E"/>
    <w:rsid w:val="002D3B8C"/>
    <w:rsid w:val="002D3CA6"/>
    <w:rsid w:val="002D3CF5"/>
    <w:rsid w:val="002D3D00"/>
    <w:rsid w:val="002D3DB4"/>
    <w:rsid w:val="002D3E32"/>
    <w:rsid w:val="002D40AA"/>
    <w:rsid w:val="002D43F3"/>
    <w:rsid w:val="002D487E"/>
    <w:rsid w:val="002D499E"/>
    <w:rsid w:val="002D4F60"/>
    <w:rsid w:val="002D50B4"/>
    <w:rsid w:val="002D51F7"/>
    <w:rsid w:val="002D5541"/>
    <w:rsid w:val="002D5737"/>
    <w:rsid w:val="002D57D4"/>
    <w:rsid w:val="002D58E5"/>
    <w:rsid w:val="002D593E"/>
    <w:rsid w:val="002D5C52"/>
    <w:rsid w:val="002D5DD1"/>
    <w:rsid w:val="002D61DC"/>
    <w:rsid w:val="002D6931"/>
    <w:rsid w:val="002D6FD9"/>
    <w:rsid w:val="002D7073"/>
    <w:rsid w:val="002D7829"/>
    <w:rsid w:val="002D797E"/>
    <w:rsid w:val="002D7C82"/>
    <w:rsid w:val="002D7DEA"/>
    <w:rsid w:val="002E0945"/>
    <w:rsid w:val="002E0AF6"/>
    <w:rsid w:val="002E0B67"/>
    <w:rsid w:val="002E1060"/>
    <w:rsid w:val="002E106C"/>
    <w:rsid w:val="002E1498"/>
    <w:rsid w:val="002E15A5"/>
    <w:rsid w:val="002E1720"/>
    <w:rsid w:val="002E1958"/>
    <w:rsid w:val="002E1E7B"/>
    <w:rsid w:val="002E21B8"/>
    <w:rsid w:val="002E2862"/>
    <w:rsid w:val="002E2A4C"/>
    <w:rsid w:val="002E2B4F"/>
    <w:rsid w:val="002E2D44"/>
    <w:rsid w:val="002E2E9C"/>
    <w:rsid w:val="002E31A8"/>
    <w:rsid w:val="002E3A84"/>
    <w:rsid w:val="002E3BCA"/>
    <w:rsid w:val="002E3C57"/>
    <w:rsid w:val="002E3E76"/>
    <w:rsid w:val="002E4244"/>
    <w:rsid w:val="002E4BD8"/>
    <w:rsid w:val="002E4D06"/>
    <w:rsid w:val="002E5158"/>
    <w:rsid w:val="002E55CF"/>
    <w:rsid w:val="002E5A6A"/>
    <w:rsid w:val="002E5CF9"/>
    <w:rsid w:val="002E5DDC"/>
    <w:rsid w:val="002E5EF2"/>
    <w:rsid w:val="002E5FDB"/>
    <w:rsid w:val="002E6080"/>
    <w:rsid w:val="002E6255"/>
    <w:rsid w:val="002E62AD"/>
    <w:rsid w:val="002E6839"/>
    <w:rsid w:val="002E69FC"/>
    <w:rsid w:val="002E6A53"/>
    <w:rsid w:val="002E6DFD"/>
    <w:rsid w:val="002E6E83"/>
    <w:rsid w:val="002E70C6"/>
    <w:rsid w:val="002E7303"/>
    <w:rsid w:val="002E746E"/>
    <w:rsid w:val="002E754E"/>
    <w:rsid w:val="002E7593"/>
    <w:rsid w:val="002E75B8"/>
    <w:rsid w:val="002E776F"/>
    <w:rsid w:val="002E7E8B"/>
    <w:rsid w:val="002E7FF6"/>
    <w:rsid w:val="002F012A"/>
    <w:rsid w:val="002F049F"/>
    <w:rsid w:val="002F0A1B"/>
    <w:rsid w:val="002F0EAD"/>
    <w:rsid w:val="002F134C"/>
    <w:rsid w:val="002F1724"/>
    <w:rsid w:val="002F172C"/>
    <w:rsid w:val="002F17C0"/>
    <w:rsid w:val="002F1964"/>
    <w:rsid w:val="002F1C31"/>
    <w:rsid w:val="002F1E33"/>
    <w:rsid w:val="002F1E70"/>
    <w:rsid w:val="002F1EA1"/>
    <w:rsid w:val="002F241E"/>
    <w:rsid w:val="002F24BB"/>
    <w:rsid w:val="002F25AF"/>
    <w:rsid w:val="002F29BA"/>
    <w:rsid w:val="002F2C78"/>
    <w:rsid w:val="002F2E67"/>
    <w:rsid w:val="002F2E79"/>
    <w:rsid w:val="002F3472"/>
    <w:rsid w:val="002F34AD"/>
    <w:rsid w:val="002F35D6"/>
    <w:rsid w:val="002F3689"/>
    <w:rsid w:val="002F36B1"/>
    <w:rsid w:val="002F3CDE"/>
    <w:rsid w:val="002F3DC6"/>
    <w:rsid w:val="002F3E0E"/>
    <w:rsid w:val="002F3E25"/>
    <w:rsid w:val="002F3EFB"/>
    <w:rsid w:val="002F3F9C"/>
    <w:rsid w:val="002F407F"/>
    <w:rsid w:val="002F4274"/>
    <w:rsid w:val="002F4333"/>
    <w:rsid w:val="002F4594"/>
    <w:rsid w:val="002F4B9B"/>
    <w:rsid w:val="002F4D9A"/>
    <w:rsid w:val="002F4E3E"/>
    <w:rsid w:val="002F557A"/>
    <w:rsid w:val="002F569D"/>
    <w:rsid w:val="002F5BDF"/>
    <w:rsid w:val="002F5CDB"/>
    <w:rsid w:val="002F630F"/>
    <w:rsid w:val="002F63D0"/>
    <w:rsid w:val="002F6B48"/>
    <w:rsid w:val="002F6BEE"/>
    <w:rsid w:val="002F6C6D"/>
    <w:rsid w:val="002F6E0D"/>
    <w:rsid w:val="002F703B"/>
    <w:rsid w:val="002F73E6"/>
    <w:rsid w:val="002F74EB"/>
    <w:rsid w:val="002F7702"/>
    <w:rsid w:val="002F7779"/>
    <w:rsid w:val="002F77E9"/>
    <w:rsid w:val="002F79BC"/>
    <w:rsid w:val="002F7C65"/>
    <w:rsid w:val="002F7C8F"/>
    <w:rsid w:val="002F7D60"/>
    <w:rsid w:val="002F7E1D"/>
    <w:rsid w:val="0030019B"/>
    <w:rsid w:val="0030039C"/>
    <w:rsid w:val="00301035"/>
    <w:rsid w:val="00301312"/>
    <w:rsid w:val="003016B7"/>
    <w:rsid w:val="003018C2"/>
    <w:rsid w:val="00301C4F"/>
    <w:rsid w:val="0030217E"/>
    <w:rsid w:val="003021F9"/>
    <w:rsid w:val="003026A9"/>
    <w:rsid w:val="003027E2"/>
    <w:rsid w:val="003028A7"/>
    <w:rsid w:val="003029CB"/>
    <w:rsid w:val="00302E0C"/>
    <w:rsid w:val="00302F9E"/>
    <w:rsid w:val="00303086"/>
    <w:rsid w:val="00303558"/>
    <w:rsid w:val="003035C5"/>
    <w:rsid w:val="003036CF"/>
    <w:rsid w:val="0030375D"/>
    <w:rsid w:val="003038BA"/>
    <w:rsid w:val="00303CD5"/>
    <w:rsid w:val="00303D6D"/>
    <w:rsid w:val="00303EBF"/>
    <w:rsid w:val="0030418C"/>
    <w:rsid w:val="003045CF"/>
    <w:rsid w:val="00304706"/>
    <w:rsid w:val="003049F5"/>
    <w:rsid w:val="00304A4C"/>
    <w:rsid w:val="00304BCB"/>
    <w:rsid w:val="00304C0E"/>
    <w:rsid w:val="00304FD4"/>
    <w:rsid w:val="00305368"/>
    <w:rsid w:val="00305420"/>
    <w:rsid w:val="0030554E"/>
    <w:rsid w:val="003055B0"/>
    <w:rsid w:val="00305D9A"/>
    <w:rsid w:val="00305F91"/>
    <w:rsid w:val="003067D7"/>
    <w:rsid w:val="00306914"/>
    <w:rsid w:val="003069C7"/>
    <w:rsid w:val="003069CD"/>
    <w:rsid w:val="00306A43"/>
    <w:rsid w:val="00306BC0"/>
    <w:rsid w:val="00306EC6"/>
    <w:rsid w:val="003071BA"/>
    <w:rsid w:val="00307207"/>
    <w:rsid w:val="00307224"/>
    <w:rsid w:val="0030767F"/>
    <w:rsid w:val="0030777A"/>
    <w:rsid w:val="003103D7"/>
    <w:rsid w:val="00310813"/>
    <w:rsid w:val="003108FC"/>
    <w:rsid w:val="00310B4A"/>
    <w:rsid w:val="00310E3C"/>
    <w:rsid w:val="00310E47"/>
    <w:rsid w:val="00310FA6"/>
    <w:rsid w:val="0031101A"/>
    <w:rsid w:val="00311552"/>
    <w:rsid w:val="003119DF"/>
    <w:rsid w:val="00311F24"/>
    <w:rsid w:val="00312170"/>
    <w:rsid w:val="00312305"/>
    <w:rsid w:val="0031236B"/>
    <w:rsid w:val="00312401"/>
    <w:rsid w:val="003124A0"/>
    <w:rsid w:val="00312664"/>
    <w:rsid w:val="00312A05"/>
    <w:rsid w:val="00312DD0"/>
    <w:rsid w:val="003133C0"/>
    <w:rsid w:val="0031356D"/>
    <w:rsid w:val="00313746"/>
    <w:rsid w:val="003139B2"/>
    <w:rsid w:val="00313B3E"/>
    <w:rsid w:val="00313C0B"/>
    <w:rsid w:val="00313F37"/>
    <w:rsid w:val="00313FAF"/>
    <w:rsid w:val="00314332"/>
    <w:rsid w:val="0031436C"/>
    <w:rsid w:val="003145D8"/>
    <w:rsid w:val="0031481C"/>
    <w:rsid w:val="00314938"/>
    <w:rsid w:val="00314B3A"/>
    <w:rsid w:val="003154BA"/>
    <w:rsid w:val="003154ED"/>
    <w:rsid w:val="00315775"/>
    <w:rsid w:val="00315845"/>
    <w:rsid w:val="00315EEE"/>
    <w:rsid w:val="003167A9"/>
    <w:rsid w:val="003168F7"/>
    <w:rsid w:val="00316A77"/>
    <w:rsid w:val="00317193"/>
    <w:rsid w:val="003171D1"/>
    <w:rsid w:val="00317391"/>
    <w:rsid w:val="0031774A"/>
    <w:rsid w:val="00317AEA"/>
    <w:rsid w:val="00317F9F"/>
    <w:rsid w:val="003201A4"/>
    <w:rsid w:val="003202F2"/>
    <w:rsid w:val="00320422"/>
    <w:rsid w:val="00320C86"/>
    <w:rsid w:val="0032112F"/>
    <w:rsid w:val="00321236"/>
    <w:rsid w:val="00321386"/>
    <w:rsid w:val="00321483"/>
    <w:rsid w:val="003216C2"/>
    <w:rsid w:val="003218AD"/>
    <w:rsid w:val="00321D3B"/>
    <w:rsid w:val="0032207D"/>
    <w:rsid w:val="0032221B"/>
    <w:rsid w:val="0032241B"/>
    <w:rsid w:val="0032246C"/>
    <w:rsid w:val="0032260C"/>
    <w:rsid w:val="003226AC"/>
    <w:rsid w:val="00322812"/>
    <w:rsid w:val="00322BDF"/>
    <w:rsid w:val="00322D0C"/>
    <w:rsid w:val="00322D6B"/>
    <w:rsid w:val="00323112"/>
    <w:rsid w:val="003231F8"/>
    <w:rsid w:val="00323F6F"/>
    <w:rsid w:val="00323F9B"/>
    <w:rsid w:val="003242AB"/>
    <w:rsid w:val="003246BE"/>
    <w:rsid w:val="0032478B"/>
    <w:rsid w:val="0032484D"/>
    <w:rsid w:val="003248EE"/>
    <w:rsid w:val="00324ABA"/>
    <w:rsid w:val="00324ACD"/>
    <w:rsid w:val="00324D3A"/>
    <w:rsid w:val="00324E6A"/>
    <w:rsid w:val="00325AAF"/>
    <w:rsid w:val="00325C3D"/>
    <w:rsid w:val="00326088"/>
    <w:rsid w:val="00326432"/>
    <w:rsid w:val="0032686F"/>
    <w:rsid w:val="0032688D"/>
    <w:rsid w:val="003269B9"/>
    <w:rsid w:val="00326AE5"/>
    <w:rsid w:val="00326B5A"/>
    <w:rsid w:val="00326C15"/>
    <w:rsid w:val="00327001"/>
    <w:rsid w:val="00327058"/>
    <w:rsid w:val="003274C2"/>
    <w:rsid w:val="00327563"/>
    <w:rsid w:val="00327782"/>
    <w:rsid w:val="00327784"/>
    <w:rsid w:val="00327B08"/>
    <w:rsid w:val="00327DCF"/>
    <w:rsid w:val="00327E2A"/>
    <w:rsid w:val="00327E4B"/>
    <w:rsid w:val="0033011F"/>
    <w:rsid w:val="003301B9"/>
    <w:rsid w:val="00330518"/>
    <w:rsid w:val="0033073A"/>
    <w:rsid w:val="00330909"/>
    <w:rsid w:val="00330DD1"/>
    <w:rsid w:val="00330DEB"/>
    <w:rsid w:val="00330F4F"/>
    <w:rsid w:val="00331142"/>
    <w:rsid w:val="00331C65"/>
    <w:rsid w:val="00332638"/>
    <w:rsid w:val="00332759"/>
    <w:rsid w:val="00332AA5"/>
    <w:rsid w:val="00332C34"/>
    <w:rsid w:val="00332F17"/>
    <w:rsid w:val="003330AC"/>
    <w:rsid w:val="003333F6"/>
    <w:rsid w:val="00333B66"/>
    <w:rsid w:val="00333F5E"/>
    <w:rsid w:val="00334338"/>
    <w:rsid w:val="0033440B"/>
    <w:rsid w:val="003345E1"/>
    <w:rsid w:val="00334828"/>
    <w:rsid w:val="00334920"/>
    <w:rsid w:val="00334A8D"/>
    <w:rsid w:val="00334B1E"/>
    <w:rsid w:val="00334C7B"/>
    <w:rsid w:val="00334F5F"/>
    <w:rsid w:val="0033501D"/>
    <w:rsid w:val="003351D2"/>
    <w:rsid w:val="003353BC"/>
    <w:rsid w:val="0033565F"/>
    <w:rsid w:val="00335675"/>
    <w:rsid w:val="00335718"/>
    <w:rsid w:val="003357FE"/>
    <w:rsid w:val="00335BA9"/>
    <w:rsid w:val="00335BE8"/>
    <w:rsid w:val="00335DF7"/>
    <w:rsid w:val="00335E53"/>
    <w:rsid w:val="00335E55"/>
    <w:rsid w:val="003361F9"/>
    <w:rsid w:val="003363D0"/>
    <w:rsid w:val="003367AA"/>
    <w:rsid w:val="003368A8"/>
    <w:rsid w:val="00336B03"/>
    <w:rsid w:val="00336E66"/>
    <w:rsid w:val="00336E8B"/>
    <w:rsid w:val="00336F71"/>
    <w:rsid w:val="0033705C"/>
    <w:rsid w:val="003370A1"/>
    <w:rsid w:val="003370CD"/>
    <w:rsid w:val="00337A1F"/>
    <w:rsid w:val="00337CC8"/>
    <w:rsid w:val="00340030"/>
    <w:rsid w:val="003401E1"/>
    <w:rsid w:val="003402BC"/>
    <w:rsid w:val="0034052C"/>
    <w:rsid w:val="00340760"/>
    <w:rsid w:val="00340AF2"/>
    <w:rsid w:val="00340EA4"/>
    <w:rsid w:val="00340F33"/>
    <w:rsid w:val="00341868"/>
    <w:rsid w:val="00341A6C"/>
    <w:rsid w:val="00341BE3"/>
    <w:rsid w:val="00341DAB"/>
    <w:rsid w:val="00341F0B"/>
    <w:rsid w:val="003423D8"/>
    <w:rsid w:val="003427A9"/>
    <w:rsid w:val="0034286F"/>
    <w:rsid w:val="00342927"/>
    <w:rsid w:val="00342ADC"/>
    <w:rsid w:val="00342BC2"/>
    <w:rsid w:val="00342C67"/>
    <w:rsid w:val="00342D34"/>
    <w:rsid w:val="00343056"/>
    <w:rsid w:val="003430E5"/>
    <w:rsid w:val="003431BA"/>
    <w:rsid w:val="00343423"/>
    <w:rsid w:val="00343454"/>
    <w:rsid w:val="003435AD"/>
    <w:rsid w:val="003435F1"/>
    <w:rsid w:val="0034362B"/>
    <w:rsid w:val="003438ED"/>
    <w:rsid w:val="00343A01"/>
    <w:rsid w:val="00343EE0"/>
    <w:rsid w:val="00344454"/>
    <w:rsid w:val="0034447D"/>
    <w:rsid w:val="0034467C"/>
    <w:rsid w:val="0034479E"/>
    <w:rsid w:val="003448A3"/>
    <w:rsid w:val="00344A5E"/>
    <w:rsid w:val="00344E95"/>
    <w:rsid w:val="00345948"/>
    <w:rsid w:val="00346190"/>
    <w:rsid w:val="003466C9"/>
    <w:rsid w:val="00346AF9"/>
    <w:rsid w:val="00346BE4"/>
    <w:rsid w:val="00346CD5"/>
    <w:rsid w:val="00347196"/>
    <w:rsid w:val="0034740D"/>
    <w:rsid w:val="003500FF"/>
    <w:rsid w:val="00350534"/>
    <w:rsid w:val="00350E12"/>
    <w:rsid w:val="00350E66"/>
    <w:rsid w:val="00351823"/>
    <w:rsid w:val="00351A81"/>
    <w:rsid w:val="00351B19"/>
    <w:rsid w:val="0035235A"/>
    <w:rsid w:val="00352591"/>
    <w:rsid w:val="00352C30"/>
    <w:rsid w:val="00352DF2"/>
    <w:rsid w:val="00353085"/>
    <w:rsid w:val="00353133"/>
    <w:rsid w:val="003532DA"/>
    <w:rsid w:val="003534B5"/>
    <w:rsid w:val="00353970"/>
    <w:rsid w:val="0035397F"/>
    <w:rsid w:val="003539B6"/>
    <w:rsid w:val="00353EC5"/>
    <w:rsid w:val="003540C0"/>
    <w:rsid w:val="00354136"/>
    <w:rsid w:val="003545B7"/>
    <w:rsid w:val="00354759"/>
    <w:rsid w:val="003549CB"/>
    <w:rsid w:val="00354BFE"/>
    <w:rsid w:val="00354D8D"/>
    <w:rsid w:val="00354E2F"/>
    <w:rsid w:val="00354F9D"/>
    <w:rsid w:val="00355FBC"/>
    <w:rsid w:val="0035608A"/>
    <w:rsid w:val="003560D5"/>
    <w:rsid w:val="00356183"/>
    <w:rsid w:val="00356339"/>
    <w:rsid w:val="0035688E"/>
    <w:rsid w:val="00356A29"/>
    <w:rsid w:val="0035705F"/>
    <w:rsid w:val="0035711C"/>
    <w:rsid w:val="003571F5"/>
    <w:rsid w:val="003574A1"/>
    <w:rsid w:val="0035771B"/>
    <w:rsid w:val="003578B1"/>
    <w:rsid w:val="00357997"/>
    <w:rsid w:val="00357D01"/>
    <w:rsid w:val="00357E72"/>
    <w:rsid w:val="003600AF"/>
    <w:rsid w:val="00360307"/>
    <w:rsid w:val="003608F6"/>
    <w:rsid w:val="00360B7B"/>
    <w:rsid w:val="00360CCC"/>
    <w:rsid w:val="003610D1"/>
    <w:rsid w:val="003613B1"/>
    <w:rsid w:val="00361491"/>
    <w:rsid w:val="00361646"/>
    <w:rsid w:val="003617F8"/>
    <w:rsid w:val="00361BDD"/>
    <w:rsid w:val="00362195"/>
    <w:rsid w:val="00362666"/>
    <w:rsid w:val="0036301A"/>
    <w:rsid w:val="0036334D"/>
    <w:rsid w:val="0036345C"/>
    <w:rsid w:val="00363520"/>
    <w:rsid w:val="00363B02"/>
    <w:rsid w:val="00363C81"/>
    <w:rsid w:val="00364094"/>
    <w:rsid w:val="00364194"/>
    <w:rsid w:val="0036422D"/>
    <w:rsid w:val="00364412"/>
    <w:rsid w:val="003644E5"/>
    <w:rsid w:val="00364695"/>
    <w:rsid w:val="003648E5"/>
    <w:rsid w:val="00364A76"/>
    <w:rsid w:val="00364D9E"/>
    <w:rsid w:val="00364F6D"/>
    <w:rsid w:val="00365173"/>
    <w:rsid w:val="003651B8"/>
    <w:rsid w:val="0036525E"/>
    <w:rsid w:val="00365563"/>
    <w:rsid w:val="0036567E"/>
    <w:rsid w:val="00365904"/>
    <w:rsid w:val="00365DA0"/>
    <w:rsid w:val="00365EF5"/>
    <w:rsid w:val="00365F38"/>
    <w:rsid w:val="00366494"/>
    <w:rsid w:val="00366768"/>
    <w:rsid w:val="003667D7"/>
    <w:rsid w:val="00366928"/>
    <w:rsid w:val="0036694E"/>
    <w:rsid w:val="003669B5"/>
    <w:rsid w:val="00366CEB"/>
    <w:rsid w:val="00366E2E"/>
    <w:rsid w:val="00366E7E"/>
    <w:rsid w:val="00366F55"/>
    <w:rsid w:val="00367064"/>
    <w:rsid w:val="003672F5"/>
    <w:rsid w:val="0036739C"/>
    <w:rsid w:val="00367447"/>
    <w:rsid w:val="0036758E"/>
    <w:rsid w:val="00367B2E"/>
    <w:rsid w:val="00367CA6"/>
    <w:rsid w:val="00370150"/>
    <w:rsid w:val="003704FD"/>
    <w:rsid w:val="003711C9"/>
    <w:rsid w:val="0037135D"/>
    <w:rsid w:val="003713E0"/>
    <w:rsid w:val="0037168B"/>
    <w:rsid w:val="003718A1"/>
    <w:rsid w:val="00371AAF"/>
    <w:rsid w:val="00371D6F"/>
    <w:rsid w:val="00371DFB"/>
    <w:rsid w:val="003724FD"/>
    <w:rsid w:val="003728C4"/>
    <w:rsid w:val="00373261"/>
    <w:rsid w:val="00373284"/>
    <w:rsid w:val="00373394"/>
    <w:rsid w:val="00373681"/>
    <w:rsid w:val="00373942"/>
    <w:rsid w:val="00373989"/>
    <w:rsid w:val="0037398B"/>
    <w:rsid w:val="00373C49"/>
    <w:rsid w:val="003747EF"/>
    <w:rsid w:val="00374930"/>
    <w:rsid w:val="00374A77"/>
    <w:rsid w:val="00374B7E"/>
    <w:rsid w:val="00374C91"/>
    <w:rsid w:val="0037580A"/>
    <w:rsid w:val="00375A50"/>
    <w:rsid w:val="00375A6E"/>
    <w:rsid w:val="00376233"/>
    <w:rsid w:val="00376496"/>
    <w:rsid w:val="003768F8"/>
    <w:rsid w:val="003769EB"/>
    <w:rsid w:val="003770D2"/>
    <w:rsid w:val="003770DD"/>
    <w:rsid w:val="00377745"/>
    <w:rsid w:val="00377A5C"/>
    <w:rsid w:val="0038006B"/>
    <w:rsid w:val="003802F4"/>
    <w:rsid w:val="00380444"/>
    <w:rsid w:val="003809D8"/>
    <w:rsid w:val="003809DB"/>
    <w:rsid w:val="00380A57"/>
    <w:rsid w:val="00380AD2"/>
    <w:rsid w:val="00381087"/>
    <w:rsid w:val="003810A7"/>
    <w:rsid w:val="003813F3"/>
    <w:rsid w:val="00381766"/>
    <w:rsid w:val="003817C9"/>
    <w:rsid w:val="00381866"/>
    <w:rsid w:val="00381964"/>
    <w:rsid w:val="00381F18"/>
    <w:rsid w:val="00382044"/>
    <w:rsid w:val="00382113"/>
    <w:rsid w:val="0038237D"/>
    <w:rsid w:val="003823E0"/>
    <w:rsid w:val="003828B9"/>
    <w:rsid w:val="003828F2"/>
    <w:rsid w:val="00382964"/>
    <w:rsid w:val="0038298A"/>
    <w:rsid w:val="00382A71"/>
    <w:rsid w:val="00382BB3"/>
    <w:rsid w:val="00382D72"/>
    <w:rsid w:val="0038315B"/>
    <w:rsid w:val="003831DD"/>
    <w:rsid w:val="003834CC"/>
    <w:rsid w:val="0038380C"/>
    <w:rsid w:val="0038393D"/>
    <w:rsid w:val="00383D3B"/>
    <w:rsid w:val="00383DB4"/>
    <w:rsid w:val="00383E72"/>
    <w:rsid w:val="00383ED0"/>
    <w:rsid w:val="00383FA2"/>
    <w:rsid w:val="00383FAE"/>
    <w:rsid w:val="0038415E"/>
    <w:rsid w:val="00384299"/>
    <w:rsid w:val="003844BF"/>
    <w:rsid w:val="003844EC"/>
    <w:rsid w:val="0038460C"/>
    <w:rsid w:val="0038468C"/>
    <w:rsid w:val="00384AE3"/>
    <w:rsid w:val="00384E35"/>
    <w:rsid w:val="00384E39"/>
    <w:rsid w:val="00384ECB"/>
    <w:rsid w:val="00385058"/>
    <w:rsid w:val="00385698"/>
    <w:rsid w:val="003856C1"/>
    <w:rsid w:val="00385924"/>
    <w:rsid w:val="0038594C"/>
    <w:rsid w:val="00385FFC"/>
    <w:rsid w:val="00386197"/>
    <w:rsid w:val="0038635C"/>
    <w:rsid w:val="00386378"/>
    <w:rsid w:val="003867A4"/>
    <w:rsid w:val="00386936"/>
    <w:rsid w:val="00386A89"/>
    <w:rsid w:val="00386D83"/>
    <w:rsid w:val="00386F92"/>
    <w:rsid w:val="0038707C"/>
    <w:rsid w:val="003877A1"/>
    <w:rsid w:val="00387C3A"/>
    <w:rsid w:val="00387D84"/>
    <w:rsid w:val="00387E5C"/>
    <w:rsid w:val="00387F5B"/>
    <w:rsid w:val="00387FC8"/>
    <w:rsid w:val="00390528"/>
    <w:rsid w:val="00390BAA"/>
    <w:rsid w:val="00390C62"/>
    <w:rsid w:val="0039100F"/>
    <w:rsid w:val="00391118"/>
    <w:rsid w:val="00391394"/>
    <w:rsid w:val="0039161F"/>
    <w:rsid w:val="00391759"/>
    <w:rsid w:val="00391AD5"/>
    <w:rsid w:val="00391B3F"/>
    <w:rsid w:val="00391BC1"/>
    <w:rsid w:val="00391D49"/>
    <w:rsid w:val="00392000"/>
    <w:rsid w:val="003922A2"/>
    <w:rsid w:val="00392330"/>
    <w:rsid w:val="0039244A"/>
    <w:rsid w:val="003927DF"/>
    <w:rsid w:val="00392834"/>
    <w:rsid w:val="00392BEC"/>
    <w:rsid w:val="00392C2E"/>
    <w:rsid w:val="00392E52"/>
    <w:rsid w:val="00392EC8"/>
    <w:rsid w:val="00392F62"/>
    <w:rsid w:val="00393009"/>
    <w:rsid w:val="003931A6"/>
    <w:rsid w:val="0039327D"/>
    <w:rsid w:val="00393720"/>
    <w:rsid w:val="003939F6"/>
    <w:rsid w:val="00393CCC"/>
    <w:rsid w:val="00393E4E"/>
    <w:rsid w:val="0039454F"/>
    <w:rsid w:val="003947EC"/>
    <w:rsid w:val="00394803"/>
    <w:rsid w:val="00394DEF"/>
    <w:rsid w:val="003950DB"/>
    <w:rsid w:val="003952E2"/>
    <w:rsid w:val="003957E4"/>
    <w:rsid w:val="0039581C"/>
    <w:rsid w:val="00395A6C"/>
    <w:rsid w:val="00395A7D"/>
    <w:rsid w:val="00395E0F"/>
    <w:rsid w:val="00395E3D"/>
    <w:rsid w:val="00395FFD"/>
    <w:rsid w:val="0039623C"/>
    <w:rsid w:val="003962CE"/>
    <w:rsid w:val="003962EC"/>
    <w:rsid w:val="003965AE"/>
    <w:rsid w:val="00396660"/>
    <w:rsid w:val="00396803"/>
    <w:rsid w:val="00396A3E"/>
    <w:rsid w:val="0039738F"/>
    <w:rsid w:val="003975F9"/>
    <w:rsid w:val="00397849"/>
    <w:rsid w:val="00397C74"/>
    <w:rsid w:val="00397C9C"/>
    <w:rsid w:val="00397DBD"/>
    <w:rsid w:val="003A0448"/>
    <w:rsid w:val="003A0790"/>
    <w:rsid w:val="003A0AF5"/>
    <w:rsid w:val="003A122D"/>
    <w:rsid w:val="003A1425"/>
    <w:rsid w:val="003A1641"/>
    <w:rsid w:val="003A1B3A"/>
    <w:rsid w:val="003A1B84"/>
    <w:rsid w:val="003A1D36"/>
    <w:rsid w:val="003A1E1F"/>
    <w:rsid w:val="003A1E85"/>
    <w:rsid w:val="003A1EB7"/>
    <w:rsid w:val="003A1F2A"/>
    <w:rsid w:val="003A1F51"/>
    <w:rsid w:val="003A21F7"/>
    <w:rsid w:val="003A25ED"/>
    <w:rsid w:val="003A27AC"/>
    <w:rsid w:val="003A2885"/>
    <w:rsid w:val="003A29BE"/>
    <w:rsid w:val="003A29E3"/>
    <w:rsid w:val="003A2D1D"/>
    <w:rsid w:val="003A320E"/>
    <w:rsid w:val="003A37E9"/>
    <w:rsid w:val="003A3A14"/>
    <w:rsid w:val="003A3C5F"/>
    <w:rsid w:val="003A4033"/>
    <w:rsid w:val="003A40B2"/>
    <w:rsid w:val="003A415B"/>
    <w:rsid w:val="003A4171"/>
    <w:rsid w:val="003A42A4"/>
    <w:rsid w:val="003A4437"/>
    <w:rsid w:val="003A47CC"/>
    <w:rsid w:val="003A4A62"/>
    <w:rsid w:val="003A4A84"/>
    <w:rsid w:val="003A4BF9"/>
    <w:rsid w:val="003A4D42"/>
    <w:rsid w:val="003A4D4D"/>
    <w:rsid w:val="003A4FFE"/>
    <w:rsid w:val="003A50D1"/>
    <w:rsid w:val="003A5478"/>
    <w:rsid w:val="003A5BBB"/>
    <w:rsid w:val="003A5CFF"/>
    <w:rsid w:val="003A5DA4"/>
    <w:rsid w:val="003A5DE4"/>
    <w:rsid w:val="003A63B1"/>
    <w:rsid w:val="003A65F5"/>
    <w:rsid w:val="003A6A67"/>
    <w:rsid w:val="003A6C32"/>
    <w:rsid w:val="003A6DD9"/>
    <w:rsid w:val="003A74E0"/>
    <w:rsid w:val="003A76F2"/>
    <w:rsid w:val="003A79A8"/>
    <w:rsid w:val="003A79C6"/>
    <w:rsid w:val="003A7C53"/>
    <w:rsid w:val="003A7D07"/>
    <w:rsid w:val="003A7E88"/>
    <w:rsid w:val="003A7FC2"/>
    <w:rsid w:val="003B0309"/>
    <w:rsid w:val="003B0421"/>
    <w:rsid w:val="003B06F7"/>
    <w:rsid w:val="003B08D0"/>
    <w:rsid w:val="003B0B01"/>
    <w:rsid w:val="003B1284"/>
    <w:rsid w:val="003B13DB"/>
    <w:rsid w:val="003B1636"/>
    <w:rsid w:val="003B1766"/>
    <w:rsid w:val="003B1A92"/>
    <w:rsid w:val="003B1B0C"/>
    <w:rsid w:val="003B1C68"/>
    <w:rsid w:val="003B1EA5"/>
    <w:rsid w:val="003B21D8"/>
    <w:rsid w:val="003B236B"/>
    <w:rsid w:val="003B27FF"/>
    <w:rsid w:val="003B28FE"/>
    <w:rsid w:val="003B2945"/>
    <w:rsid w:val="003B2DB0"/>
    <w:rsid w:val="003B33AF"/>
    <w:rsid w:val="003B36C7"/>
    <w:rsid w:val="003B39CC"/>
    <w:rsid w:val="003B3B81"/>
    <w:rsid w:val="003B3E62"/>
    <w:rsid w:val="003B3F04"/>
    <w:rsid w:val="003B4084"/>
    <w:rsid w:val="003B45C5"/>
    <w:rsid w:val="003B4614"/>
    <w:rsid w:val="003B4651"/>
    <w:rsid w:val="003B4666"/>
    <w:rsid w:val="003B506D"/>
    <w:rsid w:val="003B509F"/>
    <w:rsid w:val="003B5B39"/>
    <w:rsid w:val="003B5B66"/>
    <w:rsid w:val="003B636E"/>
    <w:rsid w:val="003B6402"/>
    <w:rsid w:val="003B67E3"/>
    <w:rsid w:val="003B687E"/>
    <w:rsid w:val="003B6A9E"/>
    <w:rsid w:val="003B6F90"/>
    <w:rsid w:val="003B7424"/>
    <w:rsid w:val="003B796B"/>
    <w:rsid w:val="003B7A75"/>
    <w:rsid w:val="003B7B8D"/>
    <w:rsid w:val="003B7C95"/>
    <w:rsid w:val="003C00B8"/>
    <w:rsid w:val="003C00EF"/>
    <w:rsid w:val="003C01BC"/>
    <w:rsid w:val="003C052E"/>
    <w:rsid w:val="003C0608"/>
    <w:rsid w:val="003C06A8"/>
    <w:rsid w:val="003C08BB"/>
    <w:rsid w:val="003C0A59"/>
    <w:rsid w:val="003C0CEC"/>
    <w:rsid w:val="003C0CF0"/>
    <w:rsid w:val="003C0E44"/>
    <w:rsid w:val="003C0ED9"/>
    <w:rsid w:val="003C0F09"/>
    <w:rsid w:val="003C0F67"/>
    <w:rsid w:val="003C10B6"/>
    <w:rsid w:val="003C1258"/>
    <w:rsid w:val="003C1311"/>
    <w:rsid w:val="003C1370"/>
    <w:rsid w:val="003C1901"/>
    <w:rsid w:val="003C1CC8"/>
    <w:rsid w:val="003C1FD3"/>
    <w:rsid w:val="003C1FDB"/>
    <w:rsid w:val="003C2066"/>
    <w:rsid w:val="003C207A"/>
    <w:rsid w:val="003C2108"/>
    <w:rsid w:val="003C2196"/>
    <w:rsid w:val="003C2346"/>
    <w:rsid w:val="003C237A"/>
    <w:rsid w:val="003C249A"/>
    <w:rsid w:val="003C299A"/>
    <w:rsid w:val="003C2A29"/>
    <w:rsid w:val="003C2A6B"/>
    <w:rsid w:val="003C2E1A"/>
    <w:rsid w:val="003C3022"/>
    <w:rsid w:val="003C30D9"/>
    <w:rsid w:val="003C3690"/>
    <w:rsid w:val="003C39BF"/>
    <w:rsid w:val="003C3AF9"/>
    <w:rsid w:val="003C3B54"/>
    <w:rsid w:val="003C3C96"/>
    <w:rsid w:val="003C3C9E"/>
    <w:rsid w:val="003C419D"/>
    <w:rsid w:val="003C42FF"/>
    <w:rsid w:val="003C434A"/>
    <w:rsid w:val="003C4465"/>
    <w:rsid w:val="003C48CD"/>
    <w:rsid w:val="003C4C1A"/>
    <w:rsid w:val="003C4C41"/>
    <w:rsid w:val="003C4D0B"/>
    <w:rsid w:val="003C4D6E"/>
    <w:rsid w:val="003C5052"/>
    <w:rsid w:val="003C5320"/>
    <w:rsid w:val="003C56B5"/>
    <w:rsid w:val="003C5B85"/>
    <w:rsid w:val="003C5BCC"/>
    <w:rsid w:val="003C5DB3"/>
    <w:rsid w:val="003C63D6"/>
    <w:rsid w:val="003C63E1"/>
    <w:rsid w:val="003C63ED"/>
    <w:rsid w:val="003C63F8"/>
    <w:rsid w:val="003C666D"/>
    <w:rsid w:val="003C6C8A"/>
    <w:rsid w:val="003C6E73"/>
    <w:rsid w:val="003C6F3F"/>
    <w:rsid w:val="003C6FE0"/>
    <w:rsid w:val="003C74B6"/>
    <w:rsid w:val="003C74E6"/>
    <w:rsid w:val="003C7D77"/>
    <w:rsid w:val="003D0140"/>
    <w:rsid w:val="003D03FB"/>
    <w:rsid w:val="003D0552"/>
    <w:rsid w:val="003D05F3"/>
    <w:rsid w:val="003D05FC"/>
    <w:rsid w:val="003D07E8"/>
    <w:rsid w:val="003D08A8"/>
    <w:rsid w:val="003D0A0C"/>
    <w:rsid w:val="003D108B"/>
    <w:rsid w:val="003D1267"/>
    <w:rsid w:val="003D15A5"/>
    <w:rsid w:val="003D17E4"/>
    <w:rsid w:val="003D18E5"/>
    <w:rsid w:val="003D1A23"/>
    <w:rsid w:val="003D1B32"/>
    <w:rsid w:val="003D1BA1"/>
    <w:rsid w:val="003D1F8C"/>
    <w:rsid w:val="003D212F"/>
    <w:rsid w:val="003D2646"/>
    <w:rsid w:val="003D290D"/>
    <w:rsid w:val="003D2B8B"/>
    <w:rsid w:val="003D2B95"/>
    <w:rsid w:val="003D2EB7"/>
    <w:rsid w:val="003D320F"/>
    <w:rsid w:val="003D34E0"/>
    <w:rsid w:val="003D3698"/>
    <w:rsid w:val="003D41F3"/>
    <w:rsid w:val="003D4448"/>
    <w:rsid w:val="003D4469"/>
    <w:rsid w:val="003D49A0"/>
    <w:rsid w:val="003D4AF5"/>
    <w:rsid w:val="003D4C0F"/>
    <w:rsid w:val="003D4C3E"/>
    <w:rsid w:val="003D4CE1"/>
    <w:rsid w:val="003D4D81"/>
    <w:rsid w:val="003D52A4"/>
    <w:rsid w:val="003D53CD"/>
    <w:rsid w:val="003D5544"/>
    <w:rsid w:val="003D5735"/>
    <w:rsid w:val="003D58FC"/>
    <w:rsid w:val="003D5A15"/>
    <w:rsid w:val="003D5C4A"/>
    <w:rsid w:val="003D5C86"/>
    <w:rsid w:val="003D5E54"/>
    <w:rsid w:val="003D5F2D"/>
    <w:rsid w:val="003D5F69"/>
    <w:rsid w:val="003D6018"/>
    <w:rsid w:val="003D6033"/>
    <w:rsid w:val="003D630D"/>
    <w:rsid w:val="003D6314"/>
    <w:rsid w:val="003D649A"/>
    <w:rsid w:val="003D65A9"/>
    <w:rsid w:val="003D6788"/>
    <w:rsid w:val="003D6B3F"/>
    <w:rsid w:val="003D6E58"/>
    <w:rsid w:val="003D7350"/>
    <w:rsid w:val="003D762C"/>
    <w:rsid w:val="003D7673"/>
    <w:rsid w:val="003D7B88"/>
    <w:rsid w:val="003D7BB9"/>
    <w:rsid w:val="003D7DE9"/>
    <w:rsid w:val="003D7F41"/>
    <w:rsid w:val="003E01B4"/>
    <w:rsid w:val="003E01C8"/>
    <w:rsid w:val="003E027B"/>
    <w:rsid w:val="003E04A6"/>
    <w:rsid w:val="003E0AD8"/>
    <w:rsid w:val="003E0ADB"/>
    <w:rsid w:val="003E0C7A"/>
    <w:rsid w:val="003E0E18"/>
    <w:rsid w:val="003E10A0"/>
    <w:rsid w:val="003E1111"/>
    <w:rsid w:val="003E162D"/>
    <w:rsid w:val="003E1DC8"/>
    <w:rsid w:val="003E22DB"/>
    <w:rsid w:val="003E23C7"/>
    <w:rsid w:val="003E248C"/>
    <w:rsid w:val="003E2945"/>
    <w:rsid w:val="003E2AFD"/>
    <w:rsid w:val="003E2FE5"/>
    <w:rsid w:val="003E346F"/>
    <w:rsid w:val="003E3591"/>
    <w:rsid w:val="003E38B8"/>
    <w:rsid w:val="003E3C54"/>
    <w:rsid w:val="003E3CA4"/>
    <w:rsid w:val="003E3D19"/>
    <w:rsid w:val="003E403A"/>
    <w:rsid w:val="003E40D2"/>
    <w:rsid w:val="003E41DB"/>
    <w:rsid w:val="003E44F2"/>
    <w:rsid w:val="003E4628"/>
    <w:rsid w:val="003E470A"/>
    <w:rsid w:val="003E48C9"/>
    <w:rsid w:val="003E4BA6"/>
    <w:rsid w:val="003E501A"/>
    <w:rsid w:val="003E503A"/>
    <w:rsid w:val="003E5174"/>
    <w:rsid w:val="003E522C"/>
    <w:rsid w:val="003E55B5"/>
    <w:rsid w:val="003E5F75"/>
    <w:rsid w:val="003E61E9"/>
    <w:rsid w:val="003E6466"/>
    <w:rsid w:val="003E6554"/>
    <w:rsid w:val="003E658B"/>
    <w:rsid w:val="003E6610"/>
    <w:rsid w:val="003E6AA2"/>
    <w:rsid w:val="003E6BC3"/>
    <w:rsid w:val="003E6DFF"/>
    <w:rsid w:val="003E6F5F"/>
    <w:rsid w:val="003E738F"/>
    <w:rsid w:val="003E73A6"/>
    <w:rsid w:val="003E7A05"/>
    <w:rsid w:val="003E7C0E"/>
    <w:rsid w:val="003F010B"/>
    <w:rsid w:val="003F011D"/>
    <w:rsid w:val="003F01B0"/>
    <w:rsid w:val="003F0485"/>
    <w:rsid w:val="003F069A"/>
    <w:rsid w:val="003F0EEF"/>
    <w:rsid w:val="003F136B"/>
    <w:rsid w:val="003F1B87"/>
    <w:rsid w:val="003F1C78"/>
    <w:rsid w:val="003F2DFA"/>
    <w:rsid w:val="003F31E2"/>
    <w:rsid w:val="003F3213"/>
    <w:rsid w:val="003F346D"/>
    <w:rsid w:val="003F3633"/>
    <w:rsid w:val="003F38D4"/>
    <w:rsid w:val="003F3968"/>
    <w:rsid w:val="003F3BAF"/>
    <w:rsid w:val="003F3CF5"/>
    <w:rsid w:val="003F3EC2"/>
    <w:rsid w:val="003F40B9"/>
    <w:rsid w:val="003F4956"/>
    <w:rsid w:val="003F5081"/>
    <w:rsid w:val="003F5654"/>
    <w:rsid w:val="003F568C"/>
    <w:rsid w:val="003F57C3"/>
    <w:rsid w:val="003F58ED"/>
    <w:rsid w:val="003F5B3B"/>
    <w:rsid w:val="003F5D32"/>
    <w:rsid w:val="003F5E30"/>
    <w:rsid w:val="003F61FC"/>
    <w:rsid w:val="003F671B"/>
    <w:rsid w:val="003F67E2"/>
    <w:rsid w:val="003F687A"/>
    <w:rsid w:val="003F69B0"/>
    <w:rsid w:val="003F6D10"/>
    <w:rsid w:val="003F6E38"/>
    <w:rsid w:val="003F6EFA"/>
    <w:rsid w:val="003F71A8"/>
    <w:rsid w:val="003F7791"/>
    <w:rsid w:val="003F7A0C"/>
    <w:rsid w:val="003F7AC7"/>
    <w:rsid w:val="003F7BCA"/>
    <w:rsid w:val="003F7DD1"/>
    <w:rsid w:val="0040026E"/>
    <w:rsid w:val="00400700"/>
    <w:rsid w:val="00400743"/>
    <w:rsid w:val="004007CE"/>
    <w:rsid w:val="00400822"/>
    <w:rsid w:val="004009FA"/>
    <w:rsid w:val="004011EF"/>
    <w:rsid w:val="004018A6"/>
    <w:rsid w:val="00401D2B"/>
    <w:rsid w:val="00401EAA"/>
    <w:rsid w:val="00402015"/>
    <w:rsid w:val="00402531"/>
    <w:rsid w:val="00402614"/>
    <w:rsid w:val="00402782"/>
    <w:rsid w:val="00402795"/>
    <w:rsid w:val="004028DA"/>
    <w:rsid w:val="00402B72"/>
    <w:rsid w:val="004030A6"/>
    <w:rsid w:val="004033E9"/>
    <w:rsid w:val="00403706"/>
    <w:rsid w:val="00403735"/>
    <w:rsid w:val="004039A9"/>
    <w:rsid w:val="004039E3"/>
    <w:rsid w:val="004039FE"/>
    <w:rsid w:val="00403A3A"/>
    <w:rsid w:val="00403B89"/>
    <w:rsid w:val="00403DFF"/>
    <w:rsid w:val="00403FC8"/>
    <w:rsid w:val="00404133"/>
    <w:rsid w:val="00404351"/>
    <w:rsid w:val="00404542"/>
    <w:rsid w:val="00404B3A"/>
    <w:rsid w:val="00404C89"/>
    <w:rsid w:val="00404D19"/>
    <w:rsid w:val="00404DEA"/>
    <w:rsid w:val="00404E72"/>
    <w:rsid w:val="00404FBF"/>
    <w:rsid w:val="0040503F"/>
    <w:rsid w:val="004052CF"/>
    <w:rsid w:val="00405404"/>
    <w:rsid w:val="004054A2"/>
    <w:rsid w:val="0040561B"/>
    <w:rsid w:val="004057B6"/>
    <w:rsid w:val="00406292"/>
    <w:rsid w:val="004063F8"/>
    <w:rsid w:val="00406534"/>
    <w:rsid w:val="00406668"/>
    <w:rsid w:val="00406A62"/>
    <w:rsid w:val="00406CB1"/>
    <w:rsid w:val="0040789B"/>
    <w:rsid w:val="00407A6B"/>
    <w:rsid w:val="00407D47"/>
    <w:rsid w:val="00407EB2"/>
    <w:rsid w:val="004100ED"/>
    <w:rsid w:val="004101CE"/>
    <w:rsid w:val="0041039E"/>
    <w:rsid w:val="00410770"/>
    <w:rsid w:val="00410974"/>
    <w:rsid w:val="00410A35"/>
    <w:rsid w:val="00410BC5"/>
    <w:rsid w:val="00410DAA"/>
    <w:rsid w:val="0041106A"/>
    <w:rsid w:val="0041139B"/>
    <w:rsid w:val="00411586"/>
    <w:rsid w:val="0041171F"/>
    <w:rsid w:val="00411724"/>
    <w:rsid w:val="00411A93"/>
    <w:rsid w:val="00411C98"/>
    <w:rsid w:val="00411CF6"/>
    <w:rsid w:val="00411E66"/>
    <w:rsid w:val="004121E0"/>
    <w:rsid w:val="00412244"/>
    <w:rsid w:val="0041256C"/>
    <w:rsid w:val="004127F7"/>
    <w:rsid w:val="004128F9"/>
    <w:rsid w:val="00412D01"/>
    <w:rsid w:val="004132B0"/>
    <w:rsid w:val="00413822"/>
    <w:rsid w:val="00413BA1"/>
    <w:rsid w:val="00413F22"/>
    <w:rsid w:val="0041407B"/>
    <w:rsid w:val="004143B2"/>
    <w:rsid w:val="00414440"/>
    <w:rsid w:val="00414635"/>
    <w:rsid w:val="0041468D"/>
    <w:rsid w:val="004147E6"/>
    <w:rsid w:val="00414C39"/>
    <w:rsid w:val="00414F5B"/>
    <w:rsid w:val="00415458"/>
    <w:rsid w:val="00415515"/>
    <w:rsid w:val="004155BC"/>
    <w:rsid w:val="004157D2"/>
    <w:rsid w:val="00415828"/>
    <w:rsid w:val="00415AFE"/>
    <w:rsid w:val="00415BA9"/>
    <w:rsid w:val="00415F70"/>
    <w:rsid w:val="004160B2"/>
    <w:rsid w:val="00416171"/>
    <w:rsid w:val="00416571"/>
    <w:rsid w:val="00416760"/>
    <w:rsid w:val="004169D2"/>
    <w:rsid w:val="00416AEA"/>
    <w:rsid w:val="00416D65"/>
    <w:rsid w:val="004170A0"/>
    <w:rsid w:val="00417101"/>
    <w:rsid w:val="0041722D"/>
    <w:rsid w:val="0041728F"/>
    <w:rsid w:val="004176D7"/>
    <w:rsid w:val="0041783B"/>
    <w:rsid w:val="00417AE0"/>
    <w:rsid w:val="00417CFB"/>
    <w:rsid w:val="00417E66"/>
    <w:rsid w:val="00417E82"/>
    <w:rsid w:val="0042053B"/>
    <w:rsid w:val="004208B7"/>
    <w:rsid w:val="00420CBC"/>
    <w:rsid w:val="00420CF0"/>
    <w:rsid w:val="00421654"/>
    <w:rsid w:val="0042183E"/>
    <w:rsid w:val="00421842"/>
    <w:rsid w:val="0042194E"/>
    <w:rsid w:val="00421BB2"/>
    <w:rsid w:val="00421D50"/>
    <w:rsid w:val="00421F3C"/>
    <w:rsid w:val="00421FAE"/>
    <w:rsid w:val="00422667"/>
    <w:rsid w:val="00422A68"/>
    <w:rsid w:val="00422B43"/>
    <w:rsid w:val="00422C64"/>
    <w:rsid w:val="0042300A"/>
    <w:rsid w:val="0042305E"/>
    <w:rsid w:val="0042329C"/>
    <w:rsid w:val="004233B9"/>
    <w:rsid w:val="0042353B"/>
    <w:rsid w:val="00423ADA"/>
    <w:rsid w:val="00423B1B"/>
    <w:rsid w:val="00423BDC"/>
    <w:rsid w:val="00423BF4"/>
    <w:rsid w:val="00423CBF"/>
    <w:rsid w:val="00423D49"/>
    <w:rsid w:val="00424006"/>
    <w:rsid w:val="00424196"/>
    <w:rsid w:val="0042449B"/>
    <w:rsid w:val="00424570"/>
    <w:rsid w:val="00424689"/>
    <w:rsid w:val="00424760"/>
    <w:rsid w:val="00424AE1"/>
    <w:rsid w:val="00425238"/>
    <w:rsid w:val="00425248"/>
    <w:rsid w:val="004252B0"/>
    <w:rsid w:val="00425371"/>
    <w:rsid w:val="004256F5"/>
    <w:rsid w:val="00425B9C"/>
    <w:rsid w:val="00425FDE"/>
    <w:rsid w:val="00426486"/>
    <w:rsid w:val="00426DE2"/>
    <w:rsid w:val="00427205"/>
    <w:rsid w:val="0042738F"/>
    <w:rsid w:val="0042743C"/>
    <w:rsid w:val="0042743E"/>
    <w:rsid w:val="00427808"/>
    <w:rsid w:val="00427850"/>
    <w:rsid w:val="00427FC2"/>
    <w:rsid w:val="0043062B"/>
    <w:rsid w:val="00430A44"/>
    <w:rsid w:val="00430AEB"/>
    <w:rsid w:val="00430D41"/>
    <w:rsid w:val="00430D63"/>
    <w:rsid w:val="00430E97"/>
    <w:rsid w:val="004310D1"/>
    <w:rsid w:val="004310F3"/>
    <w:rsid w:val="0043184A"/>
    <w:rsid w:val="00431A1D"/>
    <w:rsid w:val="00431A52"/>
    <w:rsid w:val="0043272D"/>
    <w:rsid w:val="004328DF"/>
    <w:rsid w:val="00432D4E"/>
    <w:rsid w:val="00433684"/>
    <w:rsid w:val="0043368D"/>
    <w:rsid w:val="004336E5"/>
    <w:rsid w:val="00433CB4"/>
    <w:rsid w:val="00433D4A"/>
    <w:rsid w:val="00434019"/>
    <w:rsid w:val="004340F3"/>
    <w:rsid w:val="004341E6"/>
    <w:rsid w:val="0043441C"/>
    <w:rsid w:val="004345E1"/>
    <w:rsid w:val="00434810"/>
    <w:rsid w:val="00434EE2"/>
    <w:rsid w:val="004351AE"/>
    <w:rsid w:val="00435667"/>
    <w:rsid w:val="004356E5"/>
    <w:rsid w:val="00435A26"/>
    <w:rsid w:val="00435A48"/>
    <w:rsid w:val="00435E2C"/>
    <w:rsid w:val="0043626D"/>
    <w:rsid w:val="00436342"/>
    <w:rsid w:val="00436586"/>
    <w:rsid w:val="00436682"/>
    <w:rsid w:val="00436781"/>
    <w:rsid w:val="004367F4"/>
    <w:rsid w:val="00436A66"/>
    <w:rsid w:val="00436F33"/>
    <w:rsid w:val="00436FC6"/>
    <w:rsid w:val="00437233"/>
    <w:rsid w:val="00437394"/>
    <w:rsid w:val="00437408"/>
    <w:rsid w:val="00437484"/>
    <w:rsid w:val="00437594"/>
    <w:rsid w:val="00437C04"/>
    <w:rsid w:val="00437D0E"/>
    <w:rsid w:val="00437E1F"/>
    <w:rsid w:val="0044016D"/>
    <w:rsid w:val="004401A0"/>
    <w:rsid w:val="00440456"/>
    <w:rsid w:val="00440733"/>
    <w:rsid w:val="0044085D"/>
    <w:rsid w:val="004408A6"/>
    <w:rsid w:val="0044092F"/>
    <w:rsid w:val="00440A89"/>
    <w:rsid w:val="00440AF0"/>
    <w:rsid w:val="00440CD3"/>
    <w:rsid w:val="00440FA5"/>
    <w:rsid w:val="00441203"/>
    <w:rsid w:val="0044129B"/>
    <w:rsid w:val="00441400"/>
    <w:rsid w:val="00441605"/>
    <w:rsid w:val="00441964"/>
    <w:rsid w:val="00441A86"/>
    <w:rsid w:val="00441F1F"/>
    <w:rsid w:val="004426CC"/>
    <w:rsid w:val="00442903"/>
    <w:rsid w:val="00442B9A"/>
    <w:rsid w:val="00443220"/>
    <w:rsid w:val="00443312"/>
    <w:rsid w:val="0044332F"/>
    <w:rsid w:val="00443335"/>
    <w:rsid w:val="004434C7"/>
    <w:rsid w:val="004435A0"/>
    <w:rsid w:val="00443898"/>
    <w:rsid w:val="004438C1"/>
    <w:rsid w:val="004438E7"/>
    <w:rsid w:val="004438FC"/>
    <w:rsid w:val="00443B2A"/>
    <w:rsid w:val="00443B92"/>
    <w:rsid w:val="00443DBB"/>
    <w:rsid w:val="0044424C"/>
    <w:rsid w:val="004444FC"/>
    <w:rsid w:val="004445DF"/>
    <w:rsid w:val="004445E5"/>
    <w:rsid w:val="004446CE"/>
    <w:rsid w:val="00444888"/>
    <w:rsid w:val="004449E3"/>
    <w:rsid w:val="00444E6C"/>
    <w:rsid w:val="0044513B"/>
    <w:rsid w:val="0044513F"/>
    <w:rsid w:val="0044547C"/>
    <w:rsid w:val="00445D67"/>
    <w:rsid w:val="004463D8"/>
    <w:rsid w:val="004464D3"/>
    <w:rsid w:val="004466F0"/>
    <w:rsid w:val="00446745"/>
    <w:rsid w:val="00446B01"/>
    <w:rsid w:val="00446B62"/>
    <w:rsid w:val="00446BBD"/>
    <w:rsid w:val="00446C75"/>
    <w:rsid w:val="00446DDD"/>
    <w:rsid w:val="004474EF"/>
    <w:rsid w:val="00447714"/>
    <w:rsid w:val="004479B4"/>
    <w:rsid w:val="004479FA"/>
    <w:rsid w:val="00447AC4"/>
    <w:rsid w:val="00447CD8"/>
    <w:rsid w:val="00450557"/>
    <w:rsid w:val="0045079A"/>
    <w:rsid w:val="004507DC"/>
    <w:rsid w:val="00450B6C"/>
    <w:rsid w:val="00450C86"/>
    <w:rsid w:val="00450E4C"/>
    <w:rsid w:val="00450F7D"/>
    <w:rsid w:val="00450FAE"/>
    <w:rsid w:val="004511A0"/>
    <w:rsid w:val="00451387"/>
    <w:rsid w:val="004513EF"/>
    <w:rsid w:val="00451880"/>
    <w:rsid w:val="00451980"/>
    <w:rsid w:val="00451AC6"/>
    <w:rsid w:val="00451CEA"/>
    <w:rsid w:val="00451DE0"/>
    <w:rsid w:val="00451E53"/>
    <w:rsid w:val="00452776"/>
    <w:rsid w:val="0045282C"/>
    <w:rsid w:val="00452A5C"/>
    <w:rsid w:val="00452B03"/>
    <w:rsid w:val="00452BA0"/>
    <w:rsid w:val="00452C56"/>
    <w:rsid w:val="00452D8F"/>
    <w:rsid w:val="004531D4"/>
    <w:rsid w:val="0045325C"/>
    <w:rsid w:val="00453479"/>
    <w:rsid w:val="00453877"/>
    <w:rsid w:val="00453A84"/>
    <w:rsid w:val="00453B3F"/>
    <w:rsid w:val="00453C05"/>
    <w:rsid w:val="00453EDA"/>
    <w:rsid w:val="00454082"/>
    <w:rsid w:val="00454255"/>
    <w:rsid w:val="00454366"/>
    <w:rsid w:val="00454390"/>
    <w:rsid w:val="004543F2"/>
    <w:rsid w:val="004547B4"/>
    <w:rsid w:val="0045492A"/>
    <w:rsid w:val="00454B59"/>
    <w:rsid w:val="00455118"/>
    <w:rsid w:val="00455453"/>
    <w:rsid w:val="00455718"/>
    <w:rsid w:val="0045587E"/>
    <w:rsid w:val="00455CC7"/>
    <w:rsid w:val="00455CCB"/>
    <w:rsid w:val="00455E08"/>
    <w:rsid w:val="00455E19"/>
    <w:rsid w:val="00455E3D"/>
    <w:rsid w:val="00455FED"/>
    <w:rsid w:val="00456158"/>
    <w:rsid w:val="00456365"/>
    <w:rsid w:val="00456B0D"/>
    <w:rsid w:val="00456BB5"/>
    <w:rsid w:val="00456D4A"/>
    <w:rsid w:val="004575FF"/>
    <w:rsid w:val="00457934"/>
    <w:rsid w:val="00457B59"/>
    <w:rsid w:val="00457EF9"/>
    <w:rsid w:val="0046000B"/>
    <w:rsid w:val="00460392"/>
    <w:rsid w:val="00460CF6"/>
    <w:rsid w:val="0046120C"/>
    <w:rsid w:val="004613E9"/>
    <w:rsid w:val="004613F8"/>
    <w:rsid w:val="004614C4"/>
    <w:rsid w:val="004615E0"/>
    <w:rsid w:val="0046180A"/>
    <w:rsid w:val="0046190D"/>
    <w:rsid w:val="00461965"/>
    <w:rsid w:val="00461D61"/>
    <w:rsid w:val="00462469"/>
    <w:rsid w:val="00462825"/>
    <w:rsid w:val="00462A4D"/>
    <w:rsid w:val="00462CB7"/>
    <w:rsid w:val="0046325D"/>
    <w:rsid w:val="0046327F"/>
    <w:rsid w:val="00463476"/>
    <w:rsid w:val="00463844"/>
    <w:rsid w:val="004638A9"/>
    <w:rsid w:val="00463A2D"/>
    <w:rsid w:val="00463CE6"/>
    <w:rsid w:val="00463E06"/>
    <w:rsid w:val="00463EE1"/>
    <w:rsid w:val="00463FD3"/>
    <w:rsid w:val="004642DF"/>
    <w:rsid w:val="00464387"/>
    <w:rsid w:val="004647C1"/>
    <w:rsid w:val="00465435"/>
    <w:rsid w:val="0046588D"/>
    <w:rsid w:val="00466136"/>
    <w:rsid w:val="004661D5"/>
    <w:rsid w:val="00466260"/>
    <w:rsid w:val="0046628C"/>
    <w:rsid w:val="00466534"/>
    <w:rsid w:val="0046653F"/>
    <w:rsid w:val="00466746"/>
    <w:rsid w:val="00466C99"/>
    <w:rsid w:val="00467271"/>
    <w:rsid w:val="00467399"/>
    <w:rsid w:val="004673EE"/>
    <w:rsid w:val="00467728"/>
    <w:rsid w:val="004679EA"/>
    <w:rsid w:val="00467A83"/>
    <w:rsid w:val="00467AC6"/>
    <w:rsid w:val="00467AC7"/>
    <w:rsid w:val="0047040D"/>
    <w:rsid w:val="00470AF3"/>
    <w:rsid w:val="00470B11"/>
    <w:rsid w:val="00470B24"/>
    <w:rsid w:val="00470C81"/>
    <w:rsid w:val="00471464"/>
    <w:rsid w:val="00471617"/>
    <w:rsid w:val="00471679"/>
    <w:rsid w:val="004716BD"/>
    <w:rsid w:val="00471A41"/>
    <w:rsid w:val="00471D52"/>
    <w:rsid w:val="00471EF3"/>
    <w:rsid w:val="00471EF9"/>
    <w:rsid w:val="004720B7"/>
    <w:rsid w:val="00472976"/>
    <w:rsid w:val="00472D5A"/>
    <w:rsid w:val="00472E0B"/>
    <w:rsid w:val="00473082"/>
    <w:rsid w:val="0047319E"/>
    <w:rsid w:val="0047321A"/>
    <w:rsid w:val="004734D9"/>
    <w:rsid w:val="00473873"/>
    <w:rsid w:val="0047397F"/>
    <w:rsid w:val="00473AE2"/>
    <w:rsid w:val="00473B47"/>
    <w:rsid w:val="00473D90"/>
    <w:rsid w:val="004740BE"/>
    <w:rsid w:val="004740C4"/>
    <w:rsid w:val="0047421F"/>
    <w:rsid w:val="00474630"/>
    <w:rsid w:val="00474A08"/>
    <w:rsid w:val="00474A78"/>
    <w:rsid w:val="00474B90"/>
    <w:rsid w:val="00474F19"/>
    <w:rsid w:val="00474F3E"/>
    <w:rsid w:val="00475123"/>
    <w:rsid w:val="00475166"/>
    <w:rsid w:val="00475217"/>
    <w:rsid w:val="00475991"/>
    <w:rsid w:val="00475C52"/>
    <w:rsid w:val="00475C5E"/>
    <w:rsid w:val="0047609F"/>
    <w:rsid w:val="0047625E"/>
    <w:rsid w:val="004762BD"/>
    <w:rsid w:val="004764A9"/>
    <w:rsid w:val="004766DF"/>
    <w:rsid w:val="0047679D"/>
    <w:rsid w:val="00476AE6"/>
    <w:rsid w:val="00476C7E"/>
    <w:rsid w:val="00476DDA"/>
    <w:rsid w:val="00476E59"/>
    <w:rsid w:val="00476E7A"/>
    <w:rsid w:val="00477052"/>
    <w:rsid w:val="004772A8"/>
    <w:rsid w:val="00477499"/>
    <w:rsid w:val="00477639"/>
    <w:rsid w:val="0047777A"/>
    <w:rsid w:val="004778B1"/>
    <w:rsid w:val="00477AB7"/>
    <w:rsid w:val="00477BC4"/>
    <w:rsid w:val="00477E96"/>
    <w:rsid w:val="0048010E"/>
    <w:rsid w:val="004801AD"/>
    <w:rsid w:val="0048040D"/>
    <w:rsid w:val="00480695"/>
    <w:rsid w:val="0048092B"/>
    <w:rsid w:val="0048097C"/>
    <w:rsid w:val="0048097D"/>
    <w:rsid w:val="00480A9D"/>
    <w:rsid w:val="00480C5B"/>
    <w:rsid w:val="00480D29"/>
    <w:rsid w:val="00481005"/>
    <w:rsid w:val="0048123D"/>
    <w:rsid w:val="0048129B"/>
    <w:rsid w:val="0048167E"/>
    <w:rsid w:val="004817D3"/>
    <w:rsid w:val="00481911"/>
    <w:rsid w:val="00482179"/>
    <w:rsid w:val="004823A1"/>
    <w:rsid w:val="0048245B"/>
    <w:rsid w:val="0048255E"/>
    <w:rsid w:val="0048264C"/>
    <w:rsid w:val="00482AFC"/>
    <w:rsid w:val="00482B84"/>
    <w:rsid w:val="00482DD7"/>
    <w:rsid w:val="00482EAC"/>
    <w:rsid w:val="00482F3A"/>
    <w:rsid w:val="00482FF1"/>
    <w:rsid w:val="00483155"/>
    <w:rsid w:val="0048325E"/>
    <w:rsid w:val="004836AB"/>
    <w:rsid w:val="00483815"/>
    <w:rsid w:val="00483BCB"/>
    <w:rsid w:val="00483DA3"/>
    <w:rsid w:val="00483F2D"/>
    <w:rsid w:val="004840F5"/>
    <w:rsid w:val="0048425A"/>
    <w:rsid w:val="00484697"/>
    <w:rsid w:val="00484AA9"/>
    <w:rsid w:val="00484AAF"/>
    <w:rsid w:val="00484D71"/>
    <w:rsid w:val="0048528B"/>
    <w:rsid w:val="00485522"/>
    <w:rsid w:val="0048568B"/>
    <w:rsid w:val="004856CA"/>
    <w:rsid w:val="004857C3"/>
    <w:rsid w:val="00485F94"/>
    <w:rsid w:val="00485FF4"/>
    <w:rsid w:val="004860EC"/>
    <w:rsid w:val="0048620E"/>
    <w:rsid w:val="00486486"/>
    <w:rsid w:val="004864E4"/>
    <w:rsid w:val="004865D4"/>
    <w:rsid w:val="00486AC4"/>
    <w:rsid w:val="00486F66"/>
    <w:rsid w:val="00486FB8"/>
    <w:rsid w:val="0048755A"/>
    <w:rsid w:val="00487563"/>
    <w:rsid w:val="00487695"/>
    <w:rsid w:val="00487A23"/>
    <w:rsid w:val="00487FAC"/>
    <w:rsid w:val="0049019F"/>
    <w:rsid w:val="00490276"/>
    <w:rsid w:val="00490355"/>
    <w:rsid w:val="0049051B"/>
    <w:rsid w:val="004906DA"/>
    <w:rsid w:val="004908C9"/>
    <w:rsid w:val="004908EB"/>
    <w:rsid w:val="00490ABC"/>
    <w:rsid w:val="00490B6D"/>
    <w:rsid w:val="00490D7E"/>
    <w:rsid w:val="00490EC6"/>
    <w:rsid w:val="00490F11"/>
    <w:rsid w:val="004910DC"/>
    <w:rsid w:val="0049134D"/>
    <w:rsid w:val="0049176F"/>
    <w:rsid w:val="00491B3A"/>
    <w:rsid w:val="00491CBB"/>
    <w:rsid w:val="00492257"/>
    <w:rsid w:val="00492418"/>
    <w:rsid w:val="00492B77"/>
    <w:rsid w:val="00492BF8"/>
    <w:rsid w:val="00493362"/>
    <w:rsid w:val="004933B7"/>
    <w:rsid w:val="0049340E"/>
    <w:rsid w:val="004934A0"/>
    <w:rsid w:val="004935ED"/>
    <w:rsid w:val="004936A5"/>
    <w:rsid w:val="00493922"/>
    <w:rsid w:val="00493A21"/>
    <w:rsid w:val="00493AE5"/>
    <w:rsid w:val="00493B72"/>
    <w:rsid w:val="00493E12"/>
    <w:rsid w:val="00493F6D"/>
    <w:rsid w:val="004943EC"/>
    <w:rsid w:val="00494504"/>
    <w:rsid w:val="0049455A"/>
    <w:rsid w:val="004945E3"/>
    <w:rsid w:val="004947F9"/>
    <w:rsid w:val="00494815"/>
    <w:rsid w:val="004949C9"/>
    <w:rsid w:val="00494AAA"/>
    <w:rsid w:val="00494E2E"/>
    <w:rsid w:val="00495957"/>
    <w:rsid w:val="00496536"/>
    <w:rsid w:val="00496558"/>
    <w:rsid w:val="004968A6"/>
    <w:rsid w:val="00496A86"/>
    <w:rsid w:val="00496BA8"/>
    <w:rsid w:val="00496FCA"/>
    <w:rsid w:val="00497713"/>
    <w:rsid w:val="00497A03"/>
    <w:rsid w:val="00497D1C"/>
    <w:rsid w:val="004A00B7"/>
    <w:rsid w:val="004A0231"/>
    <w:rsid w:val="004A0AFD"/>
    <w:rsid w:val="004A0E76"/>
    <w:rsid w:val="004A10DC"/>
    <w:rsid w:val="004A115A"/>
    <w:rsid w:val="004A15C1"/>
    <w:rsid w:val="004A1883"/>
    <w:rsid w:val="004A18B2"/>
    <w:rsid w:val="004A1B3A"/>
    <w:rsid w:val="004A1BEA"/>
    <w:rsid w:val="004A1DD4"/>
    <w:rsid w:val="004A20A1"/>
    <w:rsid w:val="004A21AA"/>
    <w:rsid w:val="004A2CA2"/>
    <w:rsid w:val="004A325D"/>
    <w:rsid w:val="004A330B"/>
    <w:rsid w:val="004A37C7"/>
    <w:rsid w:val="004A388D"/>
    <w:rsid w:val="004A4054"/>
    <w:rsid w:val="004A4514"/>
    <w:rsid w:val="004A4D7B"/>
    <w:rsid w:val="004A4D9E"/>
    <w:rsid w:val="004A4EDB"/>
    <w:rsid w:val="004A521E"/>
    <w:rsid w:val="004A52E9"/>
    <w:rsid w:val="004A54E8"/>
    <w:rsid w:val="004A561C"/>
    <w:rsid w:val="004A5746"/>
    <w:rsid w:val="004A5961"/>
    <w:rsid w:val="004A5A42"/>
    <w:rsid w:val="004A5B13"/>
    <w:rsid w:val="004A5CAE"/>
    <w:rsid w:val="004A5D88"/>
    <w:rsid w:val="004A61C2"/>
    <w:rsid w:val="004A620C"/>
    <w:rsid w:val="004A6709"/>
    <w:rsid w:val="004A68A7"/>
    <w:rsid w:val="004A6A04"/>
    <w:rsid w:val="004A6BD0"/>
    <w:rsid w:val="004A6C16"/>
    <w:rsid w:val="004A6E82"/>
    <w:rsid w:val="004A7215"/>
    <w:rsid w:val="004A74EE"/>
    <w:rsid w:val="004A7794"/>
    <w:rsid w:val="004A7A0C"/>
    <w:rsid w:val="004A7C13"/>
    <w:rsid w:val="004A7C3A"/>
    <w:rsid w:val="004A7EA3"/>
    <w:rsid w:val="004A7F58"/>
    <w:rsid w:val="004B01D2"/>
    <w:rsid w:val="004B08E1"/>
    <w:rsid w:val="004B0902"/>
    <w:rsid w:val="004B0F82"/>
    <w:rsid w:val="004B107C"/>
    <w:rsid w:val="004B1524"/>
    <w:rsid w:val="004B1571"/>
    <w:rsid w:val="004B16E3"/>
    <w:rsid w:val="004B186A"/>
    <w:rsid w:val="004B1C39"/>
    <w:rsid w:val="004B1D53"/>
    <w:rsid w:val="004B20E1"/>
    <w:rsid w:val="004B21C0"/>
    <w:rsid w:val="004B2296"/>
    <w:rsid w:val="004B22C1"/>
    <w:rsid w:val="004B2436"/>
    <w:rsid w:val="004B2460"/>
    <w:rsid w:val="004B2464"/>
    <w:rsid w:val="004B29D6"/>
    <w:rsid w:val="004B29FE"/>
    <w:rsid w:val="004B2B20"/>
    <w:rsid w:val="004B2BB0"/>
    <w:rsid w:val="004B2E67"/>
    <w:rsid w:val="004B2E87"/>
    <w:rsid w:val="004B33FD"/>
    <w:rsid w:val="004B367C"/>
    <w:rsid w:val="004B37AC"/>
    <w:rsid w:val="004B3A10"/>
    <w:rsid w:val="004B3AB7"/>
    <w:rsid w:val="004B3B3D"/>
    <w:rsid w:val="004B3C6F"/>
    <w:rsid w:val="004B3D13"/>
    <w:rsid w:val="004B3EE2"/>
    <w:rsid w:val="004B3FB8"/>
    <w:rsid w:val="004B4024"/>
    <w:rsid w:val="004B46D3"/>
    <w:rsid w:val="004B47A3"/>
    <w:rsid w:val="004B4A8F"/>
    <w:rsid w:val="004B4AAF"/>
    <w:rsid w:val="004B4CC8"/>
    <w:rsid w:val="004B4D38"/>
    <w:rsid w:val="004B4EC6"/>
    <w:rsid w:val="004B4F59"/>
    <w:rsid w:val="004B4F88"/>
    <w:rsid w:val="004B5175"/>
    <w:rsid w:val="004B51A0"/>
    <w:rsid w:val="004B5356"/>
    <w:rsid w:val="004B55FE"/>
    <w:rsid w:val="004B59C5"/>
    <w:rsid w:val="004B5B22"/>
    <w:rsid w:val="004B5C8C"/>
    <w:rsid w:val="004B6018"/>
    <w:rsid w:val="004B6298"/>
    <w:rsid w:val="004B68AD"/>
    <w:rsid w:val="004B6B6F"/>
    <w:rsid w:val="004B749B"/>
    <w:rsid w:val="004B7515"/>
    <w:rsid w:val="004B779D"/>
    <w:rsid w:val="004B7A9A"/>
    <w:rsid w:val="004B7ABA"/>
    <w:rsid w:val="004B7FA5"/>
    <w:rsid w:val="004C00E2"/>
    <w:rsid w:val="004C085D"/>
    <w:rsid w:val="004C0984"/>
    <w:rsid w:val="004C09D1"/>
    <w:rsid w:val="004C0A23"/>
    <w:rsid w:val="004C0D58"/>
    <w:rsid w:val="004C0E7E"/>
    <w:rsid w:val="004C116D"/>
    <w:rsid w:val="004C1196"/>
    <w:rsid w:val="004C128A"/>
    <w:rsid w:val="004C158B"/>
    <w:rsid w:val="004C17D3"/>
    <w:rsid w:val="004C1978"/>
    <w:rsid w:val="004C1BEF"/>
    <w:rsid w:val="004C1E23"/>
    <w:rsid w:val="004C2116"/>
    <w:rsid w:val="004C2174"/>
    <w:rsid w:val="004C2425"/>
    <w:rsid w:val="004C254B"/>
    <w:rsid w:val="004C2783"/>
    <w:rsid w:val="004C2845"/>
    <w:rsid w:val="004C294E"/>
    <w:rsid w:val="004C2D6E"/>
    <w:rsid w:val="004C32A7"/>
    <w:rsid w:val="004C33C6"/>
    <w:rsid w:val="004C36F8"/>
    <w:rsid w:val="004C36FA"/>
    <w:rsid w:val="004C3986"/>
    <w:rsid w:val="004C41A3"/>
    <w:rsid w:val="004C44A6"/>
    <w:rsid w:val="004C4690"/>
    <w:rsid w:val="004C4A01"/>
    <w:rsid w:val="004C4B84"/>
    <w:rsid w:val="004C507A"/>
    <w:rsid w:val="004C53C8"/>
    <w:rsid w:val="004C5890"/>
    <w:rsid w:val="004C58C8"/>
    <w:rsid w:val="004C5FFE"/>
    <w:rsid w:val="004C63E1"/>
    <w:rsid w:val="004C648A"/>
    <w:rsid w:val="004C6792"/>
    <w:rsid w:val="004C6932"/>
    <w:rsid w:val="004C70A4"/>
    <w:rsid w:val="004C7527"/>
    <w:rsid w:val="004C763A"/>
    <w:rsid w:val="004C76D1"/>
    <w:rsid w:val="004C7751"/>
    <w:rsid w:val="004C7ADA"/>
    <w:rsid w:val="004C7B71"/>
    <w:rsid w:val="004C7D20"/>
    <w:rsid w:val="004C7DF3"/>
    <w:rsid w:val="004D0182"/>
    <w:rsid w:val="004D0252"/>
    <w:rsid w:val="004D02E4"/>
    <w:rsid w:val="004D072D"/>
    <w:rsid w:val="004D07E7"/>
    <w:rsid w:val="004D09DC"/>
    <w:rsid w:val="004D0C66"/>
    <w:rsid w:val="004D1181"/>
    <w:rsid w:val="004D138A"/>
    <w:rsid w:val="004D1472"/>
    <w:rsid w:val="004D1552"/>
    <w:rsid w:val="004D1BCC"/>
    <w:rsid w:val="004D1C02"/>
    <w:rsid w:val="004D1EE2"/>
    <w:rsid w:val="004D1FDE"/>
    <w:rsid w:val="004D2344"/>
    <w:rsid w:val="004D23DF"/>
    <w:rsid w:val="004D2422"/>
    <w:rsid w:val="004D257A"/>
    <w:rsid w:val="004D29A3"/>
    <w:rsid w:val="004D2A00"/>
    <w:rsid w:val="004D2B59"/>
    <w:rsid w:val="004D2D3F"/>
    <w:rsid w:val="004D3471"/>
    <w:rsid w:val="004D3FB6"/>
    <w:rsid w:val="004D3FBF"/>
    <w:rsid w:val="004D4197"/>
    <w:rsid w:val="004D4517"/>
    <w:rsid w:val="004D4815"/>
    <w:rsid w:val="004D4A1C"/>
    <w:rsid w:val="004D4AB0"/>
    <w:rsid w:val="004D4ACC"/>
    <w:rsid w:val="004D4DAE"/>
    <w:rsid w:val="004D4F3A"/>
    <w:rsid w:val="004D5385"/>
    <w:rsid w:val="004D54A5"/>
    <w:rsid w:val="004D5AE7"/>
    <w:rsid w:val="004D5D36"/>
    <w:rsid w:val="004D639F"/>
    <w:rsid w:val="004D65A6"/>
    <w:rsid w:val="004D678D"/>
    <w:rsid w:val="004D6811"/>
    <w:rsid w:val="004D6C35"/>
    <w:rsid w:val="004D6EB9"/>
    <w:rsid w:val="004D6F2A"/>
    <w:rsid w:val="004D6FBC"/>
    <w:rsid w:val="004D7056"/>
    <w:rsid w:val="004D7197"/>
    <w:rsid w:val="004D71D0"/>
    <w:rsid w:val="004D7404"/>
    <w:rsid w:val="004D7A9E"/>
    <w:rsid w:val="004D7AA2"/>
    <w:rsid w:val="004D7B5D"/>
    <w:rsid w:val="004D7CB5"/>
    <w:rsid w:val="004D7CEA"/>
    <w:rsid w:val="004E012A"/>
    <w:rsid w:val="004E04BE"/>
    <w:rsid w:val="004E068A"/>
    <w:rsid w:val="004E0812"/>
    <w:rsid w:val="004E08F5"/>
    <w:rsid w:val="004E1511"/>
    <w:rsid w:val="004E1546"/>
    <w:rsid w:val="004E15C2"/>
    <w:rsid w:val="004E1867"/>
    <w:rsid w:val="004E1990"/>
    <w:rsid w:val="004E1A82"/>
    <w:rsid w:val="004E1BF4"/>
    <w:rsid w:val="004E1E99"/>
    <w:rsid w:val="004E1FB7"/>
    <w:rsid w:val="004E20C5"/>
    <w:rsid w:val="004E2419"/>
    <w:rsid w:val="004E245F"/>
    <w:rsid w:val="004E283B"/>
    <w:rsid w:val="004E2902"/>
    <w:rsid w:val="004E292E"/>
    <w:rsid w:val="004E2ADA"/>
    <w:rsid w:val="004E2B9D"/>
    <w:rsid w:val="004E30B1"/>
    <w:rsid w:val="004E3154"/>
    <w:rsid w:val="004E3241"/>
    <w:rsid w:val="004E3336"/>
    <w:rsid w:val="004E34FC"/>
    <w:rsid w:val="004E3690"/>
    <w:rsid w:val="004E373F"/>
    <w:rsid w:val="004E3824"/>
    <w:rsid w:val="004E3C48"/>
    <w:rsid w:val="004E3D2A"/>
    <w:rsid w:val="004E3E39"/>
    <w:rsid w:val="004E3F36"/>
    <w:rsid w:val="004E3FE2"/>
    <w:rsid w:val="004E40AC"/>
    <w:rsid w:val="004E429F"/>
    <w:rsid w:val="004E44EC"/>
    <w:rsid w:val="004E4891"/>
    <w:rsid w:val="004E4AC4"/>
    <w:rsid w:val="004E4AD6"/>
    <w:rsid w:val="004E4B29"/>
    <w:rsid w:val="004E4C58"/>
    <w:rsid w:val="004E4F4B"/>
    <w:rsid w:val="004E52A7"/>
    <w:rsid w:val="004E5770"/>
    <w:rsid w:val="004E57B9"/>
    <w:rsid w:val="004E5854"/>
    <w:rsid w:val="004E5AC7"/>
    <w:rsid w:val="004E5E56"/>
    <w:rsid w:val="004E61F7"/>
    <w:rsid w:val="004E64E4"/>
    <w:rsid w:val="004E65B5"/>
    <w:rsid w:val="004E65B6"/>
    <w:rsid w:val="004E680A"/>
    <w:rsid w:val="004E69A2"/>
    <w:rsid w:val="004E6CEF"/>
    <w:rsid w:val="004E6E23"/>
    <w:rsid w:val="004E7142"/>
    <w:rsid w:val="004E735A"/>
    <w:rsid w:val="004E796D"/>
    <w:rsid w:val="004E7E5C"/>
    <w:rsid w:val="004F0085"/>
    <w:rsid w:val="004F03E1"/>
    <w:rsid w:val="004F05E4"/>
    <w:rsid w:val="004F08C3"/>
    <w:rsid w:val="004F0CF9"/>
    <w:rsid w:val="004F0DB9"/>
    <w:rsid w:val="004F1283"/>
    <w:rsid w:val="004F13FC"/>
    <w:rsid w:val="004F16B5"/>
    <w:rsid w:val="004F1A40"/>
    <w:rsid w:val="004F1C59"/>
    <w:rsid w:val="004F1CA5"/>
    <w:rsid w:val="004F1D30"/>
    <w:rsid w:val="004F1FF8"/>
    <w:rsid w:val="004F2200"/>
    <w:rsid w:val="004F24E7"/>
    <w:rsid w:val="004F2959"/>
    <w:rsid w:val="004F2BB3"/>
    <w:rsid w:val="004F2D46"/>
    <w:rsid w:val="004F2D83"/>
    <w:rsid w:val="004F2E7D"/>
    <w:rsid w:val="004F31AD"/>
    <w:rsid w:val="004F327E"/>
    <w:rsid w:val="004F3487"/>
    <w:rsid w:val="004F3526"/>
    <w:rsid w:val="004F3651"/>
    <w:rsid w:val="004F378B"/>
    <w:rsid w:val="004F37D3"/>
    <w:rsid w:val="004F3947"/>
    <w:rsid w:val="004F39A3"/>
    <w:rsid w:val="004F39AB"/>
    <w:rsid w:val="004F39AE"/>
    <w:rsid w:val="004F3ADA"/>
    <w:rsid w:val="004F3C0D"/>
    <w:rsid w:val="004F3F75"/>
    <w:rsid w:val="004F3FE9"/>
    <w:rsid w:val="004F40D7"/>
    <w:rsid w:val="004F40F8"/>
    <w:rsid w:val="004F430E"/>
    <w:rsid w:val="004F4EDD"/>
    <w:rsid w:val="004F523A"/>
    <w:rsid w:val="004F534E"/>
    <w:rsid w:val="004F53B1"/>
    <w:rsid w:val="004F5438"/>
    <w:rsid w:val="004F5569"/>
    <w:rsid w:val="004F57B8"/>
    <w:rsid w:val="004F5825"/>
    <w:rsid w:val="004F5AF1"/>
    <w:rsid w:val="004F5BA5"/>
    <w:rsid w:val="004F5C43"/>
    <w:rsid w:val="004F61DF"/>
    <w:rsid w:val="004F63FF"/>
    <w:rsid w:val="004F6481"/>
    <w:rsid w:val="004F6669"/>
    <w:rsid w:val="004F68D0"/>
    <w:rsid w:val="004F6CE1"/>
    <w:rsid w:val="004F6D95"/>
    <w:rsid w:val="004F6EA6"/>
    <w:rsid w:val="004F6F4E"/>
    <w:rsid w:val="004F73B4"/>
    <w:rsid w:val="004F746B"/>
    <w:rsid w:val="004F74FC"/>
    <w:rsid w:val="004F7716"/>
    <w:rsid w:val="004F771A"/>
    <w:rsid w:val="004F7744"/>
    <w:rsid w:val="004F7881"/>
    <w:rsid w:val="004F78EC"/>
    <w:rsid w:val="004F7B9E"/>
    <w:rsid w:val="004F7D03"/>
    <w:rsid w:val="005002CD"/>
    <w:rsid w:val="005003D9"/>
    <w:rsid w:val="005003FE"/>
    <w:rsid w:val="005005B6"/>
    <w:rsid w:val="00500658"/>
    <w:rsid w:val="00500EF4"/>
    <w:rsid w:val="00501689"/>
    <w:rsid w:val="00501AF1"/>
    <w:rsid w:val="00501DC3"/>
    <w:rsid w:val="0050200F"/>
    <w:rsid w:val="005023A6"/>
    <w:rsid w:val="005023B3"/>
    <w:rsid w:val="00502531"/>
    <w:rsid w:val="00502A17"/>
    <w:rsid w:val="00502D50"/>
    <w:rsid w:val="00502E74"/>
    <w:rsid w:val="0050305A"/>
    <w:rsid w:val="005038BC"/>
    <w:rsid w:val="0050395B"/>
    <w:rsid w:val="00503B68"/>
    <w:rsid w:val="00503E96"/>
    <w:rsid w:val="005043E2"/>
    <w:rsid w:val="00504501"/>
    <w:rsid w:val="00504FCA"/>
    <w:rsid w:val="00505070"/>
    <w:rsid w:val="005054B4"/>
    <w:rsid w:val="005056F4"/>
    <w:rsid w:val="005058BD"/>
    <w:rsid w:val="00505A33"/>
    <w:rsid w:val="00505C35"/>
    <w:rsid w:val="00505F56"/>
    <w:rsid w:val="00505FEC"/>
    <w:rsid w:val="00506053"/>
    <w:rsid w:val="00506143"/>
    <w:rsid w:val="00506150"/>
    <w:rsid w:val="005061C4"/>
    <w:rsid w:val="005064DB"/>
    <w:rsid w:val="00506601"/>
    <w:rsid w:val="00506673"/>
    <w:rsid w:val="00506768"/>
    <w:rsid w:val="005068A1"/>
    <w:rsid w:val="00506D4E"/>
    <w:rsid w:val="00506D73"/>
    <w:rsid w:val="00506E1F"/>
    <w:rsid w:val="0050707A"/>
    <w:rsid w:val="005070D5"/>
    <w:rsid w:val="005071D1"/>
    <w:rsid w:val="00507443"/>
    <w:rsid w:val="00507755"/>
    <w:rsid w:val="00507941"/>
    <w:rsid w:val="00507E27"/>
    <w:rsid w:val="0051008D"/>
    <w:rsid w:val="005100A8"/>
    <w:rsid w:val="005104CA"/>
    <w:rsid w:val="0051064D"/>
    <w:rsid w:val="00510B7B"/>
    <w:rsid w:val="00510D32"/>
    <w:rsid w:val="00510FC7"/>
    <w:rsid w:val="0051105A"/>
    <w:rsid w:val="0051109F"/>
    <w:rsid w:val="005113C8"/>
    <w:rsid w:val="00511507"/>
    <w:rsid w:val="00511546"/>
    <w:rsid w:val="005115FB"/>
    <w:rsid w:val="00511794"/>
    <w:rsid w:val="00511910"/>
    <w:rsid w:val="00511CCB"/>
    <w:rsid w:val="00511CEA"/>
    <w:rsid w:val="0051208C"/>
    <w:rsid w:val="005121FB"/>
    <w:rsid w:val="005124D0"/>
    <w:rsid w:val="005125F5"/>
    <w:rsid w:val="00512721"/>
    <w:rsid w:val="00512AB4"/>
    <w:rsid w:val="00512B8B"/>
    <w:rsid w:val="00512CC1"/>
    <w:rsid w:val="00512F32"/>
    <w:rsid w:val="00512F5B"/>
    <w:rsid w:val="0051340E"/>
    <w:rsid w:val="0051356F"/>
    <w:rsid w:val="0051381F"/>
    <w:rsid w:val="00513B3C"/>
    <w:rsid w:val="00513C69"/>
    <w:rsid w:val="00513C91"/>
    <w:rsid w:val="00513E27"/>
    <w:rsid w:val="00513F09"/>
    <w:rsid w:val="0051412A"/>
    <w:rsid w:val="0051442A"/>
    <w:rsid w:val="00514641"/>
    <w:rsid w:val="00514804"/>
    <w:rsid w:val="00514A32"/>
    <w:rsid w:val="00514A36"/>
    <w:rsid w:val="00514C5E"/>
    <w:rsid w:val="00514D31"/>
    <w:rsid w:val="00515025"/>
    <w:rsid w:val="005155F1"/>
    <w:rsid w:val="005156EB"/>
    <w:rsid w:val="00515E18"/>
    <w:rsid w:val="005161A3"/>
    <w:rsid w:val="00516313"/>
    <w:rsid w:val="00516397"/>
    <w:rsid w:val="0051660A"/>
    <w:rsid w:val="00516C41"/>
    <w:rsid w:val="00516C66"/>
    <w:rsid w:val="005174E1"/>
    <w:rsid w:val="00517957"/>
    <w:rsid w:val="00517D0C"/>
    <w:rsid w:val="005202CA"/>
    <w:rsid w:val="005202CB"/>
    <w:rsid w:val="00520573"/>
    <w:rsid w:val="00520E79"/>
    <w:rsid w:val="00521271"/>
    <w:rsid w:val="0052150E"/>
    <w:rsid w:val="00521605"/>
    <w:rsid w:val="005218D6"/>
    <w:rsid w:val="005219D8"/>
    <w:rsid w:val="00521A72"/>
    <w:rsid w:val="00521E7D"/>
    <w:rsid w:val="00521F37"/>
    <w:rsid w:val="00521FC0"/>
    <w:rsid w:val="0052232C"/>
    <w:rsid w:val="005225FE"/>
    <w:rsid w:val="0052264C"/>
    <w:rsid w:val="00522B8C"/>
    <w:rsid w:val="00522EE0"/>
    <w:rsid w:val="0052301A"/>
    <w:rsid w:val="0052312C"/>
    <w:rsid w:val="005233F9"/>
    <w:rsid w:val="00523418"/>
    <w:rsid w:val="005236AC"/>
    <w:rsid w:val="005237CF"/>
    <w:rsid w:val="00523E52"/>
    <w:rsid w:val="00523FC2"/>
    <w:rsid w:val="00524212"/>
    <w:rsid w:val="00524537"/>
    <w:rsid w:val="00524B62"/>
    <w:rsid w:val="00524F61"/>
    <w:rsid w:val="00525558"/>
    <w:rsid w:val="00525580"/>
    <w:rsid w:val="0052567E"/>
    <w:rsid w:val="005259B7"/>
    <w:rsid w:val="00525C31"/>
    <w:rsid w:val="0052607D"/>
    <w:rsid w:val="005260CC"/>
    <w:rsid w:val="00526243"/>
    <w:rsid w:val="00526321"/>
    <w:rsid w:val="0052670B"/>
    <w:rsid w:val="00526754"/>
    <w:rsid w:val="00526790"/>
    <w:rsid w:val="005267C2"/>
    <w:rsid w:val="00526B52"/>
    <w:rsid w:val="00526BC7"/>
    <w:rsid w:val="00526BFF"/>
    <w:rsid w:val="00526C00"/>
    <w:rsid w:val="00526EA3"/>
    <w:rsid w:val="00526EB9"/>
    <w:rsid w:val="0052714C"/>
    <w:rsid w:val="005278BA"/>
    <w:rsid w:val="00527A23"/>
    <w:rsid w:val="00527E3D"/>
    <w:rsid w:val="005303F7"/>
    <w:rsid w:val="00530A07"/>
    <w:rsid w:val="0053121B"/>
    <w:rsid w:val="005312AD"/>
    <w:rsid w:val="005313E9"/>
    <w:rsid w:val="0053155C"/>
    <w:rsid w:val="0053207C"/>
    <w:rsid w:val="00532139"/>
    <w:rsid w:val="005323C1"/>
    <w:rsid w:val="0053243A"/>
    <w:rsid w:val="0053262A"/>
    <w:rsid w:val="0053280D"/>
    <w:rsid w:val="00532A4A"/>
    <w:rsid w:val="00532B20"/>
    <w:rsid w:val="00532C6B"/>
    <w:rsid w:val="00532E00"/>
    <w:rsid w:val="00533098"/>
    <w:rsid w:val="005330A7"/>
    <w:rsid w:val="0053317C"/>
    <w:rsid w:val="00533623"/>
    <w:rsid w:val="0053367D"/>
    <w:rsid w:val="00533B3F"/>
    <w:rsid w:val="00533BE9"/>
    <w:rsid w:val="00533F56"/>
    <w:rsid w:val="00534004"/>
    <w:rsid w:val="00534208"/>
    <w:rsid w:val="005349F4"/>
    <w:rsid w:val="00534DDD"/>
    <w:rsid w:val="005354FA"/>
    <w:rsid w:val="00535553"/>
    <w:rsid w:val="00535732"/>
    <w:rsid w:val="00535C31"/>
    <w:rsid w:val="00535E42"/>
    <w:rsid w:val="005361D5"/>
    <w:rsid w:val="0053663D"/>
    <w:rsid w:val="005367D0"/>
    <w:rsid w:val="00536BD3"/>
    <w:rsid w:val="00536CFF"/>
    <w:rsid w:val="00536DCE"/>
    <w:rsid w:val="00536E0A"/>
    <w:rsid w:val="00536E14"/>
    <w:rsid w:val="00536E51"/>
    <w:rsid w:val="00537199"/>
    <w:rsid w:val="0053732D"/>
    <w:rsid w:val="00537A13"/>
    <w:rsid w:val="00537E2C"/>
    <w:rsid w:val="00537F57"/>
    <w:rsid w:val="00540039"/>
    <w:rsid w:val="00540056"/>
    <w:rsid w:val="00540110"/>
    <w:rsid w:val="00540709"/>
    <w:rsid w:val="005408AD"/>
    <w:rsid w:val="00540B1E"/>
    <w:rsid w:val="00540C17"/>
    <w:rsid w:val="00540CC4"/>
    <w:rsid w:val="00540D65"/>
    <w:rsid w:val="00541100"/>
    <w:rsid w:val="00541952"/>
    <w:rsid w:val="005419AF"/>
    <w:rsid w:val="005419EB"/>
    <w:rsid w:val="00541C19"/>
    <w:rsid w:val="00542913"/>
    <w:rsid w:val="0054297A"/>
    <w:rsid w:val="0054297C"/>
    <w:rsid w:val="00542CFB"/>
    <w:rsid w:val="00542DF8"/>
    <w:rsid w:val="00542EA7"/>
    <w:rsid w:val="00542EFD"/>
    <w:rsid w:val="005430E1"/>
    <w:rsid w:val="005431E3"/>
    <w:rsid w:val="005437D2"/>
    <w:rsid w:val="0054382B"/>
    <w:rsid w:val="005438EB"/>
    <w:rsid w:val="005439A7"/>
    <w:rsid w:val="00543A9B"/>
    <w:rsid w:val="00543C31"/>
    <w:rsid w:val="00543CC7"/>
    <w:rsid w:val="0054494D"/>
    <w:rsid w:val="00544B6D"/>
    <w:rsid w:val="00544D37"/>
    <w:rsid w:val="00545110"/>
    <w:rsid w:val="00545162"/>
    <w:rsid w:val="00545219"/>
    <w:rsid w:val="0054543B"/>
    <w:rsid w:val="00545704"/>
    <w:rsid w:val="00545916"/>
    <w:rsid w:val="00545CA2"/>
    <w:rsid w:val="00546923"/>
    <w:rsid w:val="00546A42"/>
    <w:rsid w:val="00546A59"/>
    <w:rsid w:val="00546CBC"/>
    <w:rsid w:val="00546D52"/>
    <w:rsid w:val="0054712A"/>
    <w:rsid w:val="00547AEB"/>
    <w:rsid w:val="00547AF2"/>
    <w:rsid w:val="00547D90"/>
    <w:rsid w:val="00547F87"/>
    <w:rsid w:val="00550458"/>
    <w:rsid w:val="0055047A"/>
    <w:rsid w:val="00550710"/>
    <w:rsid w:val="00550D02"/>
    <w:rsid w:val="00550F3F"/>
    <w:rsid w:val="00551269"/>
    <w:rsid w:val="00551BC4"/>
    <w:rsid w:val="00552119"/>
    <w:rsid w:val="0055226B"/>
    <w:rsid w:val="0055229C"/>
    <w:rsid w:val="00552579"/>
    <w:rsid w:val="00552610"/>
    <w:rsid w:val="00552664"/>
    <w:rsid w:val="0055288C"/>
    <w:rsid w:val="00552DFE"/>
    <w:rsid w:val="005531C8"/>
    <w:rsid w:val="00553318"/>
    <w:rsid w:val="005538DC"/>
    <w:rsid w:val="00553AC7"/>
    <w:rsid w:val="00553E92"/>
    <w:rsid w:val="00553F91"/>
    <w:rsid w:val="0055420C"/>
    <w:rsid w:val="00554248"/>
    <w:rsid w:val="00554277"/>
    <w:rsid w:val="00554490"/>
    <w:rsid w:val="005544A3"/>
    <w:rsid w:val="005547D0"/>
    <w:rsid w:val="00554CAA"/>
    <w:rsid w:val="00554EE1"/>
    <w:rsid w:val="0055553B"/>
    <w:rsid w:val="005555CD"/>
    <w:rsid w:val="00555665"/>
    <w:rsid w:val="005557DB"/>
    <w:rsid w:val="00556023"/>
    <w:rsid w:val="005560A4"/>
    <w:rsid w:val="00556543"/>
    <w:rsid w:val="00556696"/>
    <w:rsid w:val="0055694D"/>
    <w:rsid w:val="00556A1E"/>
    <w:rsid w:val="00556B23"/>
    <w:rsid w:val="00556EAC"/>
    <w:rsid w:val="00556EB5"/>
    <w:rsid w:val="00557069"/>
    <w:rsid w:val="00557A3E"/>
    <w:rsid w:val="00557C8E"/>
    <w:rsid w:val="00557F42"/>
    <w:rsid w:val="005601D3"/>
    <w:rsid w:val="00560244"/>
    <w:rsid w:val="00560469"/>
    <w:rsid w:val="00560480"/>
    <w:rsid w:val="00560743"/>
    <w:rsid w:val="005608D6"/>
    <w:rsid w:val="00560BD4"/>
    <w:rsid w:val="005610B8"/>
    <w:rsid w:val="0056127D"/>
    <w:rsid w:val="00561592"/>
    <w:rsid w:val="005616D5"/>
    <w:rsid w:val="00561860"/>
    <w:rsid w:val="00561B82"/>
    <w:rsid w:val="00561C33"/>
    <w:rsid w:val="00561E33"/>
    <w:rsid w:val="005620FB"/>
    <w:rsid w:val="00562127"/>
    <w:rsid w:val="0056226E"/>
    <w:rsid w:val="00562D84"/>
    <w:rsid w:val="00562EE7"/>
    <w:rsid w:val="00563330"/>
    <w:rsid w:val="00563843"/>
    <w:rsid w:val="00563B38"/>
    <w:rsid w:val="00563D04"/>
    <w:rsid w:val="00563EDF"/>
    <w:rsid w:val="00563F64"/>
    <w:rsid w:val="0056407A"/>
    <w:rsid w:val="0056433F"/>
    <w:rsid w:val="00564952"/>
    <w:rsid w:val="005649A9"/>
    <w:rsid w:val="00564B38"/>
    <w:rsid w:val="00564B96"/>
    <w:rsid w:val="00564BF5"/>
    <w:rsid w:val="00564C26"/>
    <w:rsid w:val="00564E5F"/>
    <w:rsid w:val="00564F0A"/>
    <w:rsid w:val="00564F7A"/>
    <w:rsid w:val="00565124"/>
    <w:rsid w:val="0056514B"/>
    <w:rsid w:val="005653D4"/>
    <w:rsid w:val="0056540B"/>
    <w:rsid w:val="0056555D"/>
    <w:rsid w:val="0056557F"/>
    <w:rsid w:val="005657F6"/>
    <w:rsid w:val="0056588D"/>
    <w:rsid w:val="00565964"/>
    <w:rsid w:val="005659F4"/>
    <w:rsid w:val="00565D45"/>
    <w:rsid w:val="005660EA"/>
    <w:rsid w:val="005661A1"/>
    <w:rsid w:val="00566296"/>
    <w:rsid w:val="00567074"/>
    <w:rsid w:val="00567281"/>
    <w:rsid w:val="005678FC"/>
    <w:rsid w:val="0056796A"/>
    <w:rsid w:val="00567A51"/>
    <w:rsid w:val="00567A82"/>
    <w:rsid w:val="00567D8F"/>
    <w:rsid w:val="00567E9C"/>
    <w:rsid w:val="00567F20"/>
    <w:rsid w:val="00567FB2"/>
    <w:rsid w:val="00570096"/>
    <w:rsid w:val="0057024D"/>
    <w:rsid w:val="0057026A"/>
    <w:rsid w:val="005702B3"/>
    <w:rsid w:val="005703E2"/>
    <w:rsid w:val="00570624"/>
    <w:rsid w:val="005709AB"/>
    <w:rsid w:val="00570A83"/>
    <w:rsid w:val="00570CD7"/>
    <w:rsid w:val="0057102B"/>
    <w:rsid w:val="005710AE"/>
    <w:rsid w:val="005713AD"/>
    <w:rsid w:val="005714F2"/>
    <w:rsid w:val="00571B39"/>
    <w:rsid w:val="00571FC1"/>
    <w:rsid w:val="00572140"/>
    <w:rsid w:val="00572179"/>
    <w:rsid w:val="005721FB"/>
    <w:rsid w:val="00572346"/>
    <w:rsid w:val="00572A9E"/>
    <w:rsid w:val="00572BB5"/>
    <w:rsid w:val="00572C74"/>
    <w:rsid w:val="00572E12"/>
    <w:rsid w:val="005734AB"/>
    <w:rsid w:val="005734DF"/>
    <w:rsid w:val="0057379B"/>
    <w:rsid w:val="00574105"/>
    <w:rsid w:val="0057460F"/>
    <w:rsid w:val="0057465A"/>
    <w:rsid w:val="00574C30"/>
    <w:rsid w:val="00574D50"/>
    <w:rsid w:val="0057520E"/>
    <w:rsid w:val="00575437"/>
    <w:rsid w:val="005754A2"/>
    <w:rsid w:val="00575529"/>
    <w:rsid w:val="00575559"/>
    <w:rsid w:val="005758F5"/>
    <w:rsid w:val="00575A22"/>
    <w:rsid w:val="00576040"/>
    <w:rsid w:val="005762AD"/>
    <w:rsid w:val="00576434"/>
    <w:rsid w:val="005766F5"/>
    <w:rsid w:val="00576DC7"/>
    <w:rsid w:val="00577009"/>
    <w:rsid w:val="00577564"/>
    <w:rsid w:val="005775DC"/>
    <w:rsid w:val="005777C5"/>
    <w:rsid w:val="005779BF"/>
    <w:rsid w:val="00577F49"/>
    <w:rsid w:val="00580252"/>
    <w:rsid w:val="005803FD"/>
    <w:rsid w:val="005806D8"/>
    <w:rsid w:val="00580A99"/>
    <w:rsid w:val="00580B24"/>
    <w:rsid w:val="00580EF6"/>
    <w:rsid w:val="00580FFE"/>
    <w:rsid w:val="00581564"/>
    <w:rsid w:val="00581571"/>
    <w:rsid w:val="00581C02"/>
    <w:rsid w:val="00581C5F"/>
    <w:rsid w:val="00581C62"/>
    <w:rsid w:val="00581C69"/>
    <w:rsid w:val="00581D56"/>
    <w:rsid w:val="00581E62"/>
    <w:rsid w:val="00582035"/>
    <w:rsid w:val="005820D0"/>
    <w:rsid w:val="00582180"/>
    <w:rsid w:val="005822B7"/>
    <w:rsid w:val="0058259D"/>
    <w:rsid w:val="00582904"/>
    <w:rsid w:val="00582966"/>
    <w:rsid w:val="00582B4B"/>
    <w:rsid w:val="00582CDA"/>
    <w:rsid w:val="00582D03"/>
    <w:rsid w:val="00582DA2"/>
    <w:rsid w:val="0058368D"/>
    <w:rsid w:val="005838A4"/>
    <w:rsid w:val="0058397E"/>
    <w:rsid w:val="00583FC8"/>
    <w:rsid w:val="00584070"/>
    <w:rsid w:val="0058419C"/>
    <w:rsid w:val="00584214"/>
    <w:rsid w:val="0058428B"/>
    <w:rsid w:val="005842B0"/>
    <w:rsid w:val="00584637"/>
    <w:rsid w:val="005846D2"/>
    <w:rsid w:val="00584AD2"/>
    <w:rsid w:val="00584CBC"/>
    <w:rsid w:val="00584E91"/>
    <w:rsid w:val="00585167"/>
    <w:rsid w:val="005855F5"/>
    <w:rsid w:val="005855FF"/>
    <w:rsid w:val="0058571C"/>
    <w:rsid w:val="005859DB"/>
    <w:rsid w:val="00585AC7"/>
    <w:rsid w:val="00585AD7"/>
    <w:rsid w:val="00585C6C"/>
    <w:rsid w:val="00585D32"/>
    <w:rsid w:val="005860F1"/>
    <w:rsid w:val="005863AE"/>
    <w:rsid w:val="005864A3"/>
    <w:rsid w:val="0058654F"/>
    <w:rsid w:val="005865E2"/>
    <w:rsid w:val="00586646"/>
    <w:rsid w:val="00586758"/>
    <w:rsid w:val="005867C2"/>
    <w:rsid w:val="00586A42"/>
    <w:rsid w:val="00586B9C"/>
    <w:rsid w:val="0058720B"/>
    <w:rsid w:val="00587369"/>
    <w:rsid w:val="005874B0"/>
    <w:rsid w:val="0058758C"/>
    <w:rsid w:val="005876F5"/>
    <w:rsid w:val="00587A1D"/>
    <w:rsid w:val="00587D86"/>
    <w:rsid w:val="0059020E"/>
    <w:rsid w:val="00590316"/>
    <w:rsid w:val="0059032D"/>
    <w:rsid w:val="0059034E"/>
    <w:rsid w:val="005904CA"/>
    <w:rsid w:val="00590909"/>
    <w:rsid w:val="00590930"/>
    <w:rsid w:val="00590BF8"/>
    <w:rsid w:val="00590D0B"/>
    <w:rsid w:val="00590DCC"/>
    <w:rsid w:val="00590F73"/>
    <w:rsid w:val="00591067"/>
    <w:rsid w:val="00591988"/>
    <w:rsid w:val="00591BEF"/>
    <w:rsid w:val="00591C46"/>
    <w:rsid w:val="00591D28"/>
    <w:rsid w:val="00591EBF"/>
    <w:rsid w:val="00592037"/>
    <w:rsid w:val="0059210D"/>
    <w:rsid w:val="00592443"/>
    <w:rsid w:val="0059258D"/>
    <w:rsid w:val="005926F5"/>
    <w:rsid w:val="00592A32"/>
    <w:rsid w:val="00592C9D"/>
    <w:rsid w:val="0059304D"/>
    <w:rsid w:val="0059337C"/>
    <w:rsid w:val="0059349B"/>
    <w:rsid w:val="0059351D"/>
    <w:rsid w:val="00593DF9"/>
    <w:rsid w:val="00594357"/>
    <w:rsid w:val="005949E5"/>
    <w:rsid w:val="00594A32"/>
    <w:rsid w:val="00594CFE"/>
    <w:rsid w:val="00594F2E"/>
    <w:rsid w:val="0059518D"/>
    <w:rsid w:val="005952D5"/>
    <w:rsid w:val="005953FA"/>
    <w:rsid w:val="005955F4"/>
    <w:rsid w:val="0059570A"/>
    <w:rsid w:val="00595B3C"/>
    <w:rsid w:val="00595E36"/>
    <w:rsid w:val="00595EB3"/>
    <w:rsid w:val="005960CC"/>
    <w:rsid w:val="005963E0"/>
    <w:rsid w:val="005967BF"/>
    <w:rsid w:val="005967C9"/>
    <w:rsid w:val="00596B22"/>
    <w:rsid w:val="00596D01"/>
    <w:rsid w:val="00596DFC"/>
    <w:rsid w:val="00596E06"/>
    <w:rsid w:val="00596EBE"/>
    <w:rsid w:val="0059708E"/>
    <w:rsid w:val="005979B1"/>
    <w:rsid w:val="00597B42"/>
    <w:rsid w:val="00597C30"/>
    <w:rsid w:val="00597C69"/>
    <w:rsid w:val="00597FCF"/>
    <w:rsid w:val="00597FD2"/>
    <w:rsid w:val="005A01AE"/>
    <w:rsid w:val="005A02C0"/>
    <w:rsid w:val="005A02EE"/>
    <w:rsid w:val="005A0C75"/>
    <w:rsid w:val="005A0F6E"/>
    <w:rsid w:val="005A12BD"/>
    <w:rsid w:val="005A1552"/>
    <w:rsid w:val="005A15A1"/>
    <w:rsid w:val="005A1743"/>
    <w:rsid w:val="005A1ABA"/>
    <w:rsid w:val="005A1B95"/>
    <w:rsid w:val="005A1BD1"/>
    <w:rsid w:val="005A1E9E"/>
    <w:rsid w:val="005A1FEC"/>
    <w:rsid w:val="005A248A"/>
    <w:rsid w:val="005A27BF"/>
    <w:rsid w:val="005A2843"/>
    <w:rsid w:val="005A2DD9"/>
    <w:rsid w:val="005A3244"/>
    <w:rsid w:val="005A338C"/>
    <w:rsid w:val="005A35FB"/>
    <w:rsid w:val="005A378A"/>
    <w:rsid w:val="005A3E51"/>
    <w:rsid w:val="005A3F8D"/>
    <w:rsid w:val="005A4016"/>
    <w:rsid w:val="005A4155"/>
    <w:rsid w:val="005A42A8"/>
    <w:rsid w:val="005A42F8"/>
    <w:rsid w:val="005A4867"/>
    <w:rsid w:val="005A4E72"/>
    <w:rsid w:val="005A4F3D"/>
    <w:rsid w:val="005A5043"/>
    <w:rsid w:val="005A5191"/>
    <w:rsid w:val="005A523C"/>
    <w:rsid w:val="005A5391"/>
    <w:rsid w:val="005A5459"/>
    <w:rsid w:val="005A6648"/>
    <w:rsid w:val="005A6798"/>
    <w:rsid w:val="005A6E08"/>
    <w:rsid w:val="005A6E13"/>
    <w:rsid w:val="005A6E14"/>
    <w:rsid w:val="005A6E98"/>
    <w:rsid w:val="005A6EAF"/>
    <w:rsid w:val="005A7028"/>
    <w:rsid w:val="005A75F6"/>
    <w:rsid w:val="005A78BB"/>
    <w:rsid w:val="005A7982"/>
    <w:rsid w:val="005A7E0E"/>
    <w:rsid w:val="005B03A1"/>
    <w:rsid w:val="005B053D"/>
    <w:rsid w:val="005B05BD"/>
    <w:rsid w:val="005B0734"/>
    <w:rsid w:val="005B09FE"/>
    <w:rsid w:val="005B0F96"/>
    <w:rsid w:val="005B15D5"/>
    <w:rsid w:val="005B180F"/>
    <w:rsid w:val="005B19CF"/>
    <w:rsid w:val="005B1CAF"/>
    <w:rsid w:val="005B1D15"/>
    <w:rsid w:val="005B1DA7"/>
    <w:rsid w:val="005B1FA9"/>
    <w:rsid w:val="005B2312"/>
    <w:rsid w:val="005B242F"/>
    <w:rsid w:val="005B25E3"/>
    <w:rsid w:val="005B27A6"/>
    <w:rsid w:val="005B27C7"/>
    <w:rsid w:val="005B29B8"/>
    <w:rsid w:val="005B2FD4"/>
    <w:rsid w:val="005B330F"/>
    <w:rsid w:val="005B36EB"/>
    <w:rsid w:val="005B38F6"/>
    <w:rsid w:val="005B391E"/>
    <w:rsid w:val="005B396B"/>
    <w:rsid w:val="005B3F58"/>
    <w:rsid w:val="005B3F8B"/>
    <w:rsid w:val="005B4009"/>
    <w:rsid w:val="005B419D"/>
    <w:rsid w:val="005B49B4"/>
    <w:rsid w:val="005B565D"/>
    <w:rsid w:val="005B56C1"/>
    <w:rsid w:val="005B5829"/>
    <w:rsid w:val="005B5BDB"/>
    <w:rsid w:val="005B5F98"/>
    <w:rsid w:val="005B5FB6"/>
    <w:rsid w:val="005B618E"/>
    <w:rsid w:val="005B62B6"/>
    <w:rsid w:val="005B643C"/>
    <w:rsid w:val="005B6806"/>
    <w:rsid w:val="005B7065"/>
    <w:rsid w:val="005B7090"/>
    <w:rsid w:val="005B724E"/>
    <w:rsid w:val="005B779C"/>
    <w:rsid w:val="005B7AF1"/>
    <w:rsid w:val="005C01E8"/>
    <w:rsid w:val="005C0213"/>
    <w:rsid w:val="005C0533"/>
    <w:rsid w:val="005C1071"/>
    <w:rsid w:val="005C123B"/>
    <w:rsid w:val="005C1646"/>
    <w:rsid w:val="005C18A8"/>
    <w:rsid w:val="005C19E5"/>
    <w:rsid w:val="005C1E0D"/>
    <w:rsid w:val="005C226F"/>
    <w:rsid w:val="005C231A"/>
    <w:rsid w:val="005C2508"/>
    <w:rsid w:val="005C271A"/>
    <w:rsid w:val="005C2786"/>
    <w:rsid w:val="005C295C"/>
    <w:rsid w:val="005C2E3A"/>
    <w:rsid w:val="005C2EDB"/>
    <w:rsid w:val="005C30B7"/>
    <w:rsid w:val="005C3386"/>
    <w:rsid w:val="005C3501"/>
    <w:rsid w:val="005C3AA8"/>
    <w:rsid w:val="005C3BE6"/>
    <w:rsid w:val="005C440F"/>
    <w:rsid w:val="005C4630"/>
    <w:rsid w:val="005C4D00"/>
    <w:rsid w:val="005C4FEE"/>
    <w:rsid w:val="005C5296"/>
    <w:rsid w:val="005C59D3"/>
    <w:rsid w:val="005C5A9F"/>
    <w:rsid w:val="005C5D29"/>
    <w:rsid w:val="005C6085"/>
    <w:rsid w:val="005C6124"/>
    <w:rsid w:val="005C6175"/>
    <w:rsid w:val="005C64AD"/>
    <w:rsid w:val="005C654A"/>
    <w:rsid w:val="005C660A"/>
    <w:rsid w:val="005C66CD"/>
    <w:rsid w:val="005C676B"/>
    <w:rsid w:val="005C6E93"/>
    <w:rsid w:val="005C6F4D"/>
    <w:rsid w:val="005C70CE"/>
    <w:rsid w:val="005C7345"/>
    <w:rsid w:val="005C77BB"/>
    <w:rsid w:val="005C7F69"/>
    <w:rsid w:val="005D02B1"/>
    <w:rsid w:val="005D0449"/>
    <w:rsid w:val="005D06C4"/>
    <w:rsid w:val="005D0F42"/>
    <w:rsid w:val="005D1274"/>
    <w:rsid w:val="005D152A"/>
    <w:rsid w:val="005D1707"/>
    <w:rsid w:val="005D17DB"/>
    <w:rsid w:val="005D1AB2"/>
    <w:rsid w:val="005D204F"/>
    <w:rsid w:val="005D22A7"/>
    <w:rsid w:val="005D2945"/>
    <w:rsid w:val="005D33B4"/>
    <w:rsid w:val="005D3685"/>
    <w:rsid w:val="005D385C"/>
    <w:rsid w:val="005D3BA7"/>
    <w:rsid w:val="005D3F2C"/>
    <w:rsid w:val="005D4148"/>
    <w:rsid w:val="005D453D"/>
    <w:rsid w:val="005D4748"/>
    <w:rsid w:val="005D4824"/>
    <w:rsid w:val="005D4982"/>
    <w:rsid w:val="005D4A43"/>
    <w:rsid w:val="005D500D"/>
    <w:rsid w:val="005D50FB"/>
    <w:rsid w:val="005D53A2"/>
    <w:rsid w:val="005D55D9"/>
    <w:rsid w:val="005D5952"/>
    <w:rsid w:val="005D5AE6"/>
    <w:rsid w:val="005D5B63"/>
    <w:rsid w:val="005D5D7B"/>
    <w:rsid w:val="005D5D99"/>
    <w:rsid w:val="005D6922"/>
    <w:rsid w:val="005D6CC6"/>
    <w:rsid w:val="005D6CE7"/>
    <w:rsid w:val="005D6D07"/>
    <w:rsid w:val="005D6F66"/>
    <w:rsid w:val="005D724A"/>
    <w:rsid w:val="005D73B0"/>
    <w:rsid w:val="005D73CA"/>
    <w:rsid w:val="005D7423"/>
    <w:rsid w:val="005D76D3"/>
    <w:rsid w:val="005D7913"/>
    <w:rsid w:val="005D7965"/>
    <w:rsid w:val="005D7A0F"/>
    <w:rsid w:val="005E005A"/>
    <w:rsid w:val="005E021E"/>
    <w:rsid w:val="005E04E9"/>
    <w:rsid w:val="005E05CD"/>
    <w:rsid w:val="005E0616"/>
    <w:rsid w:val="005E06C8"/>
    <w:rsid w:val="005E0A83"/>
    <w:rsid w:val="005E0CE4"/>
    <w:rsid w:val="005E1327"/>
    <w:rsid w:val="005E1344"/>
    <w:rsid w:val="005E153B"/>
    <w:rsid w:val="005E16A7"/>
    <w:rsid w:val="005E1806"/>
    <w:rsid w:val="005E1C1E"/>
    <w:rsid w:val="005E1C7B"/>
    <w:rsid w:val="005E2164"/>
    <w:rsid w:val="005E2258"/>
    <w:rsid w:val="005E233D"/>
    <w:rsid w:val="005E2B3F"/>
    <w:rsid w:val="005E2B90"/>
    <w:rsid w:val="005E2CA6"/>
    <w:rsid w:val="005E325C"/>
    <w:rsid w:val="005E32B7"/>
    <w:rsid w:val="005E3337"/>
    <w:rsid w:val="005E368D"/>
    <w:rsid w:val="005E36C2"/>
    <w:rsid w:val="005E3710"/>
    <w:rsid w:val="005E37A5"/>
    <w:rsid w:val="005E3874"/>
    <w:rsid w:val="005E3992"/>
    <w:rsid w:val="005E39AF"/>
    <w:rsid w:val="005E39B8"/>
    <w:rsid w:val="005E3AFE"/>
    <w:rsid w:val="005E3B56"/>
    <w:rsid w:val="005E3CF1"/>
    <w:rsid w:val="005E3EB3"/>
    <w:rsid w:val="005E3F5D"/>
    <w:rsid w:val="005E3F80"/>
    <w:rsid w:val="005E42A1"/>
    <w:rsid w:val="005E4410"/>
    <w:rsid w:val="005E4B08"/>
    <w:rsid w:val="005E4D19"/>
    <w:rsid w:val="005E4E1F"/>
    <w:rsid w:val="005E4ECD"/>
    <w:rsid w:val="005E507D"/>
    <w:rsid w:val="005E519A"/>
    <w:rsid w:val="005E545D"/>
    <w:rsid w:val="005E61AC"/>
    <w:rsid w:val="005E61B8"/>
    <w:rsid w:val="005E6282"/>
    <w:rsid w:val="005E6521"/>
    <w:rsid w:val="005E65C6"/>
    <w:rsid w:val="005E687F"/>
    <w:rsid w:val="005E69E4"/>
    <w:rsid w:val="005E6C36"/>
    <w:rsid w:val="005E70C9"/>
    <w:rsid w:val="005E7250"/>
    <w:rsid w:val="005E72A1"/>
    <w:rsid w:val="005E72F4"/>
    <w:rsid w:val="005E7405"/>
    <w:rsid w:val="005E7673"/>
    <w:rsid w:val="005E7AF8"/>
    <w:rsid w:val="005E7C10"/>
    <w:rsid w:val="005F0007"/>
    <w:rsid w:val="005F005B"/>
    <w:rsid w:val="005F0136"/>
    <w:rsid w:val="005F01E7"/>
    <w:rsid w:val="005F031C"/>
    <w:rsid w:val="005F0772"/>
    <w:rsid w:val="005F07D1"/>
    <w:rsid w:val="005F088A"/>
    <w:rsid w:val="005F0A5F"/>
    <w:rsid w:val="005F0BD1"/>
    <w:rsid w:val="005F0E27"/>
    <w:rsid w:val="005F0EE3"/>
    <w:rsid w:val="005F10D7"/>
    <w:rsid w:val="005F117D"/>
    <w:rsid w:val="005F12D3"/>
    <w:rsid w:val="005F14AD"/>
    <w:rsid w:val="005F1579"/>
    <w:rsid w:val="005F15F6"/>
    <w:rsid w:val="005F1683"/>
    <w:rsid w:val="005F1B00"/>
    <w:rsid w:val="005F20F4"/>
    <w:rsid w:val="005F2247"/>
    <w:rsid w:val="005F23F7"/>
    <w:rsid w:val="005F29C4"/>
    <w:rsid w:val="005F2E5B"/>
    <w:rsid w:val="005F2EC2"/>
    <w:rsid w:val="005F2F3D"/>
    <w:rsid w:val="005F2FA7"/>
    <w:rsid w:val="005F33C2"/>
    <w:rsid w:val="005F34DF"/>
    <w:rsid w:val="005F3680"/>
    <w:rsid w:val="005F39A1"/>
    <w:rsid w:val="005F3AB1"/>
    <w:rsid w:val="005F3AE8"/>
    <w:rsid w:val="005F3E0F"/>
    <w:rsid w:val="005F3EC6"/>
    <w:rsid w:val="005F3F36"/>
    <w:rsid w:val="005F4094"/>
    <w:rsid w:val="005F4414"/>
    <w:rsid w:val="005F4AC9"/>
    <w:rsid w:val="005F4C6D"/>
    <w:rsid w:val="005F4F88"/>
    <w:rsid w:val="005F50B5"/>
    <w:rsid w:val="005F5243"/>
    <w:rsid w:val="005F52C9"/>
    <w:rsid w:val="005F5822"/>
    <w:rsid w:val="005F5AA9"/>
    <w:rsid w:val="005F5B79"/>
    <w:rsid w:val="005F5C41"/>
    <w:rsid w:val="005F5C56"/>
    <w:rsid w:val="005F5E49"/>
    <w:rsid w:val="005F5EB2"/>
    <w:rsid w:val="005F603F"/>
    <w:rsid w:val="005F6BF4"/>
    <w:rsid w:val="005F6CAD"/>
    <w:rsid w:val="005F6DBF"/>
    <w:rsid w:val="005F726B"/>
    <w:rsid w:val="005F726E"/>
    <w:rsid w:val="005F79FE"/>
    <w:rsid w:val="005F7C07"/>
    <w:rsid w:val="0060014D"/>
    <w:rsid w:val="0060050F"/>
    <w:rsid w:val="00600679"/>
    <w:rsid w:val="00600788"/>
    <w:rsid w:val="006008F8"/>
    <w:rsid w:val="00600D1F"/>
    <w:rsid w:val="00600D4E"/>
    <w:rsid w:val="00601152"/>
    <w:rsid w:val="00601633"/>
    <w:rsid w:val="00601B61"/>
    <w:rsid w:val="00601B7D"/>
    <w:rsid w:val="00601CB3"/>
    <w:rsid w:val="00601DC1"/>
    <w:rsid w:val="00601F4B"/>
    <w:rsid w:val="00601FEC"/>
    <w:rsid w:val="00602176"/>
    <w:rsid w:val="006022BD"/>
    <w:rsid w:val="0060262A"/>
    <w:rsid w:val="0060274F"/>
    <w:rsid w:val="00602845"/>
    <w:rsid w:val="00602A9F"/>
    <w:rsid w:val="00602CDD"/>
    <w:rsid w:val="00602E70"/>
    <w:rsid w:val="00603091"/>
    <w:rsid w:val="006030A0"/>
    <w:rsid w:val="006030DD"/>
    <w:rsid w:val="006036D1"/>
    <w:rsid w:val="006037AB"/>
    <w:rsid w:val="00603AD6"/>
    <w:rsid w:val="00603B8D"/>
    <w:rsid w:val="00603D3D"/>
    <w:rsid w:val="006048E0"/>
    <w:rsid w:val="00604958"/>
    <w:rsid w:val="00604999"/>
    <w:rsid w:val="00604D4E"/>
    <w:rsid w:val="00604F05"/>
    <w:rsid w:val="006050B2"/>
    <w:rsid w:val="0060525A"/>
    <w:rsid w:val="006053C2"/>
    <w:rsid w:val="0060568F"/>
    <w:rsid w:val="006058C7"/>
    <w:rsid w:val="00605C04"/>
    <w:rsid w:val="00606125"/>
    <w:rsid w:val="00606670"/>
    <w:rsid w:val="00606978"/>
    <w:rsid w:val="00606E7B"/>
    <w:rsid w:val="00606EA0"/>
    <w:rsid w:val="00606F55"/>
    <w:rsid w:val="006071A7"/>
    <w:rsid w:val="006072A3"/>
    <w:rsid w:val="006073B0"/>
    <w:rsid w:val="006076F2"/>
    <w:rsid w:val="00607841"/>
    <w:rsid w:val="00607B53"/>
    <w:rsid w:val="00607BA6"/>
    <w:rsid w:val="00607FF9"/>
    <w:rsid w:val="006102AE"/>
    <w:rsid w:val="00610341"/>
    <w:rsid w:val="006103B7"/>
    <w:rsid w:val="00610539"/>
    <w:rsid w:val="006106A0"/>
    <w:rsid w:val="006107CF"/>
    <w:rsid w:val="00610BFB"/>
    <w:rsid w:val="00610EA7"/>
    <w:rsid w:val="00610F98"/>
    <w:rsid w:val="00610FE6"/>
    <w:rsid w:val="00611711"/>
    <w:rsid w:val="00611851"/>
    <w:rsid w:val="006118A8"/>
    <w:rsid w:val="00611BDC"/>
    <w:rsid w:val="00611E35"/>
    <w:rsid w:val="00611E68"/>
    <w:rsid w:val="006122FF"/>
    <w:rsid w:val="0061278F"/>
    <w:rsid w:val="00612D4F"/>
    <w:rsid w:val="00612D79"/>
    <w:rsid w:val="00612E77"/>
    <w:rsid w:val="00612EB7"/>
    <w:rsid w:val="00612F62"/>
    <w:rsid w:val="00612FE0"/>
    <w:rsid w:val="0061308C"/>
    <w:rsid w:val="006134F2"/>
    <w:rsid w:val="00613556"/>
    <w:rsid w:val="00613563"/>
    <w:rsid w:val="00613664"/>
    <w:rsid w:val="00613C7C"/>
    <w:rsid w:val="00613D5D"/>
    <w:rsid w:val="00613F93"/>
    <w:rsid w:val="006141A7"/>
    <w:rsid w:val="00614D3E"/>
    <w:rsid w:val="00615147"/>
    <w:rsid w:val="006151AA"/>
    <w:rsid w:val="00615363"/>
    <w:rsid w:val="006158B2"/>
    <w:rsid w:val="0061592B"/>
    <w:rsid w:val="00615E31"/>
    <w:rsid w:val="00615F96"/>
    <w:rsid w:val="00615FE1"/>
    <w:rsid w:val="00616502"/>
    <w:rsid w:val="00616D69"/>
    <w:rsid w:val="00617099"/>
    <w:rsid w:val="006172B8"/>
    <w:rsid w:val="0061739B"/>
    <w:rsid w:val="00617538"/>
    <w:rsid w:val="0061755B"/>
    <w:rsid w:val="006177C7"/>
    <w:rsid w:val="00617D45"/>
    <w:rsid w:val="00617E89"/>
    <w:rsid w:val="00620060"/>
    <w:rsid w:val="006200E9"/>
    <w:rsid w:val="0062050A"/>
    <w:rsid w:val="0062055D"/>
    <w:rsid w:val="006207C8"/>
    <w:rsid w:val="006209A8"/>
    <w:rsid w:val="006209D6"/>
    <w:rsid w:val="00620BEA"/>
    <w:rsid w:val="00620BFF"/>
    <w:rsid w:val="00620C9B"/>
    <w:rsid w:val="00621540"/>
    <w:rsid w:val="00621B58"/>
    <w:rsid w:val="00621EFD"/>
    <w:rsid w:val="00621F04"/>
    <w:rsid w:val="00622412"/>
    <w:rsid w:val="006224B5"/>
    <w:rsid w:val="00622553"/>
    <w:rsid w:val="0062261D"/>
    <w:rsid w:val="006226D7"/>
    <w:rsid w:val="00622B15"/>
    <w:rsid w:val="00622C57"/>
    <w:rsid w:val="00622EA7"/>
    <w:rsid w:val="00622FE1"/>
    <w:rsid w:val="006231B8"/>
    <w:rsid w:val="006232AD"/>
    <w:rsid w:val="006232FC"/>
    <w:rsid w:val="00623318"/>
    <w:rsid w:val="006234E5"/>
    <w:rsid w:val="006238ED"/>
    <w:rsid w:val="00623A23"/>
    <w:rsid w:val="00623F69"/>
    <w:rsid w:val="00624035"/>
    <w:rsid w:val="0062411D"/>
    <w:rsid w:val="0062430B"/>
    <w:rsid w:val="00624414"/>
    <w:rsid w:val="00624F61"/>
    <w:rsid w:val="006251CA"/>
    <w:rsid w:val="00625787"/>
    <w:rsid w:val="00625841"/>
    <w:rsid w:val="00625845"/>
    <w:rsid w:val="00625ADB"/>
    <w:rsid w:val="00626078"/>
    <w:rsid w:val="006260F8"/>
    <w:rsid w:val="00626164"/>
    <w:rsid w:val="0062638B"/>
    <w:rsid w:val="006264DB"/>
    <w:rsid w:val="00626DE2"/>
    <w:rsid w:val="0062722E"/>
    <w:rsid w:val="00627585"/>
    <w:rsid w:val="00627649"/>
    <w:rsid w:val="00627934"/>
    <w:rsid w:val="00627983"/>
    <w:rsid w:val="006300C5"/>
    <w:rsid w:val="00630517"/>
    <w:rsid w:val="006306D0"/>
    <w:rsid w:val="006306D4"/>
    <w:rsid w:val="00630A65"/>
    <w:rsid w:val="00630B6E"/>
    <w:rsid w:val="00630C09"/>
    <w:rsid w:val="00630C95"/>
    <w:rsid w:val="00630CCE"/>
    <w:rsid w:val="00630DCF"/>
    <w:rsid w:val="00631209"/>
    <w:rsid w:val="006319F8"/>
    <w:rsid w:val="00631ECA"/>
    <w:rsid w:val="006327C0"/>
    <w:rsid w:val="00632D09"/>
    <w:rsid w:val="00632F22"/>
    <w:rsid w:val="006330D3"/>
    <w:rsid w:val="0063354E"/>
    <w:rsid w:val="006336BB"/>
    <w:rsid w:val="006338BF"/>
    <w:rsid w:val="00633A92"/>
    <w:rsid w:val="00633D8F"/>
    <w:rsid w:val="00633E98"/>
    <w:rsid w:val="00634256"/>
    <w:rsid w:val="006342B7"/>
    <w:rsid w:val="00634427"/>
    <w:rsid w:val="00634476"/>
    <w:rsid w:val="0063473D"/>
    <w:rsid w:val="0063485A"/>
    <w:rsid w:val="006349DA"/>
    <w:rsid w:val="00634E78"/>
    <w:rsid w:val="00634E87"/>
    <w:rsid w:val="00634E95"/>
    <w:rsid w:val="00634F4B"/>
    <w:rsid w:val="0063510A"/>
    <w:rsid w:val="00635142"/>
    <w:rsid w:val="006352A6"/>
    <w:rsid w:val="006355C3"/>
    <w:rsid w:val="006356AB"/>
    <w:rsid w:val="006356BF"/>
    <w:rsid w:val="006356C2"/>
    <w:rsid w:val="00635819"/>
    <w:rsid w:val="00635A29"/>
    <w:rsid w:val="00635A45"/>
    <w:rsid w:val="00635CC7"/>
    <w:rsid w:val="0063627D"/>
    <w:rsid w:val="00636414"/>
    <w:rsid w:val="0063655F"/>
    <w:rsid w:val="00636633"/>
    <w:rsid w:val="006366E6"/>
    <w:rsid w:val="0063688F"/>
    <w:rsid w:val="006369C3"/>
    <w:rsid w:val="00636A02"/>
    <w:rsid w:val="00636C3B"/>
    <w:rsid w:val="00636F1C"/>
    <w:rsid w:val="00637355"/>
    <w:rsid w:val="0063753C"/>
    <w:rsid w:val="00637C0D"/>
    <w:rsid w:val="00637E84"/>
    <w:rsid w:val="006400F0"/>
    <w:rsid w:val="006403E6"/>
    <w:rsid w:val="006407A7"/>
    <w:rsid w:val="006407D2"/>
    <w:rsid w:val="00640A94"/>
    <w:rsid w:val="00640ABB"/>
    <w:rsid w:val="00640C94"/>
    <w:rsid w:val="0064101F"/>
    <w:rsid w:val="00641057"/>
    <w:rsid w:val="00641227"/>
    <w:rsid w:val="00641370"/>
    <w:rsid w:val="0064148F"/>
    <w:rsid w:val="00641567"/>
    <w:rsid w:val="00641690"/>
    <w:rsid w:val="00641BE3"/>
    <w:rsid w:val="00641F26"/>
    <w:rsid w:val="0064231C"/>
    <w:rsid w:val="006423B8"/>
    <w:rsid w:val="006423E1"/>
    <w:rsid w:val="00642443"/>
    <w:rsid w:val="006427C9"/>
    <w:rsid w:val="0064293C"/>
    <w:rsid w:val="00642C10"/>
    <w:rsid w:val="00642CD2"/>
    <w:rsid w:val="00642F1B"/>
    <w:rsid w:val="006431C2"/>
    <w:rsid w:val="00643B4C"/>
    <w:rsid w:val="006441DB"/>
    <w:rsid w:val="006443C3"/>
    <w:rsid w:val="00644452"/>
    <w:rsid w:val="006445F7"/>
    <w:rsid w:val="00644984"/>
    <w:rsid w:val="00644AF6"/>
    <w:rsid w:val="00644EC8"/>
    <w:rsid w:val="00645071"/>
    <w:rsid w:val="0064523F"/>
    <w:rsid w:val="0064528B"/>
    <w:rsid w:val="006452F8"/>
    <w:rsid w:val="006454E3"/>
    <w:rsid w:val="00645569"/>
    <w:rsid w:val="006459CE"/>
    <w:rsid w:val="00645B94"/>
    <w:rsid w:val="00645DF0"/>
    <w:rsid w:val="006460DB"/>
    <w:rsid w:val="006461B0"/>
    <w:rsid w:val="006463FB"/>
    <w:rsid w:val="0064643F"/>
    <w:rsid w:val="0064665E"/>
    <w:rsid w:val="0064684F"/>
    <w:rsid w:val="00646850"/>
    <w:rsid w:val="00646924"/>
    <w:rsid w:val="00646C5A"/>
    <w:rsid w:val="00646D15"/>
    <w:rsid w:val="00646DA7"/>
    <w:rsid w:val="00646DFA"/>
    <w:rsid w:val="00646ECB"/>
    <w:rsid w:val="00647051"/>
    <w:rsid w:val="0064728E"/>
    <w:rsid w:val="0064780E"/>
    <w:rsid w:val="00647893"/>
    <w:rsid w:val="006479DF"/>
    <w:rsid w:val="00647A98"/>
    <w:rsid w:val="00647B9F"/>
    <w:rsid w:val="00647BEB"/>
    <w:rsid w:val="00647CB8"/>
    <w:rsid w:val="00650120"/>
    <w:rsid w:val="0065056C"/>
    <w:rsid w:val="00650AEA"/>
    <w:rsid w:val="00650C75"/>
    <w:rsid w:val="00650C93"/>
    <w:rsid w:val="00650F57"/>
    <w:rsid w:val="006510FE"/>
    <w:rsid w:val="00651246"/>
    <w:rsid w:val="00651790"/>
    <w:rsid w:val="0065192F"/>
    <w:rsid w:val="00651BF3"/>
    <w:rsid w:val="00652623"/>
    <w:rsid w:val="00652A4D"/>
    <w:rsid w:val="00652CE0"/>
    <w:rsid w:val="00652EDD"/>
    <w:rsid w:val="006534FE"/>
    <w:rsid w:val="006536E6"/>
    <w:rsid w:val="00653857"/>
    <w:rsid w:val="006538F1"/>
    <w:rsid w:val="006539D4"/>
    <w:rsid w:val="00653B39"/>
    <w:rsid w:val="00653C3B"/>
    <w:rsid w:val="00653C65"/>
    <w:rsid w:val="00653F56"/>
    <w:rsid w:val="006540C2"/>
    <w:rsid w:val="00654119"/>
    <w:rsid w:val="006549E1"/>
    <w:rsid w:val="00654C32"/>
    <w:rsid w:val="0065501B"/>
    <w:rsid w:val="0065585D"/>
    <w:rsid w:val="00655A5D"/>
    <w:rsid w:val="00655B24"/>
    <w:rsid w:val="00655BC6"/>
    <w:rsid w:val="00655C54"/>
    <w:rsid w:val="0065618B"/>
    <w:rsid w:val="00656288"/>
    <w:rsid w:val="006564DB"/>
    <w:rsid w:val="006566A5"/>
    <w:rsid w:val="006567F3"/>
    <w:rsid w:val="006568CF"/>
    <w:rsid w:val="00656CFD"/>
    <w:rsid w:val="00656D74"/>
    <w:rsid w:val="00656E6C"/>
    <w:rsid w:val="0065732A"/>
    <w:rsid w:val="00657746"/>
    <w:rsid w:val="0065781C"/>
    <w:rsid w:val="00657AA1"/>
    <w:rsid w:val="00657C85"/>
    <w:rsid w:val="006601DE"/>
    <w:rsid w:val="00660424"/>
    <w:rsid w:val="00660648"/>
    <w:rsid w:val="00660687"/>
    <w:rsid w:val="0066081F"/>
    <w:rsid w:val="00660C00"/>
    <w:rsid w:val="006618E5"/>
    <w:rsid w:val="00661D2D"/>
    <w:rsid w:val="0066209C"/>
    <w:rsid w:val="00662126"/>
    <w:rsid w:val="006624CE"/>
    <w:rsid w:val="00662B7D"/>
    <w:rsid w:val="00662D4D"/>
    <w:rsid w:val="0066309E"/>
    <w:rsid w:val="00663DA7"/>
    <w:rsid w:val="00664077"/>
    <w:rsid w:val="0066439E"/>
    <w:rsid w:val="00664431"/>
    <w:rsid w:val="0066476B"/>
    <w:rsid w:val="00664A9E"/>
    <w:rsid w:val="006652DD"/>
    <w:rsid w:val="00665925"/>
    <w:rsid w:val="00665DDE"/>
    <w:rsid w:val="00665EAA"/>
    <w:rsid w:val="006666E9"/>
    <w:rsid w:val="0066670C"/>
    <w:rsid w:val="00666767"/>
    <w:rsid w:val="0066718A"/>
    <w:rsid w:val="006673B9"/>
    <w:rsid w:val="006678DA"/>
    <w:rsid w:val="00667CAC"/>
    <w:rsid w:val="00667CF2"/>
    <w:rsid w:val="00667DC4"/>
    <w:rsid w:val="0067022C"/>
    <w:rsid w:val="00670259"/>
    <w:rsid w:val="006705B6"/>
    <w:rsid w:val="00670713"/>
    <w:rsid w:val="0067072D"/>
    <w:rsid w:val="00670752"/>
    <w:rsid w:val="006707F4"/>
    <w:rsid w:val="00670876"/>
    <w:rsid w:val="00670A3B"/>
    <w:rsid w:val="00670CBB"/>
    <w:rsid w:val="00670F3B"/>
    <w:rsid w:val="00671412"/>
    <w:rsid w:val="006714FE"/>
    <w:rsid w:val="006715C5"/>
    <w:rsid w:val="00671804"/>
    <w:rsid w:val="00671848"/>
    <w:rsid w:val="006718BD"/>
    <w:rsid w:val="00671D36"/>
    <w:rsid w:val="00671F73"/>
    <w:rsid w:val="006721A0"/>
    <w:rsid w:val="00672276"/>
    <w:rsid w:val="006722E3"/>
    <w:rsid w:val="0067240B"/>
    <w:rsid w:val="0067260A"/>
    <w:rsid w:val="00672700"/>
    <w:rsid w:val="006727B2"/>
    <w:rsid w:val="006732A7"/>
    <w:rsid w:val="006735AB"/>
    <w:rsid w:val="006736DE"/>
    <w:rsid w:val="006738B3"/>
    <w:rsid w:val="00673B56"/>
    <w:rsid w:val="00673BED"/>
    <w:rsid w:val="00673E5A"/>
    <w:rsid w:val="006741DB"/>
    <w:rsid w:val="0067426B"/>
    <w:rsid w:val="00674329"/>
    <w:rsid w:val="006749C6"/>
    <w:rsid w:val="006749CE"/>
    <w:rsid w:val="00674D5A"/>
    <w:rsid w:val="00674E44"/>
    <w:rsid w:val="00674FEB"/>
    <w:rsid w:val="006757CA"/>
    <w:rsid w:val="00675A0E"/>
    <w:rsid w:val="00675D3A"/>
    <w:rsid w:val="00675D64"/>
    <w:rsid w:val="00675D7C"/>
    <w:rsid w:val="00675E6C"/>
    <w:rsid w:val="00675FE0"/>
    <w:rsid w:val="0067631C"/>
    <w:rsid w:val="00676585"/>
    <w:rsid w:val="00676689"/>
    <w:rsid w:val="006767A6"/>
    <w:rsid w:val="00676F10"/>
    <w:rsid w:val="00677132"/>
    <w:rsid w:val="0067727D"/>
    <w:rsid w:val="0067764A"/>
    <w:rsid w:val="0067794D"/>
    <w:rsid w:val="00677A92"/>
    <w:rsid w:val="00677E52"/>
    <w:rsid w:val="0068002B"/>
    <w:rsid w:val="0068046E"/>
    <w:rsid w:val="0068078D"/>
    <w:rsid w:val="00680892"/>
    <w:rsid w:val="00680968"/>
    <w:rsid w:val="00680A50"/>
    <w:rsid w:val="00680BB2"/>
    <w:rsid w:val="00680E02"/>
    <w:rsid w:val="006812F6"/>
    <w:rsid w:val="006813B8"/>
    <w:rsid w:val="00681A2F"/>
    <w:rsid w:val="00681F12"/>
    <w:rsid w:val="006829AE"/>
    <w:rsid w:val="00683C1B"/>
    <w:rsid w:val="00683D40"/>
    <w:rsid w:val="00683D4F"/>
    <w:rsid w:val="00683D8B"/>
    <w:rsid w:val="00683F0E"/>
    <w:rsid w:val="00683FF1"/>
    <w:rsid w:val="006840D4"/>
    <w:rsid w:val="00684219"/>
    <w:rsid w:val="00684469"/>
    <w:rsid w:val="006847FA"/>
    <w:rsid w:val="0068483E"/>
    <w:rsid w:val="00684BF8"/>
    <w:rsid w:val="00684CA4"/>
    <w:rsid w:val="00684D30"/>
    <w:rsid w:val="00685927"/>
    <w:rsid w:val="006859EC"/>
    <w:rsid w:val="00685B24"/>
    <w:rsid w:val="00686415"/>
    <w:rsid w:val="0068646E"/>
    <w:rsid w:val="006868E8"/>
    <w:rsid w:val="006869A9"/>
    <w:rsid w:val="00686D61"/>
    <w:rsid w:val="00686F7B"/>
    <w:rsid w:val="0068724E"/>
    <w:rsid w:val="00687439"/>
    <w:rsid w:val="006874FB"/>
    <w:rsid w:val="006876A1"/>
    <w:rsid w:val="00687747"/>
    <w:rsid w:val="00687750"/>
    <w:rsid w:val="006877F0"/>
    <w:rsid w:val="00687928"/>
    <w:rsid w:val="00687B82"/>
    <w:rsid w:val="00690B9C"/>
    <w:rsid w:val="00690CFA"/>
    <w:rsid w:val="00690E00"/>
    <w:rsid w:val="0069141E"/>
    <w:rsid w:val="00691495"/>
    <w:rsid w:val="0069150A"/>
    <w:rsid w:val="00691625"/>
    <w:rsid w:val="006916E3"/>
    <w:rsid w:val="00691761"/>
    <w:rsid w:val="00691E34"/>
    <w:rsid w:val="00691F9D"/>
    <w:rsid w:val="0069205E"/>
    <w:rsid w:val="0069233C"/>
    <w:rsid w:val="00692404"/>
    <w:rsid w:val="00692453"/>
    <w:rsid w:val="00692913"/>
    <w:rsid w:val="00692A94"/>
    <w:rsid w:val="00692B6C"/>
    <w:rsid w:val="00692BEB"/>
    <w:rsid w:val="00692E93"/>
    <w:rsid w:val="006930CC"/>
    <w:rsid w:val="0069330D"/>
    <w:rsid w:val="006933BC"/>
    <w:rsid w:val="006933D3"/>
    <w:rsid w:val="006937D8"/>
    <w:rsid w:val="006939E6"/>
    <w:rsid w:val="00693C90"/>
    <w:rsid w:val="00693D60"/>
    <w:rsid w:val="00693EEB"/>
    <w:rsid w:val="00694269"/>
    <w:rsid w:val="00694587"/>
    <w:rsid w:val="00694634"/>
    <w:rsid w:val="006947D2"/>
    <w:rsid w:val="006949CA"/>
    <w:rsid w:val="006949EA"/>
    <w:rsid w:val="00694AA3"/>
    <w:rsid w:val="00694D65"/>
    <w:rsid w:val="00694DEA"/>
    <w:rsid w:val="00694E5C"/>
    <w:rsid w:val="00694E9E"/>
    <w:rsid w:val="00694FFC"/>
    <w:rsid w:val="006952D4"/>
    <w:rsid w:val="006954FE"/>
    <w:rsid w:val="00695532"/>
    <w:rsid w:val="00695874"/>
    <w:rsid w:val="0069589E"/>
    <w:rsid w:val="00695933"/>
    <w:rsid w:val="006959FE"/>
    <w:rsid w:val="00695C05"/>
    <w:rsid w:val="00695CAC"/>
    <w:rsid w:val="00695F53"/>
    <w:rsid w:val="00695FDA"/>
    <w:rsid w:val="0069612E"/>
    <w:rsid w:val="00696321"/>
    <w:rsid w:val="006965A5"/>
    <w:rsid w:val="00696821"/>
    <w:rsid w:val="0069687F"/>
    <w:rsid w:val="006968CC"/>
    <w:rsid w:val="00696A04"/>
    <w:rsid w:val="00696C4C"/>
    <w:rsid w:val="00696CAE"/>
    <w:rsid w:val="00696ED6"/>
    <w:rsid w:val="00697070"/>
    <w:rsid w:val="006971E7"/>
    <w:rsid w:val="00697546"/>
    <w:rsid w:val="006A0187"/>
    <w:rsid w:val="006A03C7"/>
    <w:rsid w:val="006A09C3"/>
    <w:rsid w:val="006A09FD"/>
    <w:rsid w:val="006A0D63"/>
    <w:rsid w:val="006A155D"/>
    <w:rsid w:val="006A15B0"/>
    <w:rsid w:val="006A1683"/>
    <w:rsid w:val="006A1710"/>
    <w:rsid w:val="006A1787"/>
    <w:rsid w:val="006A17F4"/>
    <w:rsid w:val="006A1879"/>
    <w:rsid w:val="006A2223"/>
    <w:rsid w:val="006A2238"/>
    <w:rsid w:val="006A25B9"/>
    <w:rsid w:val="006A25E2"/>
    <w:rsid w:val="006A28D6"/>
    <w:rsid w:val="006A2A02"/>
    <w:rsid w:val="006A2D2A"/>
    <w:rsid w:val="006A2E9B"/>
    <w:rsid w:val="006A2FFC"/>
    <w:rsid w:val="006A3630"/>
    <w:rsid w:val="006A36FF"/>
    <w:rsid w:val="006A393A"/>
    <w:rsid w:val="006A3A7E"/>
    <w:rsid w:val="006A3C2D"/>
    <w:rsid w:val="006A3E33"/>
    <w:rsid w:val="006A402B"/>
    <w:rsid w:val="006A472F"/>
    <w:rsid w:val="006A48A0"/>
    <w:rsid w:val="006A4B83"/>
    <w:rsid w:val="006A4EB2"/>
    <w:rsid w:val="006A5070"/>
    <w:rsid w:val="006A50B2"/>
    <w:rsid w:val="006A5425"/>
    <w:rsid w:val="006A55C8"/>
    <w:rsid w:val="006A56D8"/>
    <w:rsid w:val="006A585D"/>
    <w:rsid w:val="006A5A37"/>
    <w:rsid w:val="006A5AFD"/>
    <w:rsid w:val="006A5C12"/>
    <w:rsid w:val="006A5DF1"/>
    <w:rsid w:val="006A5F90"/>
    <w:rsid w:val="006A603E"/>
    <w:rsid w:val="006A608D"/>
    <w:rsid w:val="006A61A9"/>
    <w:rsid w:val="006A62E8"/>
    <w:rsid w:val="006A65CB"/>
    <w:rsid w:val="006A661B"/>
    <w:rsid w:val="006A661F"/>
    <w:rsid w:val="006A66AF"/>
    <w:rsid w:val="006A6714"/>
    <w:rsid w:val="006A6972"/>
    <w:rsid w:val="006A71E5"/>
    <w:rsid w:val="006A7489"/>
    <w:rsid w:val="006A754B"/>
    <w:rsid w:val="006A76E7"/>
    <w:rsid w:val="006A7BFE"/>
    <w:rsid w:val="006A7DFA"/>
    <w:rsid w:val="006B0036"/>
    <w:rsid w:val="006B0239"/>
    <w:rsid w:val="006B02D4"/>
    <w:rsid w:val="006B0402"/>
    <w:rsid w:val="006B04D0"/>
    <w:rsid w:val="006B072A"/>
    <w:rsid w:val="006B0777"/>
    <w:rsid w:val="006B0EC9"/>
    <w:rsid w:val="006B1423"/>
    <w:rsid w:val="006B1553"/>
    <w:rsid w:val="006B1724"/>
    <w:rsid w:val="006B174B"/>
    <w:rsid w:val="006B1ABD"/>
    <w:rsid w:val="006B1CE3"/>
    <w:rsid w:val="006B1E1A"/>
    <w:rsid w:val="006B1F8B"/>
    <w:rsid w:val="006B20BF"/>
    <w:rsid w:val="006B2D0D"/>
    <w:rsid w:val="006B2F2D"/>
    <w:rsid w:val="006B308B"/>
    <w:rsid w:val="006B3129"/>
    <w:rsid w:val="006B31B5"/>
    <w:rsid w:val="006B3408"/>
    <w:rsid w:val="006B34D4"/>
    <w:rsid w:val="006B38D0"/>
    <w:rsid w:val="006B3D05"/>
    <w:rsid w:val="006B4AF3"/>
    <w:rsid w:val="006B51F1"/>
    <w:rsid w:val="006B5267"/>
    <w:rsid w:val="006B5943"/>
    <w:rsid w:val="006B59DB"/>
    <w:rsid w:val="006B5B47"/>
    <w:rsid w:val="006B5BAA"/>
    <w:rsid w:val="006B5C80"/>
    <w:rsid w:val="006B6112"/>
    <w:rsid w:val="006B640D"/>
    <w:rsid w:val="006B640F"/>
    <w:rsid w:val="006B661F"/>
    <w:rsid w:val="006B680F"/>
    <w:rsid w:val="006B6925"/>
    <w:rsid w:val="006B6C33"/>
    <w:rsid w:val="006B6D35"/>
    <w:rsid w:val="006B7853"/>
    <w:rsid w:val="006B7DDE"/>
    <w:rsid w:val="006C0092"/>
    <w:rsid w:val="006C018C"/>
    <w:rsid w:val="006C02D3"/>
    <w:rsid w:val="006C0475"/>
    <w:rsid w:val="006C05C0"/>
    <w:rsid w:val="006C0667"/>
    <w:rsid w:val="006C0AB4"/>
    <w:rsid w:val="006C0FAA"/>
    <w:rsid w:val="006C10DC"/>
    <w:rsid w:val="006C115C"/>
    <w:rsid w:val="006C11B8"/>
    <w:rsid w:val="006C1357"/>
    <w:rsid w:val="006C1378"/>
    <w:rsid w:val="006C1757"/>
    <w:rsid w:val="006C1BF9"/>
    <w:rsid w:val="006C1C62"/>
    <w:rsid w:val="006C1CB0"/>
    <w:rsid w:val="006C1CD8"/>
    <w:rsid w:val="006C1E3C"/>
    <w:rsid w:val="006C20EF"/>
    <w:rsid w:val="006C2410"/>
    <w:rsid w:val="006C2843"/>
    <w:rsid w:val="006C2851"/>
    <w:rsid w:val="006C2859"/>
    <w:rsid w:val="006C2A88"/>
    <w:rsid w:val="006C2B83"/>
    <w:rsid w:val="006C2C13"/>
    <w:rsid w:val="006C2D71"/>
    <w:rsid w:val="006C2FD0"/>
    <w:rsid w:val="006C31BB"/>
    <w:rsid w:val="006C3229"/>
    <w:rsid w:val="006C33D4"/>
    <w:rsid w:val="006C3440"/>
    <w:rsid w:val="006C3457"/>
    <w:rsid w:val="006C3504"/>
    <w:rsid w:val="006C3BC7"/>
    <w:rsid w:val="006C414C"/>
    <w:rsid w:val="006C4671"/>
    <w:rsid w:val="006C48C8"/>
    <w:rsid w:val="006C4A6A"/>
    <w:rsid w:val="006C4C8D"/>
    <w:rsid w:val="006C4CA5"/>
    <w:rsid w:val="006C512D"/>
    <w:rsid w:val="006C532C"/>
    <w:rsid w:val="006C5A6E"/>
    <w:rsid w:val="006C5C26"/>
    <w:rsid w:val="006C5DD6"/>
    <w:rsid w:val="006C60B5"/>
    <w:rsid w:val="006C60FF"/>
    <w:rsid w:val="006C6676"/>
    <w:rsid w:val="006C6784"/>
    <w:rsid w:val="006C6E9C"/>
    <w:rsid w:val="006C7440"/>
    <w:rsid w:val="006C7789"/>
    <w:rsid w:val="006C7816"/>
    <w:rsid w:val="006C79E0"/>
    <w:rsid w:val="006C79E3"/>
    <w:rsid w:val="006C7BA7"/>
    <w:rsid w:val="006C7CA8"/>
    <w:rsid w:val="006D006B"/>
    <w:rsid w:val="006D05A4"/>
    <w:rsid w:val="006D0E54"/>
    <w:rsid w:val="006D0F32"/>
    <w:rsid w:val="006D1079"/>
    <w:rsid w:val="006D17B1"/>
    <w:rsid w:val="006D18E8"/>
    <w:rsid w:val="006D2089"/>
    <w:rsid w:val="006D2780"/>
    <w:rsid w:val="006D2A8D"/>
    <w:rsid w:val="006D2D09"/>
    <w:rsid w:val="006D2D36"/>
    <w:rsid w:val="006D3028"/>
    <w:rsid w:val="006D3512"/>
    <w:rsid w:val="006D366F"/>
    <w:rsid w:val="006D389A"/>
    <w:rsid w:val="006D3A18"/>
    <w:rsid w:val="006D3B73"/>
    <w:rsid w:val="006D3B88"/>
    <w:rsid w:val="006D3C2B"/>
    <w:rsid w:val="006D3F60"/>
    <w:rsid w:val="006D40D0"/>
    <w:rsid w:val="006D4332"/>
    <w:rsid w:val="006D45FF"/>
    <w:rsid w:val="006D4829"/>
    <w:rsid w:val="006D49FF"/>
    <w:rsid w:val="006D4AC5"/>
    <w:rsid w:val="006D4D6F"/>
    <w:rsid w:val="006D4E16"/>
    <w:rsid w:val="006D5088"/>
    <w:rsid w:val="006D518E"/>
    <w:rsid w:val="006D54EE"/>
    <w:rsid w:val="006D55BA"/>
    <w:rsid w:val="006D55E4"/>
    <w:rsid w:val="006D55FC"/>
    <w:rsid w:val="006D581C"/>
    <w:rsid w:val="006D5DDE"/>
    <w:rsid w:val="006D63F5"/>
    <w:rsid w:val="006D655A"/>
    <w:rsid w:val="006D67DA"/>
    <w:rsid w:val="006D6CB7"/>
    <w:rsid w:val="006D6D59"/>
    <w:rsid w:val="006D6DD8"/>
    <w:rsid w:val="006D6DD9"/>
    <w:rsid w:val="006D6EFF"/>
    <w:rsid w:val="006D6F45"/>
    <w:rsid w:val="006D708B"/>
    <w:rsid w:val="006D70D3"/>
    <w:rsid w:val="006D7233"/>
    <w:rsid w:val="006D7321"/>
    <w:rsid w:val="006D7346"/>
    <w:rsid w:val="006D734E"/>
    <w:rsid w:val="006D7714"/>
    <w:rsid w:val="006D7BE7"/>
    <w:rsid w:val="006D7C24"/>
    <w:rsid w:val="006D7C7E"/>
    <w:rsid w:val="006E0827"/>
    <w:rsid w:val="006E08F3"/>
    <w:rsid w:val="006E095B"/>
    <w:rsid w:val="006E0B53"/>
    <w:rsid w:val="006E0C6D"/>
    <w:rsid w:val="006E1006"/>
    <w:rsid w:val="006E1749"/>
    <w:rsid w:val="006E1B18"/>
    <w:rsid w:val="006E1CAF"/>
    <w:rsid w:val="006E1D97"/>
    <w:rsid w:val="006E1DBB"/>
    <w:rsid w:val="006E2479"/>
    <w:rsid w:val="006E2635"/>
    <w:rsid w:val="006E26D5"/>
    <w:rsid w:val="006E2819"/>
    <w:rsid w:val="006E29D8"/>
    <w:rsid w:val="006E2A09"/>
    <w:rsid w:val="006E3138"/>
    <w:rsid w:val="006E3CFB"/>
    <w:rsid w:val="006E3D7F"/>
    <w:rsid w:val="006E4231"/>
    <w:rsid w:val="006E4A39"/>
    <w:rsid w:val="006E4E3C"/>
    <w:rsid w:val="006E53C6"/>
    <w:rsid w:val="006E55D4"/>
    <w:rsid w:val="006E5A0C"/>
    <w:rsid w:val="006E5B0F"/>
    <w:rsid w:val="006E5BBD"/>
    <w:rsid w:val="006E604C"/>
    <w:rsid w:val="006E61C2"/>
    <w:rsid w:val="006E622B"/>
    <w:rsid w:val="006E6310"/>
    <w:rsid w:val="006E67CB"/>
    <w:rsid w:val="006E6866"/>
    <w:rsid w:val="006E69CF"/>
    <w:rsid w:val="006E6C0D"/>
    <w:rsid w:val="006E6E44"/>
    <w:rsid w:val="006E6EFD"/>
    <w:rsid w:val="006E7406"/>
    <w:rsid w:val="006E7A10"/>
    <w:rsid w:val="006E7E9D"/>
    <w:rsid w:val="006F017C"/>
    <w:rsid w:val="006F0203"/>
    <w:rsid w:val="006F023F"/>
    <w:rsid w:val="006F05EB"/>
    <w:rsid w:val="006F069C"/>
    <w:rsid w:val="006F07AE"/>
    <w:rsid w:val="006F0857"/>
    <w:rsid w:val="006F0CFF"/>
    <w:rsid w:val="006F0E94"/>
    <w:rsid w:val="006F0FA8"/>
    <w:rsid w:val="006F194E"/>
    <w:rsid w:val="006F1BC0"/>
    <w:rsid w:val="006F1F43"/>
    <w:rsid w:val="006F1F85"/>
    <w:rsid w:val="006F25E0"/>
    <w:rsid w:val="006F2928"/>
    <w:rsid w:val="006F2B68"/>
    <w:rsid w:val="006F2D58"/>
    <w:rsid w:val="006F2DBC"/>
    <w:rsid w:val="006F2F00"/>
    <w:rsid w:val="006F36D2"/>
    <w:rsid w:val="006F3768"/>
    <w:rsid w:val="006F38E0"/>
    <w:rsid w:val="006F3A82"/>
    <w:rsid w:val="006F3E1B"/>
    <w:rsid w:val="006F4073"/>
    <w:rsid w:val="006F4134"/>
    <w:rsid w:val="006F433D"/>
    <w:rsid w:val="006F43F3"/>
    <w:rsid w:val="006F495F"/>
    <w:rsid w:val="006F4B6B"/>
    <w:rsid w:val="006F4D82"/>
    <w:rsid w:val="006F4DF0"/>
    <w:rsid w:val="006F4E2E"/>
    <w:rsid w:val="006F51EA"/>
    <w:rsid w:val="006F5297"/>
    <w:rsid w:val="006F557C"/>
    <w:rsid w:val="006F6395"/>
    <w:rsid w:val="006F6521"/>
    <w:rsid w:val="006F69E8"/>
    <w:rsid w:val="006F6C11"/>
    <w:rsid w:val="006F6C5E"/>
    <w:rsid w:val="006F6E66"/>
    <w:rsid w:val="006F7118"/>
    <w:rsid w:val="006F7139"/>
    <w:rsid w:val="006F7555"/>
    <w:rsid w:val="006F7913"/>
    <w:rsid w:val="006F7B95"/>
    <w:rsid w:val="006F7D1C"/>
    <w:rsid w:val="006F7EE3"/>
    <w:rsid w:val="00700014"/>
    <w:rsid w:val="0070002C"/>
    <w:rsid w:val="00700910"/>
    <w:rsid w:val="00700F47"/>
    <w:rsid w:val="00700FDE"/>
    <w:rsid w:val="00701051"/>
    <w:rsid w:val="00701358"/>
    <w:rsid w:val="00701C7A"/>
    <w:rsid w:val="007020F3"/>
    <w:rsid w:val="0070223E"/>
    <w:rsid w:val="0070261F"/>
    <w:rsid w:val="0070280E"/>
    <w:rsid w:val="00702886"/>
    <w:rsid w:val="00702A43"/>
    <w:rsid w:val="00702CB2"/>
    <w:rsid w:val="00702E2A"/>
    <w:rsid w:val="00702F3C"/>
    <w:rsid w:val="00703215"/>
    <w:rsid w:val="0070332C"/>
    <w:rsid w:val="00703637"/>
    <w:rsid w:val="007036F5"/>
    <w:rsid w:val="00703732"/>
    <w:rsid w:val="00703936"/>
    <w:rsid w:val="007039E3"/>
    <w:rsid w:val="00703D64"/>
    <w:rsid w:val="00703DF9"/>
    <w:rsid w:val="00704064"/>
    <w:rsid w:val="007040AA"/>
    <w:rsid w:val="00704577"/>
    <w:rsid w:val="0070463A"/>
    <w:rsid w:val="007047FC"/>
    <w:rsid w:val="00704922"/>
    <w:rsid w:val="00704E89"/>
    <w:rsid w:val="00704FDC"/>
    <w:rsid w:val="0070529D"/>
    <w:rsid w:val="007057BC"/>
    <w:rsid w:val="00705878"/>
    <w:rsid w:val="00705D28"/>
    <w:rsid w:val="00705E3B"/>
    <w:rsid w:val="00706001"/>
    <w:rsid w:val="00706006"/>
    <w:rsid w:val="007069FE"/>
    <w:rsid w:val="007071F3"/>
    <w:rsid w:val="00707446"/>
    <w:rsid w:val="007078E1"/>
    <w:rsid w:val="0070797B"/>
    <w:rsid w:val="00710087"/>
    <w:rsid w:val="00710113"/>
    <w:rsid w:val="0071020A"/>
    <w:rsid w:val="00710369"/>
    <w:rsid w:val="00710560"/>
    <w:rsid w:val="00710562"/>
    <w:rsid w:val="0071089F"/>
    <w:rsid w:val="00710E4A"/>
    <w:rsid w:val="00710F4F"/>
    <w:rsid w:val="00710FF7"/>
    <w:rsid w:val="0071127F"/>
    <w:rsid w:val="007112DF"/>
    <w:rsid w:val="007117BD"/>
    <w:rsid w:val="0071195A"/>
    <w:rsid w:val="0071195F"/>
    <w:rsid w:val="00711A62"/>
    <w:rsid w:val="00711AF1"/>
    <w:rsid w:val="00711D19"/>
    <w:rsid w:val="00711D65"/>
    <w:rsid w:val="007120D2"/>
    <w:rsid w:val="007122CA"/>
    <w:rsid w:val="00712313"/>
    <w:rsid w:val="00712563"/>
    <w:rsid w:val="00712752"/>
    <w:rsid w:val="00712996"/>
    <w:rsid w:val="00712A71"/>
    <w:rsid w:val="00712C09"/>
    <w:rsid w:val="00712C3E"/>
    <w:rsid w:val="007131BB"/>
    <w:rsid w:val="007131E1"/>
    <w:rsid w:val="007133F8"/>
    <w:rsid w:val="00713643"/>
    <w:rsid w:val="0071390E"/>
    <w:rsid w:val="007139C5"/>
    <w:rsid w:val="00713AB3"/>
    <w:rsid w:val="00713BAA"/>
    <w:rsid w:val="00714529"/>
    <w:rsid w:val="00714570"/>
    <w:rsid w:val="007145C9"/>
    <w:rsid w:val="007146FC"/>
    <w:rsid w:val="00714855"/>
    <w:rsid w:val="00714D80"/>
    <w:rsid w:val="00715368"/>
    <w:rsid w:val="007156E2"/>
    <w:rsid w:val="00715AAE"/>
    <w:rsid w:val="00715B14"/>
    <w:rsid w:val="00715F79"/>
    <w:rsid w:val="00715FD4"/>
    <w:rsid w:val="0071609D"/>
    <w:rsid w:val="007160F5"/>
    <w:rsid w:val="00716399"/>
    <w:rsid w:val="0071649E"/>
    <w:rsid w:val="00716544"/>
    <w:rsid w:val="007165AC"/>
    <w:rsid w:val="007165DF"/>
    <w:rsid w:val="00716B63"/>
    <w:rsid w:val="00716D96"/>
    <w:rsid w:val="007171DD"/>
    <w:rsid w:val="007174E0"/>
    <w:rsid w:val="00717503"/>
    <w:rsid w:val="007175A6"/>
    <w:rsid w:val="007177A2"/>
    <w:rsid w:val="00717C09"/>
    <w:rsid w:val="00720043"/>
    <w:rsid w:val="00720099"/>
    <w:rsid w:val="007200C7"/>
    <w:rsid w:val="0072060C"/>
    <w:rsid w:val="00720910"/>
    <w:rsid w:val="00720DA1"/>
    <w:rsid w:val="00721184"/>
    <w:rsid w:val="007212D8"/>
    <w:rsid w:val="00721535"/>
    <w:rsid w:val="007217E6"/>
    <w:rsid w:val="00721EC7"/>
    <w:rsid w:val="00721F35"/>
    <w:rsid w:val="0072222E"/>
    <w:rsid w:val="007222F6"/>
    <w:rsid w:val="0072269A"/>
    <w:rsid w:val="00722D38"/>
    <w:rsid w:val="00722EFC"/>
    <w:rsid w:val="00722F96"/>
    <w:rsid w:val="0072316C"/>
    <w:rsid w:val="00723190"/>
    <w:rsid w:val="00723227"/>
    <w:rsid w:val="00723851"/>
    <w:rsid w:val="00723A76"/>
    <w:rsid w:val="00724412"/>
    <w:rsid w:val="0072478D"/>
    <w:rsid w:val="007247A0"/>
    <w:rsid w:val="00724A08"/>
    <w:rsid w:val="00724AE4"/>
    <w:rsid w:val="00724B8E"/>
    <w:rsid w:val="00724C15"/>
    <w:rsid w:val="00724DA0"/>
    <w:rsid w:val="00725428"/>
    <w:rsid w:val="00725F1D"/>
    <w:rsid w:val="007262CB"/>
    <w:rsid w:val="00726325"/>
    <w:rsid w:val="007263AC"/>
    <w:rsid w:val="00726D7A"/>
    <w:rsid w:val="00726E2B"/>
    <w:rsid w:val="00726EA3"/>
    <w:rsid w:val="00727BEC"/>
    <w:rsid w:val="007301B4"/>
    <w:rsid w:val="00730577"/>
    <w:rsid w:val="007309F9"/>
    <w:rsid w:val="00730C41"/>
    <w:rsid w:val="00730ED7"/>
    <w:rsid w:val="007316D5"/>
    <w:rsid w:val="0073183A"/>
    <w:rsid w:val="007318C0"/>
    <w:rsid w:val="007319B6"/>
    <w:rsid w:val="00732488"/>
    <w:rsid w:val="007324DE"/>
    <w:rsid w:val="00732A19"/>
    <w:rsid w:val="00733491"/>
    <w:rsid w:val="007336F7"/>
    <w:rsid w:val="0073388B"/>
    <w:rsid w:val="00733A61"/>
    <w:rsid w:val="00733F02"/>
    <w:rsid w:val="007342F4"/>
    <w:rsid w:val="0073462F"/>
    <w:rsid w:val="00734784"/>
    <w:rsid w:val="00734C9B"/>
    <w:rsid w:val="00735297"/>
    <w:rsid w:val="00735313"/>
    <w:rsid w:val="00735472"/>
    <w:rsid w:val="00735576"/>
    <w:rsid w:val="007355A9"/>
    <w:rsid w:val="007357E7"/>
    <w:rsid w:val="007357F9"/>
    <w:rsid w:val="00735E82"/>
    <w:rsid w:val="00735EBE"/>
    <w:rsid w:val="0073600A"/>
    <w:rsid w:val="0073614E"/>
    <w:rsid w:val="007361F4"/>
    <w:rsid w:val="007362B9"/>
    <w:rsid w:val="007363F6"/>
    <w:rsid w:val="00736400"/>
    <w:rsid w:val="00736848"/>
    <w:rsid w:val="00736AC9"/>
    <w:rsid w:val="00736E8B"/>
    <w:rsid w:val="00736EC6"/>
    <w:rsid w:val="00736F1A"/>
    <w:rsid w:val="00736FE0"/>
    <w:rsid w:val="007370A5"/>
    <w:rsid w:val="00737406"/>
    <w:rsid w:val="00737CC9"/>
    <w:rsid w:val="00737DD8"/>
    <w:rsid w:val="00737F71"/>
    <w:rsid w:val="0074008B"/>
    <w:rsid w:val="00740202"/>
    <w:rsid w:val="00740640"/>
    <w:rsid w:val="007408AF"/>
    <w:rsid w:val="007409B7"/>
    <w:rsid w:val="00740EB3"/>
    <w:rsid w:val="007412F0"/>
    <w:rsid w:val="007417DC"/>
    <w:rsid w:val="00741991"/>
    <w:rsid w:val="00741B92"/>
    <w:rsid w:val="00741E3D"/>
    <w:rsid w:val="00742076"/>
    <w:rsid w:val="0074208F"/>
    <w:rsid w:val="00742361"/>
    <w:rsid w:val="0074236F"/>
    <w:rsid w:val="00742652"/>
    <w:rsid w:val="00742CFF"/>
    <w:rsid w:val="00742E18"/>
    <w:rsid w:val="00742E31"/>
    <w:rsid w:val="00742E34"/>
    <w:rsid w:val="00742E5E"/>
    <w:rsid w:val="00743114"/>
    <w:rsid w:val="00743130"/>
    <w:rsid w:val="00743763"/>
    <w:rsid w:val="007438E5"/>
    <w:rsid w:val="007443ED"/>
    <w:rsid w:val="0074447C"/>
    <w:rsid w:val="007448F0"/>
    <w:rsid w:val="00744919"/>
    <w:rsid w:val="00744940"/>
    <w:rsid w:val="00744B30"/>
    <w:rsid w:val="00744F0F"/>
    <w:rsid w:val="0074509B"/>
    <w:rsid w:val="00745734"/>
    <w:rsid w:val="007458F5"/>
    <w:rsid w:val="00745E58"/>
    <w:rsid w:val="00745EBD"/>
    <w:rsid w:val="0074628E"/>
    <w:rsid w:val="007464D7"/>
    <w:rsid w:val="00746662"/>
    <w:rsid w:val="00746A33"/>
    <w:rsid w:val="00746D43"/>
    <w:rsid w:val="00746D8C"/>
    <w:rsid w:val="00746EC9"/>
    <w:rsid w:val="00746F44"/>
    <w:rsid w:val="0074707D"/>
    <w:rsid w:val="007470C4"/>
    <w:rsid w:val="00747571"/>
    <w:rsid w:val="00747593"/>
    <w:rsid w:val="00747940"/>
    <w:rsid w:val="00747A3A"/>
    <w:rsid w:val="00747A70"/>
    <w:rsid w:val="00747C23"/>
    <w:rsid w:val="00747E8C"/>
    <w:rsid w:val="007506AA"/>
    <w:rsid w:val="00750878"/>
    <w:rsid w:val="007509D6"/>
    <w:rsid w:val="00750F23"/>
    <w:rsid w:val="00750F8C"/>
    <w:rsid w:val="00751182"/>
    <w:rsid w:val="007511C6"/>
    <w:rsid w:val="007512C3"/>
    <w:rsid w:val="007512E0"/>
    <w:rsid w:val="007513E2"/>
    <w:rsid w:val="0075186B"/>
    <w:rsid w:val="0075186C"/>
    <w:rsid w:val="00751D97"/>
    <w:rsid w:val="00751EA6"/>
    <w:rsid w:val="007520A5"/>
    <w:rsid w:val="007522C3"/>
    <w:rsid w:val="0075238E"/>
    <w:rsid w:val="00752652"/>
    <w:rsid w:val="007526F4"/>
    <w:rsid w:val="0075291E"/>
    <w:rsid w:val="007529E5"/>
    <w:rsid w:val="00752E94"/>
    <w:rsid w:val="00752F9E"/>
    <w:rsid w:val="00753D0D"/>
    <w:rsid w:val="00753D0E"/>
    <w:rsid w:val="00754134"/>
    <w:rsid w:val="007541D1"/>
    <w:rsid w:val="007544F9"/>
    <w:rsid w:val="007549F1"/>
    <w:rsid w:val="00754AA9"/>
    <w:rsid w:val="00754ABC"/>
    <w:rsid w:val="00754B7D"/>
    <w:rsid w:val="00754BB7"/>
    <w:rsid w:val="00754C1F"/>
    <w:rsid w:val="00754CC0"/>
    <w:rsid w:val="00754F5A"/>
    <w:rsid w:val="0075526E"/>
    <w:rsid w:val="007552E4"/>
    <w:rsid w:val="0075534F"/>
    <w:rsid w:val="007554F7"/>
    <w:rsid w:val="00755660"/>
    <w:rsid w:val="00755868"/>
    <w:rsid w:val="007558EA"/>
    <w:rsid w:val="00755C71"/>
    <w:rsid w:val="00755F00"/>
    <w:rsid w:val="00755F22"/>
    <w:rsid w:val="00755FEA"/>
    <w:rsid w:val="007561A5"/>
    <w:rsid w:val="0075627E"/>
    <w:rsid w:val="0075655C"/>
    <w:rsid w:val="00756841"/>
    <w:rsid w:val="00756D4C"/>
    <w:rsid w:val="00756DDE"/>
    <w:rsid w:val="00756E6D"/>
    <w:rsid w:val="007572A2"/>
    <w:rsid w:val="007572C0"/>
    <w:rsid w:val="0075744F"/>
    <w:rsid w:val="00757625"/>
    <w:rsid w:val="007578A1"/>
    <w:rsid w:val="00757DAD"/>
    <w:rsid w:val="00757FEF"/>
    <w:rsid w:val="007603C2"/>
    <w:rsid w:val="0076042B"/>
    <w:rsid w:val="00760736"/>
    <w:rsid w:val="007609C0"/>
    <w:rsid w:val="00760B13"/>
    <w:rsid w:val="00760B62"/>
    <w:rsid w:val="00760E79"/>
    <w:rsid w:val="00760EF2"/>
    <w:rsid w:val="00760F68"/>
    <w:rsid w:val="00761064"/>
    <w:rsid w:val="00761502"/>
    <w:rsid w:val="007619FA"/>
    <w:rsid w:val="00761B98"/>
    <w:rsid w:val="00761D41"/>
    <w:rsid w:val="00761F31"/>
    <w:rsid w:val="007620CC"/>
    <w:rsid w:val="007621F4"/>
    <w:rsid w:val="0076274D"/>
    <w:rsid w:val="00762B27"/>
    <w:rsid w:val="00762C54"/>
    <w:rsid w:val="00763098"/>
    <w:rsid w:val="00763343"/>
    <w:rsid w:val="007633F6"/>
    <w:rsid w:val="00763500"/>
    <w:rsid w:val="007639F8"/>
    <w:rsid w:val="00763C0B"/>
    <w:rsid w:val="00763E88"/>
    <w:rsid w:val="00763FEE"/>
    <w:rsid w:val="0076442C"/>
    <w:rsid w:val="007644C2"/>
    <w:rsid w:val="00764677"/>
    <w:rsid w:val="00764CD3"/>
    <w:rsid w:val="00764E80"/>
    <w:rsid w:val="00764EA1"/>
    <w:rsid w:val="00765039"/>
    <w:rsid w:val="007653A7"/>
    <w:rsid w:val="0076573F"/>
    <w:rsid w:val="00765950"/>
    <w:rsid w:val="00765952"/>
    <w:rsid w:val="00765D44"/>
    <w:rsid w:val="00765DF2"/>
    <w:rsid w:val="0076613D"/>
    <w:rsid w:val="007664BB"/>
    <w:rsid w:val="00766539"/>
    <w:rsid w:val="00766577"/>
    <w:rsid w:val="007665C8"/>
    <w:rsid w:val="0076674A"/>
    <w:rsid w:val="00766D72"/>
    <w:rsid w:val="00766E03"/>
    <w:rsid w:val="00766EAF"/>
    <w:rsid w:val="00767295"/>
    <w:rsid w:val="0076749A"/>
    <w:rsid w:val="007675FB"/>
    <w:rsid w:val="00770561"/>
    <w:rsid w:val="00770645"/>
    <w:rsid w:val="00770803"/>
    <w:rsid w:val="00770AD0"/>
    <w:rsid w:val="00770EC6"/>
    <w:rsid w:val="00770F77"/>
    <w:rsid w:val="00770FEE"/>
    <w:rsid w:val="00771215"/>
    <w:rsid w:val="007713A2"/>
    <w:rsid w:val="007718D3"/>
    <w:rsid w:val="00771956"/>
    <w:rsid w:val="00771BAE"/>
    <w:rsid w:val="00771C5E"/>
    <w:rsid w:val="00771E52"/>
    <w:rsid w:val="00772233"/>
    <w:rsid w:val="00772555"/>
    <w:rsid w:val="00772766"/>
    <w:rsid w:val="00772A0D"/>
    <w:rsid w:val="00772EB3"/>
    <w:rsid w:val="007731B3"/>
    <w:rsid w:val="00773411"/>
    <w:rsid w:val="00773861"/>
    <w:rsid w:val="007738B9"/>
    <w:rsid w:val="007738DB"/>
    <w:rsid w:val="00773BFC"/>
    <w:rsid w:val="00773E03"/>
    <w:rsid w:val="00774114"/>
    <w:rsid w:val="00774275"/>
    <w:rsid w:val="00774903"/>
    <w:rsid w:val="00774AAB"/>
    <w:rsid w:val="00774BAF"/>
    <w:rsid w:val="00774DD9"/>
    <w:rsid w:val="0077518D"/>
    <w:rsid w:val="0077544A"/>
    <w:rsid w:val="00775A90"/>
    <w:rsid w:val="00775B64"/>
    <w:rsid w:val="0077603D"/>
    <w:rsid w:val="00776D82"/>
    <w:rsid w:val="00776E61"/>
    <w:rsid w:val="00776EDB"/>
    <w:rsid w:val="0077779A"/>
    <w:rsid w:val="00777CFB"/>
    <w:rsid w:val="00780002"/>
    <w:rsid w:val="00780061"/>
    <w:rsid w:val="00780219"/>
    <w:rsid w:val="00780360"/>
    <w:rsid w:val="0078044D"/>
    <w:rsid w:val="00780504"/>
    <w:rsid w:val="0078066B"/>
    <w:rsid w:val="00780683"/>
    <w:rsid w:val="007807A1"/>
    <w:rsid w:val="00780969"/>
    <w:rsid w:val="00780A9F"/>
    <w:rsid w:val="00780BA5"/>
    <w:rsid w:val="00780CD8"/>
    <w:rsid w:val="0078172C"/>
    <w:rsid w:val="00781889"/>
    <w:rsid w:val="00781E68"/>
    <w:rsid w:val="007820CC"/>
    <w:rsid w:val="007821C0"/>
    <w:rsid w:val="007821CC"/>
    <w:rsid w:val="007822C6"/>
    <w:rsid w:val="00782651"/>
    <w:rsid w:val="00782B48"/>
    <w:rsid w:val="00782E88"/>
    <w:rsid w:val="00783002"/>
    <w:rsid w:val="00783062"/>
    <w:rsid w:val="00783823"/>
    <w:rsid w:val="00783AE6"/>
    <w:rsid w:val="00783B58"/>
    <w:rsid w:val="00783DBB"/>
    <w:rsid w:val="00783E9A"/>
    <w:rsid w:val="0078430C"/>
    <w:rsid w:val="00784438"/>
    <w:rsid w:val="007844BE"/>
    <w:rsid w:val="007849C6"/>
    <w:rsid w:val="00784A63"/>
    <w:rsid w:val="00784DE4"/>
    <w:rsid w:val="00784F60"/>
    <w:rsid w:val="00784FC1"/>
    <w:rsid w:val="00785196"/>
    <w:rsid w:val="007851F0"/>
    <w:rsid w:val="007856B0"/>
    <w:rsid w:val="0078571F"/>
    <w:rsid w:val="00785C65"/>
    <w:rsid w:val="00785D86"/>
    <w:rsid w:val="00785FC7"/>
    <w:rsid w:val="00786308"/>
    <w:rsid w:val="00786613"/>
    <w:rsid w:val="00786BF3"/>
    <w:rsid w:val="00786F46"/>
    <w:rsid w:val="00787073"/>
    <w:rsid w:val="007870FF"/>
    <w:rsid w:val="007872AC"/>
    <w:rsid w:val="00787494"/>
    <w:rsid w:val="007874CF"/>
    <w:rsid w:val="00787A12"/>
    <w:rsid w:val="00787C3F"/>
    <w:rsid w:val="00790138"/>
    <w:rsid w:val="00790418"/>
    <w:rsid w:val="0079074E"/>
    <w:rsid w:val="007907CF"/>
    <w:rsid w:val="00790A43"/>
    <w:rsid w:val="00790D6C"/>
    <w:rsid w:val="00790FF1"/>
    <w:rsid w:val="00791082"/>
    <w:rsid w:val="0079126F"/>
    <w:rsid w:val="00791273"/>
    <w:rsid w:val="00791286"/>
    <w:rsid w:val="00791353"/>
    <w:rsid w:val="007915A6"/>
    <w:rsid w:val="00791941"/>
    <w:rsid w:val="00791995"/>
    <w:rsid w:val="00791A83"/>
    <w:rsid w:val="00791D29"/>
    <w:rsid w:val="00791DBA"/>
    <w:rsid w:val="00791FD4"/>
    <w:rsid w:val="00792858"/>
    <w:rsid w:val="007929A7"/>
    <w:rsid w:val="00792A6B"/>
    <w:rsid w:val="00792AD6"/>
    <w:rsid w:val="00792B7F"/>
    <w:rsid w:val="00792CDC"/>
    <w:rsid w:val="00792E6B"/>
    <w:rsid w:val="00793CA1"/>
    <w:rsid w:val="00793D09"/>
    <w:rsid w:val="00793E89"/>
    <w:rsid w:val="00793F1E"/>
    <w:rsid w:val="00793F90"/>
    <w:rsid w:val="00794162"/>
    <w:rsid w:val="007941E2"/>
    <w:rsid w:val="0079447E"/>
    <w:rsid w:val="0079450C"/>
    <w:rsid w:val="0079458B"/>
    <w:rsid w:val="007946FD"/>
    <w:rsid w:val="00794919"/>
    <w:rsid w:val="00794DA6"/>
    <w:rsid w:val="00794F3F"/>
    <w:rsid w:val="0079539C"/>
    <w:rsid w:val="00795422"/>
    <w:rsid w:val="0079544A"/>
    <w:rsid w:val="00795647"/>
    <w:rsid w:val="00795687"/>
    <w:rsid w:val="00795C44"/>
    <w:rsid w:val="00795C99"/>
    <w:rsid w:val="00795D33"/>
    <w:rsid w:val="007961EC"/>
    <w:rsid w:val="00796A86"/>
    <w:rsid w:val="00796B5A"/>
    <w:rsid w:val="00796BBF"/>
    <w:rsid w:val="00796F64"/>
    <w:rsid w:val="0079702C"/>
    <w:rsid w:val="0079705B"/>
    <w:rsid w:val="0079709E"/>
    <w:rsid w:val="007971EA"/>
    <w:rsid w:val="00797250"/>
    <w:rsid w:val="00797258"/>
    <w:rsid w:val="00797394"/>
    <w:rsid w:val="00797906"/>
    <w:rsid w:val="007979B2"/>
    <w:rsid w:val="00797C83"/>
    <w:rsid w:val="00797F34"/>
    <w:rsid w:val="00797FAE"/>
    <w:rsid w:val="00797FB2"/>
    <w:rsid w:val="007A0278"/>
    <w:rsid w:val="007A06E8"/>
    <w:rsid w:val="007A0806"/>
    <w:rsid w:val="007A0915"/>
    <w:rsid w:val="007A0D01"/>
    <w:rsid w:val="007A0D37"/>
    <w:rsid w:val="007A0E3E"/>
    <w:rsid w:val="007A0FB6"/>
    <w:rsid w:val="007A11FB"/>
    <w:rsid w:val="007A1A46"/>
    <w:rsid w:val="007A1B7A"/>
    <w:rsid w:val="007A1DB7"/>
    <w:rsid w:val="007A1E0A"/>
    <w:rsid w:val="007A1FD0"/>
    <w:rsid w:val="007A20F4"/>
    <w:rsid w:val="007A20F6"/>
    <w:rsid w:val="007A21B1"/>
    <w:rsid w:val="007A25EA"/>
    <w:rsid w:val="007A2B98"/>
    <w:rsid w:val="007A2C59"/>
    <w:rsid w:val="007A2C81"/>
    <w:rsid w:val="007A2CEB"/>
    <w:rsid w:val="007A2D22"/>
    <w:rsid w:val="007A2E8D"/>
    <w:rsid w:val="007A2FD4"/>
    <w:rsid w:val="007A312D"/>
    <w:rsid w:val="007A376D"/>
    <w:rsid w:val="007A3781"/>
    <w:rsid w:val="007A379E"/>
    <w:rsid w:val="007A3BB5"/>
    <w:rsid w:val="007A3CAD"/>
    <w:rsid w:val="007A3D63"/>
    <w:rsid w:val="007A3F03"/>
    <w:rsid w:val="007A3FA3"/>
    <w:rsid w:val="007A402B"/>
    <w:rsid w:val="007A40E3"/>
    <w:rsid w:val="007A46BD"/>
    <w:rsid w:val="007A46E2"/>
    <w:rsid w:val="007A48B0"/>
    <w:rsid w:val="007A4FA0"/>
    <w:rsid w:val="007A4FE5"/>
    <w:rsid w:val="007A5086"/>
    <w:rsid w:val="007A5306"/>
    <w:rsid w:val="007A5A2C"/>
    <w:rsid w:val="007A5AF5"/>
    <w:rsid w:val="007A5B08"/>
    <w:rsid w:val="007A5B5A"/>
    <w:rsid w:val="007A5B7B"/>
    <w:rsid w:val="007A6349"/>
    <w:rsid w:val="007A64FA"/>
    <w:rsid w:val="007A657D"/>
    <w:rsid w:val="007A6AE8"/>
    <w:rsid w:val="007A70F9"/>
    <w:rsid w:val="007A750D"/>
    <w:rsid w:val="007A759E"/>
    <w:rsid w:val="007A7659"/>
    <w:rsid w:val="007A795F"/>
    <w:rsid w:val="007A7D50"/>
    <w:rsid w:val="007A7DE4"/>
    <w:rsid w:val="007B0ACB"/>
    <w:rsid w:val="007B0C92"/>
    <w:rsid w:val="007B1157"/>
    <w:rsid w:val="007B1244"/>
    <w:rsid w:val="007B162E"/>
    <w:rsid w:val="007B1B67"/>
    <w:rsid w:val="007B2593"/>
    <w:rsid w:val="007B25E7"/>
    <w:rsid w:val="007B2813"/>
    <w:rsid w:val="007B2E0C"/>
    <w:rsid w:val="007B2EC5"/>
    <w:rsid w:val="007B3171"/>
    <w:rsid w:val="007B329C"/>
    <w:rsid w:val="007B39A0"/>
    <w:rsid w:val="007B39F5"/>
    <w:rsid w:val="007B3D8A"/>
    <w:rsid w:val="007B3FA0"/>
    <w:rsid w:val="007B43C4"/>
    <w:rsid w:val="007B444F"/>
    <w:rsid w:val="007B45B3"/>
    <w:rsid w:val="007B476B"/>
    <w:rsid w:val="007B4CBC"/>
    <w:rsid w:val="007B4CE8"/>
    <w:rsid w:val="007B510B"/>
    <w:rsid w:val="007B521A"/>
    <w:rsid w:val="007B54EE"/>
    <w:rsid w:val="007B620F"/>
    <w:rsid w:val="007B622F"/>
    <w:rsid w:val="007B6311"/>
    <w:rsid w:val="007B6417"/>
    <w:rsid w:val="007B644F"/>
    <w:rsid w:val="007B653B"/>
    <w:rsid w:val="007B65D5"/>
    <w:rsid w:val="007B68D6"/>
    <w:rsid w:val="007B6A0D"/>
    <w:rsid w:val="007B6D2E"/>
    <w:rsid w:val="007B6E3F"/>
    <w:rsid w:val="007B6E6A"/>
    <w:rsid w:val="007B704F"/>
    <w:rsid w:val="007B7114"/>
    <w:rsid w:val="007B73AE"/>
    <w:rsid w:val="007B753B"/>
    <w:rsid w:val="007B755F"/>
    <w:rsid w:val="007B7596"/>
    <w:rsid w:val="007B7619"/>
    <w:rsid w:val="007B7772"/>
    <w:rsid w:val="007B79FD"/>
    <w:rsid w:val="007B7E90"/>
    <w:rsid w:val="007B7F5F"/>
    <w:rsid w:val="007C001B"/>
    <w:rsid w:val="007C0107"/>
    <w:rsid w:val="007C0659"/>
    <w:rsid w:val="007C067B"/>
    <w:rsid w:val="007C076E"/>
    <w:rsid w:val="007C077C"/>
    <w:rsid w:val="007C0AA9"/>
    <w:rsid w:val="007C0C89"/>
    <w:rsid w:val="007C0D1B"/>
    <w:rsid w:val="007C1237"/>
    <w:rsid w:val="007C127B"/>
    <w:rsid w:val="007C14A9"/>
    <w:rsid w:val="007C1544"/>
    <w:rsid w:val="007C172A"/>
    <w:rsid w:val="007C197D"/>
    <w:rsid w:val="007C1ECF"/>
    <w:rsid w:val="007C2553"/>
    <w:rsid w:val="007C261A"/>
    <w:rsid w:val="007C2737"/>
    <w:rsid w:val="007C2B26"/>
    <w:rsid w:val="007C2CA3"/>
    <w:rsid w:val="007C30E9"/>
    <w:rsid w:val="007C347E"/>
    <w:rsid w:val="007C3D41"/>
    <w:rsid w:val="007C405F"/>
    <w:rsid w:val="007C40F9"/>
    <w:rsid w:val="007C4243"/>
    <w:rsid w:val="007C42D4"/>
    <w:rsid w:val="007C4746"/>
    <w:rsid w:val="007C49EA"/>
    <w:rsid w:val="007C4AB0"/>
    <w:rsid w:val="007C5070"/>
    <w:rsid w:val="007C5432"/>
    <w:rsid w:val="007C5508"/>
    <w:rsid w:val="007C564C"/>
    <w:rsid w:val="007C5B00"/>
    <w:rsid w:val="007C5EE2"/>
    <w:rsid w:val="007C6265"/>
    <w:rsid w:val="007C62B2"/>
    <w:rsid w:val="007C6C57"/>
    <w:rsid w:val="007C71ED"/>
    <w:rsid w:val="007C7283"/>
    <w:rsid w:val="007C78D0"/>
    <w:rsid w:val="007C7AA1"/>
    <w:rsid w:val="007C7BA6"/>
    <w:rsid w:val="007C7D31"/>
    <w:rsid w:val="007C7E31"/>
    <w:rsid w:val="007D0229"/>
    <w:rsid w:val="007D08E4"/>
    <w:rsid w:val="007D0B2B"/>
    <w:rsid w:val="007D0CC4"/>
    <w:rsid w:val="007D0DDB"/>
    <w:rsid w:val="007D0E8E"/>
    <w:rsid w:val="007D0F16"/>
    <w:rsid w:val="007D146B"/>
    <w:rsid w:val="007D17F7"/>
    <w:rsid w:val="007D1881"/>
    <w:rsid w:val="007D1966"/>
    <w:rsid w:val="007D1DDC"/>
    <w:rsid w:val="007D207E"/>
    <w:rsid w:val="007D2473"/>
    <w:rsid w:val="007D249C"/>
    <w:rsid w:val="007D266D"/>
    <w:rsid w:val="007D2861"/>
    <w:rsid w:val="007D2DD6"/>
    <w:rsid w:val="007D308B"/>
    <w:rsid w:val="007D30B3"/>
    <w:rsid w:val="007D3161"/>
    <w:rsid w:val="007D3327"/>
    <w:rsid w:val="007D33B9"/>
    <w:rsid w:val="007D36C9"/>
    <w:rsid w:val="007D37C9"/>
    <w:rsid w:val="007D38E2"/>
    <w:rsid w:val="007D3C6A"/>
    <w:rsid w:val="007D40D9"/>
    <w:rsid w:val="007D41A6"/>
    <w:rsid w:val="007D42F2"/>
    <w:rsid w:val="007D4468"/>
    <w:rsid w:val="007D44ED"/>
    <w:rsid w:val="007D46CA"/>
    <w:rsid w:val="007D4A33"/>
    <w:rsid w:val="007D4BB5"/>
    <w:rsid w:val="007D4C80"/>
    <w:rsid w:val="007D4D1F"/>
    <w:rsid w:val="007D4FAD"/>
    <w:rsid w:val="007D5102"/>
    <w:rsid w:val="007D512F"/>
    <w:rsid w:val="007D52D1"/>
    <w:rsid w:val="007D5622"/>
    <w:rsid w:val="007D5858"/>
    <w:rsid w:val="007D6064"/>
    <w:rsid w:val="007D616A"/>
    <w:rsid w:val="007D65CB"/>
    <w:rsid w:val="007D66ED"/>
    <w:rsid w:val="007D6BE3"/>
    <w:rsid w:val="007D7489"/>
    <w:rsid w:val="007D74FE"/>
    <w:rsid w:val="007D7530"/>
    <w:rsid w:val="007D7725"/>
    <w:rsid w:val="007D779B"/>
    <w:rsid w:val="007D7890"/>
    <w:rsid w:val="007D795E"/>
    <w:rsid w:val="007D7D59"/>
    <w:rsid w:val="007D7D68"/>
    <w:rsid w:val="007D7FB3"/>
    <w:rsid w:val="007E04B7"/>
    <w:rsid w:val="007E072E"/>
    <w:rsid w:val="007E09CF"/>
    <w:rsid w:val="007E0B1C"/>
    <w:rsid w:val="007E0B40"/>
    <w:rsid w:val="007E102A"/>
    <w:rsid w:val="007E1EDD"/>
    <w:rsid w:val="007E1FDE"/>
    <w:rsid w:val="007E2036"/>
    <w:rsid w:val="007E222D"/>
    <w:rsid w:val="007E22AF"/>
    <w:rsid w:val="007E2530"/>
    <w:rsid w:val="007E2828"/>
    <w:rsid w:val="007E292E"/>
    <w:rsid w:val="007E2AC1"/>
    <w:rsid w:val="007E2D06"/>
    <w:rsid w:val="007E2E3A"/>
    <w:rsid w:val="007E2E5A"/>
    <w:rsid w:val="007E3195"/>
    <w:rsid w:val="007E31A4"/>
    <w:rsid w:val="007E36B2"/>
    <w:rsid w:val="007E36D4"/>
    <w:rsid w:val="007E3CF8"/>
    <w:rsid w:val="007E3FE9"/>
    <w:rsid w:val="007E40D9"/>
    <w:rsid w:val="007E4290"/>
    <w:rsid w:val="007E4363"/>
    <w:rsid w:val="007E4626"/>
    <w:rsid w:val="007E46A2"/>
    <w:rsid w:val="007E4758"/>
    <w:rsid w:val="007E47E9"/>
    <w:rsid w:val="007E4AA1"/>
    <w:rsid w:val="007E4B2F"/>
    <w:rsid w:val="007E4E68"/>
    <w:rsid w:val="007E4E8E"/>
    <w:rsid w:val="007E4FDD"/>
    <w:rsid w:val="007E512C"/>
    <w:rsid w:val="007E5A69"/>
    <w:rsid w:val="007E5C80"/>
    <w:rsid w:val="007E5C87"/>
    <w:rsid w:val="007E5F6D"/>
    <w:rsid w:val="007E6D96"/>
    <w:rsid w:val="007E721F"/>
    <w:rsid w:val="007E72A9"/>
    <w:rsid w:val="007E7396"/>
    <w:rsid w:val="007E7480"/>
    <w:rsid w:val="007E77BC"/>
    <w:rsid w:val="007E78B0"/>
    <w:rsid w:val="007E78F6"/>
    <w:rsid w:val="007E7939"/>
    <w:rsid w:val="007F0559"/>
    <w:rsid w:val="007F071B"/>
    <w:rsid w:val="007F0730"/>
    <w:rsid w:val="007F0B92"/>
    <w:rsid w:val="007F0C51"/>
    <w:rsid w:val="007F0D88"/>
    <w:rsid w:val="007F0F39"/>
    <w:rsid w:val="007F132C"/>
    <w:rsid w:val="007F1C71"/>
    <w:rsid w:val="007F1D11"/>
    <w:rsid w:val="007F1DF3"/>
    <w:rsid w:val="007F1FDB"/>
    <w:rsid w:val="007F247A"/>
    <w:rsid w:val="007F247E"/>
    <w:rsid w:val="007F25B8"/>
    <w:rsid w:val="007F3220"/>
    <w:rsid w:val="007F3592"/>
    <w:rsid w:val="007F35A4"/>
    <w:rsid w:val="007F35F1"/>
    <w:rsid w:val="007F36A1"/>
    <w:rsid w:val="007F3B97"/>
    <w:rsid w:val="007F3CE5"/>
    <w:rsid w:val="007F3E3F"/>
    <w:rsid w:val="007F3F4B"/>
    <w:rsid w:val="007F40B5"/>
    <w:rsid w:val="007F4164"/>
    <w:rsid w:val="007F46BE"/>
    <w:rsid w:val="007F4959"/>
    <w:rsid w:val="007F4B32"/>
    <w:rsid w:val="007F4C0A"/>
    <w:rsid w:val="007F517B"/>
    <w:rsid w:val="007F5345"/>
    <w:rsid w:val="007F540D"/>
    <w:rsid w:val="007F54A7"/>
    <w:rsid w:val="007F5602"/>
    <w:rsid w:val="007F5C0C"/>
    <w:rsid w:val="007F658C"/>
    <w:rsid w:val="007F7035"/>
    <w:rsid w:val="007F7392"/>
    <w:rsid w:val="007F77EB"/>
    <w:rsid w:val="007F782B"/>
    <w:rsid w:val="007F78DE"/>
    <w:rsid w:val="007F7D13"/>
    <w:rsid w:val="007F7E05"/>
    <w:rsid w:val="007F7F44"/>
    <w:rsid w:val="008001C9"/>
    <w:rsid w:val="00800257"/>
    <w:rsid w:val="00800351"/>
    <w:rsid w:val="00801486"/>
    <w:rsid w:val="008014C5"/>
    <w:rsid w:val="008014E2"/>
    <w:rsid w:val="00801A5E"/>
    <w:rsid w:val="00801BC8"/>
    <w:rsid w:val="008027F8"/>
    <w:rsid w:val="00802992"/>
    <w:rsid w:val="00802D65"/>
    <w:rsid w:val="0080301B"/>
    <w:rsid w:val="0080315E"/>
    <w:rsid w:val="008032A9"/>
    <w:rsid w:val="00803337"/>
    <w:rsid w:val="008033A2"/>
    <w:rsid w:val="008035F7"/>
    <w:rsid w:val="0080373A"/>
    <w:rsid w:val="0080378D"/>
    <w:rsid w:val="00803A87"/>
    <w:rsid w:val="00803E4E"/>
    <w:rsid w:val="00803E8B"/>
    <w:rsid w:val="00803EDA"/>
    <w:rsid w:val="00804020"/>
    <w:rsid w:val="00804050"/>
    <w:rsid w:val="008040FC"/>
    <w:rsid w:val="008042E3"/>
    <w:rsid w:val="008047E1"/>
    <w:rsid w:val="008057A0"/>
    <w:rsid w:val="00805970"/>
    <w:rsid w:val="008059A4"/>
    <w:rsid w:val="008059C6"/>
    <w:rsid w:val="008059DF"/>
    <w:rsid w:val="0080613F"/>
    <w:rsid w:val="00806421"/>
    <w:rsid w:val="00806638"/>
    <w:rsid w:val="00806655"/>
    <w:rsid w:val="008069DF"/>
    <w:rsid w:val="00806A76"/>
    <w:rsid w:val="00807077"/>
    <w:rsid w:val="008070B4"/>
    <w:rsid w:val="00807B58"/>
    <w:rsid w:val="00807DCD"/>
    <w:rsid w:val="00807EA1"/>
    <w:rsid w:val="008101BB"/>
    <w:rsid w:val="0081032F"/>
    <w:rsid w:val="008106B0"/>
    <w:rsid w:val="0081073F"/>
    <w:rsid w:val="008108E5"/>
    <w:rsid w:val="00810B96"/>
    <w:rsid w:val="00810DB6"/>
    <w:rsid w:val="00810F14"/>
    <w:rsid w:val="00811147"/>
    <w:rsid w:val="008112C3"/>
    <w:rsid w:val="00811692"/>
    <w:rsid w:val="00811CB0"/>
    <w:rsid w:val="00811DF4"/>
    <w:rsid w:val="00812065"/>
    <w:rsid w:val="008122A5"/>
    <w:rsid w:val="008122C5"/>
    <w:rsid w:val="008125F7"/>
    <w:rsid w:val="00812637"/>
    <w:rsid w:val="00812675"/>
    <w:rsid w:val="00812AA3"/>
    <w:rsid w:val="00812B96"/>
    <w:rsid w:val="00812C18"/>
    <w:rsid w:val="00812CB1"/>
    <w:rsid w:val="00812D51"/>
    <w:rsid w:val="00812D9D"/>
    <w:rsid w:val="00812DC0"/>
    <w:rsid w:val="00813159"/>
    <w:rsid w:val="0081364E"/>
    <w:rsid w:val="008137E4"/>
    <w:rsid w:val="00813A9E"/>
    <w:rsid w:val="00813B14"/>
    <w:rsid w:val="00813B2F"/>
    <w:rsid w:val="00813E7E"/>
    <w:rsid w:val="00813E8E"/>
    <w:rsid w:val="00813F1D"/>
    <w:rsid w:val="00814061"/>
    <w:rsid w:val="00814323"/>
    <w:rsid w:val="008147B1"/>
    <w:rsid w:val="00815127"/>
    <w:rsid w:val="00815165"/>
    <w:rsid w:val="008158FD"/>
    <w:rsid w:val="008159CB"/>
    <w:rsid w:val="00815B1D"/>
    <w:rsid w:val="00815C94"/>
    <w:rsid w:val="00815CE4"/>
    <w:rsid w:val="00815E4A"/>
    <w:rsid w:val="008164DC"/>
    <w:rsid w:val="008165ED"/>
    <w:rsid w:val="00816685"/>
    <w:rsid w:val="0081671B"/>
    <w:rsid w:val="00816923"/>
    <w:rsid w:val="00816EE5"/>
    <w:rsid w:val="00817BAE"/>
    <w:rsid w:val="00817CA1"/>
    <w:rsid w:val="00820514"/>
    <w:rsid w:val="00820653"/>
    <w:rsid w:val="008208DF"/>
    <w:rsid w:val="00820CDC"/>
    <w:rsid w:val="00820EEA"/>
    <w:rsid w:val="00820F66"/>
    <w:rsid w:val="00820F96"/>
    <w:rsid w:val="0082127F"/>
    <w:rsid w:val="00821364"/>
    <w:rsid w:val="0082152B"/>
    <w:rsid w:val="00821733"/>
    <w:rsid w:val="00821757"/>
    <w:rsid w:val="0082193A"/>
    <w:rsid w:val="00821A11"/>
    <w:rsid w:val="00821AB2"/>
    <w:rsid w:val="00821C0B"/>
    <w:rsid w:val="00821D79"/>
    <w:rsid w:val="00821F60"/>
    <w:rsid w:val="0082225C"/>
    <w:rsid w:val="00822276"/>
    <w:rsid w:val="00822408"/>
    <w:rsid w:val="0082249E"/>
    <w:rsid w:val="00822667"/>
    <w:rsid w:val="008226A8"/>
    <w:rsid w:val="0082284B"/>
    <w:rsid w:val="00822D52"/>
    <w:rsid w:val="008230FF"/>
    <w:rsid w:val="0082327F"/>
    <w:rsid w:val="008232FE"/>
    <w:rsid w:val="0082346D"/>
    <w:rsid w:val="00823907"/>
    <w:rsid w:val="00823F79"/>
    <w:rsid w:val="00824000"/>
    <w:rsid w:val="0082404D"/>
    <w:rsid w:val="00824163"/>
    <w:rsid w:val="0082455A"/>
    <w:rsid w:val="00824674"/>
    <w:rsid w:val="00824C82"/>
    <w:rsid w:val="00824DFD"/>
    <w:rsid w:val="00825386"/>
    <w:rsid w:val="0082595E"/>
    <w:rsid w:val="00825B62"/>
    <w:rsid w:val="00825C2F"/>
    <w:rsid w:val="0082600E"/>
    <w:rsid w:val="00826010"/>
    <w:rsid w:val="00826046"/>
    <w:rsid w:val="00826CF4"/>
    <w:rsid w:val="0082700C"/>
    <w:rsid w:val="008272C3"/>
    <w:rsid w:val="00827A22"/>
    <w:rsid w:val="00827A5A"/>
    <w:rsid w:val="00827ABF"/>
    <w:rsid w:val="00827E31"/>
    <w:rsid w:val="00830686"/>
    <w:rsid w:val="008306E6"/>
    <w:rsid w:val="00830931"/>
    <w:rsid w:val="00830972"/>
    <w:rsid w:val="008316DA"/>
    <w:rsid w:val="00831932"/>
    <w:rsid w:val="00831973"/>
    <w:rsid w:val="00831D66"/>
    <w:rsid w:val="00831F93"/>
    <w:rsid w:val="00831FD8"/>
    <w:rsid w:val="00832131"/>
    <w:rsid w:val="00832262"/>
    <w:rsid w:val="00832332"/>
    <w:rsid w:val="008323CD"/>
    <w:rsid w:val="008328C6"/>
    <w:rsid w:val="0083291C"/>
    <w:rsid w:val="00832CBB"/>
    <w:rsid w:val="00833011"/>
    <w:rsid w:val="0083351E"/>
    <w:rsid w:val="00833A22"/>
    <w:rsid w:val="00833D80"/>
    <w:rsid w:val="008340A1"/>
    <w:rsid w:val="0083420F"/>
    <w:rsid w:val="008342DD"/>
    <w:rsid w:val="008343DE"/>
    <w:rsid w:val="0083446E"/>
    <w:rsid w:val="00834890"/>
    <w:rsid w:val="008349C1"/>
    <w:rsid w:val="008349ED"/>
    <w:rsid w:val="00834B28"/>
    <w:rsid w:val="00834EB9"/>
    <w:rsid w:val="00834F8B"/>
    <w:rsid w:val="00834FA4"/>
    <w:rsid w:val="00835115"/>
    <w:rsid w:val="00835387"/>
    <w:rsid w:val="008356AB"/>
    <w:rsid w:val="008359B8"/>
    <w:rsid w:val="00835A28"/>
    <w:rsid w:val="00835BF4"/>
    <w:rsid w:val="00835D0B"/>
    <w:rsid w:val="00836216"/>
    <w:rsid w:val="00836270"/>
    <w:rsid w:val="00836572"/>
    <w:rsid w:val="0083665F"/>
    <w:rsid w:val="00836A04"/>
    <w:rsid w:val="00836BD0"/>
    <w:rsid w:val="0083726E"/>
    <w:rsid w:val="00837688"/>
    <w:rsid w:val="0083776B"/>
    <w:rsid w:val="00837CE8"/>
    <w:rsid w:val="00837CFB"/>
    <w:rsid w:val="00837EB0"/>
    <w:rsid w:val="00840429"/>
    <w:rsid w:val="00840508"/>
    <w:rsid w:val="00840635"/>
    <w:rsid w:val="00840929"/>
    <w:rsid w:val="00840D1C"/>
    <w:rsid w:val="008410B8"/>
    <w:rsid w:val="00841375"/>
    <w:rsid w:val="00841909"/>
    <w:rsid w:val="00841BB5"/>
    <w:rsid w:val="00842013"/>
    <w:rsid w:val="00842DA5"/>
    <w:rsid w:val="00842F3C"/>
    <w:rsid w:val="00843041"/>
    <w:rsid w:val="008436FC"/>
    <w:rsid w:val="00843807"/>
    <w:rsid w:val="00843919"/>
    <w:rsid w:val="00843964"/>
    <w:rsid w:val="0084399F"/>
    <w:rsid w:val="00843B9B"/>
    <w:rsid w:val="00843FC0"/>
    <w:rsid w:val="00844201"/>
    <w:rsid w:val="00844286"/>
    <w:rsid w:val="008442A8"/>
    <w:rsid w:val="00844A12"/>
    <w:rsid w:val="00844BC5"/>
    <w:rsid w:val="00844CAE"/>
    <w:rsid w:val="00844D70"/>
    <w:rsid w:val="00845672"/>
    <w:rsid w:val="00845715"/>
    <w:rsid w:val="00845871"/>
    <w:rsid w:val="008458FA"/>
    <w:rsid w:val="00846220"/>
    <w:rsid w:val="00846300"/>
    <w:rsid w:val="008465DE"/>
    <w:rsid w:val="0084664D"/>
    <w:rsid w:val="008466F1"/>
    <w:rsid w:val="00846BE9"/>
    <w:rsid w:val="00846C0B"/>
    <w:rsid w:val="00846CB5"/>
    <w:rsid w:val="0084795E"/>
    <w:rsid w:val="00847D62"/>
    <w:rsid w:val="00847F8B"/>
    <w:rsid w:val="0085008A"/>
    <w:rsid w:val="0085018E"/>
    <w:rsid w:val="0085035A"/>
    <w:rsid w:val="0085041E"/>
    <w:rsid w:val="00850557"/>
    <w:rsid w:val="0085058D"/>
    <w:rsid w:val="008507CD"/>
    <w:rsid w:val="00850CC7"/>
    <w:rsid w:val="00850E79"/>
    <w:rsid w:val="00850ECD"/>
    <w:rsid w:val="008512A6"/>
    <w:rsid w:val="0085166B"/>
    <w:rsid w:val="00851E08"/>
    <w:rsid w:val="00852045"/>
    <w:rsid w:val="008527C8"/>
    <w:rsid w:val="00852AD9"/>
    <w:rsid w:val="00852F8C"/>
    <w:rsid w:val="00853088"/>
    <w:rsid w:val="008533C6"/>
    <w:rsid w:val="00853424"/>
    <w:rsid w:val="00853876"/>
    <w:rsid w:val="00853BC3"/>
    <w:rsid w:val="00853D1F"/>
    <w:rsid w:val="00853D3B"/>
    <w:rsid w:val="00853F8A"/>
    <w:rsid w:val="00854182"/>
    <w:rsid w:val="00854371"/>
    <w:rsid w:val="008545F3"/>
    <w:rsid w:val="00854EDA"/>
    <w:rsid w:val="008554E6"/>
    <w:rsid w:val="0085551E"/>
    <w:rsid w:val="0085574F"/>
    <w:rsid w:val="00855913"/>
    <w:rsid w:val="00855E9C"/>
    <w:rsid w:val="008565DD"/>
    <w:rsid w:val="0085671F"/>
    <w:rsid w:val="00856902"/>
    <w:rsid w:val="00856C1E"/>
    <w:rsid w:val="00856CF0"/>
    <w:rsid w:val="00856ED2"/>
    <w:rsid w:val="00857055"/>
    <w:rsid w:val="00857324"/>
    <w:rsid w:val="0085743A"/>
    <w:rsid w:val="00857594"/>
    <w:rsid w:val="0085776B"/>
    <w:rsid w:val="00857791"/>
    <w:rsid w:val="00857B27"/>
    <w:rsid w:val="00857BDD"/>
    <w:rsid w:val="00857D57"/>
    <w:rsid w:val="00860224"/>
    <w:rsid w:val="00860392"/>
    <w:rsid w:val="008603D9"/>
    <w:rsid w:val="008603FE"/>
    <w:rsid w:val="00860796"/>
    <w:rsid w:val="00860A5C"/>
    <w:rsid w:val="0086106B"/>
    <w:rsid w:val="0086138B"/>
    <w:rsid w:val="008614AA"/>
    <w:rsid w:val="00861783"/>
    <w:rsid w:val="00861A08"/>
    <w:rsid w:val="00861D4B"/>
    <w:rsid w:val="008620AB"/>
    <w:rsid w:val="00862421"/>
    <w:rsid w:val="0086270F"/>
    <w:rsid w:val="00862D1B"/>
    <w:rsid w:val="00862D3A"/>
    <w:rsid w:val="008632FF"/>
    <w:rsid w:val="008639E1"/>
    <w:rsid w:val="00863B76"/>
    <w:rsid w:val="00863B8D"/>
    <w:rsid w:val="00863C2D"/>
    <w:rsid w:val="008641A3"/>
    <w:rsid w:val="00864266"/>
    <w:rsid w:val="008645BC"/>
    <w:rsid w:val="00864D7C"/>
    <w:rsid w:val="00864EFA"/>
    <w:rsid w:val="00864EFC"/>
    <w:rsid w:val="00865175"/>
    <w:rsid w:val="00865192"/>
    <w:rsid w:val="00865196"/>
    <w:rsid w:val="00865DD8"/>
    <w:rsid w:val="00865EF9"/>
    <w:rsid w:val="008666C0"/>
    <w:rsid w:val="00866A9F"/>
    <w:rsid w:val="00866AD8"/>
    <w:rsid w:val="00866BC6"/>
    <w:rsid w:val="00866C06"/>
    <w:rsid w:val="00866C39"/>
    <w:rsid w:val="00866D5E"/>
    <w:rsid w:val="00866DD5"/>
    <w:rsid w:val="00866E5C"/>
    <w:rsid w:val="00866F89"/>
    <w:rsid w:val="00867355"/>
    <w:rsid w:val="008679ED"/>
    <w:rsid w:val="00867AD6"/>
    <w:rsid w:val="00867B1C"/>
    <w:rsid w:val="00867F96"/>
    <w:rsid w:val="00870682"/>
    <w:rsid w:val="00870D1C"/>
    <w:rsid w:val="00870DF1"/>
    <w:rsid w:val="00871233"/>
    <w:rsid w:val="0087147E"/>
    <w:rsid w:val="0087158D"/>
    <w:rsid w:val="00871631"/>
    <w:rsid w:val="008719FB"/>
    <w:rsid w:val="00871A75"/>
    <w:rsid w:val="00871BD1"/>
    <w:rsid w:val="00871DED"/>
    <w:rsid w:val="008722E9"/>
    <w:rsid w:val="00872438"/>
    <w:rsid w:val="008725E1"/>
    <w:rsid w:val="00872671"/>
    <w:rsid w:val="00872A3F"/>
    <w:rsid w:val="00872A5D"/>
    <w:rsid w:val="00872CAC"/>
    <w:rsid w:val="00872F91"/>
    <w:rsid w:val="00873140"/>
    <w:rsid w:val="008734A2"/>
    <w:rsid w:val="00873741"/>
    <w:rsid w:val="008738CE"/>
    <w:rsid w:val="008738E7"/>
    <w:rsid w:val="00873BE8"/>
    <w:rsid w:val="00873C65"/>
    <w:rsid w:val="00873C79"/>
    <w:rsid w:val="0087438D"/>
    <w:rsid w:val="008747D8"/>
    <w:rsid w:val="0087559B"/>
    <w:rsid w:val="008758D7"/>
    <w:rsid w:val="00875946"/>
    <w:rsid w:val="00875C05"/>
    <w:rsid w:val="00875C9B"/>
    <w:rsid w:val="00876466"/>
    <w:rsid w:val="008765F5"/>
    <w:rsid w:val="00876A3B"/>
    <w:rsid w:val="00876D83"/>
    <w:rsid w:val="00876D89"/>
    <w:rsid w:val="00876EE0"/>
    <w:rsid w:val="00876F06"/>
    <w:rsid w:val="00877451"/>
    <w:rsid w:val="00877584"/>
    <w:rsid w:val="00877B24"/>
    <w:rsid w:val="00877D7F"/>
    <w:rsid w:val="00877DC5"/>
    <w:rsid w:val="00877F72"/>
    <w:rsid w:val="00877FC3"/>
    <w:rsid w:val="00880167"/>
    <w:rsid w:val="00880558"/>
    <w:rsid w:val="008805CA"/>
    <w:rsid w:val="00880A93"/>
    <w:rsid w:val="00880BA9"/>
    <w:rsid w:val="00881037"/>
    <w:rsid w:val="00881041"/>
    <w:rsid w:val="0088119D"/>
    <w:rsid w:val="00881382"/>
    <w:rsid w:val="00881595"/>
    <w:rsid w:val="00881C00"/>
    <w:rsid w:val="00881EE6"/>
    <w:rsid w:val="00881F52"/>
    <w:rsid w:val="00882B60"/>
    <w:rsid w:val="00882C59"/>
    <w:rsid w:val="00882C78"/>
    <w:rsid w:val="00882E2E"/>
    <w:rsid w:val="00882F60"/>
    <w:rsid w:val="0088326C"/>
    <w:rsid w:val="0088329E"/>
    <w:rsid w:val="0088364C"/>
    <w:rsid w:val="008836AA"/>
    <w:rsid w:val="00883733"/>
    <w:rsid w:val="008837A9"/>
    <w:rsid w:val="0088387A"/>
    <w:rsid w:val="00883AA1"/>
    <w:rsid w:val="008841EE"/>
    <w:rsid w:val="00884256"/>
    <w:rsid w:val="00884385"/>
    <w:rsid w:val="0088463C"/>
    <w:rsid w:val="008847A4"/>
    <w:rsid w:val="00884E38"/>
    <w:rsid w:val="008851F8"/>
    <w:rsid w:val="008858D8"/>
    <w:rsid w:val="00885D88"/>
    <w:rsid w:val="00885E30"/>
    <w:rsid w:val="00886218"/>
    <w:rsid w:val="00886281"/>
    <w:rsid w:val="008863D3"/>
    <w:rsid w:val="00886875"/>
    <w:rsid w:val="008870D7"/>
    <w:rsid w:val="00887122"/>
    <w:rsid w:val="008872D4"/>
    <w:rsid w:val="00887741"/>
    <w:rsid w:val="00887762"/>
    <w:rsid w:val="00887843"/>
    <w:rsid w:val="00887AD4"/>
    <w:rsid w:val="00887AFB"/>
    <w:rsid w:val="0089004D"/>
    <w:rsid w:val="00890067"/>
    <w:rsid w:val="008905D5"/>
    <w:rsid w:val="0089067B"/>
    <w:rsid w:val="00890DB7"/>
    <w:rsid w:val="00891105"/>
    <w:rsid w:val="00891159"/>
    <w:rsid w:val="0089117E"/>
    <w:rsid w:val="00891208"/>
    <w:rsid w:val="008913DA"/>
    <w:rsid w:val="0089151C"/>
    <w:rsid w:val="00891A38"/>
    <w:rsid w:val="00891CDF"/>
    <w:rsid w:val="00891D2B"/>
    <w:rsid w:val="00891F97"/>
    <w:rsid w:val="0089245E"/>
    <w:rsid w:val="0089258E"/>
    <w:rsid w:val="008927EB"/>
    <w:rsid w:val="00892CD6"/>
    <w:rsid w:val="00892F24"/>
    <w:rsid w:val="0089342C"/>
    <w:rsid w:val="00893525"/>
    <w:rsid w:val="008937E4"/>
    <w:rsid w:val="00893893"/>
    <w:rsid w:val="00893D4D"/>
    <w:rsid w:val="00893EFC"/>
    <w:rsid w:val="00894124"/>
    <w:rsid w:val="00894268"/>
    <w:rsid w:val="0089430B"/>
    <w:rsid w:val="00894544"/>
    <w:rsid w:val="00894547"/>
    <w:rsid w:val="00894895"/>
    <w:rsid w:val="00895081"/>
    <w:rsid w:val="00895136"/>
    <w:rsid w:val="00895424"/>
    <w:rsid w:val="0089571D"/>
    <w:rsid w:val="00895814"/>
    <w:rsid w:val="00895A32"/>
    <w:rsid w:val="008962B0"/>
    <w:rsid w:val="008964C0"/>
    <w:rsid w:val="008966ED"/>
    <w:rsid w:val="008967C5"/>
    <w:rsid w:val="008967FB"/>
    <w:rsid w:val="00896952"/>
    <w:rsid w:val="00896C60"/>
    <w:rsid w:val="00897FE7"/>
    <w:rsid w:val="008A002B"/>
    <w:rsid w:val="008A0164"/>
    <w:rsid w:val="008A01C5"/>
    <w:rsid w:val="008A05E9"/>
    <w:rsid w:val="008A08AD"/>
    <w:rsid w:val="008A0EF9"/>
    <w:rsid w:val="008A1243"/>
    <w:rsid w:val="008A124A"/>
    <w:rsid w:val="008A1540"/>
    <w:rsid w:val="008A1780"/>
    <w:rsid w:val="008A18AF"/>
    <w:rsid w:val="008A19AD"/>
    <w:rsid w:val="008A1AF1"/>
    <w:rsid w:val="008A1CCC"/>
    <w:rsid w:val="008A1FE3"/>
    <w:rsid w:val="008A2196"/>
    <w:rsid w:val="008A23BE"/>
    <w:rsid w:val="008A23F7"/>
    <w:rsid w:val="008A2C22"/>
    <w:rsid w:val="008A2D3C"/>
    <w:rsid w:val="008A2D4C"/>
    <w:rsid w:val="008A30D1"/>
    <w:rsid w:val="008A31DB"/>
    <w:rsid w:val="008A3267"/>
    <w:rsid w:val="008A379A"/>
    <w:rsid w:val="008A4016"/>
    <w:rsid w:val="008A4084"/>
    <w:rsid w:val="008A40A5"/>
    <w:rsid w:val="008A42E3"/>
    <w:rsid w:val="008A4341"/>
    <w:rsid w:val="008A46B5"/>
    <w:rsid w:val="008A46F6"/>
    <w:rsid w:val="008A4E8E"/>
    <w:rsid w:val="008A4FB6"/>
    <w:rsid w:val="008A5235"/>
    <w:rsid w:val="008A562E"/>
    <w:rsid w:val="008A57D1"/>
    <w:rsid w:val="008A5866"/>
    <w:rsid w:val="008A5CE7"/>
    <w:rsid w:val="008A5DEC"/>
    <w:rsid w:val="008A5ECE"/>
    <w:rsid w:val="008A628D"/>
    <w:rsid w:val="008A634A"/>
    <w:rsid w:val="008A6798"/>
    <w:rsid w:val="008A6952"/>
    <w:rsid w:val="008A6D3D"/>
    <w:rsid w:val="008A6DE4"/>
    <w:rsid w:val="008A6F6B"/>
    <w:rsid w:val="008A6FAF"/>
    <w:rsid w:val="008A75E3"/>
    <w:rsid w:val="008A7604"/>
    <w:rsid w:val="008A77D7"/>
    <w:rsid w:val="008A7AC2"/>
    <w:rsid w:val="008A7BB2"/>
    <w:rsid w:val="008A7C2B"/>
    <w:rsid w:val="008A7D23"/>
    <w:rsid w:val="008A7D90"/>
    <w:rsid w:val="008B009F"/>
    <w:rsid w:val="008B02D7"/>
    <w:rsid w:val="008B0537"/>
    <w:rsid w:val="008B0730"/>
    <w:rsid w:val="008B0797"/>
    <w:rsid w:val="008B08D0"/>
    <w:rsid w:val="008B08F0"/>
    <w:rsid w:val="008B090A"/>
    <w:rsid w:val="008B0DF9"/>
    <w:rsid w:val="008B0E54"/>
    <w:rsid w:val="008B0EBA"/>
    <w:rsid w:val="008B1059"/>
    <w:rsid w:val="008B11A5"/>
    <w:rsid w:val="008B1272"/>
    <w:rsid w:val="008B14E4"/>
    <w:rsid w:val="008B1992"/>
    <w:rsid w:val="008B1FF4"/>
    <w:rsid w:val="008B207C"/>
    <w:rsid w:val="008B20CA"/>
    <w:rsid w:val="008B2A5F"/>
    <w:rsid w:val="008B2C12"/>
    <w:rsid w:val="008B2C37"/>
    <w:rsid w:val="008B2D84"/>
    <w:rsid w:val="008B3008"/>
    <w:rsid w:val="008B40A3"/>
    <w:rsid w:val="008B42F6"/>
    <w:rsid w:val="008B4374"/>
    <w:rsid w:val="008B46B8"/>
    <w:rsid w:val="008B4C6E"/>
    <w:rsid w:val="008B4D7C"/>
    <w:rsid w:val="008B56C5"/>
    <w:rsid w:val="008B57E3"/>
    <w:rsid w:val="008B5CD5"/>
    <w:rsid w:val="008B5EDC"/>
    <w:rsid w:val="008B5FBF"/>
    <w:rsid w:val="008B606F"/>
    <w:rsid w:val="008B6200"/>
    <w:rsid w:val="008B648B"/>
    <w:rsid w:val="008B6815"/>
    <w:rsid w:val="008B6E74"/>
    <w:rsid w:val="008B6FFF"/>
    <w:rsid w:val="008B707F"/>
    <w:rsid w:val="008B71C5"/>
    <w:rsid w:val="008B72B2"/>
    <w:rsid w:val="008B7350"/>
    <w:rsid w:val="008B75CE"/>
    <w:rsid w:val="008B7990"/>
    <w:rsid w:val="008B7B72"/>
    <w:rsid w:val="008B7BD0"/>
    <w:rsid w:val="008B7CEC"/>
    <w:rsid w:val="008B7E37"/>
    <w:rsid w:val="008B7EFA"/>
    <w:rsid w:val="008C0011"/>
    <w:rsid w:val="008C00A9"/>
    <w:rsid w:val="008C017E"/>
    <w:rsid w:val="008C03A8"/>
    <w:rsid w:val="008C042F"/>
    <w:rsid w:val="008C0AA9"/>
    <w:rsid w:val="008C0B17"/>
    <w:rsid w:val="008C0C17"/>
    <w:rsid w:val="008C0E95"/>
    <w:rsid w:val="008C1331"/>
    <w:rsid w:val="008C1503"/>
    <w:rsid w:val="008C163F"/>
    <w:rsid w:val="008C16FB"/>
    <w:rsid w:val="008C179E"/>
    <w:rsid w:val="008C1959"/>
    <w:rsid w:val="008C1A92"/>
    <w:rsid w:val="008C1EE2"/>
    <w:rsid w:val="008C2527"/>
    <w:rsid w:val="008C2771"/>
    <w:rsid w:val="008C28F6"/>
    <w:rsid w:val="008C2CB4"/>
    <w:rsid w:val="008C2DDA"/>
    <w:rsid w:val="008C2EF5"/>
    <w:rsid w:val="008C333F"/>
    <w:rsid w:val="008C36B8"/>
    <w:rsid w:val="008C373F"/>
    <w:rsid w:val="008C3869"/>
    <w:rsid w:val="008C3AA4"/>
    <w:rsid w:val="008C3B6D"/>
    <w:rsid w:val="008C3CCF"/>
    <w:rsid w:val="008C3CD3"/>
    <w:rsid w:val="008C3D16"/>
    <w:rsid w:val="008C3D3D"/>
    <w:rsid w:val="008C3F53"/>
    <w:rsid w:val="008C4151"/>
    <w:rsid w:val="008C4346"/>
    <w:rsid w:val="008C4513"/>
    <w:rsid w:val="008C4864"/>
    <w:rsid w:val="008C4EB5"/>
    <w:rsid w:val="008C5609"/>
    <w:rsid w:val="008C5963"/>
    <w:rsid w:val="008C59D5"/>
    <w:rsid w:val="008C5A9E"/>
    <w:rsid w:val="008C5C93"/>
    <w:rsid w:val="008C6072"/>
    <w:rsid w:val="008C6151"/>
    <w:rsid w:val="008C6164"/>
    <w:rsid w:val="008C6459"/>
    <w:rsid w:val="008C645F"/>
    <w:rsid w:val="008C64E4"/>
    <w:rsid w:val="008C696D"/>
    <w:rsid w:val="008C6D86"/>
    <w:rsid w:val="008C6F1E"/>
    <w:rsid w:val="008C7026"/>
    <w:rsid w:val="008C7271"/>
    <w:rsid w:val="008C7548"/>
    <w:rsid w:val="008C7599"/>
    <w:rsid w:val="008C7716"/>
    <w:rsid w:val="008C7918"/>
    <w:rsid w:val="008C7992"/>
    <w:rsid w:val="008C7C8B"/>
    <w:rsid w:val="008C7E89"/>
    <w:rsid w:val="008D0407"/>
    <w:rsid w:val="008D05CC"/>
    <w:rsid w:val="008D0738"/>
    <w:rsid w:val="008D0841"/>
    <w:rsid w:val="008D0A41"/>
    <w:rsid w:val="008D0C3A"/>
    <w:rsid w:val="008D142A"/>
    <w:rsid w:val="008D154C"/>
    <w:rsid w:val="008D15C0"/>
    <w:rsid w:val="008D19C4"/>
    <w:rsid w:val="008D1A64"/>
    <w:rsid w:val="008D1BB2"/>
    <w:rsid w:val="008D1CD7"/>
    <w:rsid w:val="008D1D33"/>
    <w:rsid w:val="008D1EFC"/>
    <w:rsid w:val="008D22ED"/>
    <w:rsid w:val="008D238E"/>
    <w:rsid w:val="008D2475"/>
    <w:rsid w:val="008D27D0"/>
    <w:rsid w:val="008D28C0"/>
    <w:rsid w:val="008D2C52"/>
    <w:rsid w:val="008D30C0"/>
    <w:rsid w:val="008D327B"/>
    <w:rsid w:val="008D363A"/>
    <w:rsid w:val="008D377B"/>
    <w:rsid w:val="008D378B"/>
    <w:rsid w:val="008D378C"/>
    <w:rsid w:val="008D38BA"/>
    <w:rsid w:val="008D3BDB"/>
    <w:rsid w:val="008D3C23"/>
    <w:rsid w:val="008D3F13"/>
    <w:rsid w:val="008D4B32"/>
    <w:rsid w:val="008D4C13"/>
    <w:rsid w:val="008D4CB1"/>
    <w:rsid w:val="008D5139"/>
    <w:rsid w:val="008D5187"/>
    <w:rsid w:val="008D522F"/>
    <w:rsid w:val="008D52E6"/>
    <w:rsid w:val="008D544A"/>
    <w:rsid w:val="008D5640"/>
    <w:rsid w:val="008D5896"/>
    <w:rsid w:val="008D5C0B"/>
    <w:rsid w:val="008D5D4F"/>
    <w:rsid w:val="008D6036"/>
    <w:rsid w:val="008D63E1"/>
    <w:rsid w:val="008D6C83"/>
    <w:rsid w:val="008D6CF2"/>
    <w:rsid w:val="008E0B23"/>
    <w:rsid w:val="008E0C27"/>
    <w:rsid w:val="008E0DDB"/>
    <w:rsid w:val="008E0E2C"/>
    <w:rsid w:val="008E145B"/>
    <w:rsid w:val="008E1609"/>
    <w:rsid w:val="008E16B2"/>
    <w:rsid w:val="008E1CB9"/>
    <w:rsid w:val="008E1D69"/>
    <w:rsid w:val="008E202F"/>
    <w:rsid w:val="008E2063"/>
    <w:rsid w:val="008E20A9"/>
    <w:rsid w:val="008E20F8"/>
    <w:rsid w:val="008E244C"/>
    <w:rsid w:val="008E24E8"/>
    <w:rsid w:val="008E2660"/>
    <w:rsid w:val="008E272E"/>
    <w:rsid w:val="008E2988"/>
    <w:rsid w:val="008E2BAD"/>
    <w:rsid w:val="008E2C2B"/>
    <w:rsid w:val="008E2D60"/>
    <w:rsid w:val="008E2E92"/>
    <w:rsid w:val="008E311C"/>
    <w:rsid w:val="008E31D3"/>
    <w:rsid w:val="008E327B"/>
    <w:rsid w:val="008E3490"/>
    <w:rsid w:val="008E37F8"/>
    <w:rsid w:val="008E4380"/>
    <w:rsid w:val="008E44BB"/>
    <w:rsid w:val="008E480C"/>
    <w:rsid w:val="008E4AED"/>
    <w:rsid w:val="008E4B42"/>
    <w:rsid w:val="008E51FB"/>
    <w:rsid w:val="008E5330"/>
    <w:rsid w:val="008E5402"/>
    <w:rsid w:val="008E5431"/>
    <w:rsid w:val="008E599B"/>
    <w:rsid w:val="008E5A14"/>
    <w:rsid w:val="008E6024"/>
    <w:rsid w:val="008E656D"/>
    <w:rsid w:val="008E65C9"/>
    <w:rsid w:val="008E66AD"/>
    <w:rsid w:val="008E66C3"/>
    <w:rsid w:val="008E6836"/>
    <w:rsid w:val="008E689B"/>
    <w:rsid w:val="008E6CD2"/>
    <w:rsid w:val="008E6F60"/>
    <w:rsid w:val="008E7153"/>
    <w:rsid w:val="008E7557"/>
    <w:rsid w:val="008E75E0"/>
    <w:rsid w:val="008E79C7"/>
    <w:rsid w:val="008E7D9F"/>
    <w:rsid w:val="008F02BA"/>
    <w:rsid w:val="008F02FB"/>
    <w:rsid w:val="008F03AD"/>
    <w:rsid w:val="008F048D"/>
    <w:rsid w:val="008F05C1"/>
    <w:rsid w:val="008F084E"/>
    <w:rsid w:val="008F0901"/>
    <w:rsid w:val="008F0EDF"/>
    <w:rsid w:val="008F11F7"/>
    <w:rsid w:val="008F1302"/>
    <w:rsid w:val="008F14A8"/>
    <w:rsid w:val="008F15B3"/>
    <w:rsid w:val="008F1603"/>
    <w:rsid w:val="008F16E2"/>
    <w:rsid w:val="008F1859"/>
    <w:rsid w:val="008F18F6"/>
    <w:rsid w:val="008F19D5"/>
    <w:rsid w:val="008F1AEE"/>
    <w:rsid w:val="008F1C39"/>
    <w:rsid w:val="008F2227"/>
    <w:rsid w:val="008F290F"/>
    <w:rsid w:val="008F2AED"/>
    <w:rsid w:val="008F2B5D"/>
    <w:rsid w:val="008F2ECA"/>
    <w:rsid w:val="008F3554"/>
    <w:rsid w:val="008F38C6"/>
    <w:rsid w:val="008F3905"/>
    <w:rsid w:val="008F39D7"/>
    <w:rsid w:val="008F3ABC"/>
    <w:rsid w:val="008F3B48"/>
    <w:rsid w:val="008F3CB1"/>
    <w:rsid w:val="008F3E58"/>
    <w:rsid w:val="008F3E8B"/>
    <w:rsid w:val="008F4067"/>
    <w:rsid w:val="008F4216"/>
    <w:rsid w:val="008F4229"/>
    <w:rsid w:val="008F4249"/>
    <w:rsid w:val="008F45A1"/>
    <w:rsid w:val="008F4A2C"/>
    <w:rsid w:val="008F4CC4"/>
    <w:rsid w:val="008F5072"/>
    <w:rsid w:val="008F542E"/>
    <w:rsid w:val="008F5466"/>
    <w:rsid w:val="008F5924"/>
    <w:rsid w:val="008F5A3E"/>
    <w:rsid w:val="008F5EEE"/>
    <w:rsid w:val="008F608F"/>
    <w:rsid w:val="008F60F7"/>
    <w:rsid w:val="008F640A"/>
    <w:rsid w:val="008F65BB"/>
    <w:rsid w:val="008F673A"/>
    <w:rsid w:val="008F6803"/>
    <w:rsid w:val="008F69ED"/>
    <w:rsid w:val="008F6A20"/>
    <w:rsid w:val="008F6C77"/>
    <w:rsid w:val="008F6D2C"/>
    <w:rsid w:val="008F6DC0"/>
    <w:rsid w:val="008F7216"/>
    <w:rsid w:val="008F77F2"/>
    <w:rsid w:val="008F78AE"/>
    <w:rsid w:val="008F7F0C"/>
    <w:rsid w:val="008F7F32"/>
    <w:rsid w:val="009000BB"/>
    <w:rsid w:val="0090011A"/>
    <w:rsid w:val="0090011F"/>
    <w:rsid w:val="00900123"/>
    <w:rsid w:val="009001A3"/>
    <w:rsid w:val="009003B7"/>
    <w:rsid w:val="009005B2"/>
    <w:rsid w:val="00900748"/>
    <w:rsid w:val="009008AB"/>
    <w:rsid w:val="00900FB5"/>
    <w:rsid w:val="009010F2"/>
    <w:rsid w:val="009010FC"/>
    <w:rsid w:val="009016B8"/>
    <w:rsid w:val="009019C4"/>
    <w:rsid w:val="00901A25"/>
    <w:rsid w:val="00901FEA"/>
    <w:rsid w:val="009036D7"/>
    <w:rsid w:val="009039E7"/>
    <w:rsid w:val="00903A9A"/>
    <w:rsid w:val="00903B22"/>
    <w:rsid w:val="00903D67"/>
    <w:rsid w:val="009040A1"/>
    <w:rsid w:val="0090415E"/>
    <w:rsid w:val="00904267"/>
    <w:rsid w:val="009045ED"/>
    <w:rsid w:val="00904CC5"/>
    <w:rsid w:val="00905020"/>
    <w:rsid w:val="00905039"/>
    <w:rsid w:val="00905149"/>
    <w:rsid w:val="009051B9"/>
    <w:rsid w:val="009053DF"/>
    <w:rsid w:val="009054E0"/>
    <w:rsid w:val="0090553E"/>
    <w:rsid w:val="00905AB2"/>
    <w:rsid w:val="00905B0B"/>
    <w:rsid w:val="00905F26"/>
    <w:rsid w:val="009060D2"/>
    <w:rsid w:val="009062DF"/>
    <w:rsid w:val="009063E1"/>
    <w:rsid w:val="0090645C"/>
    <w:rsid w:val="0090660C"/>
    <w:rsid w:val="00906B9C"/>
    <w:rsid w:val="00906F88"/>
    <w:rsid w:val="00906FEF"/>
    <w:rsid w:val="0090704D"/>
    <w:rsid w:val="00907246"/>
    <w:rsid w:val="009072A6"/>
    <w:rsid w:val="0090746D"/>
    <w:rsid w:val="00907556"/>
    <w:rsid w:val="00907793"/>
    <w:rsid w:val="00910174"/>
    <w:rsid w:val="009101B4"/>
    <w:rsid w:val="009103E5"/>
    <w:rsid w:val="009104BE"/>
    <w:rsid w:val="0091084A"/>
    <w:rsid w:val="00910852"/>
    <w:rsid w:val="00910928"/>
    <w:rsid w:val="009109A4"/>
    <w:rsid w:val="00910B47"/>
    <w:rsid w:val="00910EC1"/>
    <w:rsid w:val="009110D9"/>
    <w:rsid w:val="0091110E"/>
    <w:rsid w:val="009114B5"/>
    <w:rsid w:val="009115D7"/>
    <w:rsid w:val="009119D3"/>
    <w:rsid w:val="00911ACB"/>
    <w:rsid w:val="00911DA5"/>
    <w:rsid w:val="00911E0A"/>
    <w:rsid w:val="009122AB"/>
    <w:rsid w:val="00912573"/>
    <w:rsid w:val="0091289A"/>
    <w:rsid w:val="00912E20"/>
    <w:rsid w:val="009131C8"/>
    <w:rsid w:val="009134B9"/>
    <w:rsid w:val="00913558"/>
    <w:rsid w:val="00913623"/>
    <w:rsid w:val="0091379C"/>
    <w:rsid w:val="00914169"/>
    <w:rsid w:val="00914CF7"/>
    <w:rsid w:val="00914E26"/>
    <w:rsid w:val="00914F26"/>
    <w:rsid w:val="00914F87"/>
    <w:rsid w:val="0091524F"/>
    <w:rsid w:val="009153C2"/>
    <w:rsid w:val="00915718"/>
    <w:rsid w:val="00915D73"/>
    <w:rsid w:val="00915F43"/>
    <w:rsid w:val="00915F77"/>
    <w:rsid w:val="0091604B"/>
    <w:rsid w:val="0091644B"/>
    <w:rsid w:val="0091658A"/>
    <w:rsid w:val="00916A38"/>
    <w:rsid w:val="00916F6E"/>
    <w:rsid w:val="00916FA2"/>
    <w:rsid w:val="00916FAD"/>
    <w:rsid w:val="00917153"/>
    <w:rsid w:val="009174F9"/>
    <w:rsid w:val="009175A2"/>
    <w:rsid w:val="00917C0B"/>
    <w:rsid w:val="00917F50"/>
    <w:rsid w:val="00917F98"/>
    <w:rsid w:val="009200E1"/>
    <w:rsid w:val="00920105"/>
    <w:rsid w:val="0092035C"/>
    <w:rsid w:val="00920562"/>
    <w:rsid w:val="00920A9A"/>
    <w:rsid w:val="00920B6A"/>
    <w:rsid w:val="00920C51"/>
    <w:rsid w:val="00920FDA"/>
    <w:rsid w:val="0092114E"/>
    <w:rsid w:val="00921153"/>
    <w:rsid w:val="0092121A"/>
    <w:rsid w:val="009215BF"/>
    <w:rsid w:val="00921699"/>
    <w:rsid w:val="0092181E"/>
    <w:rsid w:val="00921C1C"/>
    <w:rsid w:val="00921F05"/>
    <w:rsid w:val="009225A6"/>
    <w:rsid w:val="009226EA"/>
    <w:rsid w:val="009227AE"/>
    <w:rsid w:val="009231DC"/>
    <w:rsid w:val="009232CD"/>
    <w:rsid w:val="00923794"/>
    <w:rsid w:val="009238C8"/>
    <w:rsid w:val="00923A09"/>
    <w:rsid w:val="00923F45"/>
    <w:rsid w:val="009243A8"/>
    <w:rsid w:val="00924A04"/>
    <w:rsid w:val="00924B08"/>
    <w:rsid w:val="00924B54"/>
    <w:rsid w:val="00924C47"/>
    <w:rsid w:val="00924CE7"/>
    <w:rsid w:val="00924F53"/>
    <w:rsid w:val="00925445"/>
    <w:rsid w:val="00925459"/>
    <w:rsid w:val="009259D2"/>
    <w:rsid w:val="00925AE3"/>
    <w:rsid w:val="00925B3B"/>
    <w:rsid w:val="00925BF2"/>
    <w:rsid w:val="00926222"/>
    <w:rsid w:val="0092639D"/>
    <w:rsid w:val="009264D1"/>
    <w:rsid w:val="00926652"/>
    <w:rsid w:val="00926D45"/>
    <w:rsid w:val="00926F00"/>
    <w:rsid w:val="009275E7"/>
    <w:rsid w:val="009276FF"/>
    <w:rsid w:val="009279D0"/>
    <w:rsid w:val="00927C33"/>
    <w:rsid w:val="00927F7C"/>
    <w:rsid w:val="009300E1"/>
    <w:rsid w:val="00930275"/>
    <w:rsid w:val="00930343"/>
    <w:rsid w:val="00930346"/>
    <w:rsid w:val="00930A54"/>
    <w:rsid w:val="00930B62"/>
    <w:rsid w:val="00930E7B"/>
    <w:rsid w:val="00930EC3"/>
    <w:rsid w:val="00930FAD"/>
    <w:rsid w:val="009310B3"/>
    <w:rsid w:val="0093110A"/>
    <w:rsid w:val="009311AF"/>
    <w:rsid w:val="00931654"/>
    <w:rsid w:val="0093182A"/>
    <w:rsid w:val="009319B3"/>
    <w:rsid w:val="00931E90"/>
    <w:rsid w:val="009324BC"/>
    <w:rsid w:val="009324F3"/>
    <w:rsid w:val="00932648"/>
    <w:rsid w:val="009327FE"/>
    <w:rsid w:val="00932E6B"/>
    <w:rsid w:val="00932EB4"/>
    <w:rsid w:val="00932EF5"/>
    <w:rsid w:val="00933098"/>
    <w:rsid w:val="0093318F"/>
    <w:rsid w:val="009331D8"/>
    <w:rsid w:val="009331DB"/>
    <w:rsid w:val="00933217"/>
    <w:rsid w:val="00933363"/>
    <w:rsid w:val="009334FA"/>
    <w:rsid w:val="00933799"/>
    <w:rsid w:val="009337F7"/>
    <w:rsid w:val="00933BA9"/>
    <w:rsid w:val="00933C44"/>
    <w:rsid w:val="00933C9B"/>
    <w:rsid w:val="00934185"/>
    <w:rsid w:val="00934190"/>
    <w:rsid w:val="0093431E"/>
    <w:rsid w:val="00934568"/>
    <w:rsid w:val="0093461D"/>
    <w:rsid w:val="009348E2"/>
    <w:rsid w:val="0093508D"/>
    <w:rsid w:val="0093563E"/>
    <w:rsid w:val="00935BBE"/>
    <w:rsid w:val="00935BDB"/>
    <w:rsid w:val="00935FBF"/>
    <w:rsid w:val="009360BE"/>
    <w:rsid w:val="00936325"/>
    <w:rsid w:val="00936AE4"/>
    <w:rsid w:val="00936AF1"/>
    <w:rsid w:val="00936CBD"/>
    <w:rsid w:val="00937154"/>
    <w:rsid w:val="00937421"/>
    <w:rsid w:val="009375BC"/>
    <w:rsid w:val="009375F3"/>
    <w:rsid w:val="0093799B"/>
    <w:rsid w:val="00937BBC"/>
    <w:rsid w:val="00937C93"/>
    <w:rsid w:val="00937DE3"/>
    <w:rsid w:val="00940549"/>
    <w:rsid w:val="00940642"/>
    <w:rsid w:val="00940A4B"/>
    <w:rsid w:val="00940CB0"/>
    <w:rsid w:val="00940CB9"/>
    <w:rsid w:val="00940CD2"/>
    <w:rsid w:val="00940ECD"/>
    <w:rsid w:val="009415C5"/>
    <w:rsid w:val="0094167E"/>
    <w:rsid w:val="009416DE"/>
    <w:rsid w:val="0094185D"/>
    <w:rsid w:val="00941BD7"/>
    <w:rsid w:val="009420FD"/>
    <w:rsid w:val="0094255F"/>
    <w:rsid w:val="00942807"/>
    <w:rsid w:val="00942A4B"/>
    <w:rsid w:val="00942B32"/>
    <w:rsid w:val="00942BA5"/>
    <w:rsid w:val="00942E61"/>
    <w:rsid w:val="00942FD0"/>
    <w:rsid w:val="00943156"/>
    <w:rsid w:val="00943541"/>
    <w:rsid w:val="00943760"/>
    <w:rsid w:val="0094378B"/>
    <w:rsid w:val="00943932"/>
    <w:rsid w:val="009439D7"/>
    <w:rsid w:val="00943E51"/>
    <w:rsid w:val="00943FD9"/>
    <w:rsid w:val="00944018"/>
    <w:rsid w:val="0094403C"/>
    <w:rsid w:val="0094409F"/>
    <w:rsid w:val="0094462E"/>
    <w:rsid w:val="00944F05"/>
    <w:rsid w:val="009450F2"/>
    <w:rsid w:val="009453D0"/>
    <w:rsid w:val="009454EF"/>
    <w:rsid w:val="00945930"/>
    <w:rsid w:val="00945C38"/>
    <w:rsid w:val="00945E80"/>
    <w:rsid w:val="00945E82"/>
    <w:rsid w:val="00945F0F"/>
    <w:rsid w:val="0094650F"/>
    <w:rsid w:val="00946ABB"/>
    <w:rsid w:val="00946DFB"/>
    <w:rsid w:val="00946E35"/>
    <w:rsid w:val="00946ECA"/>
    <w:rsid w:val="00946EEA"/>
    <w:rsid w:val="00947394"/>
    <w:rsid w:val="0094759B"/>
    <w:rsid w:val="00947812"/>
    <w:rsid w:val="00947848"/>
    <w:rsid w:val="00947AAC"/>
    <w:rsid w:val="009500C7"/>
    <w:rsid w:val="00950399"/>
    <w:rsid w:val="00950485"/>
    <w:rsid w:val="009506ED"/>
    <w:rsid w:val="00950E84"/>
    <w:rsid w:val="00950F23"/>
    <w:rsid w:val="00950F2A"/>
    <w:rsid w:val="00950F46"/>
    <w:rsid w:val="00950F99"/>
    <w:rsid w:val="009512A6"/>
    <w:rsid w:val="00951607"/>
    <w:rsid w:val="009516CD"/>
    <w:rsid w:val="0095243C"/>
    <w:rsid w:val="00952599"/>
    <w:rsid w:val="0095261D"/>
    <w:rsid w:val="00952783"/>
    <w:rsid w:val="009528E4"/>
    <w:rsid w:val="00953254"/>
    <w:rsid w:val="009534CC"/>
    <w:rsid w:val="0095373F"/>
    <w:rsid w:val="00953BA8"/>
    <w:rsid w:val="00953CE4"/>
    <w:rsid w:val="009542F5"/>
    <w:rsid w:val="0095468D"/>
    <w:rsid w:val="00954690"/>
    <w:rsid w:val="009546C9"/>
    <w:rsid w:val="0095491D"/>
    <w:rsid w:val="00954987"/>
    <w:rsid w:val="00954C28"/>
    <w:rsid w:val="00955033"/>
    <w:rsid w:val="009551F7"/>
    <w:rsid w:val="009551F8"/>
    <w:rsid w:val="009552C1"/>
    <w:rsid w:val="009552E7"/>
    <w:rsid w:val="009552F5"/>
    <w:rsid w:val="009553BC"/>
    <w:rsid w:val="00955661"/>
    <w:rsid w:val="009556CB"/>
    <w:rsid w:val="0095574B"/>
    <w:rsid w:val="009557AD"/>
    <w:rsid w:val="00955AF4"/>
    <w:rsid w:val="00955B6A"/>
    <w:rsid w:val="00955EC3"/>
    <w:rsid w:val="009562E4"/>
    <w:rsid w:val="009567F7"/>
    <w:rsid w:val="00956A43"/>
    <w:rsid w:val="00956A51"/>
    <w:rsid w:val="00957058"/>
    <w:rsid w:val="00957127"/>
    <w:rsid w:val="009575DF"/>
    <w:rsid w:val="00957716"/>
    <w:rsid w:val="00957995"/>
    <w:rsid w:val="00957F95"/>
    <w:rsid w:val="0096017D"/>
    <w:rsid w:val="00960284"/>
    <w:rsid w:val="00960AAC"/>
    <w:rsid w:val="00960D77"/>
    <w:rsid w:val="009612A0"/>
    <w:rsid w:val="009614C5"/>
    <w:rsid w:val="00961563"/>
    <w:rsid w:val="00961C0C"/>
    <w:rsid w:val="00961C70"/>
    <w:rsid w:val="00961DE6"/>
    <w:rsid w:val="00962295"/>
    <w:rsid w:val="00962507"/>
    <w:rsid w:val="0096277C"/>
    <w:rsid w:val="00962921"/>
    <w:rsid w:val="00962C85"/>
    <w:rsid w:val="00962DB5"/>
    <w:rsid w:val="00962E5B"/>
    <w:rsid w:val="009632A4"/>
    <w:rsid w:val="00963804"/>
    <w:rsid w:val="00963A8B"/>
    <w:rsid w:val="009640B5"/>
    <w:rsid w:val="009642BC"/>
    <w:rsid w:val="00964D0B"/>
    <w:rsid w:val="00964F03"/>
    <w:rsid w:val="00965190"/>
    <w:rsid w:val="009652D6"/>
    <w:rsid w:val="009654BA"/>
    <w:rsid w:val="009655AA"/>
    <w:rsid w:val="00965786"/>
    <w:rsid w:val="0096583D"/>
    <w:rsid w:val="00965BB2"/>
    <w:rsid w:val="009660C5"/>
    <w:rsid w:val="009661EB"/>
    <w:rsid w:val="009663E4"/>
    <w:rsid w:val="009665BC"/>
    <w:rsid w:val="009666EC"/>
    <w:rsid w:val="009667B1"/>
    <w:rsid w:val="009667F8"/>
    <w:rsid w:val="00966838"/>
    <w:rsid w:val="00966A6C"/>
    <w:rsid w:val="00966A82"/>
    <w:rsid w:val="00966BAF"/>
    <w:rsid w:val="00966D3E"/>
    <w:rsid w:val="00966E70"/>
    <w:rsid w:val="00966EA3"/>
    <w:rsid w:val="0096706D"/>
    <w:rsid w:val="00967212"/>
    <w:rsid w:val="009673BC"/>
    <w:rsid w:val="00967439"/>
    <w:rsid w:val="009674D3"/>
    <w:rsid w:val="009704BB"/>
    <w:rsid w:val="00970978"/>
    <w:rsid w:val="00970ABF"/>
    <w:rsid w:val="00970B40"/>
    <w:rsid w:val="009711E8"/>
    <w:rsid w:val="0097135B"/>
    <w:rsid w:val="00971586"/>
    <w:rsid w:val="009719BE"/>
    <w:rsid w:val="00971C7A"/>
    <w:rsid w:val="00971CD9"/>
    <w:rsid w:val="009721D3"/>
    <w:rsid w:val="00972660"/>
    <w:rsid w:val="009727F0"/>
    <w:rsid w:val="00972B8E"/>
    <w:rsid w:val="00972BF9"/>
    <w:rsid w:val="00972EFE"/>
    <w:rsid w:val="00972F6D"/>
    <w:rsid w:val="009734E7"/>
    <w:rsid w:val="00973517"/>
    <w:rsid w:val="0097378D"/>
    <w:rsid w:val="00973AC0"/>
    <w:rsid w:val="00973C04"/>
    <w:rsid w:val="00973D6F"/>
    <w:rsid w:val="00973F1E"/>
    <w:rsid w:val="009741C2"/>
    <w:rsid w:val="0097422B"/>
    <w:rsid w:val="00974385"/>
    <w:rsid w:val="0097455E"/>
    <w:rsid w:val="0097479E"/>
    <w:rsid w:val="0097481F"/>
    <w:rsid w:val="0097487C"/>
    <w:rsid w:val="00974A57"/>
    <w:rsid w:val="00974C12"/>
    <w:rsid w:val="00974CA2"/>
    <w:rsid w:val="00974CD9"/>
    <w:rsid w:val="00974FFB"/>
    <w:rsid w:val="0097512B"/>
    <w:rsid w:val="00975228"/>
    <w:rsid w:val="00975565"/>
    <w:rsid w:val="0097558D"/>
    <w:rsid w:val="00976424"/>
    <w:rsid w:val="0097659A"/>
    <w:rsid w:val="00976906"/>
    <w:rsid w:val="009771CC"/>
    <w:rsid w:val="00977A6D"/>
    <w:rsid w:val="00977C03"/>
    <w:rsid w:val="00977D8C"/>
    <w:rsid w:val="00977DA3"/>
    <w:rsid w:val="00977E7E"/>
    <w:rsid w:val="00977EA4"/>
    <w:rsid w:val="00980205"/>
    <w:rsid w:val="009803B4"/>
    <w:rsid w:val="0098053B"/>
    <w:rsid w:val="009808CA"/>
    <w:rsid w:val="00980A9C"/>
    <w:rsid w:val="00980C16"/>
    <w:rsid w:val="00980DDD"/>
    <w:rsid w:val="00980F35"/>
    <w:rsid w:val="00981408"/>
    <w:rsid w:val="009816F3"/>
    <w:rsid w:val="009817E2"/>
    <w:rsid w:val="00981881"/>
    <w:rsid w:val="00981D78"/>
    <w:rsid w:val="00981E7A"/>
    <w:rsid w:val="009824C0"/>
    <w:rsid w:val="009824C4"/>
    <w:rsid w:val="00982872"/>
    <w:rsid w:val="009828C7"/>
    <w:rsid w:val="009828F1"/>
    <w:rsid w:val="00982B14"/>
    <w:rsid w:val="00982CDC"/>
    <w:rsid w:val="00982D99"/>
    <w:rsid w:val="00983196"/>
    <w:rsid w:val="009837CC"/>
    <w:rsid w:val="009839E8"/>
    <w:rsid w:val="00983DC5"/>
    <w:rsid w:val="009841A2"/>
    <w:rsid w:val="00984485"/>
    <w:rsid w:val="009845A7"/>
    <w:rsid w:val="009845AA"/>
    <w:rsid w:val="00984AEF"/>
    <w:rsid w:val="00984F94"/>
    <w:rsid w:val="009854CA"/>
    <w:rsid w:val="0098569C"/>
    <w:rsid w:val="00985A36"/>
    <w:rsid w:val="00985B20"/>
    <w:rsid w:val="00985EC4"/>
    <w:rsid w:val="0098616A"/>
    <w:rsid w:val="009862E9"/>
    <w:rsid w:val="0098640A"/>
    <w:rsid w:val="0098647F"/>
    <w:rsid w:val="00986E54"/>
    <w:rsid w:val="00986FC3"/>
    <w:rsid w:val="0098773F"/>
    <w:rsid w:val="009877E1"/>
    <w:rsid w:val="00987B73"/>
    <w:rsid w:val="00987E58"/>
    <w:rsid w:val="00987F9F"/>
    <w:rsid w:val="00990012"/>
    <w:rsid w:val="00990437"/>
    <w:rsid w:val="009905D0"/>
    <w:rsid w:val="0099083C"/>
    <w:rsid w:val="009908C5"/>
    <w:rsid w:val="00990CDA"/>
    <w:rsid w:val="009913E2"/>
    <w:rsid w:val="009914CA"/>
    <w:rsid w:val="009916FA"/>
    <w:rsid w:val="00991748"/>
    <w:rsid w:val="0099182F"/>
    <w:rsid w:val="00991B09"/>
    <w:rsid w:val="00991DF0"/>
    <w:rsid w:val="00991EC1"/>
    <w:rsid w:val="0099238A"/>
    <w:rsid w:val="009924BE"/>
    <w:rsid w:val="009924E1"/>
    <w:rsid w:val="00992BB3"/>
    <w:rsid w:val="00992C61"/>
    <w:rsid w:val="00992FE8"/>
    <w:rsid w:val="009930E2"/>
    <w:rsid w:val="00993B12"/>
    <w:rsid w:val="00993DBC"/>
    <w:rsid w:val="009940F3"/>
    <w:rsid w:val="00994218"/>
    <w:rsid w:val="0099429B"/>
    <w:rsid w:val="00994316"/>
    <w:rsid w:val="00994471"/>
    <w:rsid w:val="009945CF"/>
    <w:rsid w:val="009948D0"/>
    <w:rsid w:val="00994B04"/>
    <w:rsid w:val="00994D5E"/>
    <w:rsid w:val="00994E0C"/>
    <w:rsid w:val="00994E73"/>
    <w:rsid w:val="00994F69"/>
    <w:rsid w:val="009952FA"/>
    <w:rsid w:val="00995382"/>
    <w:rsid w:val="00995550"/>
    <w:rsid w:val="00995A07"/>
    <w:rsid w:val="00995BFF"/>
    <w:rsid w:val="00995D52"/>
    <w:rsid w:val="00995EC4"/>
    <w:rsid w:val="009961AB"/>
    <w:rsid w:val="009962A4"/>
    <w:rsid w:val="009969C7"/>
    <w:rsid w:val="00996B84"/>
    <w:rsid w:val="00996BA6"/>
    <w:rsid w:val="0099732D"/>
    <w:rsid w:val="009973C2"/>
    <w:rsid w:val="009975DE"/>
    <w:rsid w:val="00997B59"/>
    <w:rsid w:val="009A02D6"/>
    <w:rsid w:val="009A051C"/>
    <w:rsid w:val="009A073B"/>
    <w:rsid w:val="009A0856"/>
    <w:rsid w:val="009A0C7E"/>
    <w:rsid w:val="009A10C1"/>
    <w:rsid w:val="009A1298"/>
    <w:rsid w:val="009A12F4"/>
    <w:rsid w:val="009A1413"/>
    <w:rsid w:val="009A16D9"/>
    <w:rsid w:val="009A1823"/>
    <w:rsid w:val="009A1C2B"/>
    <w:rsid w:val="009A1DB4"/>
    <w:rsid w:val="009A1E7D"/>
    <w:rsid w:val="009A1EF0"/>
    <w:rsid w:val="009A2209"/>
    <w:rsid w:val="009A25CC"/>
    <w:rsid w:val="009A28E0"/>
    <w:rsid w:val="009A3503"/>
    <w:rsid w:val="009A3829"/>
    <w:rsid w:val="009A3A4B"/>
    <w:rsid w:val="009A3BA3"/>
    <w:rsid w:val="009A3DA6"/>
    <w:rsid w:val="009A3E2A"/>
    <w:rsid w:val="009A435A"/>
    <w:rsid w:val="009A48BE"/>
    <w:rsid w:val="009A48C5"/>
    <w:rsid w:val="009A4B17"/>
    <w:rsid w:val="009A4E47"/>
    <w:rsid w:val="009A5114"/>
    <w:rsid w:val="009A5325"/>
    <w:rsid w:val="009A55B9"/>
    <w:rsid w:val="009A560B"/>
    <w:rsid w:val="009A57A1"/>
    <w:rsid w:val="009A5A4C"/>
    <w:rsid w:val="009A5A80"/>
    <w:rsid w:val="009A5BCF"/>
    <w:rsid w:val="009A5C86"/>
    <w:rsid w:val="009A600B"/>
    <w:rsid w:val="009A6677"/>
    <w:rsid w:val="009A66E3"/>
    <w:rsid w:val="009A6885"/>
    <w:rsid w:val="009A6923"/>
    <w:rsid w:val="009A6B03"/>
    <w:rsid w:val="009A6B3C"/>
    <w:rsid w:val="009A6C78"/>
    <w:rsid w:val="009A7297"/>
    <w:rsid w:val="009A72E2"/>
    <w:rsid w:val="009A76FC"/>
    <w:rsid w:val="009A7724"/>
    <w:rsid w:val="009B018A"/>
    <w:rsid w:val="009B026A"/>
    <w:rsid w:val="009B04F3"/>
    <w:rsid w:val="009B0695"/>
    <w:rsid w:val="009B0B48"/>
    <w:rsid w:val="009B0F4F"/>
    <w:rsid w:val="009B123E"/>
    <w:rsid w:val="009B17AE"/>
    <w:rsid w:val="009B1AF3"/>
    <w:rsid w:val="009B1FDF"/>
    <w:rsid w:val="009B20E5"/>
    <w:rsid w:val="009B2343"/>
    <w:rsid w:val="009B242B"/>
    <w:rsid w:val="009B2A9A"/>
    <w:rsid w:val="009B2E10"/>
    <w:rsid w:val="009B2E6E"/>
    <w:rsid w:val="009B2FF3"/>
    <w:rsid w:val="009B34ED"/>
    <w:rsid w:val="009B3781"/>
    <w:rsid w:val="009B382C"/>
    <w:rsid w:val="009B3A61"/>
    <w:rsid w:val="009B3A63"/>
    <w:rsid w:val="009B3A94"/>
    <w:rsid w:val="009B3D0B"/>
    <w:rsid w:val="009B3F6C"/>
    <w:rsid w:val="009B47C1"/>
    <w:rsid w:val="009B4AE1"/>
    <w:rsid w:val="009B4BA8"/>
    <w:rsid w:val="009B4D2D"/>
    <w:rsid w:val="009B4E66"/>
    <w:rsid w:val="009B4EA9"/>
    <w:rsid w:val="009B4F17"/>
    <w:rsid w:val="009B5445"/>
    <w:rsid w:val="009B57A1"/>
    <w:rsid w:val="009B5C55"/>
    <w:rsid w:val="009B5CD8"/>
    <w:rsid w:val="009B5E8E"/>
    <w:rsid w:val="009B5F40"/>
    <w:rsid w:val="009B6118"/>
    <w:rsid w:val="009B6543"/>
    <w:rsid w:val="009B65E5"/>
    <w:rsid w:val="009B663F"/>
    <w:rsid w:val="009B6A8D"/>
    <w:rsid w:val="009B6E0A"/>
    <w:rsid w:val="009B755C"/>
    <w:rsid w:val="009B779B"/>
    <w:rsid w:val="009B7ABB"/>
    <w:rsid w:val="009B7BD2"/>
    <w:rsid w:val="009B7D65"/>
    <w:rsid w:val="009C0061"/>
    <w:rsid w:val="009C03B4"/>
    <w:rsid w:val="009C0629"/>
    <w:rsid w:val="009C08DC"/>
    <w:rsid w:val="009C0EBC"/>
    <w:rsid w:val="009C11F5"/>
    <w:rsid w:val="009C1290"/>
    <w:rsid w:val="009C12D2"/>
    <w:rsid w:val="009C14A2"/>
    <w:rsid w:val="009C153F"/>
    <w:rsid w:val="009C1540"/>
    <w:rsid w:val="009C15BD"/>
    <w:rsid w:val="009C16BF"/>
    <w:rsid w:val="009C18FE"/>
    <w:rsid w:val="009C1921"/>
    <w:rsid w:val="009C1A3C"/>
    <w:rsid w:val="009C1ED2"/>
    <w:rsid w:val="009C22F3"/>
    <w:rsid w:val="009C2619"/>
    <w:rsid w:val="009C27E7"/>
    <w:rsid w:val="009C280D"/>
    <w:rsid w:val="009C2C16"/>
    <w:rsid w:val="009C2D0A"/>
    <w:rsid w:val="009C2EC0"/>
    <w:rsid w:val="009C2F49"/>
    <w:rsid w:val="009C307B"/>
    <w:rsid w:val="009C31A5"/>
    <w:rsid w:val="009C3559"/>
    <w:rsid w:val="009C3932"/>
    <w:rsid w:val="009C3957"/>
    <w:rsid w:val="009C3A0C"/>
    <w:rsid w:val="009C3A2D"/>
    <w:rsid w:val="009C3A4F"/>
    <w:rsid w:val="009C3E70"/>
    <w:rsid w:val="009C3FD9"/>
    <w:rsid w:val="009C4461"/>
    <w:rsid w:val="009C494D"/>
    <w:rsid w:val="009C4C69"/>
    <w:rsid w:val="009C50E1"/>
    <w:rsid w:val="009C527C"/>
    <w:rsid w:val="009C54E0"/>
    <w:rsid w:val="009C5582"/>
    <w:rsid w:val="009C57C3"/>
    <w:rsid w:val="009C59B2"/>
    <w:rsid w:val="009C5BEE"/>
    <w:rsid w:val="009C5CCA"/>
    <w:rsid w:val="009C5F13"/>
    <w:rsid w:val="009C6914"/>
    <w:rsid w:val="009C6AF7"/>
    <w:rsid w:val="009C6DA4"/>
    <w:rsid w:val="009C6EFA"/>
    <w:rsid w:val="009C74C6"/>
    <w:rsid w:val="009C7572"/>
    <w:rsid w:val="009C759B"/>
    <w:rsid w:val="009C7698"/>
    <w:rsid w:val="009C784E"/>
    <w:rsid w:val="009C7951"/>
    <w:rsid w:val="009C7B9B"/>
    <w:rsid w:val="009D009D"/>
    <w:rsid w:val="009D012E"/>
    <w:rsid w:val="009D080E"/>
    <w:rsid w:val="009D0892"/>
    <w:rsid w:val="009D0C9E"/>
    <w:rsid w:val="009D0E24"/>
    <w:rsid w:val="009D0EA3"/>
    <w:rsid w:val="009D1234"/>
    <w:rsid w:val="009D13C4"/>
    <w:rsid w:val="009D14FD"/>
    <w:rsid w:val="009D1C80"/>
    <w:rsid w:val="009D1EAD"/>
    <w:rsid w:val="009D1EE3"/>
    <w:rsid w:val="009D200C"/>
    <w:rsid w:val="009D20D2"/>
    <w:rsid w:val="009D2172"/>
    <w:rsid w:val="009D224C"/>
    <w:rsid w:val="009D26D3"/>
    <w:rsid w:val="009D299C"/>
    <w:rsid w:val="009D2F49"/>
    <w:rsid w:val="009D305A"/>
    <w:rsid w:val="009D30E4"/>
    <w:rsid w:val="009D3240"/>
    <w:rsid w:val="009D32AE"/>
    <w:rsid w:val="009D37C6"/>
    <w:rsid w:val="009D3A21"/>
    <w:rsid w:val="009D3AF7"/>
    <w:rsid w:val="009D3D9C"/>
    <w:rsid w:val="009D3FC2"/>
    <w:rsid w:val="009D3FCD"/>
    <w:rsid w:val="009D41C2"/>
    <w:rsid w:val="009D4267"/>
    <w:rsid w:val="009D4943"/>
    <w:rsid w:val="009D4A1B"/>
    <w:rsid w:val="009D4B6D"/>
    <w:rsid w:val="009D4DED"/>
    <w:rsid w:val="009D57E2"/>
    <w:rsid w:val="009D58B6"/>
    <w:rsid w:val="009D5996"/>
    <w:rsid w:val="009D5A91"/>
    <w:rsid w:val="009D5BAA"/>
    <w:rsid w:val="009D5CEC"/>
    <w:rsid w:val="009D5F7E"/>
    <w:rsid w:val="009D6570"/>
    <w:rsid w:val="009D67A4"/>
    <w:rsid w:val="009D69B3"/>
    <w:rsid w:val="009D6AA8"/>
    <w:rsid w:val="009D6CB7"/>
    <w:rsid w:val="009D6DDF"/>
    <w:rsid w:val="009D6F20"/>
    <w:rsid w:val="009D733B"/>
    <w:rsid w:val="009D73F7"/>
    <w:rsid w:val="009D74EE"/>
    <w:rsid w:val="009D79F1"/>
    <w:rsid w:val="009D7C7B"/>
    <w:rsid w:val="009E0024"/>
    <w:rsid w:val="009E0325"/>
    <w:rsid w:val="009E058E"/>
    <w:rsid w:val="009E0693"/>
    <w:rsid w:val="009E0783"/>
    <w:rsid w:val="009E098A"/>
    <w:rsid w:val="009E0D28"/>
    <w:rsid w:val="009E1050"/>
    <w:rsid w:val="009E1336"/>
    <w:rsid w:val="009E159D"/>
    <w:rsid w:val="009E16D3"/>
    <w:rsid w:val="009E1929"/>
    <w:rsid w:val="009E1A1A"/>
    <w:rsid w:val="009E1D05"/>
    <w:rsid w:val="009E202D"/>
    <w:rsid w:val="009E26A4"/>
    <w:rsid w:val="009E294D"/>
    <w:rsid w:val="009E2C31"/>
    <w:rsid w:val="009E2F2E"/>
    <w:rsid w:val="009E3089"/>
    <w:rsid w:val="009E33AE"/>
    <w:rsid w:val="009E3739"/>
    <w:rsid w:val="009E3784"/>
    <w:rsid w:val="009E3835"/>
    <w:rsid w:val="009E3986"/>
    <w:rsid w:val="009E3E24"/>
    <w:rsid w:val="009E3FB0"/>
    <w:rsid w:val="009E4AE4"/>
    <w:rsid w:val="009E4D4B"/>
    <w:rsid w:val="009E5025"/>
    <w:rsid w:val="009E50D4"/>
    <w:rsid w:val="009E512D"/>
    <w:rsid w:val="009E5561"/>
    <w:rsid w:val="009E56B0"/>
    <w:rsid w:val="009E5C5A"/>
    <w:rsid w:val="009E5C7F"/>
    <w:rsid w:val="009E5E7F"/>
    <w:rsid w:val="009E603E"/>
    <w:rsid w:val="009E6994"/>
    <w:rsid w:val="009E6B6D"/>
    <w:rsid w:val="009E6EBD"/>
    <w:rsid w:val="009E6F1F"/>
    <w:rsid w:val="009E71E4"/>
    <w:rsid w:val="009E7241"/>
    <w:rsid w:val="009E74FA"/>
    <w:rsid w:val="009E7830"/>
    <w:rsid w:val="009E789D"/>
    <w:rsid w:val="009E7AE5"/>
    <w:rsid w:val="009E7EFD"/>
    <w:rsid w:val="009F0204"/>
    <w:rsid w:val="009F04ED"/>
    <w:rsid w:val="009F055C"/>
    <w:rsid w:val="009F0608"/>
    <w:rsid w:val="009F0BF0"/>
    <w:rsid w:val="009F0C8B"/>
    <w:rsid w:val="009F159E"/>
    <w:rsid w:val="009F1659"/>
    <w:rsid w:val="009F1869"/>
    <w:rsid w:val="009F23FC"/>
    <w:rsid w:val="009F2470"/>
    <w:rsid w:val="009F2515"/>
    <w:rsid w:val="009F25F0"/>
    <w:rsid w:val="009F29B6"/>
    <w:rsid w:val="009F2C26"/>
    <w:rsid w:val="009F2CF4"/>
    <w:rsid w:val="009F2E56"/>
    <w:rsid w:val="009F311D"/>
    <w:rsid w:val="009F3252"/>
    <w:rsid w:val="009F33F7"/>
    <w:rsid w:val="009F3773"/>
    <w:rsid w:val="009F3C00"/>
    <w:rsid w:val="009F3EF6"/>
    <w:rsid w:val="009F4713"/>
    <w:rsid w:val="009F488A"/>
    <w:rsid w:val="009F48F6"/>
    <w:rsid w:val="009F4A45"/>
    <w:rsid w:val="009F4A49"/>
    <w:rsid w:val="009F5028"/>
    <w:rsid w:val="009F510D"/>
    <w:rsid w:val="009F5388"/>
    <w:rsid w:val="009F55B9"/>
    <w:rsid w:val="009F5B25"/>
    <w:rsid w:val="009F5C9D"/>
    <w:rsid w:val="009F676C"/>
    <w:rsid w:val="009F68AF"/>
    <w:rsid w:val="009F68C0"/>
    <w:rsid w:val="009F6AC4"/>
    <w:rsid w:val="009F7190"/>
    <w:rsid w:val="009F76D7"/>
    <w:rsid w:val="009F770B"/>
    <w:rsid w:val="009F7E0E"/>
    <w:rsid w:val="009F7E12"/>
    <w:rsid w:val="00A00136"/>
    <w:rsid w:val="00A002D9"/>
    <w:rsid w:val="00A004B1"/>
    <w:rsid w:val="00A00562"/>
    <w:rsid w:val="00A00636"/>
    <w:rsid w:val="00A00687"/>
    <w:rsid w:val="00A00C62"/>
    <w:rsid w:val="00A00FE2"/>
    <w:rsid w:val="00A01476"/>
    <w:rsid w:val="00A01676"/>
    <w:rsid w:val="00A016C6"/>
    <w:rsid w:val="00A01D46"/>
    <w:rsid w:val="00A02126"/>
    <w:rsid w:val="00A021A8"/>
    <w:rsid w:val="00A02451"/>
    <w:rsid w:val="00A024E1"/>
    <w:rsid w:val="00A02550"/>
    <w:rsid w:val="00A02B69"/>
    <w:rsid w:val="00A0333F"/>
    <w:rsid w:val="00A033C0"/>
    <w:rsid w:val="00A036D6"/>
    <w:rsid w:val="00A036D8"/>
    <w:rsid w:val="00A03714"/>
    <w:rsid w:val="00A03745"/>
    <w:rsid w:val="00A03868"/>
    <w:rsid w:val="00A038E3"/>
    <w:rsid w:val="00A03DA9"/>
    <w:rsid w:val="00A03F39"/>
    <w:rsid w:val="00A04095"/>
    <w:rsid w:val="00A040E1"/>
    <w:rsid w:val="00A04408"/>
    <w:rsid w:val="00A04501"/>
    <w:rsid w:val="00A04567"/>
    <w:rsid w:val="00A0464C"/>
    <w:rsid w:val="00A04E4E"/>
    <w:rsid w:val="00A050C3"/>
    <w:rsid w:val="00A05150"/>
    <w:rsid w:val="00A05546"/>
    <w:rsid w:val="00A055E5"/>
    <w:rsid w:val="00A06482"/>
    <w:rsid w:val="00A065E1"/>
    <w:rsid w:val="00A06DA0"/>
    <w:rsid w:val="00A06EBE"/>
    <w:rsid w:val="00A0735C"/>
    <w:rsid w:val="00A07519"/>
    <w:rsid w:val="00A075FD"/>
    <w:rsid w:val="00A0770D"/>
    <w:rsid w:val="00A07785"/>
    <w:rsid w:val="00A077EE"/>
    <w:rsid w:val="00A079DD"/>
    <w:rsid w:val="00A07B82"/>
    <w:rsid w:val="00A07DC4"/>
    <w:rsid w:val="00A07E72"/>
    <w:rsid w:val="00A07EE3"/>
    <w:rsid w:val="00A07FF5"/>
    <w:rsid w:val="00A103AC"/>
    <w:rsid w:val="00A103BC"/>
    <w:rsid w:val="00A109A6"/>
    <w:rsid w:val="00A10C10"/>
    <w:rsid w:val="00A10D5A"/>
    <w:rsid w:val="00A1105A"/>
    <w:rsid w:val="00A11163"/>
    <w:rsid w:val="00A1140C"/>
    <w:rsid w:val="00A1150D"/>
    <w:rsid w:val="00A1160F"/>
    <w:rsid w:val="00A11BB5"/>
    <w:rsid w:val="00A12190"/>
    <w:rsid w:val="00A1299E"/>
    <w:rsid w:val="00A130CA"/>
    <w:rsid w:val="00A1311D"/>
    <w:rsid w:val="00A131BA"/>
    <w:rsid w:val="00A132E0"/>
    <w:rsid w:val="00A13416"/>
    <w:rsid w:val="00A135B8"/>
    <w:rsid w:val="00A13870"/>
    <w:rsid w:val="00A138E3"/>
    <w:rsid w:val="00A13B56"/>
    <w:rsid w:val="00A13F18"/>
    <w:rsid w:val="00A13F67"/>
    <w:rsid w:val="00A140F4"/>
    <w:rsid w:val="00A14383"/>
    <w:rsid w:val="00A147C4"/>
    <w:rsid w:val="00A14942"/>
    <w:rsid w:val="00A14B6B"/>
    <w:rsid w:val="00A14DA9"/>
    <w:rsid w:val="00A157A4"/>
    <w:rsid w:val="00A15E06"/>
    <w:rsid w:val="00A1607D"/>
    <w:rsid w:val="00A16397"/>
    <w:rsid w:val="00A16404"/>
    <w:rsid w:val="00A168DE"/>
    <w:rsid w:val="00A16969"/>
    <w:rsid w:val="00A16976"/>
    <w:rsid w:val="00A16A9F"/>
    <w:rsid w:val="00A16B18"/>
    <w:rsid w:val="00A17102"/>
    <w:rsid w:val="00A17714"/>
    <w:rsid w:val="00A17817"/>
    <w:rsid w:val="00A17831"/>
    <w:rsid w:val="00A178F2"/>
    <w:rsid w:val="00A179FA"/>
    <w:rsid w:val="00A17F76"/>
    <w:rsid w:val="00A17F90"/>
    <w:rsid w:val="00A17FFE"/>
    <w:rsid w:val="00A20040"/>
    <w:rsid w:val="00A200CF"/>
    <w:rsid w:val="00A20178"/>
    <w:rsid w:val="00A20834"/>
    <w:rsid w:val="00A2095A"/>
    <w:rsid w:val="00A2095D"/>
    <w:rsid w:val="00A20FFF"/>
    <w:rsid w:val="00A2122B"/>
    <w:rsid w:val="00A21421"/>
    <w:rsid w:val="00A21632"/>
    <w:rsid w:val="00A2170B"/>
    <w:rsid w:val="00A21B6C"/>
    <w:rsid w:val="00A220DA"/>
    <w:rsid w:val="00A222AC"/>
    <w:rsid w:val="00A224BE"/>
    <w:rsid w:val="00A22636"/>
    <w:rsid w:val="00A22652"/>
    <w:rsid w:val="00A229E2"/>
    <w:rsid w:val="00A22CD9"/>
    <w:rsid w:val="00A22D7B"/>
    <w:rsid w:val="00A233EA"/>
    <w:rsid w:val="00A237B9"/>
    <w:rsid w:val="00A2397D"/>
    <w:rsid w:val="00A23A0F"/>
    <w:rsid w:val="00A23DC0"/>
    <w:rsid w:val="00A23E11"/>
    <w:rsid w:val="00A23E89"/>
    <w:rsid w:val="00A24033"/>
    <w:rsid w:val="00A24080"/>
    <w:rsid w:val="00A240C4"/>
    <w:rsid w:val="00A2415E"/>
    <w:rsid w:val="00A2438F"/>
    <w:rsid w:val="00A246F3"/>
    <w:rsid w:val="00A24860"/>
    <w:rsid w:val="00A249A2"/>
    <w:rsid w:val="00A24A5D"/>
    <w:rsid w:val="00A24BAC"/>
    <w:rsid w:val="00A24EDD"/>
    <w:rsid w:val="00A252BA"/>
    <w:rsid w:val="00A25386"/>
    <w:rsid w:val="00A253F0"/>
    <w:rsid w:val="00A255A7"/>
    <w:rsid w:val="00A25895"/>
    <w:rsid w:val="00A25921"/>
    <w:rsid w:val="00A2592D"/>
    <w:rsid w:val="00A25BC7"/>
    <w:rsid w:val="00A25D6C"/>
    <w:rsid w:val="00A25E39"/>
    <w:rsid w:val="00A25EBB"/>
    <w:rsid w:val="00A25F0E"/>
    <w:rsid w:val="00A25FBE"/>
    <w:rsid w:val="00A25FDA"/>
    <w:rsid w:val="00A26067"/>
    <w:rsid w:val="00A2607B"/>
    <w:rsid w:val="00A261E8"/>
    <w:rsid w:val="00A261F3"/>
    <w:rsid w:val="00A268A0"/>
    <w:rsid w:val="00A26B79"/>
    <w:rsid w:val="00A26C91"/>
    <w:rsid w:val="00A27267"/>
    <w:rsid w:val="00A27284"/>
    <w:rsid w:val="00A272FD"/>
    <w:rsid w:val="00A2740C"/>
    <w:rsid w:val="00A27453"/>
    <w:rsid w:val="00A27520"/>
    <w:rsid w:val="00A27C87"/>
    <w:rsid w:val="00A27C97"/>
    <w:rsid w:val="00A27EAD"/>
    <w:rsid w:val="00A27F4B"/>
    <w:rsid w:val="00A27FF0"/>
    <w:rsid w:val="00A3023C"/>
    <w:rsid w:val="00A30257"/>
    <w:rsid w:val="00A305AA"/>
    <w:rsid w:val="00A30C51"/>
    <w:rsid w:val="00A30E3E"/>
    <w:rsid w:val="00A31C17"/>
    <w:rsid w:val="00A31D03"/>
    <w:rsid w:val="00A324F1"/>
    <w:rsid w:val="00A3255F"/>
    <w:rsid w:val="00A32566"/>
    <w:rsid w:val="00A32702"/>
    <w:rsid w:val="00A32800"/>
    <w:rsid w:val="00A32BE2"/>
    <w:rsid w:val="00A32CC3"/>
    <w:rsid w:val="00A32D4F"/>
    <w:rsid w:val="00A32EC3"/>
    <w:rsid w:val="00A32F1B"/>
    <w:rsid w:val="00A3333F"/>
    <w:rsid w:val="00A333E0"/>
    <w:rsid w:val="00A334F3"/>
    <w:rsid w:val="00A3352A"/>
    <w:rsid w:val="00A33EAF"/>
    <w:rsid w:val="00A33ED9"/>
    <w:rsid w:val="00A345C9"/>
    <w:rsid w:val="00A347CC"/>
    <w:rsid w:val="00A3495D"/>
    <w:rsid w:val="00A349BC"/>
    <w:rsid w:val="00A34D80"/>
    <w:rsid w:val="00A3509E"/>
    <w:rsid w:val="00A35274"/>
    <w:rsid w:val="00A3528D"/>
    <w:rsid w:val="00A355D6"/>
    <w:rsid w:val="00A3567A"/>
    <w:rsid w:val="00A35C67"/>
    <w:rsid w:val="00A35CB4"/>
    <w:rsid w:val="00A35CC5"/>
    <w:rsid w:val="00A35D71"/>
    <w:rsid w:val="00A35E30"/>
    <w:rsid w:val="00A35FEA"/>
    <w:rsid w:val="00A36609"/>
    <w:rsid w:val="00A36958"/>
    <w:rsid w:val="00A36967"/>
    <w:rsid w:val="00A36A73"/>
    <w:rsid w:val="00A370B1"/>
    <w:rsid w:val="00A370D5"/>
    <w:rsid w:val="00A3710D"/>
    <w:rsid w:val="00A3716D"/>
    <w:rsid w:val="00A374BE"/>
    <w:rsid w:val="00A37A58"/>
    <w:rsid w:val="00A37D27"/>
    <w:rsid w:val="00A37E97"/>
    <w:rsid w:val="00A37EBE"/>
    <w:rsid w:val="00A4014C"/>
    <w:rsid w:val="00A4046A"/>
    <w:rsid w:val="00A40BE9"/>
    <w:rsid w:val="00A40C5F"/>
    <w:rsid w:val="00A4162C"/>
    <w:rsid w:val="00A416C7"/>
    <w:rsid w:val="00A41BF7"/>
    <w:rsid w:val="00A41C9C"/>
    <w:rsid w:val="00A41E64"/>
    <w:rsid w:val="00A41EA5"/>
    <w:rsid w:val="00A420FE"/>
    <w:rsid w:val="00A4225C"/>
    <w:rsid w:val="00A42749"/>
    <w:rsid w:val="00A42CE5"/>
    <w:rsid w:val="00A42D1A"/>
    <w:rsid w:val="00A434B3"/>
    <w:rsid w:val="00A437A4"/>
    <w:rsid w:val="00A4390E"/>
    <w:rsid w:val="00A43B2E"/>
    <w:rsid w:val="00A43B9C"/>
    <w:rsid w:val="00A43C34"/>
    <w:rsid w:val="00A43CD7"/>
    <w:rsid w:val="00A4405F"/>
    <w:rsid w:val="00A441CE"/>
    <w:rsid w:val="00A44657"/>
    <w:rsid w:val="00A447FB"/>
    <w:rsid w:val="00A44903"/>
    <w:rsid w:val="00A450EC"/>
    <w:rsid w:val="00A45242"/>
    <w:rsid w:val="00A453A0"/>
    <w:rsid w:val="00A453F8"/>
    <w:rsid w:val="00A454E7"/>
    <w:rsid w:val="00A455C7"/>
    <w:rsid w:val="00A456DA"/>
    <w:rsid w:val="00A45A24"/>
    <w:rsid w:val="00A45B14"/>
    <w:rsid w:val="00A45B8A"/>
    <w:rsid w:val="00A45C8A"/>
    <w:rsid w:val="00A4629F"/>
    <w:rsid w:val="00A4630E"/>
    <w:rsid w:val="00A465B3"/>
    <w:rsid w:val="00A46692"/>
    <w:rsid w:val="00A466D9"/>
    <w:rsid w:val="00A468A8"/>
    <w:rsid w:val="00A468FC"/>
    <w:rsid w:val="00A46922"/>
    <w:rsid w:val="00A46926"/>
    <w:rsid w:val="00A46C76"/>
    <w:rsid w:val="00A46CC1"/>
    <w:rsid w:val="00A46D89"/>
    <w:rsid w:val="00A46DDE"/>
    <w:rsid w:val="00A47809"/>
    <w:rsid w:val="00A4788C"/>
    <w:rsid w:val="00A47B05"/>
    <w:rsid w:val="00A47D85"/>
    <w:rsid w:val="00A50118"/>
    <w:rsid w:val="00A50184"/>
    <w:rsid w:val="00A504C8"/>
    <w:rsid w:val="00A506CC"/>
    <w:rsid w:val="00A50B6C"/>
    <w:rsid w:val="00A51273"/>
    <w:rsid w:val="00A515E1"/>
    <w:rsid w:val="00A516ED"/>
    <w:rsid w:val="00A51955"/>
    <w:rsid w:val="00A51E42"/>
    <w:rsid w:val="00A51E59"/>
    <w:rsid w:val="00A51FDF"/>
    <w:rsid w:val="00A5207D"/>
    <w:rsid w:val="00A521B8"/>
    <w:rsid w:val="00A52239"/>
    <w:rsid w:val="00A523A5"/>
    <w:rsid w:val="00A52674"/>
    <w:rsid w:val="00A52792"/>
    <w:rsid w:val="00A52825"/>
    <w:rsid w:val="00A52A1E"/>
    <w:rsid w:val="00A52B4A"/>
    <w:rsid w:val="00A52D34"/>
    <w:rsid w:val="00A52E91"/>
    <w:rsid w:val="00A52F7F"/>
    <w:rsid w:val="00A53029"/>
    <w:rsid w:val="00A53132"/>
    <w:rsid w:val="00A53591"/>
    <w:rsid w:val="00A5364D"/>
    <w:rsid w:val="00A53757"/>
    <w:rsid w:val="00A53816"/>
    <w:rsid w:val="00A53B9B"/>
    <w:rsid w:val="00A53E6B"/>
    <w:rsid w:val="00A54145"/>
    <w:rsid w:val="00A5428E"/>
    <w:rsid w:val="00A54526"/>
    <w:rsid w:val="00A547B6"/>
    <w:rsid w:val="00A54A1A"/>
    <w:rsid w:val="00A54C6E"/>
    <w:rsid w:val="00A54D94"/>
    <w:rsid w:val="00A54E76"/>
    <w:rsid w:val="00A55720"/>
    <w:rsid w:val="00A557F2"/>
    <w:rsid w:val="00A55BD1"/>
    <w:rsid w:val="00A55D59"/>
    <w:rsid w:val="00A55E0A"/>
    <w:rsid w:val="00A5617B"/>
    <w:rsid w:val="00A561FA"/>
    <w:rsid w:val="00A562B7"/>
    <w:rsid w:val="00A564E2"/>
    <w:rsid w:val="00A5659D"/>
    <w:rsid w:val="00A56684"/>
    <w:rsid w:val="00A56A4E"/>
    <w:rsid w:val="00A56DEF"/>
    <w:rsid w:val="00A56E8D"/>
    <w:rsid w:val="00A570EC"/>
    <w:rsid w:val="00A57114"/>
    <w:rsid w:val="00A574ED"/>
    <w:rsid w:val="00A5774D"/>
    <w:rsid w:val="00A577CA"/>
    <w:rsid w:val="00A57831"/>
    <w:rsid w:val="00A57C21"/>
    <w:rsid w:val="00A57E49"/>
    <w:rsid w:val="00A57F20"/>
    <w:rsid w:val="00A60239"/>
    <w:rsid w:val="00A60266"/>
    <w:rsid w:val="00A605A9"/>
    <w:rsid w:val="00A60976"/>
    <w:rsid w:val="00A60D96"/>
    <w:rsid w:val="00A60FC9"/>
    <w:rsid w:val="00A616E0"/>
    <w:rsid w:val="00A61C92"/>
    <w:rsid w:val="00A6243F"/>
    <w:rsid w:val="00A6285A"/>
    <w:rsid w:val="00A6292C"/>
    <w:rsid w:val="00A62D9D"/>
    <w:rsid w:val="00A62EBD"/>
    <w:rsid w:val="00A631FF"/>
    <w:rsid w:val="00A633E8"/>
    <w:rsid w:val="00A63CA3"/>
    <w:rsid w:val="00A63DBE"/>
    <w:rsid w:val="00A63F78"/>
    <w:rsid w:val="00A640BD"/>
    <w:rsid w:val="00A64378"/>
    <w:rsid w:val="00A643A0"/>
    <w:rsid w:val="00A643B0"/>
    <w:rsid w:val="00A64440"/>
    <w:rsid w:val="00A64642"/>
    <w:rsid w:val="00A64A77"/>
    <w:rsid w:val="00A64D75"/>
    <w:rsid w:val="00A65862"/>
    <w:rsid w:val="00A65D69"/>
    <w:rsid w:val="00A65DE1"/>
    <w:rsid w:val="00A65EB9"/>
    <w:rsid w:val="00A662BE"/>
    <w:rsid w:val="00A669E4"/>
    <w:rsid w:val="00A66B94"/>
    <w:rsid w:val="00A66C64"/>
    <w:rsid w:val="00A67148"/>
    <w:rsid w:val="00A6764F"/>
    <w:rsid w:val="00A67846"/>
    <w:rsid w:val="00A700B5"/>
    <w:rsid w:val="00A7058C"/>
    <w:rsid w:val="00A70746"/>
    <w:rsid w:val="00A70B4C"/>
    <w:rsid w:val="00A70BF0"/>
    <w:rsid w:val="00A70C25"/>
    <w:rsid w:val="00A70D41"/>
    <w:rsid w:val="00A70F92"/>
    <w:rsid w:val="00A71013"/>
    <w:rsid w:val="00A711AE"/>
    <w:rsid w:val="00A71255"/>
    <w:rsid w:val="00A7189E"/>
    <w:rsid w:val="00A71AF4"/>
    <w:rsid w:val="00A71CE5"/>
    <w:rsid w:val="00A721A1"/>
    <w:rsid w:val="00A721A6"/>
    <w:rsid w:val="00A721F3"/>
    <w:rsid w:val="00A722B9"/>
    <w:rsid w:val="00A722FC"/>
    <w:rsid w:val="00A7265E"/>
    <w:rsid w:val="00A72A41"/>
    <w:rsid w:val="00A72AB5"/>
    <w:rsid w:val="00A72C98"/>
    <w:rsid w:val="00A72E80"/>
    <w:rsid w:val="00A73114"/>
    <w:rsid w:val="00A7381B"/>
    <w:rsid w:val="00A73B6C"/>
    <w:rsid w:val="00A74AED"/>
    <w:rsid w:val="00A74B3A"/>
    <w:rsid w:val="00A74CB5"/>
    <w:rsid w:val="00A74CC9"/>
    <w:rsid w:val="00A74D7A"/>
    <w:rsid w:val="00A74EBA"/>
    <w:rsid w:val="00A74FE6"/>
    <w:rsid w:val="00A75451"/>
    <w:rsid w:val="00A754B9"/>
    <w:rsid w:val="00A755EA"/>
    <w:rsid w:val="00A75613"/>
    <w:rsid w:val="00A758D7"/>
    <w:rsid w:val="00A75F66"/>
    <w:rsid w:val="00A7610E"/>
    <w:rsid w:val="00A764D9"/>
    <w:rsid w:val="00A76C5F"/>
    <w:rsid w:val="00A771B1"/>
    <w:rsid w:val="00A771C4"/>
    <w:rsid w:val="00A773E5"/>
    <w:rsid w:val="00A775AB"/>
    <w:rsid w:val="00A7790E"/>
    <w:rsid w:val="00A77AAE"/>
    <w:rsid w:val="00A77B22"/>
    <w:rsid w:val="00A800DE"/>
    <w:rsid w:val="00A80387"/>
    <w:rsid w:val="00A803A8"/>
    <w:rsid w:val="00A805A8"/>
    <w:rsid w:val="00A8066D"/>
    <w:rsid w:val="00A8071D"/>
    <w:rsid w:val="00A8098F"/>
    <w:rsid w:val="00A80A5F"/>
    <w:rsid w:val="00A80FE6"/>
    <w:rsid w:val="00A8108B"/>
    <w:rsid w:val="00A81127"/>
    <w:rsid w:val="00A81269"/>
    <w:rsid w:val="00A81364"/>
    <w:rsid w:val="00A8180E"/>
    <w:rsid w:val="00A81B19"/>
    <w:rsid w:val="00A81E4B"/>
    <w:rsid w:val="00A81F0D"/>
    <w:rsid w:val="00A8208C"/>
    <w:rsid w:val="00A82290"/>
    <w:rsid w:val="00A8273B"/>
    <w:rsid w:val="00A827FD"/>
    <w:rsid w:val="00A82A68"/>
    <w:rsid w:val="00A82B7B"/>
    <w:rsid w:val="00A82C3C"/>
    <w:rsid w:val="00A82D70"/>
    <w:rsid w:val="00A82D73"/>
    <w:rsid w:val="00A82E08"/>
    <w:rsid w:val="00A82F97"/>
    <w:rsid w:val="00A83261"/>
    <w:rsid w:val="00A834D2"/>
    <w:rsid w:val="00A836DB"/>
    <w:rsid w:val="00A837F2"/>
    <w:rsid w:val="00A83B9D"/>
    <w:rsid w:val="00A840A9"/>
    <w:rsid w:val="00A843F1"/>
    <w:rsid w:val="00A846A0"/>
    <w:rsid w:val="00A84A23"/>
    <w:rsid w:val="00A84B50"/>
    <w:rsid w:val="00A84C1B"/>
    <w:rsid w:val="00A84CF2"/>
    <w:rsid w:val="00A85369"/>
    <w:rsid w:val="00A853E7"/>
    <w:rsid w:val="00A8551B"/>
    <w:rsid w:val="00A85970"/>
    <w:rsid w:val="00A859AA"/>
    <w:rsid w:val="00A85A50"/>
    <w:rsid w:val="00A85C4F"/>
    <w:rsid w:val="00A86092"/>
    <w:rsid w:val="00A860F7"/>
    <w:rsid w:val="00A86240"/>
    <w:rsid w:val="00A86522"/>
    <w:rsid w:val="00A866C8"/>
    <w:rsid w:val="00A8698A"/>
    <w:rsid w:val="00A86D25"/>
    <w:rsid w:val="00A87D67"/>
    <w:rsid w:val="00A87EB2"/>
    <w:rsid w:val="00A90351"/>
    <w:rsid w:val="00A903D5"/>
    <w:rsid w:val="00A90546"/>
    <w:rsid w:val="00A90565"/>
    <w:rsid w:val="00A907EC"/>
    <w:rsid w:val="00A90903"/>
    <w:rsid w:val="00A90DDB"/>
    <w:rsid w:val="00A912FB"/>
    <w:rsid w:val="00A912FD"/>
    <w:rsid w:val="00A915BE"/>
    <w:rsid w:val="00A91838"/>
    <w:rsid w:val="00A918FF"/>
    <w:rsid w:val="00A91E96"/>
    <w:rsid w:val="00A91EE4"/>
    <w:rsid w:val="00A92768"/>
    <w:rsid w:val="00A929D8"/>
    <w:rsid w:val="00A92B1C"/>
    <w:rsid w:val="00A92F5C"/>
    <w:rsid w:val="00A932F7"/>
    <w:rsid w:val="00A93319"/>
    <w:rsid w:val="00A9343D"/>
    <w:rsid w:val="00A93535"/>
    <w:rsid w:val="00A9358B"/>
    <w:rsid w:val="00A93592"/>
    <w:rsid w:val="00A9393D"/>
    <w:rsid w:val="00A93972"/>
    <w:rsid w:val="00A93B0A"/>
    <w:rsid w:val="00A93CE3"/>
    <w:rsid w:val="00A93E9D"/>
    <w:rsid w:val="00A94556"/>
    <w:rsid w:val="00A946F4"/>
    <w:rsid w:val="00A94878"/>
    <w:rsid w:val="00A94978"/>
    <w:rsid w:val="00A94ABE"/>
    <w:rsid w:val="00A94B7A"/>
    <w:rsid w:val="00A94E95"/>
    <w:rsid w:val="00A94FBE"/>
    <w:rsid w:val="00A951D0"/>
    <w:rsid w:val="00A9528E"/>
    <w:rsid w:val="00A952EF"/>
    <w:rsid w:val="00A9532D"/>
    <w:rsid w:val="00A953EC"/>
    <w:rsid w:val="00A9551E"/>
    <w:rsid w:val="00A95895"/>
    <w:rsid w:val="00A958D5"/>
    <w:rsid w:val="00A95C3B"/>
    <w:rsid w:val="00A95DF1"/>
    <w:rsid w:val="00A95E5A"/>
    <w:rsid w:val="00A96070"/>
    <w:rsid w:val="00A9639D"/>
    <w:rsid w:val="00A965F7"/>
    <w:rsid w:val="00A96643"/>
    <w:rsid w:val="00A966C8"/>
    <w:rsid w:val="00A967A5"/>
    <w:rsid w:val="00A96881"/>
    <w:rsid w:val="00A96D05"/>
    <w:rsid w:val="00A96D8E"/>
    <w:rsid w:val="00A971A2"/>
    <w:rsid w:val="00A971C3"/>
    <w:rsid w:val="00A971C9"/>
    <w:rsid w:val="00A972CD"/>
    <w:rsid w:val="00A975B7"/>
    <w:rsid w:val="00A976F0"/>
    <w:rsid w:val="00A97747"/>
    <w:rsid w:val="00A9775B"/>
    <w:rsid w:val="00A97B59"/>
    <w:rsid w:val="00A97D35"/>
    <w:rsid w:val="00AA04B1"/>
    <w:rsid w:val="00AA0888"/>
    <w:rsid w:val="00AA0C10"/>
    <w:rsid w:val="00AA0E7D"/>
    <w:rsid w:val="00AA0FD0"/>
    <w:rsid w:val="00AA1461"/>
    <w:rsid w:val="00AA149F"/>
    <w:rsid w:val="00AA14BE"/>
    <w:rsid w:val="00AA151C"/>
    <w:rsid w:val="00AA158A"/>
    <w:rsid w:val="00AA1599"/>
    <w:rsid w:val="00AA1630"/>
    <w:rsid w:val="00AA1956"/>
    <w:rsid w:val="00AA19B7"/>
    <w:rsid w:val="00AA24A9"/>
    <w:rsid w:val="00AA2576"/>
    <w:rsid w:val="00AA2CDC"/>
    <w:rsid w:val="00AA31DD"/>
    <w:rsid w:val="00AA3267"/>
    <w:rsid w:val="00AA344D"/>
    <w:rsid w:val="00AA37DB"/>
    <w:rsid w:val="00AA3C6B"/>
    <w:rsid w:val="00AA3D46"/>
    <w:rsid w:val="00AA40EB"/>
    <w:rsid w:val="00AA4234"/>
    <w:rsid w:val="00AA4354"/>
    <w:rsid w:val="00AA4467"/>
    <w:rsid w:val="00AA44F1"/>
    <w:rsid w:val="00AA4765"/>
    <w:rsid w:val="00AA4A4D"/>
    <w:rsid w:val="00AA4ABD"/>
    <w:rsid w:val="00AA4DBB"/>
    <w:rsid w:val="00AA4EF5"/>
    <w:rsid w:val="00AA5290"/>
    <w:rsid w:val="00AA530E"/>
    <w:rsid w:val="00AA53E6"/>
    <w:rsid w:val="00AA5415"/>
    <w:rsid w:val="00AA54CD"/>
    <w:rsid w:val="00AA5641"/>
    <w:rsid w:val="00AA5742"/>
    <w:rsid w:val="00AA58C1"/>
    <w:rsid w:val="00AA63B8"/>
    <w:rsid w:val="00AA67A1"/>
    <w:rsid w:val="00AA67B3"/>
    <w:rsid w:val="00AA684F"/>
    <w:rsid w:val="00AA6DB8"/>
    <w:rsid w:val="00AA72AD"/>
    <w:rsid w:val="00AA72E1"/>
    <w:rsid w:val="00AA7411"/>
    <w:rsid w:val="00AA7775"/>
    <w:rsid w:val="00AA780D"/>
    <w:rsid w:val="00AA7A95"/>
    <w:rsid w:val="00AA7AA3"/>
    <w:rsid w:val="00AA7AB8"/>
    <w:rsid w:val="00AA7F20"/>
    <w:rsid w:val="00AB00D2"/>
    <w:rsid w:val="00AB027A"/>
    <w:rsid w:val="00AB09B9"/>
    <w:rsid w:val="00AB0B74"/>
    <w:rsid w:val="00AB0DAC"/>
    <w:rsid w:val="00AB1589"/>
    <w:rsid w:val="00AB1716"/>
    <w:rsid w:val="00AB1786"/>
    <w:rsid w:val="00AB1D1B"/>
    <w:rsid w:val="00AB1FB1"/>
    <w:rsid w:val="00AB242F"/>
    <w:rsid w:val="00AB2579"/>
    <w:rsid w:val="00AB270F"/>
    <w:rsid w:val="00AB27B8"/>
    <w:rsid w:val="00AB2884"/>
    <w:rsid w:val="00AB2E72"/>
    <w:rsid w:val="00AB2FC0"/>
    <w:rsid w:val="00AB314D"/>
    <w:rsid w:val="00AB3601"/>
    <w:rsid w:val="00AB3AC0"/>
    <w:rsid w:val="00AB3C56"/>
    <w:rsid w:val="00AB410C"/>
    <w:rsid w:val="00AB4711"/>
    <w:rsid w:val="00AB4964"/>
    <w:rsid w:val="00AB49D2"/>
    <w:rsid w:val="00AB4A49"/>
    <w:rsid w:val="00AB4BE2"/>
    <w:rsid w:val="00AB533A"/>
    <w:rsid w:val="00AB591E"/>
    <w:rsid w:val="00AB5C91"/>
    <w:rsid w:val="00AB5DE4"/>
    <w:rsid w:val="00AB5F8E"/>
    <w:rsid w:val="00AB67EB"/>
    <w:rsid w:val="00AB6911"/>
    <w:rsid w:val="00AB6CFD"/>
    <w:rsid w:val="00AB6F68"/>
    <w:rsid w:val="00AB6FFA"/>
    <w:rsid w:val="00AB7214"/>
    <w:rsid w:val="00AB75E1"/>
    <w:rsid w:val="00AB761D"/>
    <w:rsid w:val="00AB7748"/>
    <w:rsid w:val="00AB77FD"/>
    <w:rsid w:val="00AC0099"/>
    <w:rsid w:val="00AC03DC"/>
    <w:rsid w:val="00AC05C5"/>
    <w:rsid w:val="00AC0721"/>
    <w:rsid w:val="00AC085E"/>
    <w:rsid w:val="00AC08E9"/>
    <w:rsid w:val="00AC0BE3"/>
    <w:rsid w:val="00AC0C42"/>
    <w:rsid w:val="00AC0D1B"/>
    <w:rsid w:val="00AC1011"/>
    <w:rsid w:val="00AC1371"/>
    <w:rsid w:val="00AC15D5"/>
    <w:rsid w:val="00AC174B"/>
    <w:rsid w:val="00AC18F4"/>
    <w:rsid w:val="00AC192E"/>
    <w:rsid w:val="00AC2105"/>
    <w:rsid w:val="00AC224F"/>
    <w:rsid w:val="00AC2A65"/>
    <w:rsid w:val="00AC2AF3"/>
    <w:rsid w:val="00AC2E93"/>
    <w:rsid w:val="00AC2F76"/>
    <w:rsid w:val="00AC2FDB"/>
    <w:rsid w:val="00AC32A4"/>
    <w:rsid w:val="00AC33DB"/>
    <w:rsid w:val="00AC3E5A"/>
    <w:rsid w:val="00AC4210"/>
    <w:rsid w:val="00AC435A"/>
    <w:rsid w:val="00AC454A"/>
    <w:rsid w:val="00AC4562"/>
    <w:rsid w:val="00AC4613"/>
    <w:rsid w:val="00AC46D6"/>
    <w:rsid w:val="00AC4781"/>
    <w:rsid w:val="00AC485B"/>
    <w:rsid w:val="00AC48EF"/>
    <w:rsid w:val="00AC4A06"/>
    <w:rsid w:val="00AC4A8C"/>
    <w:rsid w:val="00AC4E01"/>
    <w:rsid w:val="00AC4E78"/>
    <w:rsid w:val="00AC519B"/>
    <w:rsid w:val="00AC52A5"/>
    <w:rsid w:val="00AC563E"/>
    <w:rsid w:val="00AC5801"/>
    <w:rsid w:val="00AC598E"/>
    <w:rsid w:val="00AC5B36"/>
    <w:rsid w:val="00AC5B50"/>
    <w:rsid w:val="00AC5E55"/>
    <w:rsid w:val="00AC5F44"/>
    <w:rsid w:val="00AC5FB6"/>
    <w:rsid w:val="00AC6184"/>
    <w:rsid w:val="00AC6200"/>
    <w:rsid w:val="00AC6685"/>
    <w:rsid w:val="00AC6A6E"/>
    <w:rsid w:val="00AC6AD7"/>
    <w:rsid w:val="00AC6DF0"/>
    <w:rsid w:val="00AC6E4A"/>
    <w:rsid w:val="00AC6EBF"/>
    <w:rsid w:val="00AC723B"/>
    <w:rsid w:val="00AC726C"/>
    <w:rsid w:val="00AC7515"/>
    <w:rsid w:val="00AC7A5A"/>
    <w:rsid w:val="00AC7AD4"/>
    <w:rsid w:val="00AC7FA5"/>
    <w:rsid w:val="00AD0236"/>
    <w:rsid w:val="00AD083D"/>
    <w:rsid w:val="00AD085B"/>
    <w:rsid w:val="00AD0C5A"/>
    <w:rsid w:val="00AD0FC0"/>
    <w:rsid w:val="00AD101C"/>
    <w:rsid w:val="00AD1499"/>
    <w:rsid w:val="00AD1729"/>
    <w:rsid w:val="00AD19B2"/>
    <w:rsid w:val="00AD20DF"/>
    <w:rsid w:val="00AD28A9"/>
    <w:rsid w:val="00AD2A62"/>
    <w:rsid w:val="00AD2B05"/>
    <w:rsid w:val="00AD3254"/>
    <w:rsid w:val="00AD34D9"/>
    <w:rsid w:val="00AD3587"/>
    <w:rsid w:val="00AD39B9"/>
    <w:rsid w:val="00AD3BD3"/>
    <w:rsid w:val="00AD3C75"/>
    <w:rsid w:val="00AD3EBE"/>
    <w:rsid w:val="00AD459F"/>
    <w:rsid w:val="00AD45B2"/>
    <w:rsid w:val="00AD47AF"/>
    <w:rsid w:val="00AD480A"/>
    <w:rsid w:val="00AD49CD"/>
    <w:rsid w:val="00AD5068"/>
    <w:rsid w:val="00AD5292"/>
    <w:rsid w:val="00AD5404"/>
    <w:rsid w:val="00AD559A"/>
    <w:rsid w:val="00AD588B"/>
    <w:rsid w:val="00AD58C8"/>
    <w:rsid w:val="00AD58E5"/>
    <w:rsid w:val="00AD59D2"/>
    <w:rsid w:val="00AD5AF6"/>
    <w:rsid w:val="00AD5CA2"/>
    <w:rsid w:val="00AD5D3C"/>
    <w:rsid w:val="00AD614F"/>
    <w:rsid w:val="00AD67E2"/>
    <w:rsid w:val="00AD67E6"/>
    <w:rsid w:val="00AD70A1"/>
    <w:rsid w:val="00AD7143"/>
    <w:rsid w:val="00AD72F4"/>
    <w:rsid w:val="00AD7363"/>
    <w:rsid w:val="00AD74F1"/>
    <w:rsid w:val="00AD75B7"/>
    <w:rsid w:val="00AD75EE"/>
    <w:rsid w:val="00AD7C2C"/>
    <w:rsid w:val="00AD7EF8"/>
    <w:rsid w:val="00AE029E"/>
    <w:rsid w:val="00AE0324"/>
    <w:rsid w:val="00AE0602"/>
    <w:rsid w:val="00AE061D"/>
    <w:rsid w:val="00AE0AEB"/>
    <w:rsid w:val="00AE0F9A"/>
    <w:rsid w:val="00AE142C"/>
    <w:rsid w:val="00AE14A9"/>
    <w:rsid w:val="00AE1504"/>
    <w:rsid w:val="00AE17C8"/>
    <w:rsid w:val="00AE194D"/>
    <w:rsid w:val="00AE23B7"/>
    <w:rsid w:val="00AE2A1D"/>
    <w:rsid w:val="00AE2D9A"/>
    <w:rsid w:val="00AE2DC7"/>
    <w:rsid w:val="00AE2E81"/>
    <w:rsid w:val="00AE2FE8"/>
    <w:rsid w:val="00AE31B1"/>
    <w:rsid w:val="00AE341F"/>
    <w:rsid w:val="00AE36D2"/>
    <w:rsid w:val="00AE37E5"/>
    <w:rsid w:val="00AE3A52"/>
    <w:rsid w:val="00AE3B05"/>
    <w:rsid w:val="00AE3BDF"/>
    <w:rsid w:val="00AE3CF6"/>
    <w:rsid w:val="00AE3D9E"/>
    <w:rsid w:val="00AE40A5"/>
    <w:rsid w:val="00AE4153"/>
    <w:rsid w:val="00AE44DD"/>
    <w:rsid w:val="00AE44E9"/>
    <w:rsid w:val="00AE4547"/>
    <w:rsid w:val="00AE47CF"/>
    <w:rsid w:val="00AE4922"/>
    <w:rsid w:val="00AE4A06"/>
    <w:rsid w:val="00AE4A70"/>
    <w:rsid w:val="00AE4B14"/>
    <w:rsid w:val="00AE4B78"/>
    <w:rsid w:val="00AE52E3"/>
    <w:rsid w:val="00AE5556"/>
    <w:rsid w:val="00AE564A"/>
    <w:rsid w:val="00AE5816"/>
    <w:rsid w:val="00AE612B"/>
    <w:rsid w:val="00AE6130"/>
    <w:rsid w:val="00AE662A"/>
    <w:rsid w:val="00AE667B"/>
    <w:rsid w:val="00AE678E"/>
    <w:rsid w:val="00AE6980"/>
    <w:rsid w:val="00AE6AA7"/>
    <w:rsid w:val="00AE6AEB"/>
    <w:rsid w:val="00AE6C80"/>
    <w:rsid w:val="00AE6D57"/>
    <w:rsid w:val="00AE6E0A"/>
    <w:rsid w:val="00AE6E46"/>
    <w:rsid w:val="00AE7157"/>
    <w:rsid w:val="00AE7260"/>
    <w:rsid w:val="00AE75DA"/>
    <w:rsid w:val="00AE77F5"/>
    <w:rsid w:val="00AE7ED2"/>
    <w:rsid w:val="00AF006B"/>
    <w:rsid w:val="00AF00F2"/>
    <w:rsid w:val="00AF03ED"/>
    <w:rsid w:val="00AF03F1"/>
    <w:rsid w:val="00AF0754"/>
    <w:rsid w:val="00AF07E3"/>
    <w:rsid w:val="00AF0DBB"/>
    <w:rsid w:val="00AF0E77"/>
    <w:rsid w:val="00AF0F81"/>
    <w:rsid w:val="00AF11FB"/>
    <w:rsid w:val="00AF1DFB"/>
    <w:rsid w:val="00AF24D9"/>
    <w:rsid w:val="00AF24F2"/>
    <w:rsid w:val="00AF254A"/>
    <w:rsid w:val="00AF2644"/>
    <w:rsid w:val="00AF2A6A"/>
    <w:rsid w:val="00AF2D8C"/>
    <w:rsid w:val="00AF31B8"/>
    <w:rsid w:val="00AF3258"/>
    <w:rsid w:val="00AF3323"/>
    <w:rsid w:val="00AF34CE"/>
    <w:rsid w:val="00AF358B"/>
    <w:rsid w:val="00AF35FD"/>
    <w:rsid w:val="00AF3696"/>
    <w:rsid w:val="00AF36CA"/>
    <w:rsid w:val="00AF3953"/>
    <w:rsid w:val="00AF3996"/>
    <w:rsid w:val="00AF4452"/>
    <w:rsid w:val="00AF48CD"/>
    <w:rsid w:val="00AF48DD"/>
    <w:rsid w:val="00AF4A9D"/>
    <w:rsid w:val="00AF4EAD"/>
    <w:rsid w:val="00AF54FE"/>
    <w:rsid w:val="00AF560F"/>
    <w:rsid w:val="00AF568B"/>
    <w:rsid w:val="00AF57E1"/>
    <w:rsid w:val="00AF585A"/>
    <w:rsid w:val="00AF5CCC"/>
    <w:rsid w:val="00AF6442"/>
    <w:rsid w:val="00AF71F2"/>
    <w:rsid w:val="00AF79CD"/>
    <w:rsid w:val="00AF7CF0"/>
    <w:rsid w:val="00AF7DF5"/>
    <w:rsid w:val="00B00010"/>
    <w:rsid w:val="00B001FD"/>
    <w:rsid w:val="00B004DA"/>
    <w:rsid w:val="00B00514"/>
    <w:rsid w:val="00B005E6"/>
    <w:rsid w:val="00B008D0"/>
    <w:rsid w:val="00B00DF7"/>
    <w:rsid w:val="00B00FD1"/>
    <w:rsid w:val="00B01245"/>
    <w:rsid w:val="00B01351"/>
    <w:rsid w:val="00B01397"/>
    <w:rsid w:val="00B0179C"/>
    <w:rsid w:val="00B01B2C"/>
    <w:rsid w:val="00B01BC6"/>
    <w:rsid w:val="00B01F4B"/>
    <w:rsid w:val="00B01F6E"/>
    <w:rsid w:val="00B01FFB"/>
    <w:rsid w:val="00B02116"/>
    <w:rsid w:val="00B0241B"/>
    <w:rsid w:val="00B0244C"/>
    <w:rsid w:val="00B02764"/>
    <w:rsid w:val="00B027DE"/>
    <w:rsid w:val="00B02848"/>
    <w:rsid w:val="00B02BC0"/>
    <w:rsid w:val="00B02C3D"/>
    <w:rsid w:val="00B02EB4"/>
    <w:rsid w:val="00B02EBC"/>
    <w:rsid w:val="00B032AB"/>
    <w:rsid w:val="00B03411"/>
    <w:rsid w:val="00B03579"/>
    <w:rsid w:val="00B0357A"/>
    <w:rsid w:val="00B03921"/>
    <w:rsid w:val="00B03A5A"/>
    <w:rsid w:val="00B03B6E"/>
    <w:rsid w:val="00B03E3A"/>
    <w:rsid w:val="00B0405A"/>
    <w:rsid w:val="00B04099"/>
    <w:rsid w:val="00B0417C"/>
    <w:rsid w:val="00B042CA"/>
    <w:rsid w:val="00B04922"/>
    <w:rsid w:val="00B04D03"/>
    <w:rsid w:val="00B04F8C"/>
    <w:rsid w:val="00B05008"/>
    <w:rsid w:val="00B05076"/>
    <w:rsid w:val="00B05398"/>
    <w:rsid w:val="00B057BC"/>
    <w:rsid w:val="00B05A65"/>
    <w:rsid w:val="00B05BCC"/>
    <w:rsid w:val="00B05ED9"/>
    <w:rsid w:val="00B06059"/>
    <w:rsid w:val="00B0620F"/>
    <w:rsid w:val="00B062F3"/>
    <w:rsid w:val="00B0630D"/>
    <w:rsid w:val="00B063BB"/>
    <w:rsid w:val="00B068FA"/>
    <w:rsid w:val="00B069C8"/>
    <w:rsid w:val="00B06C6F"/>
    <w:rsid w:val="00B06DE2"/>
    <w:rsid w:val="00B06FC2"/>
    <w:rsid w:val="00B071C3"/>
    <w:rsid w:val="00B07297"/>
    <w:rsid w:val="00B07467"/>
    <w:rsid w:val="00B0782D"/>
    <w:rsid w:val="00B07A7C"/>
    <w:rsid w:val="00B07B8F"/>
    <w:rsid w:val="00B07B95"/>
    <w:rsid w:val="00B07E98"/>
    <w:rsid w:val="00B07FF5"/>
    <w:rsid w:val="00B1009F"/>
    <w:rsid w:val="00B10590"/>
    <w:rsid w:val="00B108C7"/>
    <w:rsid w:val="00B10959"/>
    <w:rsid w:val="00B10984"/>
    <w:rsid w:val="00B109D4"/>
    <w:rsid w:val="00B10AE4"/>
    <w:rsid w:val="00B10CE7"/>
    <w:rsid w:val="00B10FE8"/>
    <w:rsid w:val="00B11319"/>
    <w:rsid w:val="00B1171A"/>
    <w:rsid w:val="00B117B7"/>
    <w:rsid w:val="00B1199F"/>
    <w:rsid w:val="00B11B2D"/>
    <w:rsid w:val="00B128F4"/>
    <w:rsid w:val="00B12900"/>
    <w:rsid w:val="00B12B7E"/>
    <w:rsid w:val="00B12FFC"/>
    <w:rsid w:val="00B13329"/>
    <w:rsid w:val="00B13A15"/>
    <w:rsid w:val="00B13D1D"/>
    <w:rsid w:val="00B14191"/>
    <w:rsid w:val="00B141D5"/>
    <w:rsid w:val="00B14216"/>
    <w:rsid w:val="00B149B7"/>
    <w:rsid w:val="00B14B92"/>
    <w:rsid w:val="00B14E22"/>
    <w:rsid w:val="00B15349"/>
    <w:rsid w:val="00B15556"/>
    <w:rsid w:val="00B157A3"/>
    <w:rsid w:val="00B15916"/>
    <w:rsid w:val="00B15B46"/>
    <w:rsid w:val="00B15CB4"/>
    <w:rsid w:val="00B15CCD"/>
    <w:rsid w:val="00B15E25"/>
    <w:rsid w:val="00B16237"/>
    <w:rsid w:val="00B1706C"/>
    <w:rsid w:val="00B17153"/>
    <w:rsid w:val="00B17258"/>
    <w:rsid w:val="00B172DC"/>
    <w:rsid w:val="00B1747F"/>
    <w:rsid w:val="00B17521"/>
    <w:rsid w:val="00B17AB0"/>
    <w:rsid w:val="00B17B34"/>
    <w:rsid w:val="00B17C5F"/>
    <w:rsid w:val="00B17C7C"/>
    <w:rsid w:val="00B17DF6"/>
    <w:rsid w:val="00B2013A"/>
    <w:rsid w:val="00B20268"/>
    <w:rsid w:val="00B2026B"/>
    <w:rsid w:val="00B20897"/>
    <w:rsid w:val="00B208D5"/>
    <w:rsid w:val="00B2091D"/>
    <w:rsid w:val="00B209FA"/>
    <w:rsid w:val="00B20AFA"/>
    <w:rsid w:val="00B20FAE"/>
    <w:rsid w:val="00B21408"/>
    <w:rsid w:val="00B21971"/>
    <w:rsid w:val="00B2254A"/>
    <w:rsid w:val="00B22886"/>
    <w:rsid w:val="00B228FB"/>
    <w:rsid w:val="00B22D6C"/>
    <w:rsid w:val="00B231DB"/>
    <w:rsid w:val="00B23457"/>
    <w:rsid w:val="00B237C8"/>
    <w:rsid w:val="00B2399B"/>
    <w:rsid w:val="00B23B7E"/>
    <w:rsid w:val="00B23CD3"/>
    <w:rsid w:val="00B23E01"/>
    <w:rsid w:val="00B23F12"/>
    <w:rsid w:val="00B24804"/>
    <w:rsid w:val="00B24B67"/>
    <w:rsid w:val="00B24B97"/>
    <w:rsid w:val="00B24F0A"/>
    <w:rsid w:val="00B2504F"/>
    <w:rsid w:val="00B25535"/>
    <w:rsid w:val="00B25772"/>
    <w:rsid w:val="00B259CC"/>
    <w:rsid w:val="00B259D4"/>
    <w:rsid w:val="00B25C8C"/>
    <w:rsid w:val="00B25EFF"/>
    <w:rsid w:val="00B26262"/>
    <w:rsid w:val="00B263B0"/>
    <w:rsid w:val="00B2666F"/>
    <w:rsid w:val="00B267E3"/>
    <w:rsid w:val="00B267FC"/>
    <w:rsid w:val="00B269DC"/>
    <w:rsid w:val="00B26D0D"/>
    <w:rsid w:val="00B26EB6"/>
    <w:rsid w:val="00B2731E"/>
    <w:rsid w:val="00B27640"/>
    <w:rsid w:val="00B27CEF"/>
    <w:rsid w:val="00B27E3D"/>
    <w:rsid w:val="00B304BA"/>
    <w:rsid w:val="00B304ED"/>
    <w:rsid w:val="00B304EE"/>
    <w:rsid w:val="00B3053B"/>
    <w:rsid w:val="00B305CF"/>
    <w:rsid w:val="00B30BB0"/>
    <w:rsid w:val="00B30C29"/>
    <w:rsid w:val="00B30C2C"/>
    <w:rsid w:val="00B30C61"/>
    <w:rsid w:val="00B30C76"/>
    <w:rsid w:val="00B31470"/>
    <w:rsid w:val="00B31745"/>
    <w:rsid w:val="00B3184C"/>
    <w:rsid w:val="00B31B69"/>
    <w:rsid w:val="00B31C14"/>
    <w:rsid w:val="00B321C9"/>
    <w:rsid w:val="00B3246C"/>
    <w:rsid w:val="00B32622"/>
    <w:rsid w:val="00B326FF"/>
    <w:rsid w:val="00B32A63"/>
    <w:rsid w:val="00B32CC4"/>
    <w:rsid w:val="00B3366D"/>
    <w:rsid w:val="00B33A3B"/>
    <w:rsid w:val="00B33C66"/>
    <w:rsid w:val="00B33DB4"/>
    <w:rsid w:val="00B34175"/>
    <w:rsid w:val="00B342E8"/>
    <w:rsid w:val="00B34600"/>
    <w:rsid w:val="00B346B0"/>
    <w:rsid w:val="00B3484D"/>
    <w:rsid w:val="00B34A9A"/>
    <w:rsid w:val="00B34B7B"/>
    <w:rsid w:val="00B34BC3"/>
    <w:rsid w:val="00B34C13"/>
    <w:rsid w:val="00B34D47"/>
    <w:rsid w:val="00B34D6A"/>
    <w:rsid w:val="00B34DBC"/>
    <w:rsid w:val="00B353D2"/>
    <w:rsid w:val="00B35453"/>
    <w:rsid w:val="00B3555C"/>
    <w:rsid w:val="00B355F6"/>
    <w:rsid w:val="00B35A11"/>
    <w:rsid w:val="00B35E07"/>
    <w:rsid w:val="00B35F36"/>
    <w:rsid w:val="00B361BA"/>
    <w:rsid w:val="00B363D9"/>
    <w:rsid w:val="00B36432"/>
    <w:rsid w:val="00B3665A"/>
    <w:rsid w:val="00B368CC"/>
    <w:rsid w:val="00B36A0E"/>
    <w:rsid w:val="00B36CC9"/>
    <w:rsid w:val="00B36F54"/>
    <w:rsid w:val="00B36F57"/>
    <w:rsid w:val="00B3708A"/>
    <w:rsid w:val="00B37153"/>
    <w:rsid w:val="00B374AB"/>
    <w:rsid w:val="00B3790D"/>
    <w:rsid w:val="00B37929"/>
    <w:rsid w:val="00B37973"/>
    <w:rsid w:val="00B379D5"/>
    <w:rsid w:val="00B37A01"/>
    <w:rsid w:val="00B37B53"/>
    <w:rsid w:val="00B37D7C"/>
    <w:rsid w:val="00B37E7F"/>
    <w:rsid w:val="00B37F65"/>
    <w:rsid w:val="00B37FAE"/>
    <w:rsid w:val="00B40234"/>
    <w:rsid w:val="00B404E9"/>
    <w:rsid w:val="00B40774"/>
    <w:rsid w:val="00B40937"/>
    <w:rsid w:val="00B4098C"/>
    <w:rsid w:val="00B409D5"/>
    <w:rsid w:val="00B40A47"/>
    <w:rsid w:val="00B40BB3"/>
    <w:rsid w:val="00B40C93"/>
    <w:rsid w:val="00B41083"/>
    <w:rsid w:val="00B41238"/>
    <w:rsid w:val="00B416C5"/>
    <w:rsid w:val="00B41AA1"/>
    <w:rsid w:val="00B41C7B"/>
    <w:rsid w:val="00B41E15"/>
    <w:rsid w:val="00B421E4"/>
    <w:rsid w:val="00B4255D"/>
    <w:rsid w:val="00B42668"/>
    <w:rsid w:val="00B42795"/>
    <w:rsid w:val="00B4279A"/>
    <w:rsid w:val="00B42868"/>
    <w:rsid w:val="00B42AF1"/>
    <w:rsid w:val="00B42CB5"/>
    <w:rsid w:val="00B42E27"/>
    <w:rsid w:val="00B43111"/>
    <w:rsid w:val="00B433EF"/>
    <w:rsid w:val="00B4345A"/>
    <w:rsid w:val="00B436E7"/>
    <w:rsid w:val="00B4382D"/>
    <w:rsid w:val="00B43B39"/>
    <w:rsid w:val="00B43BA4"/>
    <w:rsid w:val="00B43E5B"/>
    <w:rsid w:val="00B43FCD"/>
    <w:rsid w:val="00B4412C"/>
    <w:rsid w:val="00B442BB"/>
    <w:rsid w:val="00B44490"/>
    <w:rsid w:val="00B448EF"/>
    <w:rsid w:val="00B44B0F"/>
    <w:rsid w:val="00B44B88"/>
    <w:rsid w:val="00B44E8F"/>
    <w:rsid w:val="00B450AB"/>
    <w:rsid w:val="00B4546A"/>
    <w:rsid w:val="00B45A30"/>
    <w:rsid w:val="00B45B18"/>
    <w:rsid w:val="00B4616E"/>
    <w:rsid w:val="00B461B2"/>
    <w:rsid w:val="00B46374"/>
    <w:rsid w:val="00B465E6"/>
    <w:rsid w:val="00B465F7"/>
    <w:rsid w:val="00B46613"/>
    <w:rsid w:val="00B46B7A"/>
    <w:rsid w:val="00B46E74"/>
    <w:rsid w:val="00B46ED3"/>
    <w:rsid w:val="00B46ED6"/>
    <w:rsid w:val="00B46FE3"/>
    <w:rsid w:val="00B473D3"/>
    <w:rsid w:val="00B47459"/>
    <w:rsid w:val="00B47587"/>
    <w:rsid w:val="00B479EB"/>
    <w:rsid w:val="00B47C4F"/>
    <w:rsid w:val="00B47FED"/>
    <w:rsid w:val="00B50CCA"/>
    <w:rsid w:val="00B50DBC"/>
    <w:rsid w:val="00B50F6E"/>
    <w:rsid w:val="00B51619"/>
    <w:rsid w:val="00B5168B"/>
    <w:rsid w:val="00B51A3C"/>
    <w:rsid w:val="00B51A99"/>
    <w:rsid w:val="00B51C03"/>
    <w:rsid w:val="00B51F30"/>
    <w:rsid w:val="00B5243A"/>
    <w:rsid w:val="00B52591"/>
    <w:rsid w:val="00B52601"/>
    <w:rsid w:val="00B52E08"/>
    <w:rsid w:val="00B5303A"/>
    <w:rsid w:val="00B5339F"/>
    <w:rsid w:val="00B534C7"/>
    <w:rsid w:val="00B53A64"/>
    <w:rsid w:val="00B53B68"/>
    <w:rsid w:val="00B53E0F"/>
    <w:rsid w:val="00B53FA4"/>
    <w:rsid w:val="00B54083"/>
    <w:rsid w:val="00B5413C"/>
    <w:rsid w:val="00B54926"/>
    <w:rsid w:val="00B54C14"/>
    <w:rsid w:val="00B54FA7"/>
    <w:rsid w:val="00B55048"/>
    <w:rsid w:val="00B55ABA"/>
    <w:rsid w:val="00B55DF5"/>
    <w:rsid w:val="00B56296"/>
    <w:rsid w:val="00B56416"/>
    <w:rsid w:val="00B566A5"/>
    <w:rsid w:val="00B56955"/>
    <w:rsid w:val="00B56A1F"/>
    <w:rsid w:val="00B56E9D"/>
    <w:rsid w:val="00B571CA"/>
    <w:rsid w:val="00B57281"/>
    <w:rsid w:val="00B574A2"/>
    <w:rsid w:val="00B5758D"/>
    <w:rsid w:val="00B575B2"/>
    <w:rsid w:val="00B57722"/>
    <w:rsid w:val="00B577B8"/>
    <w:rsid w:val="00B578DD"/>
    <w:rsid w:val="00B57AD1"/>
    <w:rsid w:val="00B57D22"/>
    <w:rsid w:val="00B57D5B"/>
    <w:rsid w:val="00B57E80"/>
    <w:rsid w:val="00B6005F"/>
    <w:rsid w:val="00B600D1"/>
    <w:rsid w:val="00B6040B"/>
    <w:rsid w:val="00B609E8"/>
    <w:rsid w:val="00B60DEF"/>
    <w:rsid w:val="00B61197"/>
    <w:rsid w:val="00B6119B"/>
    <w:rsid w:val="00B61200"/>
    <w:rsid w:val="00B61222"/>
    <w:rsid w:val="00B61233"/>
    <w:rsid w:val="00B61513"/>
    <w:rsid w:val="00B6171D"/>
    <w:rsid w:val="00B6182D"/>
    <w:rsid w:val="00B61B17"/>
    <w:rsid w:val="00B620D9"/>
    <w:rsid w:val="00B621F5"/>
    <w:rsid w:val="00B62275"/>
    <w:rsid w:val="00B62385"/>
    <w:rsid w:val="00B623F8"/>
    <w:rsid w:val="00B6261C"/>
    <w:rsid w:val="00B628D6"/>
    <w:rsid w:val="00B62A05"/>
    <w:rsid w:val="00B62B91"/>
    <w:rsid w:val="00B6301C"/>
    <w:rsid w:val="00B6315C"/>
    <w:rsid w:val="00B63E23"/>
    <w:rsid w:val="00B63FD7"/>
    <w:rsid w:val="00B64117"/>
    <w:rsid w:val="00B64736"/>
    <w:rsid w:val="00B64787"/>
    <w:rsid w:val="00B6496A"/>
    <w:rsid w:val="00B64B8B"/>
    <w:rsid w:val="00B64C17"/>
    <w:rsid w:val="00B64E7F"/>
    <w:rsid w:val="00B64ED3"/>
    <w:rsid w:val="00B64F63"/>
    <w:rsid w:val="00B651EB"/>
    <w:rsid w:val="00B652D5"/>
    <w:rsid w:val="00B6536B"/>
    <w:rsid w:val="00B65674"/>
    <w:rsid w:val="00B657A5"/>
    <w:rsid w:val="00B657DB"/>
    <w:rsid w:val="00B65877"/>
    <w:rsid w:val="00B65938"/>
    <w:rsid w:val="00B65A90"/>
    <w:rsid w:val="00B65B76"/>
    <w:rsid w:val="00B65C6E"/>
    <w:rsid w:val="00B65C90"/>
    <w:rsid w:val="00B6622D"/>
    <w:rsid w:val="00B6629E"/>
    <w:rsid w:val="00B663BE"/>
    <w:rsid w:val="00B66408"/>
    <w:rsid w:val="00B66611"/>
    <w:rsid w:val="00B66832"/>
    <w:rsid w:val="00B66C5F"/>
    <w:rsid w:val="00B66D58"/>
    <w:rsid w:val="00B672A9"/>
    <w:rsid w:val="00B676AC"/>
    <w:rsid w:val="00B677BA"/>
    <w:rsid w:val="00B6792A"/>
    <w:rsid w:val="00B67EE5"/>
    <w:rsid w:val="00B67F82"/>
    <w:rsid w:val="00B700EF"/>
    <w:rsid w:val="00B70384"/>
    <w:rsid w:val="00B706FB"/>
    <w:rsid w:val="00B71156"/>
    <w:rsid w:val="00B71392"/>
    <w:rsid w:val="00B71516"/>
    <w:rsid w:val="00B717B5"/>
    <w:rsid w:val="00B7186E"/>
    <w:rsid w:val="00B71935"/>
    <w:rsid w:val="00B71A27"/>
    <w:rsid w:val="00B71D0F"/>
    <w:rsid w:val="00B71EE5"/>
    <w:rsid w:val="00B7207C"/>
    <w:rsid w:val="00B726F4"/>
    <w:rsid w:val="00B728A2"/>
    <w:rsid w:val="00B72D89"/>
    <w:rsid w:val="00B72DD7"/>
    <w:rsid w:val="00B72FD0"/>
    <w:rsid w:val="00B732BB"/>
    <w:rsid w:val="00B7349D"/>
    <w:rsid w:val="00B73998"/>
    <w:rsid w:val="00B7401F"/>
    <w:rsid w:val="00B7442E"/>
    <w:rsid w:val="00B74435"/>
    <w:rsid w:val="00B74A9F"/>
    <w:rsid w:val="00B7521F"/>
    <w:rsid w:val="00B75488"/>
    <w:rsid w:val="00B754DA"/>
    <w:rsid w:val="00B756D4"/>
    <w:rsid w:val="00B75E86"/>
    <w:rsid w:val="00B75FDD"/>
    <w:rsid w:val="00B7607B"/>
    <w:rsid w:val="00B761F7"/>
    <w:rsid w:val="00B76282"/>
    <w:rsid w:val="00B7630C"/>
    <w:rsid w:val="00B76326"/>
    <w:rsid w:val="00B765EE"/>
    <w:rsid w:val="00B76A25"/>
    <w:rsid w:val="00B7720C"/>
    <w:rsid w:val="00B77674"/>
    <w:rsid w:val="00B77C30"/>
    <w:rsid w:val="00B77CF0"/>
    <w:rsid w:val="00B77ED1"/>
    <w:rsid w:val="00B77FB5"/>
    <w:rsid w:val="00B8004D"/>
    <w:rsid w:val="00B803AA"/>
    <w:rsid w:val="00B8053E"/>
    <w:rsid w:val="00B80897"/>
    <w:rsid w:val="00B80EA6"/>
    <w:rsid w:val="00B81327"/>
    <w:rsid w:val="00B816F4"/>
    <w:rsid w:val="00B819B3"/>
    <w:rsid w:val="00B81A5C"/>
    <w:rsid w:val="00B81AD5"/>
    <w:rsid w:val="00B81B2B"/>
    <w:rsid w:val="00B81CD8"/>
    <w:rsid w:val="00B820B5"/>
    <w:rsid w:val="00B821C2"/>
    <w:rsid w:val="00B82843"/>
    <w:rsid w:val="00B82A0E"/>
    <w:rsid w:val="00B82B1D"/>
    <w:rsid w:val="00B82BEA"/>
    <w:rsid w:val="00B82C6A"/>
    <w:rsid w:val="00B82C81"/>
    <w:rsid w:val="00B82E6A"/>
    <w:rsid w:val="00B830D7"/>
    <w:rsid w:val="00B83313"/>
    <w:rsid w:val="00B833BB"/>
    <w:rsid w:val="00B836F4"/>
    <w:rsid w:val="00B837AA"/>
    <w:rsid w:val="00B839C4"/>
    <w:rsid w:val="00B83A13"/>
    <w:rsid w:val="00B83C61"/>
    <w:rsid w:val="00B8405F"/>
    <w:rsid w:val="00B843B5"/>
    <w:rsid w:val="00B8475C"/>
    <w:rsid w:val="00B848A9"/>
    <w:rsid w:val="00B84B9B"/>
    <w:rsid w:val="00B85000"/>
    <w:rsid w:val="00B852AB"/>
    <w:rsid w:val="00B85847"/>
    <w:rsid w:val="00B858ED"/>
    <w:rsid w:val="00B85A89"/>
    <w:rsid w:val="00B85B83"/>
    <w:rsid w:val="00B85BA6"/>
    <w:rsid w:val="00B85EBC"/>
    <w:rsid w:val="00B85F4A"/>
    <w:rsid w:val="00B85F8B"/>
    <w:rsid w:val="00B86063"/>
    <w:rsid w:val="00B8607F"/>
    <w:rsid w:val="00B8624D"/>
    <w:rsid w:val="00B863DE"/>
    <w:rsid w:val="00B86A78"/>
    <w:rsid w:val="00B86C31"/>
    <w:rsid w:val="00B86D17"/>
    <w:rsid w:val="00B876BE"/>
    <w:rsid w:val="00B876BF"/>
    <w:rsid w:val="00B8790F"/>
    <w:rsid w:val="00B87914"/>
    <w:rsid w:val="00B8794A"/>
    <w:rsid w:val="00B87954"/>
    <w:rsid w:val="00B87A65"/>
    <w:rsid w:val="00B87ABA"/>
    <w:rsid w:val="00B87C24"/>
    <w:rsid w:val="00B87DBA"/>
    <w:rsid w:val="00B87E24"/>
    <w:rsid w:val="00B87F70"/>
    <w:rsid w:val="00B87F9D"/>
    <w:rsid w:val="00B903A4"/>
    <w:rsid w:val="00B909FB"/>
    <w:rsid w:val="00B90CEB"/>
    <w:rsid w:val="00B90D60"/>
    <w:rsid w:val="00B90E0E"/>
    <w:rsid w:val="00B91365"/>
    <w:rsid w:val="00B913BF"/>
    <w:rsid w:val="00B91508"/>
    <w:rsid w:val="00B91551"/>
    <w:rsid w:val="00B91C63"/>
    <w:rsid w:val="00B9201D"/>
    <w:rsid w:val="00B922E0"/>
    <w:rsid w:val="00B926BD"/>
    <w:rsid w:val="00B926FC"/>
    <w:rsid w:val="00B92747"/>
    <w:rsid w:val="00B9274E"/>
    <w:rsid w:val="00B92799"/>
    <w:rsid w:val="00B935A7"/>
    <w:rsid w:val="00B93606"/>
    <w:rsid w:val="00B93757"/>
    <w:rsid w:val="00B9395B"/>
    <w:rsid w:val="00B93A9D"/>
    <w:rsid w:val="00B93BF6"/>
    <w:rsid w:val="00B93F90"/>
    <w:rsid w:val="00B94088"/>
    <w:rsid w:val="00B9424E"/>
    <w:rsid w:val="00B942B2"/>
    <w:rsid w:val="00B94399"/>
    <w:rsid w:val="00B9440F"/>
    <w:rsid w:val="00B944CE"/>
    <w:rsid w:val="00B94666"/>
    <w:rsid w:val="00B94677"/>
    <w:rsid w:val="00B94888"/>
    <w:rsid w:val="00B94994"/>
    <w:rsid w:val="00B94A0C"/>
    <w:rsid w:val="00B94B32"/>
    <w:rsid w:val="00B94BE7"/>
    <w:rsid w:val="00B94F3F"/>
    <w:rsid w:val="00B95008"/>
    <w:rsid w:val="00B9501C"/>
    <w:rsid w:val="00B954BC"/>
    <w:rsid w:val="00B958B1"/>
    <w:rsid w:val="00B95B85"/>
    <w:rsid w:val="00B960D5"/>
    <w:rsid w:val="00B962EC"/>
    <w:rsid w:val="00B96432"/>
    <w:rsid w:val="00B964D8"/>
    <w:rsid w:val="00B968B2"/>
    <w:rsid w:val="00B968E6"/>
    <w:rsid w:val="00B96AB4"/>
    <w:rsid w:val="00B96BEE"/>
    <w:rsid w:val="00B96E30"/>
    <w:rsid w:val="00B970B7"/>
    <w:rsid w:val="00B970E4"/>
    <w:rsid w:val="00B97AB1"/>
    <w:rsid w:val="00B97D56"/>
    <w:rsid w:val="00B97E1C"/>
    <w:rsid w:val="00B97EDD"/>
    <w:rsid w:val="00B97F05"/>
    <w:rsid w:val="00B97FCE"/>
    <w:rsid w:val="00B97FFB"/>
    <w:rsid w:val="00BA02AC"/>
    <w:rsid w:val="00BA03A3"/>
    <w:rsid w:val="00BA080F"/>
    <w:rsid w:val="00BA09A6"/>
    <w:rsid w:val="00BA0EF0"/>
    <w:rsid w:val="00BA1115"/>
    <w:rsid w:val="00BA11F3"/>
    <w:rsid w:val="00BA15A4"/>
    <w:rsid w:val="00BA1634"/>
    <w:rsid w:val="00BA16F9"/>
    <w:rsid w:val="00BA1947"/>
    <w:rsid w:val="00BA1BC8"/>
    <w:rsid w:val="00BA1C98"/>
    <w:rsid w:val="00BA245F"/>
    <w:rsid w:val="00BA2589"/>
    <w:rsid w:val="00BA2671"/>
    <w:rsid w:val="00BA2715"/>
    <w:rsid w:val="00BA2BFE"/>
    <w:rsid w:val="00BA2DBA"/>
    <w:rsid w:val="00BA2E75"/>
    <w:rsid w:val="00BA2FEF"/>
    <w:rsid w:val="00BA30ED"/>
    <w:rsid w:val="00BA3225"/>
    <w:rsid w:val="00BA34E7"/>
    <w:rsid w:val="00BA358B"/>
    <w:rsid w:val="00BA394E"/>
    <w:rsid w:val="00BA39EC"/>
    <w:rsid w:val="00BA3AAE"/>
    <w:rsid w:val="00BA3DF3"/>
    <w:rsid w:val="00BA401A"/>
    <w:rsid w:val="00BA4551"/>
    <w:rsid w:val="00BA487E"/>
    <w:rsid w:val="00BA4A08"/>
    <w:rsid w:val="00BA4FCD"/>
    <w:rsid w:val="00BA5059"/>
    <w:rsid w:val="00BA5787"/>
    <w:rsid w:val="00BA58C6"/>
    <w:rsid w:val="00BA59DD"/>
    <w:rsid w:val="00BA5B89"/>
    <w:rsid w:val="00BA5C81"/>
    <w:rsid w:val="00BA5D0D"/>
    <w:rsid w:val="00BA5DE9"/>
    <w:rsid w:val="00BA5FEC"/>
    <w:rsid w:val="00BA618C"/>
    <w:rsid w:val="00BA62EE"/>
    <w:rsid w:val="00BA651F"/>
    <w:rsid w:val="00BA6C6F"/>
    <w:rsid w:val="00BA6DD1"/>
    <w:rsid w:val="00BA6E95"/>
    <w:rsid w:val="00BA6F21"/>
    <w:rsid w:val="00BA6FF0"/>
    <w:rsid w:val="00BA70D6"/>
    <w:rsid w:val="00BA7177"/>
    <w:rsid w:val="00BA7401"/>
    <w:rsid w:val="00BA7857"/>
    <w:rsid w:val="00BB00A0"/>
    <w:rsid w:val="00BB0260"/>
    <w:rsid w:val="00BB0454"/>
    <w:rsid w:val="00BB069F"/>
    <w:rsid w:val="00BB073A"/>
    <w:rsid w:val="00BB0AA2"/>
    <w:rsid w:val="00BB0CAF"/>
    <w:rsid w:val="00BB133E"/>
    <w:rsid w:val="00BB172B"/>
    <w:rsid w:val="00BB1769"/>
    <w:rsid w:val="00BB197A"/>
    <w:rsid w:val="00BB19AC"/>
    <w:rsid w:val="00BB1EF2"/>
    <w:rsid w:val="00BB1FBE"/>
    <w:rsid w:val="00BB2003"/>
    <w:rsid w:val="00BB20BA"/>
    <w:rsid w:val="00BB2360"/>
    <w:rsid w:val="00BB24CC"/>
    <w:rsid w:val="00BB295E"/>
    <w:rsid w:val="00BB2C5E"/>
    <w:rsid w:val="00BB2CFD"/>
    <w:rsid w:val="00BB2D11"/>
    <w:rsid w:val="00BB3212"/>
    <w:rsid w:val="00BB370D"/>
    <w:rsid w:val="00BB372F"/>
    <w:rsid w:val="00BB39D2"/>
    <w:rsid w:val="00BB3A49"/>
    <w:rsid w:val="00BB4304"/>
    <w:rsid w:val="00BB4571"/>
    <w:rsid w:val="00BB48B3"/>
    <w:rsid w:val="00BB4AC4"/>
    <w:rsid w:val="00BB4B65"/>
    <w:rsid w:val="00BB4DA2"/>
    <w:rsid w:val="00BB5B4A"/>
    <w:rsid w:val="00BB5E9F"/>
    <w:rsid w:val="00BB5EB0"/>
    <w:rsid w:val="00BB5FFC"/>
    <w:rsid w:val="00BB6063"/>
    <w:rsid w:val="00BB6444"/>
    <w:rsid w:val="00BB6BE3"/>
    <w:rsid w:val="00BB759F"/>
    <w:rsid w:val="00BB7697"/>
    <w:rsid w:val="00BB7983"/>
    <w:rsid w:val="00BB7B24"/>
    <w:rsid w:val="00BC00D7"/>
    <w:rsid w:val="00BC00F7"/>
    <w:rsid w:val="00BC0355"/>
    <w:rsid w:val="00BC05BD"/>
    <w:rsid w:val="00BC06C4"/>
    <w:rsid w:val="00BC086B"/>
    <w:rsid w:val="00BC09A3"/>
    <w:rsid w:val="00BC0A44"/>
    <w:rsid w:val="00BC0BEF"/>
    <w:rsid w:val="00BC0DF7"/>
    <w:rsid w:val="00BC0FC6"/>
    <w:rsid w:val="00BC109D"/>
    <w:rsid w:val="00BC10E0"/>
    <w:rsid w:val="00BC117B"/>
    <w:rsid w:val="00BC1728"/>
    <w:rsid w:val="00BC17C1"/>
    <w:rsid w:val="00BC18DE"/>
    <w:rsid w:val="00BC1C7B"/>
    <w:rsid w:val="00BC28A5"/>
    <w:rsid w:val="00BC2D6D"/>
    <w:rsid w:val="00BC2DC3"/>
    <w:rsid w:val="00BC31F5"/>
    <w:rsid w:val="00BC3349"/>
    <w:rsid w:val="00BC34C9"/>
    <w:rsid w:val="00BC37A4"/>
    <w:rsid w:val="00BC3887"/>
    <w:rsid w:val="00BC3E23"/>
    <w:rsid w:val="00BC425E"/>
    <w:rsid w:val="00BC4972"/>
    <w:rsid w:val="00BC4D39"/>
    <w:rsid w:val="00BC50D0"/>
    <w:rsid w:val="00BC5406"/>
    <w:rsid w:val="00BC599D"/>
    <w:rsid w:val="00BC5F4B"/>
    <w:rsid w:val="00BC6D13"/>
    <w:rsid w:val="00BC6DFC"/>
    <w:rsid w:val="00BC6F4C"/>
    <w:rsid w:val="00BC7004"/>
    <w:rsid w:val="00BC70B2"/>
    <w:rsid w:val="00BC70E1"/>
    <w:rsid w:val="00BC73E3"/>
    <w:rsid w:val="00BC773E"/>
    <w:rsid w:val="00BC7782"/>
    <w:rsid w:val="00BC7826"/>
    <w:rsid w:val="00BC785C"/>
    <w:rsid w:val="00BC78AE"/>
    <w:rsid w:val="00BC7EEB"/>
    <w:rsid w:val="00BC7FDA"/>
    <w:rsid w:val="00BD012B"/>
    <w:rsid w:val="00BD06F7"/>
    <w:rsid w:val="00BD08B7"/>
    <w:rsid w:val="00BD08F2"/>
    <w:rsid w:val="00BD0969"/>
    <w:rsid w:val="00BD0AA5"/>
    <w:rsid w:val="00BD0B84"/>
    <w:rsid w:val="00BD0ECE"/>
    <w:rsid w:val="00BD0F17"/>
    <w:rsid w:val="00BD10A2"/>
    <w:rsid w:val="00BD15A1"/>
    <w:rsid w:val="00BD1624"/>
    <w:rsid w:val="00BD1CB2"/>
    <w:rsid w:val="00BD21A0"/>
    <w:rsid w:val="00BD22CB"/>
    <w:rsid w:val="00BD22F5"/>
    <w:rsid w:val="00BD28B8"/>
    <w:rsid w:val="00BD2B58"/>
    <w:rsid w:val="00BD2B6D"/>
    <w:rsid w:val="00BD2BE5"/>
    <w:rsid w:val="00BD320F"/>
    <w:rsid w:val="00BD32F4"/>
    <w:rsid w:val="00BD33D0"/>
    <w:rsid w:val="00BD3408"/>
    <w:rsid w:val="00BD34BD"/>
    <w:rsid w:val="00BD3829"/>
    <w:rsid w:val="00BD3EFC"/>
    <w:rsid w:val="00BD3F6D"/>
    <w:rsid w:val="00BD401B"/>
    <w:rsid w:val="00BD417B"/>
    <w:rsid w:val="00BD4333"/>
    <w:rsid w:val="00BD4F36"/>
    <w:rsid w:val="00BD501E"/>
    <w:rsid w:val="00BD5436"/>
    <w:rsid w:val="00BD54CB"/>
    <w:rsid w:val="00BD5778"/>
    <w:rsid w:val="00BD5B92"/>
    <w:rsid w:val="00BD5DE6"/>
    <w:rsid w:val="00BD5E7D"/>
    <w:rsid w:val="00BD63B7"/>
    <w:rsid w:val="00BD682C"/>
    <w:rsid w:val="00BD6A00"/>
    <w:rsid w:val="00BD6A35"/>
    <w:rsid w:val="00BD707E"/>
    <w:rsid w:val="00BD71F5"/>
    <w:rsid w:val="00BD76EE"/>
    <w:rsid w:val="00BD771A"/>
    <w:rsid w:val="00BD772A"/>
    <w:rsid w:val="00BD787E"/>
    <w:rsid w:val="00BD7969"/>
    <w:rsid w:val="00BD7CEC"/>
    <w:rsid w:val="00BD7EA2"/>
    <w:rsid w:val="00BE01AB"/>
    <w:rsid w:val="00BE01AF"/>
    <w:rsid w:val="00BE0486"/>
    <w:rsid w:val="00BE04B0"/>
    <w:rsid w:val="00BE04FF"/>
    <w:rsid w:val="00BE0536"/>
    <w:rsid w:val="00BE110B"/>
    <w:rsid w:val="00BE16C0"/>
    <w:rsid w:val="00BE1927"/>
    <w:rsid w:val="00BE1B7C"/>
    <w:rsid w:val="00BE2073"/>
    <w:rsid w:val="00BE20FD"/>
    <w:rsid w:val="00BE276C"/>
    <w:rsid w:val="00BE27E1"/>
    <w:rsid w:val="00BE280F"/>
    <w:rsid w:val="00BE28D7"/>
    <w:rsid w:val="00BE2906"/>
    <w:rsid w:val="00BE2B09"/>
    <w:rsid w:val="00BE2D2F"/>
    <w:rsid w:val="00BE2DC0"/>
    <w:rsid w:val="00BE2FEC"/>
    <w:rsid w:val="00BE319D"/>
    <w:rsid w:val="00BE31BB"/>
    <w:rsid w:val="00BE3357"/>
    <w:rsid w:val="00BE344B"/>
    <w:rsid w:val="00BE346E"/>
    <w:rsid w:val="00BE35CC"/>
    <w:rsid w:val="00BE3B93"/>
    <w:rsid w:val="00BE3F3F"/>
    <w:rsid w:val="00BE3F55"/>
    <w:rsid w:val="00BE3FA6"/>
    <w:rsid w:val="00BE3FDA"/>
    <w:rsid w:val="00BE4017"/>
    <w:rsid w:val="00BE4609"/>
    <w:rsid w:val="00BE46B2"/>
    <w:rsid w:val="00BE478B"/>
    <w:rsid w:val="00BE4797"/>
    <w:rsid w:val="00BE4BCE"/>
    <w:rsid w:val="00BE4E75"/>
    <w:rsid w:val="00BE522D"/>
    <w:rsid w:val="00BE53C2"/>
    <w:rsid w:val="00BE560D"/>
    <w:rsid w:val="00BE5713"/>
    <w:rsid w:val="00BE5866"/>
    <w:rsid w:val="00BE5950"/>
    <w:rsid w:val="00BE6099"/>
    <w:rsid w:val="00BE62F6"/>
    <w:rsid w:val="00BE642A"/>
    <w:rsid w:val="00BE66A4"/>
    <w:rsid w:val="00BE6808"/>
    <w:rsid w:val="00BE6AC7"/>
    <w:rsid w:val="00BE6F68"/>
    <w:rsid w:val="00BE7037"/>
    <w:rsid w:val="00BE70DA"/>
    <w:rsid w:val="00BE711E"/>
    <w:rsid w:val="00BE72A2"/>
    <w:rsid w:val="00BE7321"/>
    <w:rsid w:val="00BE757C"/>
    <w:rsid w:val="00BE77ED"/>
    <w:rsid w:val="00BE7819"/>
    <w:rsid w:val="00BE796C"/>
    <w:rsid w:val="00BE7D00"/>
    <w:rsid w:val="00BE7D95"/>
    <w:rsid w:val="00BF038F"/>
    <w:rsid w:val="00BF0B8E"/>
    <w:rsid w:val="00BF0C9B"/>
    <w:rsid w:val="00BF0E2B"/>
    <w:rsid w:val="00BF0FAE"/>
    <w:rsid w:val="00BF12A4"/>
    <w:rsid w:val="00BF154D"/>
    <w:rsid w:val="00BF1806"/>
    <w:rsid w:val="00BF18F4"/>
    <w:rsid w:val="00BF1950"/>
    <w:rsid w:val="00BF228B"/>
    <w:rsid w:val="00BF2447"/>
    <w:rsid w:val="00BF2465"/>
    <w:rsid w:val="00BF284B"/>
    <w:rsid w:val="00BF28A5"/>
    <w:rsid w:val="00BF2BC6"/>
    <w:rsid w:val="00BF2C2D"/>
    <w:rsid w:val="00BF2D98"/>
    <w:rsid w:val="00BF2DFB"/>
    <w:rsid w:val="00BF2E84"/>
    <w:rsid w:val="00BF2E88"/>
    <w:rsid w:val="00BF30AE"/>
    <w:rsid w:val="00BF35C5"/>
    <w:rsid w:val="00BF3846"/>
    <w:rsid w:val="00BF3AA1"/>
    <w:rsid w:val="00BF3DC6"/>
    <w:rsid w:val="00BF3E3E"/>
    <w:rsid w:val="00BF3F9D"/>
    <w:rsid w:val="00BF401B"/>
    <w:rsid w:val="00BF405E"/>
    <w:rsid w:val="00BF4157"/>
    <w:rsid w:val="00BF433D"/>
    <w:rsid w:val="00BF4371"/>
    <w:rsid w:val="00BF44F3"/>
    <w:rsid w:val="00BF4514"/>
    <w:rsid w:val="00BF470C"/>
    <w:rsid w:val="00BF4E4A"/>
    <w:rsid w:val="00BF4F13"/>
    <w:rsid w:val="00BF4F55"/>
    <w:rsid w:val="00BF5126"/>
    <w:rsid w:val="00BF514B"/>
    <w:rsid w:val="00BF5455"/>
    <w:rsid w:val="00BF57E2"/>
    <w:rsid w:val="00BF5A40"/>
    <w:rsid w:val="00BF5AF0"/>
    <w:rsid w:val="00BF5BDB"/>
    <w:rsid w:val="00BF5CED"/>
    <w:rsid w:val="00BF6016"/>
    <w:rsid w:val="00BF6334"/>
    <w:rsid w:val="00BF635E"/>
    <w:rsid w:val="00BF68A8"/>
    <w:rsid w:val="00BF68AF"/>
    <w:rsid w:val="00BF6D4A"/>
    <w:rsid w:val="00BF6E82"/>
    <w:rsid w:val="00BF6F8C"/>
    <w:rsid w:val="00BF6FA8"/>
    <w:rsid w:val="00BF764B"/>
    <w:rsid w:val="00BF7C02"/>
    <w:rsid w:val="00BF7D98"/>
    <w:rsid w:val="00BF7E9B"/>
    <w:rsid w:val="00BF7F3F"/>
    <w:rsid w:val="00C00036"/>
    <w:rsid w:val="00C0004A"/>
    <w:rsid w:val="00C00366"/>
    <w:rsid w:val="00C005F5"/>
    <w:rsid w:val="00C00AC8"/>
    <w:rsid w:val="00C00F11"/>
    <w:rsid w:val="00C00F5C"/>
    <w:rsid w:val="00C0111D"/>
    <w:rsid w:val="00C01180"/>
    <w:rsid w:val="00C01430"/>
    <w:rsid w:val="00C015EA"/>
    <w:rsid w:val="00C01BAE"/>
    <w:rsid w:val="00C01C2C"/>
    <w:rsid w:val="00C01CA1"/>
    <w:rsid w:val="00C01D2E"/>
    <w:rsid w:val="00C01E04"/>
    <w:rsid w:val="00C01F19"/>
    <w:rsid w:val="00C02363"/>
    <w:rsid w:val="00C02664"/>
    <w:rsid w:val="00C027DA"/>
    <w:rsid w:val="00C0285E"/>
    <w:rsid w:val="00C02905"/>
    <w:rsid w:val="00C029C7"/>
    <w:rsid w:val="00C02D8E"/>
    <w:rsid w:val="00C02E72"/>
    <w:rsid w:val="00C02F85"/>
    <w:rsid w:val="00C03197"/>
    <w:rsid w:val="00C03B7F"/>
    <w:rsid w:val="00C03D6A"/>
    <w:rsid w:val="00C03F35"/>
    <w:rsid w:val="00C04007"/>
    <w:rsid w:val="00C0435B"/>
    <w:rsid w:val="00C04417"/>
    <w:rsid w:val="00C04B55"/>
    <w:rsid w:val="00C05076"/>
    <w:rsid w:val="00C052EC"/>
    <w:rsid w:val="00C052F9"/>
    <w:rsid w:val="00C05377"/>
    <w:rsid w:val="00C0540A"/>
    <w:rsid w:val="00C05422"/>
    <w:rsid w:val="00C0585C"/>
    <w:rsid w:val="00C058BD"/>
    <w:rsid w:val="00C05918"/>
    <w:rsid w:val="00C05A9A"/>
    <w:rsid w:val="00C05ABD"/>
    <w:rsid w:val="00C05D1B"/>
    <w:rsid w:val="00C06248"/>
    <w:rsid w:val="00C06862"/>
    <w:rsid w:val="00C0695C"/>
    <w:rsid w:val="00C06A14"/>
    <w:rsid w:val="00C06A75"/>
    <w:rsid w:val="00C06A7A"/>
    <w:rsid w:val="00C06B77"/>
    <w:rsid w:val="00C06FC6"/>
    <w:rsid w:val="00C070B4"/>
    <w:rsid w:val="00C10128"/>
    <w:rsid w:val="00C10792"/>
    <w:rsid w:val="00C10A80"/>
    <w:rsid w:val="00C10AE1"/>
    <w:rsid w:val="00C10D06"/>
    <w:rsid w:val="00C10D39"/>
    <w:rsid w:val="00C10E2F"/>
    <w:rsid w:val="00C11497"/>
    <w:rsid w:val="00C116F8"/>
    <w:rsid w:val="00C11A66"/>
    <w:rsid w:val="00C11C4F"/>
    <w:rsid w:val="00C12177"/>
    <w:rsid w:val="00C121B6"/>
    <w:rsid w:val="00C126E5"/>
    <w:rsid w:val="00C12728"/>
    <w:rsid w:val="00C12923"/>
    <w:rsid w:val="00C12B87"/>
    <w:rsid w:val="00C12E2D"/>
    <w:rsid w:val="00C12FA3"/>
    <w:rsid w:val="00C12FE6"/>
    <w:rsid w:val="00C1324F"/>
    <w:rsid w:val="00C134FD"/>
    <w:rsid w:val="00C13754"/>
    <w:rsid w:val="00C137D6"/>
    <w:rsid w:val="00C138A9"/>
    <w:rsid w:val="00C138B3"/>
    <w:rsid w:val="00C13B20"/>
    <w:rsid w:val="00C13CD0"/>
    <w:rsid w:val="00C13DE1"/>
    <w:rsid w:val="00C144E9"/>
    <w:rsid w:val="00C1469B"/>
    <w:rsid w:val="00C14CA7"/>
    <w:rsid w:val="00C150EA"/>
    <w:rsid w:val="00C15722"/>
    <w:rsid w:val="00C15A02"/>
    <w:rsid w:val="00C15CE6"/>
    <w:rsid w:val="00C15CF1"/>
    <w:rsid w:val="00C15E4A"/>
    <w:rsid w:val="00C15EDD"/>
    <w:rsid w:val="00C16255"/>
    <w:rsid w:val="00C1659E"/>
    <w:rsid w:val="00C16B03"/>
    <w:rsid w:val="00C16CAE"/>
    <w:rsid w:val="00C16D50"/>
    <w:rsid w:val="00C16E02"/>
    <w:rsid w:val="00C16FC9"/>
    <w:rsid w:val="00C17232"/>
    <w:rsid w:val="00C1731F"/>
    <w:rsid w:val="00C178E9"/>
    <w:rsid w:val="00C17939"/>
    <w:rsid w:val="00C17B40"/>
    <w:rsid w:val="00C17F01"/>
    <w:rsid w:val="00C20425"/>
    <w:rsid w:val="00C20717"/>
    <w:rsid w:val="00C20861"/>
    <w:rsid w:val="00C208BB"/>
    <w:rsid w:val="00C209F9"/>
    <w:rsid w:val="00C20BA7"/>
    <w:rsid w:val="00C20BFE"/>
    <w:rsid w:val="00C20D4E"/>
    <w:rsid w:val="00C20E95"/>
    <w:rsid w:val="00C20F5D"/>
    <w:rsid w:val="00C212D9"/>
    <w:rsid w:val="00C21485"/>
    <w:rsid w:val="00C21AC7"/>
    <w:rsid w:val="00C21C47"/>
    <w:rsid w:val="00C2200A"/>
    <w:rsid w:val="00C2206F"/>
    <w:rsid w:val="00C2215B"/>
    <w:rsid w:val="00C22989"/>
    <w:rsid w:val="00C22A51"/>
    <w:rsid w:val="00C22DF6"/>
    <w:rsid w:val="00C22E11"/>
    <w:rsid w:val="00C23291"/>
    <w:rsid w:val="00C23389"/>
    <w:rsid w:val="00C23AE8"/>
    <w:rsid w:val="00C23C0A"/>
    <w:rsid w:val="00C23D7F"/>
    <w:rsid w:val="00C23D91"/>
    <w:rsid w:val="00C23DDF"/>
    <w:rsid w:val="00C23E22"/>
    <w:rsid w:val="00C2441F"/>
    <w:rsid w:val="00C24483"/>
    <w:rsid w:val="00C244CC"/>
    <w:rsid w:val="00C24531"/>
    <w:rsid w:val="00C245F2"/>
    <w:rsid w:val="00C2481E"/>
    <w:rsid w:val="00C24A9F"/>
    <w:rsid w:val="00C24C84"/>
    <w:rsid w:val="00C24CCC"/>
    <w:rsid w:val="00C250C7"/>
    <w:rsid w:val="00C25157"/>
    <w:rsid w:val="00C2520C"/>
    <w:rsid w:val="00C25542"/>
    <w:rsid w:val="00C255A0"/>
    <w:rsid w:val="00C25B47"/>
    <w:rsid w:val="00C25CF4"/>
    <w:rsid w:val="00C26707"/>
    <w:rsid w:val="00C2695B"/>
    <w:rsid w:val="00C26A18"/>
    <w:rsid w:val="00C26A23"/>
    <w:rsid w:val="00C26F1C"/>
    <w:rsid w:val="00C27218"/>
    <w:rsid w:val="00C272ED"/>
    <w:rsid w:val="00C27410"/>
    <w:rsid w:val="00C300D1"/>
    <w:rsid w:val="00C3018D"/>
    <w:rsid w:val="00C30359"/>
    <w:rsid w:val="00C30397"/>
    <w:rsid w:val="00C30445"/>
    <w:rsid w:val="00C308CC"/>
    <w:rsid w:val="00C3090A"/>
    <w:rsid w:val="00C30AC3"/>
    <w:rsid w:val="00C30D6C"/>
    <w:rsid w:val="00C30DEF"/>
    <w:rsid w:val="00C30F9A"/>
    <w:rsid w:val="00C30FD9"/>
    <w:rsid w:val="00C30FF1"/>
    <w:rsid w:val="00C310C8"/>
    <w:rsid w:val="00C314AE"/>
    <w:rsid w:val="00C317F3"/>
    <w:rsid w:val="00C31A71"/>
    <w:rsid w:val="00C31C34"/>
    <w:rsid w:val="00C31DA9"/>
    <w:rsid w:val="00C31E1A"/>
    <w:rsid w:val="00C31EE5"/>
    <w:rsid w:val="00C320AD"/>
    <w:rsid w:val="00C322FF"/>
    <w:rsid w:val="00C32426"/>
    <w:rsid w:val="00C32441"/>
    <w:rsid w:val="00C325BA"/>
    <w:rsid w:val="00C32615"/>
    <w:rsid w:val="00C327D0"/>
    <w:rsid w:val="00C3285F"/>
    <w:rsid w:val="00C32C8C"/>
    <w:rsid w:val="00C32DC2"/>
    <w:rsid w:val="00C32DEC"/>
    <w:rsid w:val="00C33837"/>
    <w:rsid w:val="00C33B61"/>
    <w:rsid w:val="00C33EB9"/>
    <w:rsid w:val="00C34066"/>
    <w:rsid w:val="00C345F7"/>
    <w:rsid w:val="00C347B5"/>
    <w:rsid w:val="00C34830"/>
    <w:rsid w:val="00C34993"/>
    <w:rsid w:val="00C34B6F"/>
    <w:rsid w:val="00C34B85"/>
    <w:rsid w:val="00C34D3A"/>
    <w:rsid w:val="00C351E2"/>
    <w:rsid w:val="00C35397"/>
    <w:rsid w:val="00C354D0"/>
    <w:rsid w:val="00C355B6"/>
    <w:rsid w:val="00C35637"/>
    <w:rsid w:val="00C35670"/>
    <w:rsid w:val="00C3665F"/>
    <w:rsid w:val="00C366FB"/>
    <w:rsid w:val="00C36923"/>
    <w:rsid w:val="00C36BB1"/>
    <w:rsid w:val="00C36DC6"/>
    <w:rsid w:val="00C36F25"/>
    <w:rsid w:val="00C3712B"/>
    <w:rsid w:val="00C3719D"/>
    <w:rsid w:val="00C372CD"/>
    <w:rsid w:val="00C376BB"/>
    <w:rsid w:val="00C37D5C"/>
    <w:rsid w:val="00C37DAC"/>
    <w:rsid w:val="00C37E90"/>
    <w:rsid w:val="00C37F45"/>
    <w:rsid w:val="00C400CE"/>
    <w:rsid w:val="00C4060D"/>
    <w:rsid w:val="00C406D5"/>
    <w:rsid w:val="00C409DF"/>
    <w:rsid w:val="00C40DA5"/>
    <w:rsid w:val="00C40F14"/>
    <w:rsid w:val="00C410A8"/>
    <w:rsid w:val="00C4116D"/>
    <w:rsid w:val="00C412B1"/>
    <w:rsid w:val="00C41424"/>
    <w:rsid w:val="00C4155D"/>
    <w:rsid w:val="00C41CF2"/>
    <w:rsid w:val="00C41EE6"/>
    <w:rsid w:val="00C41EE7"/>
    <w:rsid w:val="00C41EE8"/>
    <w:rsid w:val="00C422C0"/>
    <w:rsid w:val="00C4249A"/>
    <w:rsid w:val="00C425E5"/>
    <w:rsid w:val="00C4260D"/>
    <w:rsid w:val="00C42960"/>
    <w:rsid w:val="00C4296F"/>
    <w:rsid w:val="00C42E64"/>
    <w:rsid w:val="00C430AE"/>
    <w:rsid w:val="00C4320C"/>
    <w:rsid w:val="00C43610"/>
    <w:rsid w:val="00C43649"/>
    <w:rsid w:val="00C43A5B"/>
    <w:rsid w:val="00C43A5D"/>
    <w:rsid w:val="00C4401A"/>
    <w:rsid w:val="00C44029"/>
    <w:rsid w:val="00C442BB"/>
    <w:rsid w:val="00C442E1"/>
    <w:rsid w:val="00C44861"/>
    <w:rsid w:val="00C44A0A"/>
    <w:rsid w:val="00C44A6C"/>
    <w:rsid w:val="00C44E5C"/>
    <w:rsid w:val="00C44F2E"/>
    <w:rsid w:val="00C45007"/>
    <w:rsid w:val="00C45263"/>
    <w:rsid w:val="00C45567"/>
    <w:rsid w:val="00C45846"/>
    <w:rsid w:val="00C45C4C"/>
    <w:rsid w:val="00C46009"/>
    <w:rsid w:val="00C46018"/>
    <w:rsid w:val="00C46118"/>
    <w:rsid w:val="00C4633A"/>
    <w:rsid w:val="00C46810"/>
    <w:rsid w:val="00C469B1"/>
    <w:rsid w:val="00C46C75"/>
    <w:rsid w:val="00C46D0C"/>
    <w:rsid w:val="00C47199"/>
    <w:rsid w:val="00C47356"/>
    <w:rsid w:val="00C475E6"/>
    <w:rsid w:val="00C476A8"/>
    <w:rsid w:val="00C47819"/>
    <w:rsid w:val="00C478A9"/>
    <w:rsid w:val="00C478F7"/>
    <w:rsid w:val="00C47B00"/>
    <w:rsid w:val="00C50099"/>
    <w:rsid w:val="00C50551"/>
    <w:rsid w:val="00C505B3"/>
    <w:rsid w:val="00C50638"/>
    <w:rsid w:val="00C50677"/>
    <w:rsid w:val="00C50838"/>
    <w:rsid w:val="00C50E60"/>
    <w:rsid w:val="00C51696"/>
    <w:rsid w:val="00C5183B"/>
    <w:rsid w:val="00C5183F"/>
    <w:rsid w:val="00C5188F"/>
    <w:rsid w:val="00C51A76"/>
    <w:rsid w:val="00C51AA8"/>
    <w:rsid w:val="00C51B8A"/>
    <w:rsid w:val="00C51CDE"/>
    <w:rsid w:val="00C51CFF"/>
    <w:rsid w:val="00C51DE9"/>
    <w:rsid w:val="00C51F04"/>
    <w:rsid w:val="00C522F1"/>
    <w:rsid w:val="00C526D1"/>
    <w:rsid w:val="00C52726"/>
    <w:rsid w:val="00C52A59"/>
    <w:rsid w:val="00C52C28"/>
    <w:rsid w:val="00C52DD5"/>
    <w:rsid w:val="00C5315F"/>
    <w:rsid w:val="00C537EC"/>
    <w:rsid w:val="00C53851"/>
    <w:rsid w:val="00C53FED"/>
    <w:rsid w:val="00C540D9"/>
    <w:rsid w:val="00C543E9"/>
    <w:rsid w:val="00C5472F"/>
    <w:rsid w:val="00C54B36"/>
    <w:rsid w:val="00C54DC7"/>
    <w:rsid w:val="00C54DEF"/>
    <w:rsid w:val="00C54EF1"/>
    <w:rsid w:val="00C55354"/>
    <w:rsid w:val="00C554B1"/>
    <w:rsid w:val="00C556E1"/>
    <w:rsid w:val="00C557C9"/>
    <w:rsid w:val="00C557F3"/>
    <w:rsid w:val="00C55C03"/>
    <w:rsid w:val="00C55EBA"/>
    <w:rsid w:val="00C55F22"/>
    <w:rsid w:val="00C56192"/>
    <w:rsid w:val="00C561C6"/>
    <w:rsid w:val="00C5637C"/>
    <w:rsid w:val="00C566CA"/>
    <w:rsid w:val="00C56EEB"/>
    <w:rsid w:val="00C574BF"/>
    <w:rsid w:val="00C574D8"/>
    <w:rsid w:val="00C576E5"/>
    <w:rsid w:val="00C578E5"/>
    <w:rsid w:val="00C57BFC"/>
    <w:rsid w:val="00C57C93"/>
    <w:rsid w:val="00C57D97"/>
    <w:rsid w:val="00C57E9E"/>
    <w:rsid w:val="00C57FD4"/>
    <w:rsid w:val="00C60775"/>
    <w:rsid w:val="00C60A31"/>
    <w:rsid w:val="00C60A87"/>
    <w:rsid w:val="00C61081"/>
    <w:rsid w:val="00C611E5"/>
    <w:rsid w:val="00C612FB"/>
    <w:rsid w:val="00C6166F"/>
    <w:rsid w:val="00C618A1"/>
    <w:rsid w:val="00C61AFB"/>
    <w:rsid w:val="00C61B34"/>
    <w:rsid w:val="00C61F74"/>
    <w:rsid w:val="00C62600"/>
    <w:rsid w:val="00C62B2F"/>
    <w:rsid w:val="00C62B9F"/>
    <w:rsid w:val="00C631A0"/>
    <w:rsid w:val="00C6361F"/>
    <w:rsid w:val="00C636D8"/>
    <w:rsid w:val="00C638F5"/>
    <w:rsid w:val="00C6397A"/>
    <w:rsid w:val="00C63AE3"/>
    <w:rsid w:val="00C63BCB"/>
    <w:rsid w:val="00C63BDE"/>
    <w:rsid w:val="00C63FF1"/>
    <w:rsid w:val="00C63FFA"/>
    <w:rsid w:val="00C64395"/>
    <w:rsid w:val="00C648AA"/>
    <w:rsid w:val="00C64A08"/>
    <w:rsid w:val="00C64BE9"/>
    <w:rsid w:val="00C64C4D"/>
    <w:rsid w:val="00C64DD3"/>
    <w:rsid w:val="00C64DFD"/>
    <w:rsid w:val="00C64F57"/>
    <w:rsid w:val="00C651FB"/>
    <w:rsid w:val="00C65342"/>
    <w:rsid w:val="00C654BC"/>
    <w:rsid w:val="00C655A9"/>
    <w:rsid w:val="00C65EE7"/>
    <w:rsid w:val="00C65FE0"/>
    <w:rsid w:val="00C66055"/>
    <w:rsid w:val="00C66104"/>
    <w:rsid w:val="00C66250"/>
    <w:rsid w:val="00C66255"/>
    <w:rsid w:val="00C662D5"/>
    <w:rsid w:val="00C663AE"/>
    <w:rsid w:val="00C665CC"/>
    <w:rsid w:val="00C66C5A"/>
    <w:rsid w:val="00C66D1E"/>
    <w:rsid w:val="00C673DD"/>
    <w:rsid w:val="00C67407"/>
    <w:rsid w:val="00C67574"/>
    <w:rsid w:val="00C67701"/>
    <w:rsid w:val="00C67879"/>
    <w:rsid w:val="00C678B4"/>
    <w:rsid w:val="00C67F98"/>
    <w:rsid w:val="00C701B4"/>
    <w:rsid w:val="00C70469"/>
    <w:rsid w:val="00C70AB5"/>
    <w:rsid w:val="00C70AFF"/>
    <w:rsid w:val="00C70B50"/>
    <w:rsid w:val="00C70C5E"/>
    <w:rsid w:val="00C712B1"/>
    <w:rsid w:val="00C71691"/>
    <w:rsid w:val="00C716BA"/>
    <w:rsid w:val="00C71708"/>
    <w:rsid w:val="00C71983"/>
    <w:rsid w:val="00C719BD"/>
    <w:rsid w:val="00C71A8D"/>
    <w:rsid w:val="00C71B6C"/>
    <w:rsid w:val="00C720A4"/>
    <w:rsid w:val="00C723E0"/>
    <w:rsid w:val="00C72416"/>
    <w:rsid w:val="00C724FB"/>
    <w:rsid w:val="00C72C0B"/>
    <w:rsid w:val="00C72C35"/>
    <w:rsid w:val="00C72E58"/>
    <w:rsid w:val="00C72F1B"/>
    <w:rsid w:val="00C732E4"/>
    <w:rsid w:val="00C7333B"/>
    <w:rsid w:val="00C73631"/>
    <w:rsid w:val="00C7366A"/>
    <w:rsid w:val="00C73A07"/>
    <w:rsid w:val="00C73F3D"/>
    <w:rsid w:val="00C7417A"/>
    <w:rsid w:val="00C743E6"/>
    <w:rsid w:val="00C74490"/>
    <w:rsid w:val="00C7465C"/>
    <w:rsid w:val="00C74866"/>
    <w:rsid w:val="00C74956"/>
    <w:rsid w:val="00C74A9E"/>
    <w:rsid w:val="00C74C14"/>
    <w:rsid w:val="00C752C5"/>
    <w:rsid w:val="00C75558"/>
    <w:rsid w:val="00C75C76"/>
    <w:rsid w:val="00C762E2"/>
    <w:rsid w:val="00C7651C"/>
    <w:rsid w:val="00C766E6"/>
    <w:rsid w:val="00C768E3"/>
    <w:rsid w:val="00C76C15"/>
    <w:rsid w:val="00C76CD1"/>
    <w:rsid w:val="00C76D41"/>
    <w:rsid w:val="00C76EEF"/>
    <w:rsid w:val="00C7706C"/>
    <w:rsid w:val="00C772C9"/>
    <w:rsid w:val="00C77362"/>
    <w:rsid w:val="00C7737B"/>
    <w:rsid w:val="00C77462"/>
    <w:rsid w:val="00C77723"/>
    <w:rsid w:val="00C778B6"/>
    <w:rsid w:val="00C77C40"/>
    <w:rsid w:val="00C77ED2"/>
    <w:rsid w:val="00C800DD"/>
    <w:rsid w:val="00C802A0"/>
    <w:rsid w:val="00C802A3"/>
    <w:rsid w:val="00C802F1"/>
    <w:rsid w:val="00C8042B"/>
    <w:rsid w:val="00C806A8"/>
    <w:rsid w:val="00C806D3"/>
    <w:rsid w:val="00C8080E"/>
    <w:rsid w:val="00C808F8"/>
    <w:rsid w:val="00C8095A"/>
    <w:rsid w:val="00C80BB1"/>
    <w:rsid w:val="00C80C79"/>
    <w:rsid w:val="00C80D0E"/>
    <w:rsid w:val="00C81271"/>
    <w:rsid w:val="00C814D5"/>
    <w:rsid w:val="00C8183F"/>
    <w:rsid w:val="00C81A9D"/>
    <w:rsid w:val="00C81BAA"/>
    <w:rsid w:val="00C81F0D"/>
    <w:rsid w:val="00C81FED"/>
    <w:rsid w:val="00C82B70"/>
    <w:rsid w:val="00C82EBE"/>
    <w:rsid w:val="00C82ECC"/>
    <w:rsid w:val="00C8305D"/>
    <w:rsid w:val="00C83078"/>
    <w:rsid w:val="00C833CE"/>
    <w:rsid w:val="00C83471"/>
    <w:rsid w:val="00C834F9"/>
    <w:rsid w:val="00C835F3"/>
    <w:rsid w:val="00C83626"/>
    <w:rsid w:val="00C83AB6"/>
    <w:rsid w:val="00C84487"/>
    <w:rsid w:val="00C844A3"/>
    <w:rsid w:val="00C84610"/>
    <w:rsid w:val="00C848F2"/>
    <w:rsid w:val="00C84AD4"/>
    <w:rsid w:val="00C84AEB"/>
    <w:rsid w:val="00C84CC3"/>
    <w:rsid w:val="00C84F37"/>
    <w:rsid w:val="00C84F92"/>
    <w:rsid w:val="00C8509D"/>
    <w:rsid w:val="00C8514E"/>
    <w:rsid w:val="00C8532D"/>
    <w:rsid w:val="00C8570C"/>
    <w:rsid w:val="00C85ACF"/>
    <w:rsid w:val="00C85BE0"/>
    <w:rsid w:val="00C86423"/>
    <w:rsid w:val="00C86488"/>
    <w:rsid w:val="00C86591"/>
    <w:rsid w:val="00C867FC"/>
    <w:rsid w:val="00C86953"/>
    <w:rsid w:val="00C86ADC"/>
    <w:rsid w:val="00C86B9F"/>
    <w:rsid w:val="00C86C7D"/>
    <w:rsid w:val="00C86FCD"/>
    <w:rsid w:val="00C87109"/>
    <w:rsid w:val="00C87143"/>
    <w:rsid w:val="00C87200"/>
    <w:rsid w:val="00C87300"/>
    <w:rsid w:val="00C874C8"/>
    <w:rsid w:val="00C8759A"/>
    <w:rsid w:val="00C878FD"/>
    <w:rsid w:val="00C87931"/>
    <w:rsid w:val="00C87A09"/>
    <w:rsid w:val="00C907D6"/>
    <w:rsid w:val="00C9081F"/>
    <w:rsid w:val="00C90E9B"/>
    <w:rsid w:val="00C910D4"/>
    <w:rsid w:val="00C910FF"/>
    <w:rsid w:val="00C912FA"/>
    <w:rsid w:val="00C91662"/>
    <w:rsid w:val="00C916E3"/>
    <w:rsid w:val="00C91872"/>
    <w:rsid w:val="00C91AEA"/>
    <w:rsid w:val="00C91F77"/>
    <w:rsid w:val="00C924B5"/>
    <w:rsid w:val="00C925BC"/>
    <w:rsid w:val="00C9268A"/>
    <w:rsid w:val="00C92B01"/>
    <w:rsid w:val="00C92C10"/>
    <w:rsid w:val="00C92C29"/>
    <w:rsid w:val="00C92CE3"/>
    <w:rsid w:val="00C936BF"/>
    <w:rsid w:val="00C9383C"/>
    <w:rsid w:val="00C93D0A"/>
    <w:rsid w:val="00C93DAF"/>
    <w:rsid w:val="00C94111"/>
    <w:rsid w:val="00C94735"/>
    <w:rsid w:val="00C94A88"/>
    <w:rsid w:val="00C9579E"/>
    <w:rsid w:val="00C95851"/>
    <w:rsid w:val="00C95964"/>
    <w:rsid w:val="00C95A3F"/>
    <w:rsid w:val="00C960D8"/>
    <w:rsid w:val="00C969E2"/>
    <w:rsid w:val="00C96D98"/>
    <w:rsid w:val="00C96E2E"/>
    <w:rsid w:val="00C97176"/>
    <w:rsid w:val="00C9730C"/>
    <w:rsid w:val="00C97334"/>
    <w:rsid w:val="00C97627"/>
    <w:rsid w:val="00C97AED"/>
    <w:rsid w:val="00C97D8D"/>
    <w:rsid w:val="00CA00EB"/>
    <w:rsid w:val="00CA0424"/>
    <w:rsid w:val="00CA045A"/>
    <w:rsid w:val="00CA06BE"/>
    <w:rsid w:val="00CA0991"/>
    <w:rsid w:val="00CA0A46"/>
    <w:rsid w:val="00CA0E0D"/>
    <w:rsid w:val="00CA1134"/>
    <w:rsid w:val="00CA13AD"/>
    <w:rsid w:val="00CA14D5"/>
    <w:rsid w:val="00CA14E7"/>
    <w:rsid w:val="00CA1D11"/>
    <w:rsid w:val="00CA1E8D"/>
    <w:rsid w:val="00CA1ECB"/>
    <w:rsid w:val="00CA2018"/>
    <w:rsid w:val="00CA21BB"/>
    <w:rsid w:val="00CA2242"/>
    <w:rsid w:val="00CA243B"/>
    <w:rsid w:val="00CA26ED"/>
    <w:rsid w:val="00CA2800"/>
    <w:rsid w:val="00CA2BBE"/>
    <w:rsid w:val="00CA2DFE"/>
    <w:rsid w:val="00CA2E8A"/>
    <w:rsid w:val="00CA3032"/>
    <w:rsid w:val="00CA3278"/>
    <w:rsid w:val="00CA336C"/>
    <w:rsid w:val="00CA34D1"/>
    <w:rsid w:val="00CA366F"/>
    <w:rsid w:val="00CA3A24"/>
    <w:rsid w:val="00CA3AAF"/>
    <w:rsid w:val="00CA3B83"/>
    <w:rsid w:val="00CA3BF8"/>
    <w:rsid w:val="00CA44A0"/>
    <w:rsid w:val="00CA49F5"/>
    <w:rsid w:val="00CA4AB2"/>
    <w:rsid w:val="00CA52C5"/>
    <w:rsid w:val="00CA53FA"/>
    <w:rsid w:val="00CA5427"/>
    <w:rsid w:val="00CA5572"/>
    <w:rsid w:val="00CA563C"/>
    <w:rsid w:val="00CA5AD5"/>
    <w:rsid w:val="00CA5AED"/>
    <w:rsid w:val="00CA5BAA"/>
    <w:rsid w:val="00CA5DF3"/>
    <w:rsid w:val="00CA5E6C"/>
    <w:rsid w:val="00CA6026"/>
    <w:rsid w:val="00CA63B4"/>
    <w:rsid w:val="00CA65CD"/>
    <w:rsid w:val="00CA669E"/>
    <w:rsid w:val="00CA6FE7"/>
    <w:rsid w:val="00CA7006"/>
    <w:rsid w:val="00CA72FD"/>
    <w:rsid w:val="00CA7352"/>
    <w:rsid w:val="00CA7454"/>
    <w:rsid w:val="00CA7607"/>
    <w:rsid w:val="00CA7C31"/>
    <w:rsid w:val="00CA7F15"/>
    <w:rsid w:val="00CB068B"/>
    <w:rsid w:val="00CB08FA"/>
    <w:rsid w:val="00CB09CF"/>
    <w:rsid w:val="00CB0C74"/>
    <w:rsid w:val="00CB0CE7"/>
    <w:rsid w:val="00CB0DB5"/>
    <w:rsid w:val="00CB13E1"/>
    <w:rsid w:val="00CB18FB"/>
    <w:rsid w:val="00CB1A0C"/>
    <w:rsid w:val="00CB1D4E"/>
    <w:rsid w:val="00CB2285"/>
    <w:rsid w:val="00CB2827"/>
    <w:rsid w:val="00CB2C65"/>
    <w:rsid w:val="00CB2CE1"/>
    <w:rsid w:val="00CB31FA"/>
    <w:rsid w:val="00CB3320"/>
    <w:rsid w:val="00CB36B0"/>
    <w:rsid w:val="00CB3770"/>
    <w:rsid w:val="00CB3868"/>
    <w:rsid w:val="00CB3A2F"/>
    <w:rsid w:val="00CB3A8E"/>
    <w:rsid w:val="00CB3E93"/>
    <w:rsid w:val="00CB3FA5"/>
    <w:rsid w:val="00CB42B4"/>
    <w:rsid w:val="00CB44E5"/>
    <w:rsid w:val="00CB4661"/>
    <w:rsid w:val="00CB4B14"/>
    <w:rsid w:val="00CB5138"/>
    <w:rsid w:val="00CB531B"/>
    <w:rsid w:val="00CB5619"/>
    <w:rsid w:val="00CB5709"/>
    <w:rsid w:val="00CB59AA"/>
    <w:rsid w:val="00CB5A31"/>
    <w:rsid w:val="00CB5B56"/>
    <w:rsid w:val="00CB5B73"/>
    <w:rsid w:val="00CB66C2"/>
    <w:rsid w:val="00CB67E0"/>
    <w:rsid w:val="00CB680F"/>
    <w:rsid w:val="00CB6C48"/>
    <w:rsid w:val="00CB6C85"/>
    <w:rsid w:val="00CB6D0C"/>
    <w:rsid w:val="00CB704F"/>
    <w:rsid w:val="00CB7287"/>
    <w:rsid w:val="00CB74DD"/>
    <w:rsid w:val="00CB76FE"/>
    <w:rsid w:val="00CB7C69"/>
    <w:rsid w:val="00CB7E20"/>
    <w:rsid w:val="00CB7E24"/>
    <w:rsid w:val="00CC0BC8"/>
    <w:rsid w:val="00CC0D10"/>
    <w:rsid w:val="00CC0F55"/>
    <w:rsid w:val="00CC13B8"/>
    <w:rsid w:val="00CC1712"/>
    <w:rsid w:val="00CC17A0"/>
    <w:rsid w:val="00CC17D3"/>
    <w:rsid w:val="00CC1974"/>
    <w:rsid w:val="00CC1A87"/>
    <w:rsid w:val="00CC1A9E"/>
    <w:rsid w:val="00CC1AFF"/>
    <w:rsid w:val="00CC1D50"/>
    <w:rsid w:val="00CC1DBD"/>
    <w:rsid w:val="00CC20BE"/>
    <w:rsid w:val="00CC23B5"/>
    <w:rsid w:val="00CC2586"/>
    <w:rsid w:val="00CC263E"/>
    <w:rsid w:val="00CC2C57"/>
    <w:rsid w:val="00CC2CBC"/>
    <w:rsid w:val="00CC36A4"/>
    <w:rsid w:val="00CC37CD"/>
    <w:rsid w:val="00CC3927"/>
    <w:rsid w:val="00CC3A15"/>
    <w:rsid w:val="00CC3A23"/>
    <w:rsid w:val="00CC3AA3"/>
    <w:rsid w:val="00CC3C67"/>
    <w:rsid w:val="00CC3C84"/>
    <w:rsid w:val="00CC3ED9"/>
    <w:rsid w:val="00CC4335"/>
    <w:rsid w:val="00CC4752"/>
    <w:rsid w:val="00CC49E3"/>
    <w:rsid w:val="00CC4B4C"/>
    <w:rsid w:val="00CC4CAB"/>
    <w:rsid w:val="00CC4CDA"/>
    <w:rsid w:val="00CC4D79"/>
    <w:rsid w:val="00CC4DCD"/>
    <w:rsid w:val="00CC50D2"/>
    <w:rsid w:val="00CC516B"/>
    <w:rsid w:val="00CC5245"/>
    <w:rsid w:val="00CC550F"/>
    <w:rsid w:val="00CC5615"/>
    <w:rsid w:val="00CC58E1"/>
    <w:rsid w:val="00CC59E9"/>
    <w:rsid w:val="00CC5C63"/>
    <w:rsid w:val="00CC624D"/>
    <w:rsid w:val="00CC6377"/>
    <w:rsid w:val="00CC6674"/>
    <w:rsid w:val="00CC66E6"/>
    <w:rsid w:val="00CC6D83"/>
    <w:rsid w:val="00CC6DAF"/>
    <w:rsid w:val="00CC6E35"/>
    <w:rsid w:val="00CC6E6A"/>
    <w:rsid w:val="00CC78B5"/>
    <w:rsid w:val="00CC78E1"/>
    <w:rsid w:val="00CC794E"/>
    <w:rsid w:val="00CC799A"/>
    <w:rsid w:val="00CC7E55"/>
    <w:rsid w:val="00CC7F7E"/>
    <w:rsid w:val="00CC7F9C"/>
    <w:rsid w:val="00CD0945"/>
    <w:rsid w:val="00CD0992"/>
    <w:rsid w:val="00CD0B1B"/>
    <w:rsid w:val="00CD0BC2"/>
    <w:rsid w:val="00CD0BCF"/>
    <w:rsid w:val="00CD0BEE"/>
    <w:rsid w:val="00CD0D7C"/>
    <w:rsid w:val="00CD0DDF"/>
    <w:rsid w:val="00CD0E0F"/>
    <w:rsid w:val="00CD107A"/>
    <w:rsid w:val="00CD129F"/>
    <w:rsid w:val="00CD1340"/>
    <w:rsid w:val="00CD137B"/>
    <w:rsid w:val="00CD141F"/>
    <w:rsid w:val="00CD1651"/>
    <w:rsid w:val="00CD17F2"/>
    <w:rsid w:val="00CD1C4C"/>
    <w:rsid w:val="00CD2792"/>
    <w:rsid w:val="00CD27AA"/>
    <w:rsid w:val="00CD2F98"/>
    <w:rsid w:val="00CD30FA"/>
    <w:rsid w:val="00CD32C3"/>
    <w:rsid w:val="00CD330B"/>
    <w:rsid w:val="00CD3388"/>
    <w:rsid w:val="00CD3475"/>
    <w:rsid w:val="00CD35B5"/>
    <w:rsid w:val="00CD391A"/>
    <w:rsid w:val="00CD3B18"/>
    <w:rsid w:val="00CD3B83"/>
    <w:rsid w:val="00CD3C83"/>
    <w:rsid w:val="00CD4040"/>
    <w:rsid w:val="00CD405D"/>
    <w:rsid w:val="00CD40DF"/>
    <w:rsid w:val="00CD42F8"/>
    <w:rsid w:val="00CD436D"/>
    <w:rsid w:val="00CD469C"/>
    <w:rsid w:val="00CD4739"/>
    <w:rsid w:val="00CD4925"/>
    <w:rsid w:val="00CD4F12"/>
    <w:rsid w:val="00CD545B"/>
    <w:rsid w:val="00CD5700"/>
    <w:rsid w:val="00CD5AC1"/>
    <w:rsid w:val="00CD5BBE"/>
    <w:rsid w:val="00CD5C56"/>
    <w:rsid w:val="00CD5F9F"/>
    <w:rsid w:val="00CD6284"/>
    <w:rsid w:val="00CD69BB"/>
    <w:rsid w:val="00CD6D18"/>
    <w:rsid w:val="00CD6F0F"/>
    <w:rsid w:val="00CD702A"/>
    <w:rsid w:val="00CD712B"/>
    <w:rsid w:val="00CD717D"/>
    <w:rsid w:val="00CD754D"/>
    <w:rsid w:val="00CD79CB"/>
    <w:rsid w:val="00CD7AB5"/>
    <w:rsid w:val="00CD7B96"/>
    <w:rsid w:val="00CD7CCD"/>
    <w:rsid w:val="00CE01A5"/>
    <w:rsid w:val="00CE038B"/>
    <w:rsid w:val="00CE06A2"/>
    <w:rsid w:val="00CE06C4"/>
    <w:rsid w:val="00CE083A"/>
    <w:rsid w:val="00CE09AC"/>
    <w:rsid w:val="00CE0ED9"/>
    <w:rsid w:val="00CE1078"/>
    <w:rsid w:val="00CE12C3"/>
    <w:rsid w:val="00CE12F7"/>
    <w:rsid w:val="00CE1345"/>
    <w:rsid w:val="00CE1595"/>
    <w:rsid w:val="00CE16E1"/>
    <w:rsid w:val="00CE176A"/>
    <w:rsid w:val="00CE1C94"/>
    <w:rsid w:val="00CE200B"/>
    <w:rsid w:val="00CE215D"/>
    <w:rsid w:val="00CE21CA"/>
    <w:rsid w:val="00CE2360"/>
    <w:rsid w:val="00CE23CC"/>
    <w:rsid w:val="00CE2441"/>
    <w:rsid w:val="00CE26EA"/>
    <w:rsid w:val="00CE28BA"/>
    <w:rsid w:val="00CE2BCA"/>
    <w:rsid w:val="00CE2FE4"/>
    <w:rsid w:val="00CE31F5"/>
    <w:rsid w:val="00CE3376"/>
    <w:rsid w:val="00CE3822"/>
    <w:rsid w:val="00CE3A4E"/>
    <w:rsid w:val="00CE3BBA"/>
    <w:rsid w:val="00CE3DB7"/>
    <w:rsid w:val="00CE43DD"/>
    <w:rsid w:val="00CE44B1"/>
    <w:rsid w:val="00CE4BC4"/>
    <w:rsid w:val="00CE4C2E"/>
    <w:rsid w:val="00CE4E9D"/>
    <w:rsid w:val="00CE4F3C"/>
    <w:rsid w:val="00CE50B7"/>
    <w:rsid w:val="00CE5868"/>
    <w:rsid w:val="00CE592A"/>
    <w:rsid w:val="00CE5B2E"/>
    <w:rsid w:val="00CE5F68"/>
    <w:rsid w:val="00CE6589"/>
    <w:rsid w:val="00CE67E1"/>
    <w:rsid w:val="00CE6883"/>
    <w:rsid w:val="00CE6900"/>
    <w:rsid w:val="00CE6966"/>
    <w:rsid w:val="00CE69F8"/>
    <w:rsid w:val="00CE6BBA"/>
    <w:rsid w:val="00CE6D3D"/>
    <w:rsid w:val="00CE6E53"/>
    <w:rsid w:val="00CE7433"/>
    <w:rsid w:val="00CE7501"/>
    <w:rsid w:val="00CE76AF"/>
    <w:rsid w:val="00CE76B2"/>
    <w:rsid w:val="00CE778F"/>
    <w:rsid w:val="00CE77BF"/>
    <w:rsid w:val="00CE7860"/>
    <w:rsid w:val="00CE7954"/>
    <w:rsid w:val="00CE79AE"/>
    <w:rsid w:val="00CF011F"/>
    <w:rsid w:val="00CF0251"/>
    <w:rsid w:val="00CF02CA"/>
    <w:rsid w:val="00CF0570"/>
    <w:rsid w:val="00CF0912"/>
    <w:rsid w:val="00CF0A06"/>
    <w:rsid w:val="00CF0A63"/>
    <w:rsid w:val="00CF0BA6"/>
    <w:rsid w:val="00CF0E12"/>
    <w:rsid w:val="00CF1142"/>
    <w:rsid w:val="00CF11D2"/>
    <w:rsid w:val="00CF1431"/>
    <w:rsid w:val="00CF1524"/>
    <w:rsid w:val="00CF152E"/>
    <w:rsid w:val="00CF192D"/>
    <w:rsid w:val="00CF1A58"/>
    <w:rsid w:val="00CF2125"/>
    <w:rsid w:val="00CF21E9"/>
    <w:rsid w:val="00CF2682"/>
    <w:rsid w:val="00CF26C5"/>
    <w:rsid w:val="00CF2BAA"/>
    <w:rsid w:val="00CF2CE9"/>
    <w:rsid w:val="00CF316A"/>
    <w:rsid w:val="00CF3332"/>
    <w:rsid w:val="00CF334B"/>
    <w:rsid w:val="00CF3457"/>
    <w:rsid w:val="00CF3500"/>
    <w:rsid w:val="00CF39DF"/>
    <w:rsid w:val="00CF3AAA"/>
    <w:rsid w:val="00CF3C54"/>
    <w:rsid w:val="00CF3F70"/>
    <w:rsid w:val="00CF3F91"/>
    <w:rsid w:val="00CF453A"/>
    <w:rsid w:val="00CF46AA"/>
    <w:rsid w:val="00CF4716"/>
    <w:rsid w:val="00CF4755"/>
    <w:rsid w:val="00CF4B6D"/>
    <w:rsid w:val="00CF4BD9"/>
    <w:rsid w:val="00CF4E47"/>
    <w:rsid w:val="00CF5013"/>
    <w:rsid w:val="00CF5128"/>
    <w:rsid w:val="00CF57DA"/>
    <w:rsid w:val="00CF6386"/>
    <w:rsid w:val="00CF63E9"/>
    <w:rsid w:val="00CF6442"/>
    <w:rsid w:val="00CF669A"/>
    <w:rsid w:val="00CF677F"/>
    <w:rsid w:val="00CF6DEE"/>
    <w:rsid w:val="00CF73B5"/>
    <w:rsid w:val="00CF748E"/>
    <w:rsid w:val="00CF75A7"/>
    <w:rsid w:val="00CF75F4"/>
    <w:rsid w:val="00CF7D2A"/>
    <w:rsid w:val="00CF7E48"/>
    <w:rsid w:val="00CF7EC2"/>
    <w:rsid w:val="00D00119"/>
    <w:rsid w:val="00D00407"/>
    <w:rsid w:val="00D004B4"/>
    <w:rsid w:val="00D008F1"/>
    <w:rsid w:val="00D009ED"/>
    <w:rsid w:val="00D00B54"/>
    <w:rsid w:val="00D00CE7"/>
    <w:rsid w:val="00D00E15"/>
    <w:rsid w:val="00D01184"/>
    <w:rsid w:val="00D0136B"/>
    <w:rsid w:val="00D01616"/>
    <w:rsid w:val="00D016C4"/>
    <w:rsid w:val="00D01738"/>
    <w:rsid w:val="00D01751"/>
    <w:rsid w:val="00D01BAA"/>
    <w:rsid w:val="00D01C92"/>
    <w:rsid w:val="00D01D79"/>
    <w:rsid w:val="00D01F2D"/>
    <w:rsid w:val="00D02064"/>
    <w:rsid w:val="00D021B4"/>
    <w:rsid w:val="00D021F0"/>
    <w:rsid w:val="00D0223F"/>
    <w:rsid w:val="00D02324"/>
    <w:rsid w:val="00D027BE"/>
    <w:rsid w:val="00D02B3A"/>
    <w:rsid w:val="00D02F1A"/>
    <w:rsid w:val="00D02F58"/>
    <w:rsid w:val="00D03382"/>
    <w:rsid w:val="00D03894"/>
    <w:rsid w:val="00D038FB"/>
    <w:rsid w:val="00D03A4E"/>
    <w:rsid w:val="00D03D6F"/>
    <w:rsid w:val="00D042BA"/>
    <w:rsid w:val="00D0434C"/>
    <w:rsid w:val="00D04361"/>
    <w:rsid w:val="00D045FF"/>
    <w:rsid w:val="00D04717"/>
    <w:rsid w:val="00D0475E"/>
    <w:rsid w:val="00D0479D"/>
    <w:rsid w:val="00D04944"/>
    <w:rsid w:val="00D05B34"/>
    <w:rsid w:val="00D05D0D"/>
    <w:rsid w:val="00D0615F"/>
    <w:rsid w:val="00D062C5"/>
    <w:rsid w:val="00D0663C"/>
    <w:rsid w:val="00D068ED"/>
    <w:rsid w:val="00D0698D"/>
    <w:rsid w:val="00D06BBA"/>
    <w:rsid w:val="00D07075"/>
    <w:rsid w:val="00D07218"/>
    <w:rsid w:val="00D076B6"/>
    <w:rsid w:val="00D07947"/>
    <w:rsid w:val="00D07E49"/>
    <w:rsid w:val="00D10256"/>
    <w:rsid w:val="00D10432"/>
    <w:rsid w:val="00D10508"/>
    <w:rsid w:val="00D1057A"/>
    <w:rsid w:val="00D105B4"/>
    <w:rsid w:val="00D1085D"/>
    <w:rsid w:val="00D10A02"/>
    <w:rsid w:val="00D10ABA"/>
    <w:rsid w:val="00D10BC5"/>
    <w:rsid w:val="00D10D06"/>
    <w:rsid w:val="00D1108D"/>
    <w:rsid w:val="00D110A7"/>
    <w:rsid w:val="00D110D2"/>
    <w:rsid w:val="00D111B3"/>
    <w:rsid w:val="00D11330"/>
    <w:rsid w:val="00D11464"/>
    <w:rsid w:val="00D1153E"/>
    <w:rsid w:val="00D1166D"/>
    <w:rsid w:val="00D11763"/>
    <w:rsid w:val="00D1191F"/>
    <w:rsid w:val="00D119DE"/>
    <w:rsid w:val="00D11B9D"/>
    <w:rsid w:val="00D11ECD"/>
    <w:rsid w:val="00D121B8"/>
    <w:rsid w:val="00D1256A"/>
    <w:rsid w:val="00D12808"/>
    <w:rsid w:val="00D1287E"/>
    <w:rsid w:val="00D12B72"/>
    <w:rsid w:val="00D12B82"/>
    <w:rsid w:val="00D12E5A"/>
    <w:rsid w:val="00D12EBB"/>
    <w:rsid w:val="00D12F6B"/>
    <w:rsid w:val="00D12F98"/>
    <w:rsid w:val="00D1314E"/>
    <w:rsid w:val="00D1354D"/>
    <w:rsid w:val="00D13605"/>
    <w:rsid w:val="00D1366A"/>
    <w:rsid w:val="00D13961"/>
    <w:rsid w:val="00D139D6"/>
    <w:rsid w:val="00D13A91"/>
    <w:rsid w:val="00D13E9E"/>
    <w:rsid w:val="00D14530"/>
    <w:rsid w:val="00D146BC"/>
    <w:rsid w:val="00D14899"/>
    <w:rsid w:val="00D14A6B"/>
    <w:rsid w:val="00D14A82"/>
    <w:rsid w:val="00D14C23"/>
    <w:rsid w:val="00D14D04"/>
    <w:rsid w:val="00D14D13"/>
    <w:rsid w:val="00D14D36"/>
    <w:rsid w:val="00D150F1"/>
    <w:rsid w:val="00D1519F"/>
    <w:rsid w:val="00D15459"/>
    <w:rsid w:val="00D15836"/>
    <w:rsid w:val="00D15E36"/>
    <w:rsid w:val="00D16110"/>
    <w:rsid w:val="00D162B8"/>
    <w:rsid w:val="00D16300"/>
    <w:rsid w:val="00D16362"/>
    <w:rsid w:val="00D163CB"/>
    <w:rsid w:val="00D16678"/>
    <w:rsid w:val="00D16780"/>
    <w:rsid w:val="00D169A0"/>
    <w:rsid w:val="00D16CF1"/>
    <w:rsid w:val="00D16DE3"/>
    <w:rsid w:val="00D16DF0"/>
    <w:rsid w:val="00D16EB8"/>
    <w:rsid w:val="00D16FE5"/>
    <w:rsid w:val="00D17625"/>
    <w:rsid w:val="00D177CE"/>
    <w:rsid w:val="00D17963"/>
    <w:rsid w:val="00D20003"/>
    <w:rsid w:val="00D2004B"/>
    <w:rsid w:val="00D206B6"/>
    <w:rsid w:val="00D209AC"/>
    <w:rsid w:val="00D20C46"/>
    <w:rsid w:val="00D20C71"/>
    <w:rsid w:val="00D20F1C"/>
    <w:rsid w:val="00D20F5D"/>
    <w:rsid w:val="00D21346"/>
    <w:rsid w:val="00D213B7"/>
    <w:rsid w:val="00D216B6"/>
    <w:rsid w:val="00D216CA"/>
    <w:rsid w:val="00D21770"/>
    <w:rsid w:val="00D2180C"/>
    <w:rsid w:val="00D2188D"/>
    <w:rsid w:val="00D219B1"/>
    <w:rsid w:val="00D21CA5"/>
    <w:rsid w:val="00D223C0"/>
    <w:rsid w:val="00D22533"/>
    <w:rsid w:val="00D2268A"/>
    <w:rsid w:val="00D22696"/>
    <w:rsid w:val="00D227C2"/>
    <w:rsid w:val="00D22E31"/>
    <w:rsid w:val="00D23182"/>
    <w:rsid w:val="00D231CE"/>
    <w:rsid w:val="00D23304"/>
    <w:rsid w:val="00D2341D"/>
    <w:rsid w:val="00D235B9"/>
    <w:rsid w:val="00D235EE"/>
    <w:rsid w:val="00D23C87"/>
    <w:rsid w:val="00D23CE9"/>
    <w:rsid w:val="00D2419A"/>
    <w:rsid w:val="00D245A6"/>
    <w:rsid w:val="00D245EA"/>
    <w:rsid w:val="00D2463E"/>
    <w:rsid w:val="00D24700"/>
    <w:rsid w:val="00D249F4"/>
    <w:rsid w:val="00D24AD4"/>
    <w:rsid w:val="00D25275"/>
    <w:rsid w:val="00D2531D"/>
    <w:rsid w:val="00D25686"/>
    <w:rsid w:val="00D2593A"/>
    <w:rsid w:val="00D25CB0"/>
    <w:rsid w:val="00D2635B"/>
    <w:rsid w:val="00D264EF"/>
    <w:rsid w:val="00D26A5A"/>
    <w:rsid w:val="00D26CAE"/>
    <w:rsid w:val="00D27338"/>
    <w:rsid w:val="00D27992"/>
    <w:rsid w:val="00D27D75"/>
    <w:rsid w:val="00D27DC8"/>
    <w:rsid w:val="00D27EB5"/>
    <w:rsid w:val="00D27F18"/>
    <w:rsid w:val="00D30373"/>
    <w:rsid w:val="00D30378"/>
    <w:rsid w:val="00D304E5"/>
    <w:rsid w:val="00D30798"/>
    <w:rsid w:val="00D3080D"/>
    <w:rsid w:val="00D308BD"/>
    <w:rsid w:val="00D30935"/>
    <w:rsid w:val="00D30BA8"/>
    <w:rsid w:val="00D30CA5"/>
    <w:rsid w:val="00D30FEA"/>
    <w:rsid w:val="00D31067"/>
    <w:rsid w:val="00D3130F"/>
    <w:rsid w:val="00D31482"/>
    <w:rsid w:val="00D31B56"/>
    <w:rsid w:val="00D31CEB"/>
    <w:rsid w:val="00D32337"/>
    <w:rsid w:val="00D32360"/>
    <w:rsid w:val="00D325C9"/>
    <w:rsid w:val="00D32BC3"/>
    <w:rsid w:val="00D32C1F"/>
    <w:rsid w:val="00D32D1F"/>
    <w:rsid w:val="00D32F07"/>
    <w:rsid w:val="00D331F7"/>
    <w:rsid w:val="00D333BC"/>
    <w:rsid w:val="00D342C3"/>
    <w:rsid w:val="00D344C9"/>
    <w:rsid w:val="00D348A8"/>
    <w:rsid w:val="00D3493D"/>
    <w:rsid w:val="00D34AE1"/>
    <w:rsid w:val="00D34BA0"/>
    <w:rsid w:val="00D35033"/>
    <w:rsid w:val="00D350B6"/>
    <w:rsid w:val="00D35419"/>
    <w:rsid w:val="00D35563"/>
    <w:rsid w:val="00D3565A"/>
    <w:rsid w:val="00D356D3"/>
    <w:rsid w:val="00D356F1"/>
    <w:rsid w:val="00D357A1"/>
    <w:rsid w:val="00D35CAE"/>
    <w:rsid w:val="00D35D34"/>
    <w:rsid w:val="00D35F9F"/>
    <w:rsid w:val="00D35FAC"/>
    <w:rsid w:val="00D361AC"/>
    <w:rsid w:val="00D361C4"/>
    <w:rsid w:val="00D362DB"/>
    <w:rsid w:val="00D3635E"/>
    <w:rsid w:val="00D36710"/>
    <w:rsid w:val="00D36875"/>
    <w:rsid w:val="00D369D8"/>
    <w:rsid w:val="00D36AD2"/>
    <w:rsid w:val="00D36C86"/>
    <w:rsid w:val="00D37878"/>
    <w:rsid w:val="00D37AA3"/>
    <w:rsid w:val="00D37B45"/>
    <w:rsid w:val="00D37BD8"/>
    <w:rsid w:val="00D400BF"/>
    <w:rsid w:val="00D40493"/>
    <w:rsid w:val="00D404AC"/>
    <w:rsid w:val="00D40D7F"/>
    <w:rsid w:val="00D40F00"/>
    <w:rsid w:val="00D41102"/>
    <w:rsid w:val="00D41317"/>
    <w:rsid w:val="00D41536"/>
    <w:rsid w:val="00D41C28"/>
    <w:rsid w:val="00D41C83"/>
    <w:rsid w:val="00D41D5B"/>
    <w:rsid w:val="00D41EF2"/>
    <w:rsid w:val="00D420C5"/>
    <w:rsid w:val="00D42F08"/>
    <w:rsid w:val="00D43300"/>
    <w:rsid w:val="00D43575"/>
    <w:rsid w:val="00D435D3"/>
    <w:rsid w:val="00D43604"/>
    <w:rsid w:val="00D43B23"/>
    <w:rsid w:val="00D440DC"/>
    <w:rsid w:val="00D447AA"/>
    <w:rsid w:val="00D44901"/>
    <w:rsid w:val="00D44B0F"/>
    <w:rsid w:val="00D44F22"/>
    <w:rsid w:val="00D44F5A"/>
    <w:rsid w:val="00D45106"/>
    <w:rsid w:val="00D45304"/>
    <w:rsid w:val="00D4550F"/>
    <w:rsid w:val="00D45ABC"/>
    <w:rsid w:val="00D45DBF"/>
    <w:rsid w:val="00D45DD7"/>
    <w:rsid w:val="00D45DEC"/>
    <w:rsid w:val="00D45F3F"/>
    <w:rsid w:val="00D46195"/>
    <w:rsid w:val="00D46606"/>
    <w:rsid w:val="00D467BA"/>
    <w:rsid w:val="00D4707D"/>
    <w:rsid w:val="00D47337"/>
    <w:rsid w:val="00D476EE"/>
    <w:rsid w:val="00D47B1C"/>
    <w:rsid w:val="00D47E72"/>
    <w:rsid w:val="00D47E88"/>
    <w:rsid w:val="00D50007"/>
    <w:rsid w:val="00D501C0"/>
    <w:rsid w:val="00D50632"/>
    <w:rsid w:val="00D50710"/>
    <w:rsid w:val="00D507BD"/>
    <w:rsid w:val="00D50AFA"/>
    <w:rsid w:val="00D50CDC"/>
    <w:rsid w:val="00D5108A"/>
    <w:rsid w:val="00D51090"/>
    <w:rsid w:val="00D518CD"/>
    <w:rsid w:val="00D518FE"/>
    <w:rsid w:val="00D51ABF"/>
    <w:rsid w:val="00D51D8E"/>
    <w:rsid w:val="00D51E83"/>
    <w:rsid w:val="00D52116"/>
    <w:rsid w:val="00D52F09"/>
    <w:rsid w:val="00D530E0"/>
    <w:rsid w:val="00D53191"/>
    <w:rsid w:val="00D53407"/>
    <w:rsid w:val="00D53725"/>
    <w:rsid w:val="00D537C8"/>
    <w:rsid w:val="00D53CDE"/>
    <w:rsid w:val="00D53EE4"/>
    <w:rsid w:val="00D545C7"/>
    <w:rsid w:val="00D5497B"/>
    <w:rsid w:val="00D54AC8"/>
    <w:rsid w:val="00D54E2B"/>
    <w:rsid w:val="00D5558A"/>
    <w:rsid w:val="00D555C0"/>
    <w:rsid w:val="00D555D2"/>
    <w:rsid w:val="00D55EEB"/>
    <w:rsid w:val="00D561DD"/>
    <w:rsid w:val="00D563C6"/>
    <w:rsid w:val="00D5646D"/>
    <w:rsid w:val="00D56CD5"/>
    <w:rsid w:val="00D56E9B"/>
    <w:rsid w:val="00D56F1C"/>
    <w:rsid w:val="00D56F9B"/>
    <w:rsid w:val="00D570F6"/>
    <w:rsid w:val="00D578AE"/>
    <w:rsid w:val="00D57946"/>
    <w:rsid w:val="00D57A96"/>
    <w:rsid w:val="00D57DC1"/>
    <w:rsid w:val="00D60296"/>
    <w:rsid w:val="00D6029D"/>
    <w:rsid w:val="00D606EE"/>
    <w:rsid w:val="00D60799"/>
    <w:rsid w:val="00D60A79"/>
    <w:rsid w:val="00D60F57"/>
    <w:rsid w:val="00D61574"/>
    <w:rsid w:val="00D61691"/>
    <w:rsid w:val="00D61C69"/>
    <w:rsid w:val="00D61D98"/>
    <w:rsid w:val="00D61EAA"/>
    <w:rsid w:val="00D62430"/>
    <w:rsid w:val="00D624D9"/>
    <w:rsid w:val="00D628A8"/>
    <w:rsid w:val="00D62967"/>
    <w:rsid w:val="00D62A64"/>
    <w:rsid w:val="00D62C0E"/>
    <w:rsid w:val="00D63064"/>
    <w:rsid w:val="00D631A8"/>
    <w:rsid w:val="00D63616"/>
    <w:rsid w:val="00D63704"/>
    <w:rsid w:val="00D637E2"/>
    <w:rsid w:val="00D63E78"/>
    <w:rsid w:val="00D64331"/>
    <w:rsid w:val="00D64468"/>
    <w:rsid w:val="00D646DF"/>
    <w:rsid w:val="00D6484C"/>
    <w:rsid w:val="00D6484E"/>
    <w:rsid w:val="00D64885"/>
    <w:rsid w:val="00D648CF"/>
    <w:rsid w:val="00D64989"/>
    <w:rsid w:val="00D64C16"/>
    <w:rsid w:val="00D6508F"/>
    <w:rsid w:val="00D651C7"/>
    <w:rsid w:val="00D6571A"/>
    <w:rsid w:val="00D65D18"/>
    <w:rsid w:val="00D65E27"/>
    <w:rsid w:val="00D65FC1"/>
    <w:rsid w:val="00D66237"/>
    <w:rsid w:val="00D6624F"/>
    <w:rsid w:val="00D663DF"/>
    <w:rsid w:val="00D668B0"/>
    <w:rsid w:val="00D669B6"/>
    <w:rsid w:val="00D66A0D"/>
    <w:rsid w:val="00D66A8D"/>
    <w:rsid w:val="00D66CDE"/>
    <w:rsid w:val="00D67106"/>
    <w:rsid w:val="00D67277"/>
    <w:rsid w:val="00D672AE"/>
    <w:rsid w:val="00D67B0E"/>
    <w:rsid w:val="00D70A39"/>
    <w:rsid w:val="00D70BA1"/>
    <w:rsid w:val="00D70CC8"/>
    <w:rsid w:val="00D719DA"/>
    <w:rsid w:val="00D71E04"/>
    <w:rsid w:val="00D7234A"/>
    <w:rsid w:val="00D72B87"/>
    <w:rsid w:val="00D72C8B"/>
    <w:rsid w:val="00D72D4B"/>
    <w:rsid w:val="00D72E9B"/>
    <w:rsid w:val="00D7312C"/>
    <w:rsid w:val="00D73372"/>
    <w:rsid w:val="00D73558"/>
    <w:rsid w:val="00D737CC"/>
    <w:rsid w:val="00D73C22"/>
    <w:rsid w:val="00D73C26"/>
    <w:rsid w:val="00D73C84"/>
    <w:rsid w:val="00D73CA3"/>
    <w:rsid w:val="00D73DA8"/>
    <w:rsid w:val="00D740A1"/>
    <w:rsid w:val="00D74250"/>
    <w:rsid w:val="00D74572"/>
    <w:rsid w:val="00D7463C"/>
    <w:rsid w:val="00D74643"/>
    <w:rsid w:val="00D74749"/>
    <w:rsid w:val="00D7474F"/>
    <w:rsid w:val="00D7490D"/>
    <w:rsid w:val="00D749EF"/>
    <w:rsid w:val="00D74ABC"/>
    <w:rsid w:val="00D74AE9"/>
    <w:rsid w:val="00D74CD3"/>
    <w:rsid w:val="00D74CF4"/>
    <w:rsid w:val="00D751B9"/>
    <w:rsid w:val="00D754F5"/>
    <w:rsid w:val="00D756CE"/>
    <w:rsid w:val="00D757FA"/>
    <w:rsid w:val="00D75A5D"/>
    <w:rsid w:val="00D75A9C"/>
    <w:rsid w:val="00D75CDB"/>
    <w:rsid w:val="00D761DD"/>
    <w:rsid w:val="00D7670D"/>
    <w:rsid w:val="00D769C4"/>
    <w:rsid w:val="00D76E69"/>
    <w:rsid w:val="00D77044"/>
    <w:rsid w:val="00D77119"/>
    <w:rsid w:val="00D777E3"/>
    <w:rsid w:val="00D77A9D"/>
    <w:rsid w:val="00D77B9C"/>
    <w:rsid w:val="00D77D84"/>
    <w:rsid w:val="00D77E26"/>
    <w:rsid w:val="00D77E6D"/>
    <w:rsid w:val="00D80029"/>
    <w:rsid w:val="00D8026C"/>
    <w:rsid w:val="00D806E1"/>
    <w:rsid w:val="00D8075E"/>
    <w:rsid w:val="00D807A6"/>
    <w:rsid w:val="00D808C0"/>
    <w:rsid w:val="00D80BB2"/>
    <w:rsid w:val="00D810B5"/>
    <w:rsid w:val="00D81117"/>
    <w:rsid w:val="00D8112F"/>
    <w:rsid w:val="00D81481"/>
    <w:rsid w:val="00D81593"/>
    <w:rsid w:val="00D8162D"/>
    <w:rsid w:val="00D816AC"/>
    <w:rsid w:val="00D817CA"/>
    <w:rsid w:val="00D81924"/>
    <w:rsid w:val="00D819F4"/>
    <w:rsid w:val="00D81AC3"/>
    <w:rsid w:val="00D81B1C"/>
    <w:rsid w:val="00D82929"/>
    <w:rsid w:val="00D82D40"/>
    <w:rsid w:val="00D82E5D"/>
    <w:rsid w:val="00D83B27"/>
    <w:rsid w:val="00D83CB6"/>
    <w:rsid w:val="00D83ED7"/>
    <w:rsid w:val="00D841A0"/>
    <w:rsid w:val="00D8422D"/>
    <w:rsid w:val="00D84552"/>
    <w:rsid w:val="00D84673"/>
    <w:rsid w:val="00D84805"/>
    <w:rsid w:val="00D8498B"/>
    <w:rsid w:val="00D84B1E"/>
    <w:rsid w:val="00D84B4F"/>
    <w:rsid w:val="00D850C7"/>
    <w:rsid w:val="00D85204"/>
    <w:rsid w:val="00D852BA"/>
    <w:rsid w:val="00D8554F"/>
    <w:rsid w:val="00D85563"/>
    <w:rsid w:val="00D855B6"/>
    <w:rsid w:val="00D85650"/>
    <w:rsid w:val="00D85671"/>
    <w:rsid w:val="00D856F7"/>
    <w:rsid w:val="00D85702"/>
    <w:rsid w:val="00D858C6"/>
    <w:rsid w:val="00D859C9"/>
    <w:rsid w:val="00D85B4B"/>
    <w:rsid w:val="00D85B78"/>
    <w:rsid w:val="00D85CCB"/>
    <w:rsid w:val="00D86084"/>
    <w:rsid w:val="00D861D1"/>
    <w:rsid w:val="00D865FC"/>
    <w:rsid w:val="00D8661E"/>
    <w:rsid w:val="00D8687A"/>
    <w:rsid w:val="00D868E5"/>
    <w:rsid w:val="00D869CC"/>
    <w:rsid w:val="00D86B5E"/>
    <w:rsid w:val="00D86F28"/>
    <w:rsid w:val="00D86F2A"/>
    <w:rsid w:val="00D86FEA"/>
    <w:rsid w:val="00D87025"/>
    <w:rsid w:val="00D871C7"/>
    <w:rsid w:val="00D871E6"/>
    <w:rsid w:val="00D8721E"/>
    <w:rsid w:val="00D8728F"/>
    <w:rsid w:val="00D87448"/>
    <w:rsid w:val="00D87468"/>
    <w:rsid w:val="00D87561"/>
    <w:rsid w:val="00D875E4"/>
    <w:rsid w:val="00D87FCD"/>
    <w:rsid w:val="00D900DD"/>
    <w:rsid w:val="00D903B0"/>
    <w:rsid w:val="00D909F3"/>
    <w:rsid w:val="00D90B2F"/>
    <w:rsid w:val="00D910C6"/>
    <w:rsid w:val="00D914B1"/>
    <w:rsid w:val="00D914CF"/>
    <w:rsid w:val="00D91616"/>
    <w:rsid w:val="00D91746"/>
    <w:rsid w:val="00D917FE"/>
    <w:rsid w:val="00D918FD"/>
    <w:rsid w:val="00D9194D"/>
    <w:rsid w:val="00D919EA"/>
    <w:rsid w:val="00D91C4D"/>
    <w:rsid w:val="00D91CA2"/>
    <w:rsid w:val="00D91D4C"/>
    <w:rsid w:val="00D91D94"/>
    <w:rsid w:val="00D922CA"/>
    <w:rsid w:val="00D923C5"/>
    <w:rsid w:val="00D924CF"/>
    <w:rsid w:val="00D928C3"/>
    <w:rsid w:val="00D929F4"/>
    <w:rsid w:val="00D92D1E"/>
    <w:rsid w:val="00D92D76"/>
    <w:rsid w:val="00D92E9D"/>
    <w:rsid w:val="00D932B7"/>
    <w:rsid w:val="00D932CB"/>
    <w:rsid w:val="00D93302"/>
    <w:rsid w:val="00D93346"/>
    <w:rsid w:val="00D934A8"/>
    <w:rsid w:val="00D934E8"/>
    <w:rsid w:val="00D93674"/>
    <w:rsid w:val="00D93B08"/>
    <w:rsid w:val="00D93B95"/>
    <w:rsid w:val="00D93DA5"/>
    <w:rsid w:val="00D94240"/>
    <w:rsid w:val="00D9442D"/>
    <w:rsid w:val="00D94601"/>
    <w:rsid w:val="00D94B5D"/>
    <w:rsid w:val="00D94BBE"/>
    <w:rsid w:val="00D94DE8"/>
    <w:rsid w:val="00D94F7C"/>
    <w:rsid w:val="00D95364"/>
    <w:rsid w:val="00D956EA"/>
    <w:rsid w:val="00D958D1"/>
    <w:rsid w:val="00D95C1A"/>
    <w:rsid w:val="00D95EAF"/>
    <w:rsid w:val="00D96213"/>
    <w:rsid w:val="00D964E3"/>
    <w:rsid w:val="00D967BD"/>
    <w:rsid w:val="00D9684B"/>
    <w:rsid w:val="00D96A16"/>
    <w:rsid w:val="00D96B80"/>
    <w:rsid w:val="00D973BB"/>
    <w:rsid w:val="00D9750E"/>
    <w:rsid w:val="00D97636"/>
    <w:rsid w:val="00D97765"/>
    <w:rsid w:val="00D9792A"/>
    <w:rsid w:val="00D9792C"/>
    <w:rsid w:val="00D97A35"/>
    <w:rsid w:val="00D97E16"/>
    <w:rsid w:val="00D97E9F"/>
    <w:rsid w:val="00D97F80"/>
    <w:rsid w:val="00D97FCB"/>
    <w:rsid w:val="00DA01F0"/>
    <w:rsid w:val="00DA04F8"/>
    <w:rsid w:val="00DA05AC"/>
    <w:rsid w:val="00DA062B"/>
    <w:rsid w:val="00DA0A0D"/>
    <w:rsid w:val="00DA0E94"/>
    <w:rsid w:val="00DA147D"/>
    <w:rsid w:val="00DA14E0"/>
    <w:rsid w:val="00DA17CE"/>
    <w:rsid w:val="00DA1A02"/>
    <w:rsid w:val="00DA1B57"/>
    <w:rsid w:val="00DA1D12"/>
    <w:rsid w:val="00DA237B"/>
    <w:rsid w:val="00DA2473"/>
    <w:rsid w:val="00DA2529"/>
    <w:rsid w:val="00DA255A"/>
    <w:rsid w:val="00DA2662"/>
    <w:rsid w:val="00DA279F"/>
    <w:rsid w:val="00DA2B34"/>
    <w:rsid w:val="00DA2E04"/>
    <w:rsid w:val="00DA2E4D"/>
    <w:rsid w:val="00DA2E86"/>
    <w:rsid w:val="00DA3B1C"/>
    <w:rsid w:val="00DA3BB5"/>
    <w:rsid w:val="00DA3CC0"/>
    <w:rsid w:val="00DA4D67"/>
    <w:rsid w:val="00DA4E0C"/>
    <w:rsid w:val="00DA4EFC"/>
    <w:rsid w:val="00DA5088"/>
    <w:rsid w:val="00DA55FD"/>
    <w:rsid w:val="00DA57CB"/>
    <w:rsid w:val="00DA589C"/>
    <w:rsid w:val="00DA5FEF"/>
    <w:rsid w:val="00DA6195"/>
    <w:rsid w:val="00DA620C"/>
    <w:rsid w:val="00DA63C3"/>
    <w:rsid w:val="00DA66A3"/>
    <w:rsid w:val="00DA6B9D"/>
    <w:rsid w:val="00DA6C00"/>
    <w:rsid w:val="00DA739C"/>
    <w:rsid w:val="00DA7463"/>
    <w:rsid w:val="00DA7837"/>
    <w:rsid w:val="00DA786F"/>
    <w:rsid w:val="00DA78C9"/>
    <w:rsid w:val="00DA7C9C"/>
    <w:rsid w:val="00DA7F18"/>
    <w:rsid w:val="00DB0128"/>
    <w:rsid w:val="00DB04A0"/>
    <w:rsid w:val="00DB0A46"/>
    <w:rsid w:val="00DB0ACB"/>
    <w:rsid w:val="00DB0B88"/>
    <w:rsid w:val="00DB0CA1"/>
    <w:rsid w:val="00DB0D61"/>
    <w:rsid w:val="00DB0EF7"/>
    <w:rsid w:val="00DB12AF"/>
    <w:rsid w:val="00DB1499"/>
    <w:rsid w:val="00DB1926"/>
    <w:rsid w:val="00DB1952"/>
    <w:rsid w:val="00DB1A37"/>
    <w:rsid w:val="00DB1A3A"/>
    <w:rsid w:val="00DB1C55"/>
    <w:rsid w:val="00DB1F6B"/>
    <w:rsid w:val="00DB20DB"/>
    <w:rsid w:val="00DB232A"/>
    <w:rsid w:val="00DB2417"/>
    <w:rsid w:val="00DB2539"/>
    <w:rsid w:val="00DB2562"/>
    <w:rsid w:val="00DB2934"/>
    <w:rsid w:val="00DB2B69"/>
    <w:rsid w:val="00DB2C48"/>
    <w:rsid w:val="00DB2CAC"/>
    <w:rsid w:val="00DB31EC"/>
    <w:rsid w:val="00DB32D6"/>
    <w:rsid w:val="00DB34BB"/>
    <w:rsid w:val="00DB397F"/>
    <w:rsid w:val="00DB3AFB"/>
    <w:rsid w:val="00DB3BEE"/>
    <w:rsid w:val="00DB4129"/>
    <w:rsid w:val="00DB43BA"/>
    <w:rsid w:val="00DB4420"/>
    <w:rsid w:val="00DB461B"/>
    <w:rsid w:val="00DB4988"/>
    <w:rsid w:val="00DB4A07"/>
    <w:rsid w:val="00DB4B67"/>
    <w:rsid w:val="00DB4E39"/>
    <w:rsid w:val="00DB5582"/>
    <w:rsid w:val="00DB56A3"/>
    <w:rsid w:val="00DB5A69"/>
    <w:rsid w:val="00DB5C07"/>
    <w:rsid w:val="00DB6105"/>
    <w:rsid w:val="00DB6220"/>
    <w:rsid w:val="00DB6240"/>
    <w:rsid w:val="00DB64CD"/>
    <w:rsid w:val="00DB65B1"/>
    <w:rsid w:val="00DB6C28"/>
    <w:rsid w:val="00DB6F1F"/>
    <w:rsid w:val="00DB721C"/>
    <w:rsid w:val="00DB742C"/>
    <w:rsid w:val="00DB764E"/>
    <w:rsid w:val="00DB76A2"/>
    <w:rsid w:val="00DB7B43"/>
    <w:rsid w:val="00DB7E63"/>
    <w:rsid w:val="00DB7EA8"/>
    <w:rsid w:val="00DB7F4A"/>
    <w:rsid w:val="00DC018B"/>
    <w:rsid w:val="00DC04B7"/>
    <w:rsid w:val="00DC112D"/>
    <w:rsid w:val="00DC12DF"/>
    <w:rsid w:val="00DC144D"/>
    <w:rsid w:val="00DC1AE7"/>
    <w:rsid w:val="00DC20BA"/>
    <w:rsid w:val="00DC262A"/>
    <w:rsid w:val="00DC2639"/>
    <w:rsid w:val="00DC2901"/>
    <w:rsid w:val="00DC2920"/>
    <w:rsid w:val="00DC2B36"/>
    <w:rsid w:val="00DC2ECD"/>
    <w:rsid w:val="00DC2FBC"/>
    <w:rsid w:val="00DC3484"/>
    <w:rsid w:val="00DC34DB"/>
    <w:rsid w:val="00DC3D93"/>
    <w:rsid w:val="00DC4321"/>
    <w:rsid w:val="00DC4688"/>
    <w:rsid w:val="00DC471F"/>
    <w:rsid w:val="00DC4786"/>
    <w:rsid w:val="00DC4884"/>
    <w:rsid w:val="00DC4A08"/>
    <w:rsid w:val="00DC5056"/>
    <w:rsid w:val="00DC51D5"/>
    <w:rsid w:val="00DC5408"/>
    <w:rsid w:val="00DC5565"/>
    <w:rsid w:val="00DC57E1"/>
    <w:rsid w:val="00DC59BF"/>
    <w:rsid w:val="00DC5A38"/>
    <w:rsid w:val="00DC677A"/>
    <w:rsid w:val="00DC6980"/>
    <w:rsid w:val="00DC6CA7"/>
    <w:rsid w:val="00DC71DE"/>
    <w:rsid w:val="00DC7540"/>
    <w:rsid w:val="00DC771B"/>
    <w:rsid w:val="00DC796F"/>
    <w:rsid w:val="00DC7D50"/>
    <w:rsid w:val="00DC7E3E"/>
    <w:rsid w:val="00DC7EC9"/>
    <w:rsid w:val="00DD0189"/>
    <w:rsid w:val="00DD030D"/>
    <w:rsid w:val="00DD03A4"/>
    <w:rsid w:val="00DD03D8"/>
    <w:rsid w:val="00DD040A"/>
    <w:rsid w:val="00DD05CE"/>
    <w:rsid w:val="00DD0628"/>
    <w:rsid w:val="00DD0EA1"/>
    <w:rsid w:val="00DD1169"/>
    <w:rsid w:val="00DD1379"/>
    <w:rsid w:val="00DD13AE"/>
    <w:rsid w:val="00DD15ED"/>
    <w:rsid w:val="00DD1671"/>
    <w:rsid w:val="00DD19AD"/>
    <w:rsid w:val="00DD1A01"/>
    <w:rsid w:val="00DD1C94"/>
    <w:rsid w:val="00DD1E82"/>
    <w:rsid w:val="00DD26E7"/>
    <w:rsid w:val="00DD26FB"/>
    <w:rsid w:val="00DD31BB"/>
    <w:rsid w:val="00DD3218"/>
    <w:rsid w:val="00DD39AE"/>
    <w:rsid w:val="00DD3C9C"/>
    <w:rsid w:val="00DD3E08"/>
    <w:rsid w:val="00DD3F3C"/>
    <w:rsid w:val="00DD4530"/>
    <w:rsid w:val="00DD4612"/>
    <w:rsid w:val="00DD466E"/>
    <w:rsid w:val="00DD4CB9"/>
    <w:rsid w:val="00DD52E7"/>
    <w:rsid w:val="00DD5549"/>
    <w:rsid w:val="00DD56B8"/>
    <w:rsid w:val="00DD57D6"/>
    <w:rsid w:val="00DD5AD1"/>
    <w:rsid w:val="00DD5C07"/>
    <w:rsid w:val="00DD65E5"/>
    <w:rsid w:val="00DD6981"/>
    <w:rsid w:val="00DD711D"/>
    <w:rsid w:val="00DD71A3"/>
    <w:rsid w:val="00DD72A8"/>
    <w:rsid w:val="00DD743E"/>
    <w:rsid w:val="00DD75DD"/>
    <w:rsid w:val="00DD7B42"/>
    <w:rsid w:val="00DD7DAD"/>
    <w:rsid w:val="00DE021D"/>
    <w:rsid w:val="00DE04B6"/>
    <w:rsid w:val="00DE055C"/>
    <w:rsid w:val="00DE0899"/>
    <w:rsid w:val="00DE09F9"/>
    <w:rsid w:val="00DE0A10"/>
    <w:rsid w:val="00DE0A50"/>
    <w:rsid w:val="00DE0CEA"/>
    <w:rsid w:val="00DE0F70"/>
    <w:rsid w:val="00DE10DE"/>
    <w:rsid w:val="00DE10FF"/>
    <w:rsid w:val="00DE1164"/>
    <w:rsid w:val="00DE12E5"/>
    <w:rsid w:val="00DE131E"/>
    <w:rsid w:val="00DE18C8"/>
    <w:rsid w:val="00DE1CA3"/>
    <w:rsid w:val="00DE2022"/>
    <w:rsid w:val="00DE21A9"/>
    <w:rsid w:val="00DE25E2"/>
    <w:rsid w:val="00DE2630"/>
    <w:rsid w:val="00DE266E"/>
    <w:rsid w:val="00DE2703"/>
    <w:rsid w:val="00DE2965"/>
    <w:rsid w:val="00DE2A35"/>
    <w:rsid w:val="00DE2E8C"/>
    <w:rsid w:val="00DE2E8E"/>
    <w:rsid w:val="00DE30E3"/>
    <w:rsid w:val="00DE34B9"/>
    <w:rsid w:val="00DE34FA"/>
    <w:rsid w:val="00DE3573"/>
    <w:rsid w:val="00DE3797"/>
    <w:rsid w:val="00DE3F49"/>
    <w:rsid w:val="00DE4434"/>
    <w:rsid w:val="00DE4537"/>
    <w:rsid w:val="00DE4BD1"/>
    <w:rsid w:val="00DE4D6F"/>
    <w:rsid w:val="00DE4D81"/>
    <w:rsid w:val="00DE4E85"/>
    <w:rsid w:val="00DE5146"/>
    <w:rsid w:val="00DE51CA"/>
    <w:rsid w:val="00DE51E3"/>
    <w:rsid w:val="00DE5236"/>
    <w:rsid w:val="00DE539D"/>
    <w:rsid w:val="00DE54E7"/>
    <w:rsid w:val="00DE5574"/>
    <w:rsid w:val="00DE55AF"/>
    <w:rsid w:val="00DE5675"/>
    <w:rsid w:val="00DE56A1"/>
    <w:rsid w:val="00DE5ECD"/>
    <w:rsid w:val="00DE5F35"/>
    <w:rsid w:val="00DE634F"/>
    <w:rsid w:val="00DE63E3"/>
    <w:rsid w:val="00DE6422"/>
    <w:rsid w:val="00DE6757"/>
    <w:rsid w:val="00DE6A58"/>
    <w:rsid w:val="00DE6C17"/>
    <w:rsid w:val="00DE6C41"/>
    <w:rsid w:val="00DE6CDA"/>
    <w:rsid w:val="00DE6D80"/>
    <w:rsid w:val="00DE6DE3"/>
    <w:rsid w:val="00DE6F91"/>
    <w:rsid w:val="00DE704D"/>
    <w:rsid w:val="00DE70D7"/>
    <w:rsid w:val="00DE7206"/>
    <w:rsid w:val="00DE7592"/>
    <w:rsid w:val="00DE75C3"/>
    <w:rsid w:val="00DF007E"/>
    <w:rsid w:val="00DF021F"/>
    <w:rsid w:val="00DF089D"/>
    <w:rsid w:val="00DF09DF"/>
    <w:rsid w:val="00DF1AE8"/>
    <w:rsid w:val="00DF1FF7"/>
    <w:rsid w:val="00DF207B"/>
    <w:rsid w:val="00DF22EC"/>
    <w:rsid w:val="00DF23AA"/>
    <w:rsid w:val="00DF2B76"/>
    <w:rsid w:val="00DF2EBD"/>
    <w:rsid w:val="00DF2F2B"/>
    <w:rsid w:val="00DF3176"/>
    <w:rsid w:val="00DF32C7"/>
    <w:rsid w:val="00DF37D4"/>
    <w:rsid w:val="00DF3BBE"/>
    <w:rsid w:val="00DF3C63"/>
    <w:rsid w:val="00DF3C99"/>
    <w:rsid w:val="00DF3D73"/>
    <w:rsid w:val="00DF3FAC"/>
    <w:rsid w:val="00DF4313"/>
    <w:rsid w:val="00DF43BF"/>
    <w:rsid w:val="00DF4512"/>
    <w:rsid w:val="00DF495C"/>
    <w:rsid w:val="00DF517A"/>
    <w:rsid w:val="00DF549F"/>
    <w:rsid w:val="00DF5516"/>
    <w:rsid w:val="00DF551E"/>
    <w:rsid w:val="00DF5598"/>
    <w:rsid w:val="00DF57DE"/>
    <w:rsid w:val="00DF5D05"/>
    <w:rsid w:val="00DF5E15"/>
    <w:rsid w:val="00DF6011"/>
    <w:rsid w:val="00DF624A"/>
    <w:rsid w:val="00DF6593"/>
    <w:rsid w:val="00DF668E"/>
    <w:rsid w:val="00DF6B52"/>
    <w:rsid w:val="00DF6F11"/>
    <w:rsid w:val="00DF6F3D"/>
    <w:rsid w:val="00DF72C5"/>
    <w:rsid w:val="00DF741E"/>
    <w:rsid w:val="00DF7534"/>
    <w:rsid w:val="00DF756F"/>
    <w:rsid w:val="00DF75A0"/>
    <w:rsid w:val="00DF797D"/>
    <w:rsid w:val="00DF79C5"/>
    <w:rsid w:val="00DF7A1A"/>
    <w:rsid w:val="00DF7BCF"/>
    <w:rsid w:val="00DF7D4F"/>
    <w:rsid w:val="00DF7FB0"/>
    <w:rsid w:val="00E00229"/>
    <w:rsid w:val="00E00671"/>
    <w:rsid w:val="00E00B7A"/>
    <w:rsid w:val="00E0146B"/>
    <w:rsid w:val="00E017DE"/>
    <w:rsid w:val="00E0187D"/>
    <w:rsid w:val="00E018C0"/>
    <w:rsid w:val="00E02073"/>
    <w:rsid w:val="00E020C1"/>
    <w:rsid w:val="00E02282"/>
    <w:rsid w:val="00E024EA"/>
    <w:rsid w:val="00E02509"/>
    <w:rsid w:val="00E02BB1"/>
    <w:rsid w:val="00E02F51"/>
    <w:rsid w:val="00E032B1"/>
    <w:rsid w:val="00E033A1"/>
    <w:rsid w:val="00E0389F"/>
    <w:rsid w:val="00E03AC1"/>
    <w:rsid w:val="00E03C3F"/>
    <w:rsid w:val="00E03E89"/>
    <w:rsid w:val="00E0434C"/>
    <w:rsid w:val="00E043E5"/>
    <w:rsid w:val="00E0446B"/>
    <w:rsid w:val="00E04CF7"/>
    <w:rsid w:val="00E04E0D"/>
    <w:rsid w:val="00E04FB8"/>
    <w:rsid w:val="00E04FEF"/>
    <w:rsid w:val="00E053E8"/>
    <w:rsid w:val="00E05995"/>
    <w:rsid w:val="00E05BE9"/>
    <w:rsid w:val="00E05C87"/>
    <w:rsid w:val="00E05ECB"/>
    <w:rsid w:val="00E06053"/>
    <w:rsid w:val="00E0613B"/>
    <w:rsid w:val="00E06255"/>
    <w:rsid w:val="00E0630D"/>
    <w:rsid w:val="00E06376"/>
    <w:rsid w:val="00E069AC"/>
    <w:rsid w:val="00E06F14"/>
    <w:rsid w:val="00E0723D"/>
    <w:rsid w:val="00E073E8"/>
    <w:rsid w:val="00E10022"/>
    <w:rsid w:val="00E10063"/>
    <w:rsid w:val="00E1051C"/>
    <w:rsid w:val="00E1051E"/>
    <w:rsid w:val="00E1084F"/>
    <w:rsid w:val="00E10CA3"/>
    <w:rsid w:val="00E10F19"/>
    <w:rsid w:val="00E114F2"/>
    <w:rsid w:val="00E119ED"/>
    <w:rsid w:val="00E11CE0"/>
    <w:rsid w:val="00E11D8E"/>
    <w:rsid w:val="00E11ED4"/>
    <w:rsid w:val="00E11F48"/>
    <w:rsid w:val="00E11F88"/>
    <w:rsid w:val="00E12296"/>
    <w:rsid w:val="00E122BA"/>
    <w:rsid w:val="00E12D2C"/>
    <w:rsid w:val="00E12E14"/>
    <w:rsid w:val="00E13044"/>
    <w:rsid w:val="00E13059"/>
    <w:rsid w:val="00E13066"/>
    <w:rsid w:val="00E134DE"/>
    <w:rsid w:val="00E13572"/>
    <w:rsid w:val="00E13BA7"/>
    <w:rsid w:val="00E13BF7"/>
    <w:rsid w:val="00E13E72"/>
    <w:rsid w:val="00E13F84"/>
    <w:rsid w:val="00E140A7"/>
    <w:rsid w:val="00E1453D"/>
    <w:rsid w:val="00E14925"/>
    <w:rsid w:val="00E15064"/>
    <w:rsid w:val="00E15418"/>
    <w:rsid w:val="00E154E1"/>
    <w:rsid w:val="00E155DD"/>
    <w:rsid w:val="00E15833"/>
    <w:rsid w:val="00E15942"/>
    <w:rsid w:val="00E16104"/>
    <w:rsid w:val="00E166A4"/>
    <w:rsid w:val="00E166DB"/>
    <w:rsid w:val="00E1699C"/>
    <w:rsid w:val="00E16A9C"/>
    <w:rsid w:val="00E16DA0"/>
    <w:rsid w:val="00E16E60"/>
    <w:rsid w:val="00E1730E"/>
    <w:rsid w:val="00E17B54"/>
    <w:rsid w:val="00E17C41"/>
    <w:rsid w:val="00E17DF8"/>
    <w:rsid w:val="00E17FE6"/>
    <w:rsid w:val="00E200C8"/>
    <w:rsid w:val="00E201D5"/>
    <w:rsid w:val="00E20217"/>
    <w:rsid w:val="00E203FE"/>
    <w:rsid w:val="00E20610"/>
    <w:rsid w:val="00E209E5"/>
    <w:rsid w:val="00E20A22"/>
    <w:rsid w:val="00E20A79"/>
    <w:rsid w:val="00E20EC0"/>
    <w:rsid w:val="00E20F58"/>
    <w:rsid w:val="00E21639"/>
    <w:rsid w:val="00E21809"/>
    <w:rsid w:val="00E21B10"/>
    <w:rsid w:val="00E220F3"/>
    <w:rsid w:val="00E2234E"/>
    <w:rsid w:val="00E22789"/>
    <w:rsid w:val="00E22C79"/>
    <w:rsid w:val="00E23000"/>
    <w:rsid w:val="00E232E4"/>
    <w:rsid w:val="00E2359A"/>
    <w:rsid w:val="00E23A52"/>
    <w:rsid w:val="00E24048"/>
    <w:rsid w:val="00E24196"/>
    <w:rsid w:val="00E24810"/>
    <w:rsid w:val="00E24E19"/>
    <w:rsid w:val="00E24EE1"/>
    <w:rsid w:val="00E24EF5"/>
    <w:rsid w:val="00E252EA"/>
    <w:rsid w:val="00E25401"/>
    <w:rsid w:val="00E25614"/>
    <w:rsid w:val="00E25696"/>
    <w:rsid w:val="00E25952"/>
    <w:rsid w:val="00E260A3"/>
    <w:rsid w:val="00E2616A"/>
    <w:rsid w:val="00E2626B"/>
    <w:rsid w:val="00E2673F"/>
    <w:rsid w:val="00E2698A"/>
    <w:rsid w:val="00E269EC"/>
    <w:rsid w:val="00E26AF1"/>
    <w:rsid w:val="00E26B20"/>
    <w:rsid w:val="00E273F9"/>
    <w:rsid w:val="00E2759C"/>
    <w:rsid w:val="00E27C6C"/>
    <w:rsid w:val="00E27F78"/>
    <w:rsid w:val="00E3037C"/>
    <w:rsid w:val="00E30481"/>
    <w:rsid w:val="00E30BF1"/>
    <w:rsid w:val="00E30C36"/>
    <w:rsid w:val="00E30E8C"/>
    <w:rsid w:val="00E310A5"/>
    <w:rsid w:val="00E3178A"/>
    <w:rsid w:val="00E31CDA"/>
    <w:rsid w:val="00E32173"/>
    <w:rsid w:val="00E32373"/>
    <w:rsid w:val="00E3276A"/>
    <w:rsid w:val="00E32A6A"/>
    <w:rsid w:val="00E32B2F"/>
    <w:rsid w:val="00E32E4B"/>
    <w:rsid w:val="00E32F00"/>
    <w:rsid w:val="00E330AF"/>
    <w:rsid w:val="00E3346B"/>
    <w:rsid w:val="00E34036"/>
    <w:rsid w:val="00E3433E"/>
    <w:rsid w:val="00E344BD"/>
    <w:rsid w:val="00E346E2"/>
    <w:rsid w:val="00E3527E"/>
    <w:rsid w:val="00E3576E"/>
    <w:rsid w:val="00E358A6"/>
    <w:rsid w:val="00E358FF"/>
    <w:rsid w:val="00E35AF7"/>
    <w:rsid w:val="00E35B44"/>
    <w:rsid w:val="00E36404"/>
    <w:rsid w:val="00E36EA1"/>
    <w:rsid w:val="00E36F0E"/>
    <w:rsid w:val="00E37127"/>
    <w:rsid w:val="00E37242"/>
    <w:rsid w:val="00E3729F"/>
    <w:rsid w:val="00E373C7"/>
    <w:rsid w:val="00E3766C"/>
    <w:rsid w:val="00E3776B"/>
    <w:rsid w:val="00E3788C"/>
    <w:rsid w:val="00E379E3"/>
    <w:rsid w:val="00E37A9C"/>
    <w:rsid w:val="00E37CD0"/>
    <w:rsid w:val="00E407C7"/>
    <w:rsid w:val="00E40856"/>
    <w:rsid w:val="00E409D0"/>
    <w:rsid w:val="00E40E70"/>
    <w:rsid w:val="00E40E91"/>
    <w:rsid w:val="00E41295"/>
    <w:rsid w:val="00E412EA"/>
    <w:rsid w:val="00E41383"/>
    <w:rsid w:val="00E413F0"/>
    <w:rsid w:val="00E4162E"/>
    <w:rsid w:val="00E418E7"/>
    <w:rsid w:val="00E41DBC"/>
    <w:rsid w:val="00E41DFA"/>
    <w:rsid w:val="00E41F85"/>
    <w:rsid w:val="00E4211C"/>
    <w:rsid w:val="00E423A6"/>
    <w:rsid w:val="00E424A5"/>
    <w:rsid w:val="00E42868"/>
    <w:rsid w:val="00E4295C"/>
    <w:rsid w:val="00E42F29"/>
    <w:rsid w:val="00E433D3"/>
    <w:rsid w:val="00E434BB"/>
    <w:rsid w:val="00E434FD"/>
    <w:rsid w:val="00E43599"/>
    <w:rsid w:val="00E438B4"/>
    <w:rsid w:val="00E43EA1"/>
    <w:rsid w:val="00E44293"/>
    <w:rsid w:val="00E442C3"/>
    <w:rsid w:val="00E44640"/>
    <w:rsid w:val="00E4464A"/>
    <w:rsid w:val="00E4468A"/>
    <w:rsid w:val="00E446D0"/>
    <w:rsid w:val="00E452DD"/>
    <w:rsid w:val="00E4542A"/>
    <w:rsid w:val="00E45C97"/>
    <w:rsid w:val="00E45DE9"/>
    <w:rsid w:val="00E45F86"/>
    <w:rsid w:val="00E465AC"/>
    <w:rsid w:val="00E46A73"/>
    <w:rsid w:val="00E46CB6"/>
    <w:rsid w:val="00E46CB9"/>
    <w:rsid w:val="00E46D2F"/>
    <w:rsid w:val="00E472D1"/>
    <w:rsid w:val="00E472E9"/>
    <w:rsid w:val="00E47792"/>
    <w:rsid w:val="00E47B26"/>
    <w:rsid w:val="00E47BE6"/>
    <w:rsid w:val="00E5006C"/>
    <w:rsid w:val="00E50246"/>
    <w:rsid w:val="00E50277"/>
    <w:rsid w:val="00E50489"/>
    <w:rsid w:val="00E504D0"/>
    <w:rsid w:val="00E505F4"/>
    <w:rsid w:val="00E506F1"/>
    <w:rsid w:val="00E50F19"/>
    <w:rsid w:val="00E51310"/>
    <w:rsid w:val="00E51479"/>
    <w:rsid w:val="00E51608"/>
    <w:rsid w:val="00E5161A"/>
    <w:rsid w:val="00E51693"/>
    <w:rsid w:val="00E51722"/>
    <w:rsid w:val="00E51746"/>
    <w:rsid w:val="00E521FE"/>
    <w:rsid w:val="00E5266E"/>
    <w:rsid w:val="00E52C81"/>
    <w:rsid w:val="00E52FD1"/>
    <w:rsid w:val="00E530A7"/>
    <w:rsid w:val="00E537B1"/>
    <w:rsid w:val="00E53A16"/>
    <w:rsid w:val="00E544E2"/>
    <w:rsid w:val="00E548A3"/>
    <w:rsid w:val="00E549E7"/>
    <w:rsid w:val="00E54DF0"/>
    <w:rsid w:val="00E54EEC"/>
    <w:rsid w:val="00E554D5"/>
    <w:rsid w:val="00E556FF"/>
    <w:rsid w:val="00E55C25"/>
    <w:rsid w:val="00E55DA3"/>
    <w:rsid w:val="00E55E94"/>
    <w:rsid w:val="00E56307"/>
    <w:rsid w:val="00E565EC"/>
    <w:rsid w:val="00E56B02"/>
    <w:rsid w:val="00E56C88"/>
    <w:rsid w:val="00E56DF3"/>
    <w:rsid w:val="00E56F40"/>
    <w:rsid w:val="00E56F79"/>
    <w:rsid w:val="00E57301"/>
    <w:rsid w:val="00E574A5"/>
    <w:rsid w:val="00E574CD"/>
    <w:rsid w:val="00E57551"/>
    <w:rsid w:val="00E575DB"/>
    <w:rsid w:val="00E57986"/>
    <w:rsid w:val="00E57A36"/>
    <w:rsid w:val="00E57BC7"/>
    <w:rsid w:val="00E6021C"/>
    <w:rsid w:val="00E607D3"/>
    <w:rsid w:val="00E6094A"/>
    <w:rsid w:val="00E60A4E"/>
    <w:rsid w:val="00E60E05"/>
    <w:rsid w:val="00E611EA"/>
    <w:rsid w:val="00E61480"/>
    <w:rsid w:val="00E614E6"/>
    <w:rsid w:val="00E61664"/>
    <w:rsid w:val="00E617CB"/>
    <w:rsid w:val="00E61807"/>
    <w:rsid w:val="00E61A59"/>
    <w:rsid w:val="00E61F64"/>
    <w:rsid w:val="00E62002"/>
    <w:rsid w:val="00E62572"/>
    <w:rsid w:val="00E6262F"/>
    <w:rsid w:val="00E626A6"/>
    <w:rsid w:val="00E62C09"/>
    <w:rsid w:val="00E62C42"/>
    <w:rsid w:val="00E6344C"/>
    <w:rsid w:val="00E63508"/>
    <w:rsid w:val="00E635CE"/>
    <w:rsid w:val="00E6390E"/>
    <w:rsid w:val="00E6396F"/>
    <w:rsid w:val="00E63AD9"/>
    <w:rsid w:val="00E63BD5"/>
    <w:rsid w:val="00E63CD8"/>
    <w:rsid w:val="00E63D81"/>
    <w:rsid w:val="00E64345"/>
    <w:rsid w:val="00E6434D"/>
    <w:rsid w:val="00E64536"/>
    <w:rsid w:val="00E64539"/>
    <w:rsid w:val="00E64565"/>
    <w:rsid w:val="00E6476E"/>
    <w:rsid w:val="00E64A9E"/>
    <w:rsid w:val="00E64D89"/>
    <w:rsid w:val="00E650FE"/>
    <w:rsid w:val="00E659FD"/>
    <w:rsid w:val="00E65C03"/>
    <w:rsid w:val="00E65C46"/>
    <w:rsid w:val="00E65CDD"/>
    <w:rsid w:val="00E65E1F"/>
    <w:rsid w:val="00E65F62"/>
    <w:rsid w:val="00E65FA9"/>
    <w:rsid w:val="00E664E4"/>
    <w:rsid w:val="00E66638"/>
    <w:rsid w:val="00E6666F"/>
    <w:rsid w:val="00E6668C"/>
    <w:rsid w:val="00E66843"/>
    <w:rsid w:val="00E668FC"/>
    <w:rsid w:val="00E66D3F"/>
    <w:rsid w:val="00E66F47"/>
    <w:rsid w:val="00E66FA0"/>
    <w:rsid w:val="00E66FBF"/>
    <w:rsid w:val="00E675B1"/>
    <w:rsid w:val="00E675E6"/>
    <w:rsid w:val="00E6767A"/>
    <w:rsid w:val="00E6767E"/>
    <w:rsid w:val="00E679A3"/>
    <w:rsid w:val="00E679F4"/>
    <w:rsid w:val="00E67AAC"/>
    <w:rsid w:val="00E67B43"/>
    <w:rsid w:val="00E67B8B"/>
    <w:rsid w:val="00E67E0E"/>
    <w:rsid w:val="00E67E72"/>
    <w:rsid w:val="00E70039"/>
    <w:rsid w:val="00E700EC"/>
    <w:rsid w:val="00E703EA"/>
    <w:rsid w:val="00E70407"/>
    <w:rsid w:val="00E70436"/>
    <w:rsid w:val="00E70603"/>
    <w:rsid w:val="00E70863"/>
    <w:rsid w:val="00E70B05"/>
    <w:rsid w:val="00E70DBE"/>
    <w:rsid w:val="00E7128C"/>
    <w:rsid w:val="00E7140A"/>
    <w:rsid w:val="00E715A2"/>
    <w:rsid w:val="00E719DA"/>
    <w:rsid w:val="00E71A23"/>
    <w:rsid w:val="00E71CAF"/>
    <w:rsid w:val="00E71CCE"/>
    <w:rsid w:val="00E72057"/>
    <w:rsid w:val="00E7219E"/>
    <w:rsid w:val="00E723EA"/>
    <w:rsid w:val="00E72409"/>
    <w:rsid w:val="00E72B4A"/>
    <w:rsid w:val="00E72C4E"/>
    <w:rsid w:val="00E72C58"/>
    <w:rsid w:val="00E72D79"/>
    <w:rsid w:val="00E72E40"/>
    <w:rsid w:val="00E736A5"/>
    <w:rsid w:val="00E73776"/>
    <w:rsid w:val="00E73E88"/>
    <w:rsid w:val="00E742CA"/>
    <w:rsid w:val="00E74318"/>
    <w:rsid w:val="00E7433A"/>
    <w:rsid w:val="00E743E8"/>
    <w:rsid w:val="00E7449E"/>
    <w:rsid w:val="00E74800"/>
    <w:rsid w:val="00E74851"/>
    <w:rsid w:val="00E74C7D"/>
    <w:rsid w:val="00E74E0F"/>
    <w:rsid w:val="00E7516C"/>
    <w:rsid w:val="00E75218"/>
    <w:rsid w:val="00E75463"/>
    <w:rsid w:val="00E75A0D"/>
    <w:rsid w:val="00E75EF9"/>
    <w:rsid w:val="00E763DD"/>
    <w:rsid w:val="00E764C0"/>
    <w:rsid w:val="00E765CD"/>
    <w:rsid w:val="00E7666D"/>
    <w:rsid w:val="00E76BCD"/>
    <w:rsid w:val="00E76C88"/>
    <w:rsid w:val="00E76CE6"/>
    <w:rsid w:val="00E76FDC"/>
    <w:rsid w:val="00E771F1"/>
    <w:rsid w:val="00E772C1"/>
    <w:rsid w:val="00E7735C"/>
    <w:rsid w:val="00E7794B"/>
    <w:rsid w:val="00E77AC1"/>
    <w:rsid w:val="00E77E60"/>
    <w:rsid w:val="00E77E9A"/>
    <w:rsid w:val="00E77F5E"/>
    <w:rsid w:val="00E80098"/>
    <w:rsid w:val="00E800CA"/>
    <w:rsid w:val="00E8028B"/>
    <w:rsid w:val="00E804F0"/>
    <w:rsid w:val="00E8079D"/>
    <w:rsid w:val="00E808F2"/>
    <w:rsid w:val="00E809C6"/>
    <w:rsid w:val="00E80B35"/>
    <w:rsid w:val="00E80DD6"/>
    <w:rsid w:val="00E80DF9"/>
    <w:rsid w:val="00E80FBF"/>
    <w:rsid w:val="00E8139B"/>
    <w:rsid w:val="00E81645"/>
    <w:rsid w:val="00E8169D"/>
    <w:rsid w:val="00E8193F"/>
    <w:rsid w:val="00E81C50"/>
    <w:rsid w:val="00E81DCA"/>
    <w:rsid w:val="00E82040"/>
    <w:rsid w:val="00E82766"/>
    <w:rsid w:val="00E82787"/>
    <w:rsid w:val="00E82AC0"/>
    <w:rsid w:val="00E82BB3"/>
    <w:rsid w:val="00E83023"/>
    <w:rsid w:val="00E830F3"/>
    <w:rsid w:val="00E83444"/>
    <w:rsid w:val="00E837EE"/>
    <w:rsid w:val="00E83A45"/>
    <w:rsid w:val="00E83C77"/>
    <w:rsid w:val="00E83D9B"/>
    <w:rsid w:val="00E83FDE"/>
    <w:rsid w:val="00E84277"/>
    <w:rsid w:val="00E846A8"/>
    <w:rsid w:val="00E84782"/>
    <w:rsid w:val="00E84967"/>
    <w:rsid w:val="00E84A7D"/>
    <w:rsid w:val="00E84BBE"/>
    <w:rsid w:val="00E84DBC"/>
    <w:rsid w:val="00E84E80"/>
    <w:rsid w:val="00E8534C"/>
    <w:rsid w:val="00E85434"/>
    <w:rsid w:val="00E85557"/>
    <w:rsid w:val="00E8561E"/>
    <w:rsid w:val="00E85677"/>
    <w:rsid w:val="00E8574A"/>
    <w:rsid w:val="00E858A1"/>
    <w:rsid w:val="00E85D18"/>
    <w:rsid w:val="00E863A6"/>
    <w:rsid w:val="00E8645A"/>
    <w:rsid w:val="00E86494"/>
    <w:rsid w:val="00E8660F"/>
    <w:rsid w:val="00E86F37"/>
    <w:rsid w:val="00E86F80"/>
    <w:rsid w:val="00E872CE"/>
    <w:rsid w:val="00E879E8"/>
    <w:rsid w:val="00E87C65"/>
    <w:rsid w:val="00E87C93"/>
    <w:rsid w:val="00E87F43"/>
    <w:rsid w:val="00E87F77"/>
    <w:rsid w:val="00E90195"/>
    <w:rsid w:val="00E9051F"/>
    <w:rsid w:val="00E905E0"/>
    <w:rsid w:val="00E90DC0"/>
    <w:rsid w:val="00E911C8"/>
    <w:rsid w:val="00E9171E"/>
    <w:rsid w:val="00E9177D"/>
    <w:rsid w:val="00E918ED"/>
    <w:rsid w:val="00E91A08"/>
    <w:rsid w:val="00E91D06"/>
    <w:rsid w:val="00E91E1F"/>
    <w:rsid w:val="00E92720"/>
    <w:rsid w:val="00E92931"/>
    <w:rsid w:val="00E92AC1"/>
    <w:rsid w:val="00E92B27"/>
    <w:rsid w:val="00E92CD0"/>
    <w:rsid w:val="00E92EB6"/>
    <w:rsid w:val="00E92FAF"/>
    <w:rsid w:val="00E9319D"/>
    <w:rsid w:val="00E932F6"/>
    <w:rsid w:val="00E93736"/>
    <w:rsid w:val="00E93AF7"/>
    <w:rsid w:val="00E93CD9"/>
    <w:rsid w:val="00E93DB9"/>
    <w:rsid w:val="00E93E5B"/>
    <w:rsid w:val="00E93EB5"/>
    <w:rsid w:val="00E9409C"/>
    <w:rsid w:val="00E941C7"/>
    <w:rsid w:val="00E94462"/>
    <w:rsid w:val="00E9447E"/>
    <w:rsid w:val="00E94546"/>
    <w:rsid w:val="00E94570"/>
    <w:rsid w:val="00E94599"/>
    <w:rsid w:val="00E947CC"/>
    <w:rsid w:val="00E94936"/>
    <w:rsid w:val="00E94B6C"/>
    <w:rsid w:val="00E94BA5"/>
    <w:rsid w:val="00E94D00"/>
    <w:rsid w:val="00E95034"/>
    <w:rsid w:val="00E95273"/>
    <w:rsid w:val="00E954F0"/>
    <w:rsid w:val="00E95987"/>
    <w:rsid w:val="00E95A52"/>
    <w:rsid w:val="00E95E9B"/>
    <w:rsid w:val="00E9614A"/>
    <w:rsid w:val="00E96466"/>
    <w:rsid w:val="00E96665"/>
    <w:rsid w:val="00E966BA"/>
    <w:rsid w:val="00E96895"/>
    <w:rsid w:val="00E96A72"/>
    <w:rsid w:val="00E96ADC"/>
    <w:rsid w:val="00E96EA8"/>
    <w:rsid w:val="00E970DE"/>
    <w:rsid w:val="00E978C7"/>
    <w:rsid w:val="00EA0649"/>
    <w:rsid w:val="00EA0DDE"/>
    <w:rsid w:val="00EA1737"/>
    <w:rsid w:val="00EA182A"/>
    <w:rsid w:val="00EA195A"/>
    <w:rsid w:val="00EA1B4A"/>
    <w:rsid w:val="00EA2546"/>
    <w:rsid w:val="00EA2A25"/>
    <w:rsid w:val="00EA2AB0"/>
    <w:rsid w:val="00EA2E55"/>
    <w:rsid w:val="00EA2E6F"/>
    <w:rsid w:val="00EA2FCB"/>
    <w:rsid w:val="00EA33A4"/>
    <w:rsid w:val="00EA3821"/>
    <w:rsid w:val="00EA38BA"/>
    <w:rsid w:val="00EA38F0"/>
    <w:rsid w:val="00EA3A3F"/>
    <w:rsid w:val="00EA3AB4"/>
    <w:rsid w:val="00EA3CBC"/>
    <w:rsid w:val="00EA3D74"/>
    <w:rsid w:val="00EA3E6A"/>
    <w:rsid w:val="00EA3E70"/>
    <w:rsid w:val="00EA40E1"/>
    <w:rsid w:val="00EA4140"/>
    <w:rsid w:val="00EA4305"/>
    <w:rsid w:val="00EA43CE"/>
    <w:rsid w:val="00EA4A39"/>
    <w:rsid w:val="00EA4A3D"/>
    <w:rsid w:val="00EA4C75"/>
    <w:rsid w:val="00EA4DEF"/>
    <w:rsid w:val="00EA52B2"/>
    <w:rsid w:val="00EA5363"/>
    <w:rsid w:val="00EA56A7"/>
    <w:rsid w:val="00EA5719"/>
    <w:rsid w:val="00EA57FD"/>
    <w:rsid w:val="00EA589F"/>
    <w:rsid w:val="00EA59D6"/>
    <w:rsid w:val="00EA5C0A"/>
    <w:rsid w:val="00EA5D7F"/>
    <w:rsid w:val="00EA5E6C"/>
    <w:rsid w:val="00EA627D"/>
    <w:rsid w:val="00EA64D1"/>
    <w:rsid w:val="00EA655B"/>
    <w:rsid w:val="00EA66F0"/>
    <w:rsid w:val="00EA69EF"/>
    <w:rsid w:val="00EA6E17"/>
    <w:rsid w:val="00EA76BA"/>
    <w:rsid w:val="00EA7C0E"/>
    <w:rsid w:val="00EA7CA1"/>
    <w:rsid w:val="00EA7E6A"/>
    <w:rsid w:val="00EB008F"/>
    <w:rsid w:val="00EB00F8"/>
    <w:rsid w:val="00EB039B"/>
    <w:rsid w:val="00EB0513"/>
    <w:rsid w:val="00EB06E4"/>
    <w:rsid w:val="00EB0834"/>
    <w:rsid w:val="00EB0AFB"/>
    <w:rsid w:val="00EB0B19"/>
    <w:rsid w:val="00EB0B50"/>
    <w:rsid w:val="00EB0C5E"/>
    <w:rsid w:val="00EB0ED8"/>
    <w:rsid w:val="00EB0F4F"/>
    <w:rsid w:val="00EB1036"/>
    <w:rsid w:val="00EB10AB"/>
    <w:rsid w:val="00EB1105"/>
    <w:rsid w:val="00EB142C"/>
    <w:rsid w:val="00EB191C"/>
    <w:rsid w:val="00EB193E"/>
    <w:rsid w:val="00EB1A7F"/>
    <w:rsid w:val="00EB1A89"/>
    <w:rsid w:val="00EB1B98"/>
    <w:rsid w:val="00EB1D4F"/>
    <w:rsid w:val="00EB20FE"/>
    <w:rsid w:val="00EB2177"/>
    <w:rsid w:val="00EB223A"/>
    <w:rsid w:val="00EB237E"/>
    <w:rsid w:val="00EB2393"/>
    <w:rsid w:val="00EB26B0"/>
    <w:rsid w:val="00EB2D09"/>
    <w:rsid w:val="00EB2DCA"/>
    <w:rsid w:val="00EB2DFF"/>
    <w:rsid w:val="00EB332A"/>
    <w:rsid w:val="00EB3B76"/>
    <w:rsid w:val="00EB3BA8"/>
    <w:rsid w:val="00EB3C31"/>
    <w:rsid w:val="00EB43B6"/>
    <w:rsid w:val="00EB45ED"/>
    <w:rsid w:val="00EB4D90"/>
    <w:rsid w:val="00EB5003"/>
    <w:rsid w:val="00EB50A5"/>
    <w:rsid w:val="00EB5329"/>
    <w:rsid w:val="00EB56F0"/>
    <w:rsid w:val="00EB57BF"/>
    <w:rsid w:val="00EB595C"/>
    <w:rsid w:val="00EB5BB3"/>
    <w:rsid w:val="00EB5C36"/>
    <w:rsid w:val="00EB5EFE"/>
    <w:rsid w:val="00EB5F93"/>
    <w:rsid w:val="00EB6052"/>
    <w:rsid w:val="00EB618A"/>
    <w:rsid w:val="00EB65A1"/>
    <w:rsid w:val="00EB662C"/>
    <w:rsid w:val="00EB6759"/>
    <w:rsid w:val="00EB6789"/>
    <w:rsid w:val="00EB6C9A"/>
    <w:rsid w:val="00EB6E78"/>
    <w:rsid w:val="00EB7206"/>
    <w:rsid w:val="00EB7357"/>
    <w:rsid w:val="00EB735D"/>
    <w:rsid w:val="00EB74A9"/>
    <w:rsid w:val="00EB778B"/>
    <w:rsid w:val="00EB79B3"/>
    <w:rsid w:val="00EB7AB1"/>
    <w:rsid w:val="00EB7C7D"/>
    <w:rsid w:val="00EB7F7B"/>
    <w:rsid w:val="00EB7FB2"/>
    <w:rsid w:val="00EC038C"/>
    <w:rsid w:val="00EC059B"/>
    <w:rsid w:val="00EC06DB"/>
    <w:rsid w:val="00EC0709"/>
    <w:rsid w:val="00EC0AD8"/>
    <w:rsid w:val="00EC0B7D"/>
    <w:rsid w:val="00EC0C3C"/>
    <w:rsid w:val="00EC0D87"/>
    <w:rsid w:val="00EC0FFA"/>
    <w:rsid w:val="00EC10AB"/>
    <w:rsid w:val="00EC141D"/>
    <w:rsid w:val="00EC18C6"/>
    <w:rsid w:val="00EC1B7A"/>
    <w:rsid w:val="00EC1FBD"/>
    <w:rsid w:val="00EC2118"/>
    <w:rsid w:val="00EC2B61"/>
    <w:rsid w:val="00EC2CB5"/>
    <w:rsid w:val="00EC2D82"/>
    <w:rsid w:val="00EC320D"/>
    <w:rsid w:val="00EC341E"/>
    <w:rsid w:val="00EC39F0"/>
    <w:rsid w:val="00EC3ADF"/>
    <w:rsid w:val="00EC3CEB"/>
    <w:rsid w:val="00EC3EC3"/>
    <w:rsid w:val="00EC3F91"/>
    <w:rsid w:val="00EC408B"/>
    <w:rsid w:val="00EC4158"/>
    <w:rsid w:val="00EC43AF"/>
    <w:rsid w:val="00EC4BD6"/>
    <w:rsid w:val="00EC4F08"/>
    <w:rsid w:val="00EC503B"/>
    <w:rsid w:val="00EC5107"/>
    <w:rsid w:val="00EC510A"/>
    <w:rsid w:val="00EC56A3"/>
    <w:rsid w:val="00EC58FD"/>
    <w:rsid w:val="00EC6078"/>
    <w:rsid w:val="00EC655F"/>
    <w:rsid w:val="00EC684E"/>
    <w:rsid w:val="00EC6C53"/>
    <w:rsid w:val="00EC6DF6"/>
    <w:rsid w:val="00EC6E8E"/>
    <w:rsid w:val="00EC6EDD"/>
    <w:rsid w:val="00EC6F24"/>
    <w:rsid w:val="00EC6F97"/>
    <w:rsid w:val="00EC716C"/>
    <w:rsid w:val="00EC72F0"/>
    <w:rsid w:val="00EC77A2"/>
    <w:rsid w:val="00EC7AE9"/>
    <w:rsid w:val="00EC7C22"/>
    <w:rsid w:val="00EC7C24"/>
    <w:rsid w:val="00EC7C5F"/>
    <w:rsid w:val="00EC7C9E"/>
    <w:rsid w:val="00EC7CDC"/>
    <w:rsid w:val="00EC7EA4"/>
    <w:rsid w:val="00EC7F9B"/>
    <w:rsid w:val="00EC7FCC"/>
    <w:rsid w:val="00ED0413"/>
    <w:rsid w:val="00ED079C"/>
    <w:rsid w:val="00ED0B27"/>
    <w:rsid w:val="00ED0E4F"/>
    <w:rsid w:val="00ED0E6E"/>
    <w:rsid w:val="00ED0F46"/>
    <w:rsid w:val="00ED1215"/>
    <w:rsid w:val="00ED1495"/>
    <w:rsid w:val="00ED1790"/>
    <w:rsid w:val="00ED1E35"/>
    <w:rsid w:val="00ED202B"/>
    <w:rsid w:val="00ED2277"/>
    <w:rsid w:val="00ED24B6"/>
    <w:rsid w:val="00ED262C"/>
    <w:rsid w:val="00ED2B51"/>
    <w:rsid w:val="00ED2EAE"/>
    <w:rsid w:val="00ED2FEB"/>
    <w:rsid w:val="00ED305E"/>
    <w:rsid w:val="00ED3079"/>
    <w:rsid w:val="00ED3215"/>
    <w:rsid w:val="00ED349B"/>
    <w:rsid w:val="00ED3552"/>
    <w:rsid w:val="00ED3A10"/>
    <w:rsid w:val="00ED3F35"/>
    <w:rsid w:val="00ED4331"/>
    <w:rsid w:val="00ED43AB"/>
    <w:rsid w:val="00ED471D"/>
    <w:rsid w:val="00ED4E3C"/>
    <w:rsid w:val="00ED50F3"/>
    <w:rsid w:val="00ED557E"/>
    <w:rsid w:val="00ED5AFB"/>
    <w:rsid w:val="00ED5C8B"/>
    <w:rsid w:val="00ED5E80"/>
    <w:rsid w:val="00ED6208"/>
    <w:rsid w:val="00ED623F"/>
    <w:rsid w:val="00ED624A"/>
    <w:rsid w:val="00ED63C0"/>
    <w:rsid w:val="00ED6454"/>
    <w:rsid w:val="00ED6AD5"/>
    <w:rsid w:val="00ED6BA9"/>
    <w:rsid w:val="00ED6DD0"/>
    <w:rsid w:val="00ED6ED2"/>
    <w:rsid w:val="00ED6EF2"/>
    <w:rsid w:val="00ED7290"/>
    <w:rsid w:val="00ED736D"/>
    <w:rsid w:val="00ED7896"/>
    <w:rsid w:val="00ED7AFD"/>
    <w:rsid w:val="00ED7CBA"/>
    <w:rsid w:val="00EE0564"/>
    <w:rsid w:val="00EE0A2D"/>
    <w:rsid w:val="00EE0C16"/>
    <w:rsid w:val="00EE1034"/>
    <w:rsid w:val="00EE1649"/>
    <w:rsid w:val="00EE17EA"/>
    <w:rsid w:val="00EE1866"/>
    <w:rsid w:val="00EE1A4D"/>
    <w:rsid w:val="00EE1B04"/>
    <w:rsid w:val="00EE1EAA"/>
    <w:rsid w:val="00EE2043"/>
    <w:rsid w:val="00EE210B"/>
    <w:rsid w:val="00EE22E3"/>
    <w:rsid w:val="00EE23CB"/>
    <w:rsid w:val="00EE255A"/>
    <w:rsid w:val="00EE2814"/>
    <w:rsid w:val="00EE2824"/>
    <w:rsid w:val="00EE2AB3"/>
    <w:rsid w:val="00EE2BE4"/>
    <w:rsid w:val="00EE2C60"/>
    <w:rsid w:val="00EE2C97"/>
    <w:rsid w:val="00EE2CE1"/>
    <w:rsid w:val="00EE2D01"/>
    <w:rsid w:val="00EE3077"/>
    <w:rsid w:val="00EE311B"/>
    <w:rsid w:val="00EE31A6"/>
    <w:rsid w:val="00EE3411"/>
    <w:rsid w:val="00EE368C"/>
    <w:rsid w:val="00EE36FE"/>
    <w:rsid w:val="00EE38DA"/>
    <w:rsid w:val="00EE38F1"/>
    <w:rsid w:val="00EE3A1F"/>
    <w:rsid w:val="00EE3B5C"/>
    <w:rsid w:val="00EE3F30"/>
    <w:rsid w:val="00EE45D1"/>
    <w:rsid w:val="00EE4685"/>
    <w:rsid w:val="00EE46A3"/>
    <w:rsid w:val="00EE4C75"/>
    <w:rsid w:val="00EE4F4D"/>
    <w:rsid w:val="00EE51AC"/>
    <w:rsid w:val="00EE5420"/>
    <w:rsid w:val="00EE58B7"/>
    <w:rsid w:val="00EE5AA9"/>
    <w:rsid w:val="00EE5B9D"/>
    <w:rsid w:val="00EE5E9E"/>
    <w:rsid w:val="00EE5EAD"/>
    <w:rsid w:val="00EE626B"/>
    <w:rsid w:val="00EE627A"/>
    <w:rsid w:val="00EE6349"/>
    <w:rsid w:val="00EE64F8"/>
    <w:rsid w:val="00EE678B"/>
    <w:rsid w:val="00EE6BE1"/>
    <w:rsid w:val="00EE6C2E"/>
    <w:rsid w:val="00EE6CD3"/>
    <w:rsid w:val="00EE6CEE"/>
    <w:rsid w:val="00EE6DC2"/>
    <w:rsid w:val="00EE71A3"/>
    <w:rsid w:val="00EE763E"/>
    <w:rsid w:val="00EE77A3"/>
    <w:rsid w:val="00EE77DC"/>
    <w:rsid w:val="00EE77F3"/>
    <w:rsid w:val="00EE7927"/>
    <w:rsid w:val="00EE7B5A"/>
    <w:rsid w:val="00EE7F0D"/>
    <w:rsid w:val="00EF020A"/>
    <w:rsid w:val="00EF031B"/>
    <w:rsid w:val="00EF0472"/>
    <w:rsid w:val="00EF04AA"/>
    <w:rsid w:val="00EF0756"/>
    <w:rsid w:val="00EF0E7D"/>
    <w:rsid w:val="00EF1B68"/>
    <w:rsid w:val="00EF1BD7"/>
    <w:rsid w:val="00EF1F49"/>
    <w:rsid w:val="00EF1FCC"/>
    <w:rsid w:val="00EF2426"/>
    <w:rsid w:val="00EF268E"/>
    <w:rsid w:val="00EF26C8"/>
    <w:rsid w:val="00EF2754"/>
    <w:rsid w:val="00EF2802"/>
    <w:rsid w:val="00EF29F8"/>
    <w:rsid w:val="00EF2B33"/>
    <w:rsid w:val="00EF2D64"/>
    <w:rsid w:val="00EF2EB5"/>
    <w:rsid w:val="00EF2F2A"/>
    <w:rsid w:val="00EF2FBA"/>
    <w:rsid w:val="00EF3006"/>
    <w:rsid w:val="00EF31DF"/>
    <w:rsid w:val="00EF33FF"/>
    <w:rsid w:val="00EF34BF"/>
    <w:rsid w:val="00EF34EC"/>
    <w:rsid w:val="00EF373B"/>
    <w:rsid w:val="00EF3BAA"/>
    <w:rsid w:val="00EF3DA7"/>
    <w:rsid w:val="00EF41D7"/>
    <w:rsid w:val="00EF44E5"/>
    <w:rsid w:val="00EF4562"/>
    <w:rsid w:val="00EF4612"/>
    <w:rsid w:val="00EF4625"/>
    <w:rsid w:val="00EF4773"/>
    <w:rsid w:val="00EF485C"/>
    <w:rsid w:val="00EF4916"/>
    <w:rsid w:val="00EF4B0F"/>
    <w:rsid w:val="00EF4BBA"/>
    <w:rsid w:val="00EF4DD5"/>
    <w:rsid w:val="00EF5300"/>
    <w:rsid w:val="00EF53E6"/>
    <w:rsid w:val="00EF54CA"/>
    <w:rsid w:val="00EF5737"/>
    <w:rsid w:val="00EF5973"/>
    <w:rsid w:val="00EF5D36"/>
    <w:rsid w:val="00EF60C8"/>
    <w:rsid w:val="00EF616A"/>
    <w:rsid w:val="00EF7209"/>
    <w:rsid w:val="00EF7363"/>
    <w:rsid w:val="00EF7942"/>
    <w:rsid w:val="00EF7DDA"/>
    <w:rsid w:val="00F001FB"/>
    <w:rsid w:val="00F002DB"/>
    <w:rsid w:val="00F0086A"/>
    <w:rsid w:val="00F0096E"/>
    <w:rsid w:val="00F00BF3"/>
    <w:rsid w:val="00F00FD7"/>
    <w:rsid w:val="00F0138B"/>
    <w:rsid w:val="00F0157B"/>
    <w:rsid w:val="00F017A2"/>
    <w:rsid w:val="00F01C43"/>
    <w:rsid w:val="00F01F51"/>
    <w:rsid w:val="00F026AF"/>
    <w:rsid w:val="00F029A9"/>
    <w:rsid w:val="00F02B7A"/>
    <w:rsid w:val="00F02D46"/>
    <w:rsid w:val="00F03177"/>
    <w:rsid w:val="00F031BE"/>
    <w:rsid w:val="00F031EC"/>
    <w:rsid w:val="00F03304"/>
    <w:rsid w:val="00F03505"/>
    <w:rsid w:val="00F03526"/>
    <w:rsid w:val="00F037A6"/>
    <w:rsid w:val="00F03C59"/>
    <w:rsid w:val="00F03E60"/>
    <w:rsid w:val="00F03F20"/>
    <w:rsid w:val="00F04014"/>
    <w:rsid w:val="00F040F8"/>
    <w:rsid w:val="00F043B3"/>
    <w:rsid w:val="00F04575"/>
    <w:rsid w:val="00F04E97"/>
    <w:rsid w:val="00F0503D"/>
    <w:rsid w:val="00F05183"/>
    <w:rsid w:val="00F05615"/>
    <w:rsid w:val="00F05C0C"/>
    <w:rsid w:val="00F05D97"/>
    <w:rsid w:val="00F06488"/>
    <w:rsid w:val="00F064E9"/>
    <w:rsid w:val="00F06E88"/>
    <w:rsid w:val="00F06F0A"/>
    <w:rsid w:val="00F06F89"/>
    <w:rsid w:val="00F06FA5"/>
    <w:rsid w:val="00F07062"/>
    <w:rsid w:val="00F0713F"/>
    <w:rsid w:val="00F07B23"/>
    <w:rsid w:val="00F07D59"/>
    <w:rsid w:val="00F07D61"/>
    <w:rsid w:val="00F07F1C"/>
    <w:rsid w:val="00F10432"/>
    <w:rsid w:val="00F104C2"/>
    <w:rsid w:val="00F10685"/>
    <w:rsid w:val="00F1069F"/>
    <w:rsid w:val="00F107FD"/>
    <w:rsid w:val="00F10977"/>
    <w:rsid w:val="00F1098B"/>
    <w:rsid w:val="00F10B01"/>
    <w:rsid w:val="00F11341"/>
    <w:rsid w:val="00F114A2"/>
    <w:rsid w:val="00F11A66"/>
    <w:rsid w:val="00F11DAB"/>
    <w:rsid w:val="00F11F58"/>
    <w:rsid w:val="00F12749"/>
    <w:rsid w:val="00F1282D"/>
    <w:rsid w:val="00F12849"/>
    <w:rsid w:val="00F12EAD"/>
    <w:rsid w:val="00F12F28"/>
    <w:rsid w:val="00F1334E"/>
    <w:rsid w:val="00F13431"/>
    <w:rsid w:val="00F13687"/>
    <w:rsid w:val="00F13783"/>
    <w:rsid w:val="00F13AAA"/>
    <w:rsid w:val="00F13BC4"/>
    <w:rsid w:val="00F13C20"/>
    <w:rsid w:val="00F13E03"/>
    <w:rsid w:val="00F13F17"/>
    <w:rsid w:val="00F142E1"/>
    <w:rsid w:val="00F144DD"/>
    <w:rsid w:val="00F14524"/>
    <w:rsid w:val="00F14549"/>
    <w:rsid w:val="00F147AD"/>
    <w:rsid w:val="00F14F71"/>
    <w:rsid w:val="00F150DB"/>
    <w:rsid w:val="00F15291"/>
    <w:rsid w:val="00F1588D"/>
    <w:rsid w:val="00F15A9E"/>
    <w:rsid w:val="00F15C9E"/>
    <w:rsid w:val="00F15ECB"/>
    <w:rsid w:val="00F1647F"/>
    <w:rsid w:val="00F1675A"/>
    <w:rsid w:val="00F168FA"/>
    <w:rsid w:val="00F16CB2"/>
    <w:rsid w:val="00F16F13"/>
    <w:rsid w:val="00F1719B"/>
    <w:rsid w:val="00F17211"/>
    <w:rsid w:val="00F17526"/>
    <w:rsid w:val="00F177C6"/>
    <w:rsid w:val="00F20014"/>
    <w:rsid w:val="00F201E7"/>
    <w:rsid w:val="00F205BF"/>
    <w:rsid w:val="00F206F8"/>
    <w:rsid w:val="00F2088D"/>
    <w:rsid w:val="00F20C2D"/>
    <w:rsid w:val="00F20C47"/>
    <w:rsid w:val="00F20EF3"/>
    <w:rsid w:val="00F21238"/>
    <w:rsid w:val="00F213B3"/>
    <w:rsid w:val="00F2150B"/>
    <w:rsid w:val="00F21B46"/>
    <w:rsid w:val="00F21C26"/>
    <w:rsid w:val="00F21C64"/>
    <w:rsid w:val="00F21E01"/>
    <w:rsid w:val="00F22341"/>
    <w:rsid w:val="00F22459"/>
    <w:rsid w:val="00F224A1"/>
    <w:rsid w:val="00F2250F"/>
    <w:rsid w:val="00F2257C"/>
    <w:rsid w:val="00F229C3"/>
    <w:rsid w:val="00F22A83"/>
    <w:rsid w:val="00F22AF5"/>
    <w:rsid w:val="00F22B11"/>
    <w:rsid w:val="00F22B85"/>
    <w:rsid w:val="00F22FAA"/>
    <w:rsid w:val="00F230EC"/>
    <w:rsid w:val="00F232BD"/>
    <w:rsid w:val="00F23336"/>
    <w:rsid w:val="00F23725"/>
    <w:rsid w:val="00F23A3B"/>
    <w:rsid w:val="00F23B5A"/>
    <w:rsid w:val="00F23C2D"/>
    <w:rsid w:val="00F23C7F"/>
    <w:rsid w:val="00F24212"/>
    <w:rsid w:val="00F242B5"/>
    <w:rsid w:val="00F2472B"/>
    <w:rsid w:val="00F24B90"/>
    <w:rsid w:val="00F24D8E"/>
    <w:rsid w:val="00F24E3D"/>
    <w:rsid w:val="00F2515F"/>
    <w:rsid w:val="00F25813"/>
    <w:rsid w:val="00F2581C"/>
    <w:rsid w:val="00F25855"/>
    <w:rsid w:val="00F25A2E"/>
    <w:rsid w:val="00F25C66"/>
    <w:rsid w:val="00F25F86"/>
    <w:rsid w:val="00F25FC2"/>
    <w:rsid w:val="00F2656E"/>
    <w:rsid w:val="00F265DA"/>
    <w:rsid w:val="00F26627"/>
    <w:rsid w:val="00F2677D"/>
    <w:rsid w:val="00F26A60"/>
    <w:rsid w:val="00F26C21"/>
    <w:rsid w:val="00F26F09"/>
    <w:rsid w:val="00F26F51"/>
    <w:rsid w:val="00F271B6"/>
    <w:rsid w:val="00F27208"/>
    <w:rsid w:val="00F272AC"/>
    <w:rsid w:val="00F2733C"/>
    <w:rsid w:val="00F275EA"/>
    <w:rsid w:val="00F3023C"/>
    <w:rsid w:val="00F30518"/>
    <w:rsid w:val="00F30788"/>
    <w:rsid w:val="00F30834"/>
    <w:rsid w:val="00F30885"/>
    <w:rsid w:val="00F310B7"/>
    <w:rsid w:val="00F313A3"/>
    <w:rsid w:val="00F31831"/>
    <w:rsid w:val="00F326C0"/>
    <w:rsid w:val="00F32876"/>
    <w:rsid w:val="00F33367"/>
    <w:rsid w:val="00F336C9"/>
    <w:rsid w:val="00F336D2"/>
    <w:rsid w:val="00F33B26"/>
    <w:rsid w:val="00F33D35"/>
    <w:rsid w:val="00F33F20"/>
    <w:rsid w:val="00F341CD"/>
    <w:rsid w:val="00F3433E"/>
    <w:rsid w:val="00F345AD"/>
    <w:rsid w:val="00F345DA"/>
    <w:rsid w:val="00F3467E"/>
    <w:rsid w:val="00F346C6"/>
    <w:rsid w:val="00F34EEF"/>
    <w:rsid w:val="00F35065"/>
    <w:rsid w:val="00F351F4"/>
    <w:rsid w:val="00F352D7"/>
    <w:rsid w:val="00F354FF"/>
    <w:rsid w:val="00F3560B"/>
    <w:rsid w:val="00F35849"/>
    <w:rsid w:val="00F35879"/>
    <w:rsid w:val="00F359B8"/>
    <w:rsid w:val="00F35B42"/>
    <w:rsid w:val="00F35C0B"/>
    <w:rsid w:val="00F35E65"/>
    <w:rsid w:val="00F35EB8"/>
    <w:rsid w:val="00F35F5D"/>
    <w:rsid w:val="00F36081"/>
    <w:rsid w:val="00F360ED"/>
    <w:rsid w:val="00F364A9"/>
    <w:rsid w:val="00F365BD"/>
    <w:rsid w:val="00F3678E"/>
    <w:rsid w:val="00F36983"/>
    <w:rsid w:val="00F36CE7"/>
    <w:rsid w:val="00F36E22"/>
    <w:rsid w:val="00F401C1"/>
    <w:rsid w:val="00F402E5"/>
    <w:rsid w:val="00F402F8"/>
    <w:rsid w:val="00F403CF"/>
    <w:rsid w:val="00F40608"/>
    <w:rsid w:val="00F406FE"/>
    <w:rsid w:val="00F4073A"/>
    <w:rsid w:val="00F411E5"/>
    <w:rsid w:val="00F41401"/>
    <w:rsid w:val="00F41613"/>
    <w:rsid w:val="00F4180C"/>
    <w:rsid w:val="00F41B19"/>
    <w:rsid w:val="00F41C91"/>
    <w:rsid w:val="00F41D16"/>
    <w:rsid w:val="00F41D50"/>
    <w:rsid w:val="00F422DE"/>
    <w:rsid w:val="00F422FB"/>
    <w:rsid w:val="00F4256F"/>
    <w:rsid w:val="00F4258F"/>
    <w:rsid w:val="00F425C1"/>
    <w:rsid w:val="00F429E9"/>
    <w:rsid w:val="00F42ACC"/>
    <w:rsid w:val="00F42BCA"/>
    <w:rsid w:val="00F42EAB"/>
    <w:rsid w:val="00F42F5B"/>
    <w:rsid w:val="00F42F90"/>
    <w:rsid w:val="00F42FC3"/>
    <w:rsid w:val="00F42FD4"/>
    <w:rsid w:val="00F430BE"/>
    <w:rsid w:val="00F43764"/>
    <w:rsid w:val="00F44157"/>
    <w:rsid w:val="00F4419A"/>
    <w:rsid w:val="00F4434B"/>
    <w:rsid w:val="00F445DB"/>
    <w:rsid w:val="00F4477B"/>
    <w:rsid w:val="00F44F0F"/>
    <w:rsid w:val="00F45248"/>
    <w:rsid w:val="00F453F8"/>
    <w:rsid w:val="00F4557C"/>
    <w:rsid w:val="00F457F8"/>
    <w:rsid w:val="00F45903"/>
    <w:rsid w:val="00F459CA"/>
    <w:rsid w:val="00F45C82"/>
    <w:rsid w:val="00F45CFE"/>
    <w:rsid w:val="00F464BE"/>
    <w:rsid w:val="00F46575"/>
    <w:rsid w:val="00F46694"/>
    <w:rsid w:val="00F46AB0"/>
    <w:rsid w:val="00F46C05"/>
    <w:rsid w:val="00F46FFD"/>
    <w:rsid w:val="00F47083"/>
    <w:rsid w:val="00F472E7"/>
    <w:rsid w:val="00F475BF"/>
    <w:rsid w:val="00F47D53"/>
    <w:rsid w:val="00F50208"/>
    <w:rsid w:val="00F50301"/>
    <w:rsid w:val="00F5032D"/>
    <w:rsid w:val="00F509BB"/>
    <w:rsid w:val="00F50A77"/>
    <w:rsid w:val="00F50B30"/>
    <w:rsid w:val="00F50B84"/>
    <w:rsid w:val="00F50F3D"/>
    <w:rsid w:val="00F51847"/>
    <w:rsid w:val="00F523ED"/>
    <w:rsid w:val="00F52521"/>
    <w:rsid w:val="00F52981"/>
    <w:rsid w:val="00F52AEE"/>
    <w:rsid w:val="00F52C34"/>
    <w:rsid w:val="00F52C55"/>
    <w:rsid w:val="00F52EC1"/>
    <w:rsid w:val="00F52FCE"/>
    <w:rsid w:val="00F53166"/>
    <w:rsid w:val="00F538F9"/>
    <w:rsid w:val="00F5394A"/>
    <w:rsid w:val="00F53A10"/>
    <w:rsid w:val="00F53A97"/>
    <w:rsid w:val="00F53D98"/>
    <w:rsid w:val="00F53DFF"/>
    <w:rsid w:val="00F542C5"/>
    <w:rsid w:val="00F543B3"/>
    <w:rsid w:val="00F5441B"/>
    <w:rsid w:val="00F5443A"/>
    <w:rsid w:val="00F54742"/>
    <w:rsid w:val="00F548AF"/>
    <w:rsid w:val="00F548D7"/>
    <w:rsid w:val="00F5491E"/>
    <w:rsid w:val="00F54BA0"/>
    <w:rsid w:val="00F552B9"/>
    <w:rsid w:val="00F552E0"/>
    <w:rsid w:val="00F5562D"/>
    <w:rsid w:val="00F55669"/>
    <w:rsid w:val="00F556EC"/>
    <w:rsid w:val="00F5574E"/>
    <w:rsid w:val="00F55B36"/>
    <w:rsid w:val="00F55C9E"/>
    <w:rsid w:val="00F55D09"/>
    <w:rsid w:val="00F55D76"/>
    <w:rsid w:val="00F55EF8"/>
    <w:rsid w:val="00F561F6"/>
    <w:rsid w:val="00F5629C"/>
    <w:rsid w:val="00F56B36"/>
    <w:rsid w:val="00F56C01"/>
    <w:rsid w:val="00F56D7D"/>
    <w:rsid w:val="00F56DC2"/>
    <w:rsid w:val="00F56DC4"/>
    <w:rsid w:val="00F56FDC"/>
    <w:rsid w:val="00F571FB"/>
    <w:rsid w:val="00F5759A"/>
    <w:rsid w:val="00F575F8"/>
    <w:rsid w:val="00F57A15"/>
    <w:rsid w:val="00F57A74"/>
    <w:rsid w:val="00F57DCE"/>
    <w:rsid w:val="00F60134"/>
    <w:rsid w:val="00F6021E"/>
    <w:rsid w:val="00F60480"/>
    <w:rsid w:val="00F60528"/>
    <w:rsid w:val="00F60627"/>
    <w:rsid w:val="00F614E6"/>
    <w:rsid w:val="00F61919"/>
    <w:rsid w:val="00F619EA"/>
    <w:rsid w:val="00F61D73"/>
    <w:rsid w:val="00F61F6E"/>
    <w:rsid w:val="00F62539"/>
    <w:rsid w:val="00F62B0D"/>
    <w:rsid w:val="00F62C19"/>
    <w:rsid w:val="00F62D31"/>
    <w:rsid w:val="00F62F75"/>
    <w:rsid w:val="00F63220"/>
    <w:rsid w:val="00F635E8"/>
    <w:rsid w:val="00F6368C"/>
    <w:rsid w:val="00F6378F"/>
    <w:rsid w:val="00F63B2E"/>
    <w:rsid w:val="00F63C43"/>
    <w:rsid w:val="00F64270"/>
    <w:rsid w:val="00F64287"/>
    <w:rsid w:val="00F6433F"/>
    <w:rsid w:val="00F64554"/>
    <w:rsid w:val="00F6455A"/>
    <w:rsid w:val="00F64726"/>
    <w:rsid w:val="00F64912"/>
    <w:rsid w:val="00F651D5"/>
    <w:rsid w:val="00F652CE"/>
    <w:rsid w:val="00F65443"/>
    <w:rsid w:val="00F65622"/>
    <w:rsid w:val="00F657B2"/>
    <w:rsid w:val="00F6590D"/>
    <w:rsid w:val="00F65A82"/>
    <w:rsid w:val="00F65BCC"/>
    <w:rsid w:val="00F65C34"/>
    <w:rsid w:val="00F65CBB"/>
    <w:rsid w:val="00F65E5E"/>
    <w:rsid w:val="00F65E84"/>
    <w:rsid w:val="00F65F29"/>
    <w:rsid w:val="00F65F93"/>
    <w:rsid w:val="00F6639B"/>
    <w:rsid w:val="00F665B5"/>
    <w:rsid w:val="00F667DB"/>
    <w:rsid w:val="00F6698B"/>
    <w:rsid w:val="00F66A37"/>
    <w:rsid w:val="00F67086"/>
    <w:rsid w:val="00F670FE"/>
    <w:rsid w:val="00F67852"/>
    <w:rsid w:val="00F67877"/>
    <w:rsid w:val="00F679E7"/>
    <w:rsid w:val="00F67BB5"/>
    <w:rsid w:val="00F67BE5"/>
    <w:rsid w:val="00F67EE1"/>
    <w:rsid w:val="00F70818"/>
    <w:rsid w:val="00F709FC"/>
    <w:rsid w:val="00F71074"/>
    <w:rsid w:val="00F71112"/>
    <w:rsid w:val="00F7157B"/>
    <w:rsid w:val="00F7167D"/>
    <w:rsid w:val="00F71E87"/>
    <w:rsid w:val="00F72083"/>
    <w:rsid w:val="00F72196"/>
    <w:rsid w:val="00F72273"/>
    <w:rsid w:val="00F72D7C"/>
    <w:rsid w:val="00F7306B"/>
    <w:rsid w:val="00F7332D"/>
    <w:rsid w:val="00F735A7"/>
    <w:rsid w:val="00F73675"/>
    <w:rsid w:val="00F73898"/>
    <w:rsid w:val="00F738E5"/>
    <w:rsid w:val="00F73EE1"/>
    <w:rsid w:val="00F74081"/>
    <w:rsid w:val="00F74143"/>
    <w:rsid w:val="00F74293"/>
    <w:rsid w:val="00F746B8"/>
    <w:rsid w:val="00F74902"/>
    <w:rsid w:val="00F74A63"/>
    <w:rsid w:val="00F74F4D"/>
    <w:rsid w:val="00F75444"/>
    <w:rsid w:val="00F754B0"/>
    <w:rsid w:val="00F75534"/>
    <w:rsid w:val="00F75591"/>
    <w:rsid w:val="00F758E8"/>
    <w:rsid w:val="00F75914"/>
    <w:rsid w:val="00F75A38"/>
    <w:rsid w:val="00F75D63"/>
    <w:rsid w:val="00F75DE4"/>
    <w:rsid w:val="00F75F0A"/>
    <w:rsid w:val="00F75F7B"/>
    <w:rsid w:val="00F7606B"/>
    <w:rsid w:val="00F765A7"/>
    <w:rsid w:val="00F76A10"/>
    <w:rsid w:val="00F76AFD"/>
    <w:rsid w:val="00F76D48"/>
    <w:rsid w:val="00F76E86"/>
    <w:rsid w:val="00F76F45"/>
    <w:rsid w:val="00F770A9"/>
    <w:rsid w:val="00F77143"/>
    <w:rsid w:val="00F774F1"/>
    <w:rsid w:val="00F77B0B"/>
    <w:rsid w:val="00F77EC0"/>
    <w:rsid w:val="00F8029C"/>
    <w:rsid w:val="00F802BF"/>
    <w:rsid w:val="00F80334"/>
    <w:rsid w:val="00F80577"/>
    <w:rsid w:val="00F80C22"/>
    <w:rsid w:val="00F811EB"/>
    <w:rsid w:val="00F81255"/>
    <w:rsid w:val="00F8159E"/>
    <w:rsid w:val="00F816F7"/>
    <w:rsid w:val="00F81A85"/>
    <w:rsid w:val="00F81EEE"/>
    <w:rsid w:val="00F822A1"/>
    <w:rsid w:val="00F82411"/>
    <w:rsid w:val="00F8257D"/>
    <w:rsid w:val="00F82658"/>
    <w:rsid w:val="00F82695"/>
    <w:rsid w:val="00F827C0"/>
    <w:rsid w:val="00F8286E"/>
    <w:rsid w:val="00F8290B"/>
    <w:rsid w:val="00F8298A"/>
    <w:rsid w:val="00F836FF"/>
    <w:rsid w:val="00F83AC4"/>
    <w:rsid w:val="00F83F7B"/>
    <w:rsid w:val="00F8456B"/>
    <w:rsid w:val="00F84A64"/>
    <w:rsid w:val="00F84D9C"/>
    <w:rsid w:val="00F850B5"/>
    <w:rsid w:val="00F853E8"/>
    <w:rsid w:val="00F854BB"/>
    <w:rsid w:val="00F855A2"/>
    <w:rsid w:val="00F85677"/>
    <w:rsid w:val="00F859A6"/>
    <w:rsid w:val="00F85B73"/>
    <w:rsid w:val="00F85D4D"/>
    <w:rsid w:val="00F85FD0"/>
    <w:rsid w:val="00F8602F"/>
    <w:rsid w:val="00F86046"/>
    <w:rsid w:val="00F860E1"/>
    <w:rsid w:val="00F86149"/>
    <w:rsid w:val="00F86780"/>
    <w:rsid w:val="00F86A4D"/>
    <w:rsid w:val="00F86A5C"/>
    <w:rsid w:val="00F86EFA"/>
    <w:rsid w:val="00F870C5"/>
    <w:rsid w:val="00F87661"/>
    <w:rsid w:val="00F878C6"/>
    <w:rsid w:val="00F901D0"/>
    <w:rsid w:val="00F90496"/>
    <w:rsid w:val="00F904C1"/>
    <w:rsid w:val="00F90608"/>
    <w:rsid w:val="00F906F9"/>
    <w:rsid w:val="00F90CBF"/>
    <w:rsid w:val="00F90F1B"/>
    <w:rsid w:val="00F90FC2"/>
    <w:rsid w:val="00F90FCF"/>
    <w:rsid w:val="00F9127B"/>
    <w:rsid w:val="00F9148D"/>
    <w:rsid w:val="00F91CAD"/>
    <w:rsid w:val="00F91D54"/>
    <w:rsid w:val="00F91DF7"/>
    <w:rsid w:val="00F91E11"/>
    <w:rsid w:val="00F91E4A"/>
    <w:rsid w:val="00F92306"/>
    <w:rsid w:val="00F92573"/>
    <w:rsid w:val="00F92C2C"/>
    <w:rsid w:val="00F93130"/>
    <w:rsid w:val="00F931B3"/>
    <w:rsid w:val="00F93386"/>
    <w:rsid w:val="00F93456"/>
    <w:rsid w:val="00F93C8E"/>
    <w:rsid w:val="00F9406D"/>
    <w:rsid w:val="00F9416D"/>
    <w:rsid w:val="00F946AF"/>
    <w:rsid w:val="00F9499A"/>
    <w:rsid w:val="00F94AC2"/>
    <w:rsid w:val="00F9509B"/>
    <w:rsid w:val="00F95332"/>
    <w:rsid w:val="00F953B3"/>
    <w:rsid w:val="00F9543D"/>
    <w:rsid w:val="00F954E2"/>
    <w:rsid w:val="00F95708"/>
    <w:rsid w:val="00F9571F"/>
    <w:rsid w:val="00F957BB"/>
    <w:rsid w:val="00F9585B"/>
    <w:rsid w:val="00F9588F"/>
    <w:rsid w:val="00F959EB"/>
    <w:rsid w:val="00F95ADE"/>
    <w:rsid w:val="00F95BD2"/>
    <w:rsid w:val="00F95C30"/>
    <w:rsid w:val="00F960D1"/>
    <w:rsid w:val="00F9649C"/>
    <w:rsid w:val="00F965F7"/>
    <w:rsid w:val="00F96EDD"/>
    <w:rsid w:val="00F96F81"/>
    <w:rsid w:val="00F970CB"/>
    <w:rsid w:val="00F970CD"/>
    <w:rsid w:val="00F9725C"/>
    <w:rsid w:val="00F97424"/>
    <w:rsid w:val="00F9751A"/>
    <w:rsid w:val="00F97694"/>
    <w:rsid w:val="00F97805"/>
    <w:rsid w:val="00F97A10"/>
    <w:rsid w:val="00F97FB3"/>
    <w:rsid w:val="00FA061E"/>
    <w:rsid w:val="00FA0900"/>
    <w:rsid w:val="00FA096B"/>
    <w:rsid w:val="00FA09BF"/>
    <w:rsid w:val="00FA09D2"/>
    <w:rsid w:val="00FA0C1B"/>
    <w:rsid w:val="00FA0E57"/>
    <w:rsid w:val="00FA10BE"/>
    <w:rsid w:val="00FA11F9"/>
    <w:rsid w:val="00FA1252"/>
    <w:rsid w:val="00FA167B"/>
    <w:rsid w:val="00FA17D4"/>
    <w:rsid w:val="00FA1D0A"/>
    <w:rsid w:val="00FA1E2C"/>
    <w:rsid w:val="00FA213F"/>
    <w:rsid w:val="00FA21B7"/>
    <w:rsid w:val="00FA24EB"/>
    <w:rsid w:val="00FA25C7"/>
    <w:rsid w:val="00FA294D"/>
    <w:rsid w:val="00FA2A62"/>
    <w:rsid w:val="00FA2B12"/>
    <w:rsid w:val="00FA2C4C"/>
    <w:rsid w:val="00FA33FE"/>
    <w:rsid w:val="00FA346B"/>
    <w:rsid w:val="00FA34D9"/>
    <w:rsid w:val="00FA3B41"/>
    <w:rsid w:val="00FA40B3"/>
    <w:rsid w:val="00FA4156"/>
    <w:rsid w:val="00FA41AD"/>
    <w:rsid w:val="00FA4455"/>
    <w:rsid w:val="00FA45F4"/>
    <w:rsid w:val="00FA4F62"/>
    <w:rsid w:val="00FA505C"/>
    <w:rsid w:val="00FA54A3"/>
    <w:rsid w:val="00FA54D4"/>
    <w:rsid w:val="00FA55BA"/>
    <w:rsid w:val="00FA561E"/>
    <w:rsid w:val="00FA566F"/>
    <w:rsid w:val="00FA57C1"/>
    <w:rsid w:val="00FA5805"/>
    <w:rsid w:val="00FA5AB8"/>
    <w:rsid w:val="00FA62C7"/>
    <w:rsid w:val="00FA667F"/>
    <w:rsid w:val="00FA66BA"/>
    <w:rsid w:val="00FA7219"/>
    <w:rsid w:val="00FA73CB"/>
    <w:rsid w:val="00FA73DE"/>
    <w:rsid w:val="00FA7560"/>
    <w:rsid w:val="00FA759C"/>
    <w:rsid w:val="00FA776E"/>
    <w:rsid w:val="00FA7AC0"/>
    <w:rsid w:val="00FA7F43"/>
    <w:rsid w:val="00FB0027"/>
    <w:rsid w:val="00FB07A0"/>
    <w:rsid w:val="00FB082E"/>
    <w:rsid w:val="00FB09F9"/>
    <w:rsid w:val="00FB0AF9"/>
    <w:rsid w:val="00FB0B5E"/>
    <w:rsid w:val="00FB0C91"/>
    <w:rsid w:val="00FB0E22"/>
    <w:rsid w:val="00FB0F89"/>
    <w:rsid w:val="00FB1239"/>
    <w:rsid w:val="00FB1676"/>
    <w:rsid w:val="00FB1EAC"/>
    <w:rsid w:val="00FB1F82"/>
    <w:rsid w:val="00FB1FEC"/>
    <w:rsid w:val="00FB223A"/>
    <w:rsid w:val="00FB22A6"/>
    <w:rsid w:val="00FB22C4"/>
    <w:rsid w:val="00FB2332"/>
    <w:rsid w:val="00FB25A9"/>
    <w:rsid w:val="00FB26BF"/>
    <w:rsid w:val="00FB2738"/>
    <w:rsid w:val="00FB2844"/>
    <w:rsid w:val="00FB2AA8"/>
    <w:rsid w:val="00FB2EF0"/>
    <w:rsid w:val="00FB37D5"/>
    <w:rsid w:val="00FB3A9F"/>
    <w:rsid w:val="00FB4092"/>
    <w:rsid w:val="00FB41C7"/>
    <w:rsid w:val="00FB449F"/>
    <w:rsid w:val="00FB4519"/>
    <w:rsid w:val="00FB4734"/>
    <w:rsid w:val="00FB4744"/>
    <w:rsid w:val="00FB4D88"/>
    <w:rsid w:val="00FB4F1F"/>
    <w:rsid w:val="00FB4FDF"/>
    <w:rsid w:val="00FB53E1"/>
    <w:rsid w:val="00FB567C"/>
    <w:rsid w:val="00FB56E8"/>
    <w:rsid w:val="00FB5776"/>
    <w:rsid w:val="00FB5C88"/>
    <w:rsid w:val="00FB5E0A"/>
    <w:rsid w:val="00FB5F03"/>
    <w:rsid w:val="00FB6318"/>
    <w:rsid w:val="00FB64DA"/>
    <w:rsid w:val="00FB67AA"/>
    <w:rsid w:val="00FB684F"/>
    <w:rsid w:val="00FB6ABA"/>
    <w:rsid w:val="00FB6AD7"/>
    <w:rsid w:val="00FB7159"/>
    <w:rsid w:val="00FB7300"/>
    <w:rsid w:val="00FB73C5"/>
    <w:rsid w:val="00FB752C"/>
    <w:rsid w:val="00FB76DF"/>
    <w:rsid w:val="00FB7B83"/>
    <w:rsid w:val="00FB7BFC"/>
    <w:rsid w:val="00FB7D6C"/>
    <w:rsid w:val="00FC0437"/>
    <w:rsid w:val="00FC04DE"/>
    <w:rsid w:val="00FC0B73"/>
    <w:rsid w:val="00FC0B87"/>
    <w:rsid w:val="00FC0D32"/>
    <w:rsid w:val="00FC1104"/>
    <w:rsid w:val="00FC1228"/>
    <w:rsid w:val="00FC1502"/>
    <w:rsid w:val="00FC1862"/>
    <w:rsid w:val="00FC1897"/>
    <w:rsid w:val="00FC18DF"/>
    <w:rsid w:val="00FC1B36"/>
    <w:rsid w:val="00FC1B8C"/>
    <w:rsid w:val="00FC25EF"/>
    <w:rsid w:val="00FC2743"/>
    <w:rsid w:val="00FC2B5E"/>
    <w:rsid w:val="00FC2CAA"/>
    <w:rsid w:val="00FC2D5B"/>
    <w:rsid w:val="00FC3061"/>
    <w:rsid w:val="00FC37CE"/>
    <w:rsid w:val="00FC388D"/>
    <w:rsid w:val="00FC3C67"/>
    <w:rsid w:val="00FC3D3A"/>
    <w:rsid w:val="00FC3F8E"/>
    <w:rsid w:val="00FC3F99"/>
    <w:rsid w:val="00FC409F"/>
    <w:rsid w:val="00FC422E"/>
    <w:rsid w:val="00FC4285"/>
    <w:rsid w:val="00FC434F"/>
    <w:rsid w:val="00FC4518"/>
    <w:rsid w:val="00FC4A47"/>
    <w:rsid w:val="00FC4FD3"/>
    <w:rsid w:val="00FC5724"/>
    <w:rsid w:val="00FC5963"/>
    <w:rsid w:val="00FC5AC7"/>
    <w:rsid w:val="00FC5BF3"/>
    <w:rsid w:val="00FC5CBD"/>
    <w:rsid w:val="00FC5F49"/>
    <w:rsid w:val="00FC625B"/>
    <w:rsid w:val="00FC6374"/>
    <w:rsid w:val="00FC647A"/>
    <w:rsid w:val="00FC658A"/>
    <w:rsid w:val="00FC6671"/>
    <w:rsid w:val="00FC66CD"/>
    <w:rsid w:val="00FC6A17"/>
    <w:rsid w:val="00FC6B49"/>
    <w:rsid w:val="00FC6F54"/>
    <w:rsid w:val="00FC72A4"/>
    <w:rsid w:val="00FC7609"/>
    <w:rsid w:val="00FC76E2"/>
    <w:rsid w:val="00FC7C54"/>
    <w:rsid w:val="00FD07C3"/>
    <w:rsid w:val="00FD0892"/>
    <w:rsid w:val="00FD0957"/>
    <w:rsid w:val="00FD0B76"/>
    <w:rsid w:val="00FD0C00"/>
    <w:rsid w:val="00FD0D50"/>
    <w:rsid w:val="00FD0DF3"/>
    <w:rsid w:val="00FD0E51"/>
    <w:rsid w:val="00FD128A"/>
    <w:rsid w:val="00FD1399"/>
    <w:rsid w:val="00FD1481"/>
    <w:rsid w:val="00FD18C6"/>
    <w:rsid w:val="00FD1CF6"/>
    <w:rsid w:val="00FD2084"/>
    <w:rsid w:val="00FD20AC"/>
    <w:rsid w:val="00FD22F3"/>
    <w:rsid w:val="00FD23EC"/>
    <w:rsid w:val="00FD248F"/>
    <w:rsid w:val="00FD25B4"/>
    <w:rsid w:val="00FD2A1B"/>
    <w:rsid w:val="00FD2A24"/>
    <w:rsid w:val="00FD2A85"/>
    <w:rsid w:val="00FD2B2A"/>
    <w:rsid w:val="00FD2C3E"/>
    <w:rsid w:val="00FD2C64"/>
    <w:rsid w:val="00FD2CC5"/>
    <w:rsid w:val="00FD2F70"/>
    <w:rsid w:val="00FD376F"/>
    <w:rsid w:val="00FD385B"/>
    <w:rsid w:val="00FD3993"/>
    <w:rsid w:val="00FD457E"/>
    <w:rsid w:val="00FD48B2"/>
    <w:rsid w:val="00FD4B5B"/>
    <w:rsid w:val="00FD4F24"/>
    <w:rsid w:val="00FD4F4C"/>
    <w:rsid w:val="00FD52DD"/>
    <w:rsid w:val="00FD54D5"/>
    <w:rsid w:val="00FD58CB"/>
    <w:rsid w:val="00FD5BBA"/>
    <w:rsid w:val="00FD5D42"/>
    <w:rsid w:val="00FD5E3B"/>
    <w:rsid w:val="00FD60F5"/>
    <w:rsid w:val="00FD6114"/>
    <w:rsid w:val="00FD643E"/>
    <w:rsid w:val="00FD659A"/>
    <w:rsid w:val="00FD6BAE"/>
    <w:rsid w:val="00FD6CFD"/>
    <w:rsid w:val="00FD719C"/>
    <w:rsid w:val="00FD732B"/>
    <w:rsid w:val="00FD7337"/>
    <w:rsid w:val="00FD761A"/>
    <w:rsid w:val="00FD76AA"/>
    <w:rsid w:val="00FD7C19"/>
    <w:rsid w:val="00FD7CEA"/>
    <w:rsid w:val="00FD7F1C"/>
    <w:rsid w:val="00FE012E"/>
    <w:rsid w:val="00FE0754"/>
    <w:rsid w:val="00FE0ABC"/>
    <w:rsid w:val="00FE0C19"/>
    <w:rsid w:val="00FE0CB3"/>
    <w:rsid w:val="00FE0EEA"/>
    <w:rsid w:val="00FE143A"/>
    <w:rsid w:val="00FE14E4"/>
    <w:rsid w:val="00FE151E"/>
    <w:rsid w:val="00FE1BE1"/>
    <w:rsid w:val="00FE1C01"/>
    <w:rsid w:val="00FE1C9B"/>
    <w:rsid w:val="00FE1E44"/>
    <w:rsid w:val="00FE2894"/>
    <w:rsid w:val="00FE29F3"/>
    <w:rsid w:val="00FE2D77"/>
    <w:rsid w:val="00FE31C7"/>
    <w:rsid w:val="00FE3413"/>
    <w:rsid w:val="00FE3452"/>
    <w:rsid w:val="00FE3514"/>
    <w:rsid w:val="00FE352A"/>
    <w:rsid w:val="00FE359E"/>
    <w:rsid w:val="00FE36B8"/>
    <w:rsid w:val="00FE3767"/>
    <w:rsid w:val="00FE3ABC"/>
    <w:rsid w:val="00FE4025"/>
    <w:rsid w:val="00FE485F"/>
    <w:rsid w:val="00FE4DD0"/>
    <w:rsid w:val="00FE5984"/>
    <w:rsid w:val="00FE5B67"/>
    <w:rsid w:val="00FE5EE1"/>
    <w:rsid w:val="00FE6301"/>
    <w:rsid w:val="00FE644D"/>
    <w:rsid w:val="00FE660D"/>
    <w:rsid w:val="00FE6782"/>
    <w:rsid w:val="00FE681F"/>
    <w:rsid w:val="00FE6E86"/>
    <w:rsid w:val="00FE6F7E"/>
    <w:rsid w:val="00FE71F7"/>
    <w:rsid w:val="00FE7246"/>
    <w:rsid w:val="00FE74EA"/>
    <w:rsid w:val="00FE7FA8"/>
    <w:rsid w:val="00FF000D"/>
    <w:rsid w:val="00FF0072"/>
    <w:rsid w:val="00FF0198"/>
    <w:rsid w:val="00FF0F99"/>
    <w:rsid w:val="00FF0FFF"/>
    <w:rsid w:val="00FF11C6"/>
    <w:rsid w:val="00FF131E"/>
    <w:rsid w:val="00FF155E"/>
    <w:rsid w:val="00FF1B4F"/>
    <w:rsid w:val="00FF1C37"/>
    <w:rsid w:val="00FF1C3A"/>
    <w:rsid w:val="00FF1DD7"/>
    <w:rsid w:val="00FF211A"/>
    <w:rsid w:val="00FF2395"/>
    <w:rsid w:val="00FF28AD"/>
    <w:rsid w:val="00FF28D9"/>
    <w:rsid w:val="00FF2AAB"/>
    <w:rsid w:val="00FF2B3C"/>
    <w:rsid w:val="00FF2C01"/>
    <w:rsid w:val="00FF2FB6"/>
    <w:rsid w:val="00FF30FF"/>
    <w:rsid w:val="00FF34CB"/>
    <w:rsid w:val="00FF380F"/>
    <w:rsid w:val="00FF38EB"/>
    <w:rsid w:val="00FF3E91"/>
    <w:rsid w:val="00FF3F6E"/>
    <w:rsid w:val="00FF4471"/>
    <w:rsid w:val="00FF4857"/>
    <w:rsid w:val="00FF499A"/>
    <w:rsid w:val="00FF4ABC"/>
    <w:rsid w:val="00FF4D67"/>
    <w:rsid w:val="00FF58D9"/>
    <w:rsid w:val="00FF5C69"/>
    <w:rsid w:val="00FF5C7E"/>
    <w:rsid w:val="00FF5E9D"/>
    <w:rsid w:val="00FF5F8E"/>
    <w:rsid w:val="00FF63A7"/>
    <w:rsid w:val="00FF64DA"/>
    <w:rsid w:val="00FF64E3"/>
    <w:rsid w:val="00FF6592"/>
    <w:rsid w:val="00FF65EB"/>
    <w:rsid w:val="00FF6643"/>
    <w:rsid w:val="00FF6737"/>
    <w:rsid w:val="00FF676E"/>
    <w:rsid w:val="00FF6895"/>
    <w:rsid w:val="00FF6A02"/>
    <w:rsid w:val="00FF7973"/>
    <w:rsid w:val="00FF7C0A"/>
    <w:rsid w:val="00FF7E3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C39FFAC6-B209-4CD1-8DF4-9D5AAE57D8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color w:val="262626" w:themeColor="text1" w:themeTint="D9"/>
        <w:lang w:val="en-AU" w:eastAsia="en-AU" w:bidi="ar-SA"/>
      </w:rPr>
    </w:rPrDefault>
    <w:pPrDefault>
      <w:pPr>
        <w:spacing w:before="60"/>
        <w:jc w:val="both"/>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Bullet"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iPriority="99"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ubtitle" w:uiPriority="23" w:qFormat="1"/>
    <w:lsdException w:name="Salutation" w:semiHidden="1" w:uiPriority="99"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33" w:qFormat="1"/>
    <w:lsdException w:name="Emphasis" w:uiPriority="33"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3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59F4"/>
    <w:pPr>
      <w:suppressAutoHyphens/>
      <w:spacing w:before="120" w:after="60"/>
      <w:jc w:val="left"/>
    </w:pPr>
  </w:style>
  <w:style w:type="paragraph" w:styleId="Heading1">
    <w:name w:val="heading 1"/>
    <w:basedOn w:val="Normal"/>
    <w:next w:val="Normal"/>
    <w:link w:val="Heading1Char"/>
    <w:uiPriority w:val="9"/>
    <w:qFormat/>
    <w:rsid w:val="00596D01"/>
    <w:pPr>
      <w:keepNext/>
      <w:keepLines/>
      <w:pageBreakBefore/>
      <w:spacing w:before="0" w:after="480"/>
      <w:outlineLvl w:val="0"/>
    </w:pPr>
    <w:rPr>
      <w:rFonts w:asciiTheme="majorHAnsi" w:eastAsiaTheme="majorEastAsia" w:hAnsiTheme="majorHAnsi" w:cstheme="majorBidi"/>
      <w:color w:val="002776" w:themeColor="text2"/>
      <w:sz w:val="56"/>
      <w:szCs w:val="32"/>
    </w:rPr>
  </w:style>
  <w:style w:type="paragraph" w:styleId="Heading2">
    <w:name w:val="heading 2"/>
    <w:basedOn w:val="Heading1"/>
    <w:next w:val="Normal"/>
    <w:link w:val="Heading2Char"/>
    <w:uiPriority w:val="9"/>
    <w:qFormat/>
    <w:rsid w:val="00E20EC0"/>
    <w:pPr>
      <w:pageBreakBefore w:val="0"/>
      <w:spacing w:before="120" w:after="120"/>
      <w:outlineLvl w:val="1"/>
    </w:pPr>
    <w:rPr>
      <w:b/>
      <w:sz w:val="32"/>
      <w:szCs w:val="26"/>
    </w:rPr>
  </w:style>
  <w:style w:type="paragraph" w:styleId="Heading3">
    <w:name w:val="heading 3"/>
    <w:basedOn w:val="Heading2"/>
    <w:next w:val="Normal"/>
    <w:link w:val="Heading3Char"/>
    <w:uiPriority w:val="9"/>
    <w:qFormat/>
    <w:rsid w:val="00944018"/>
    <w:pPr>
      <w:outlineLvl w:val="2"/>
    </w:pPr>
    <w:rPr>
      <w:b w:val="0"/>
      <w:sz w:val="28"/>
      <w:szCs w:val="24"/>
    </w:rPr>
  </w:style>
  <w:style w:type="paragraph" w:styleId="Heading4">
    <w:name w:val="heading 4"/>
    <w:basedOn w:val="Heading3"/>
    <w:next w:val="Normal"/>
    <w:link w:val="Heading4Char"/>
    <w:uiPriority w:val="9"/>
    <w:qFormat/>
    <w:rsid w:val="00944018"/>
    <w:pPr>
      <w:outlineLvl w:val="3"/>
    </w:pPr>
    <w:rPr>
      <w:b/>
      <w:iCs/>
      <w:color w:val="007EB1" w:themeColor="accent3"/>
      <w:sz w:val="24"/>
    </w:rPr>
  </w:style>
  <w:style w:type="paragraph" w:styleId="Heading5">
    <w:name w:val="heading 5"/>
    <w:basedOn w:val="Normal"/>
    <w:next w:val="Normal"/>
    <w:link w:val="Heading5Char"/>
    <w:uiPriority w:val="9"/>
    <w:unhideWhenUsed/>
    <w:qFormat/>
    <w:rsid w:val="00596D01"/>
    <w:pPr>
      <w:keepNext/>
      <w:keepLines/>
      <w:spacing w:before="240"/>
      <w:outlineLvl w:val="4"/>
    </w:pPr>
    <w:rPr>
      <w:rFonts w:eastAsiaTheme="majorEastAsia" w:cstheme="majorBidi"/>
      <w:i/>
      <w:color w:val="007EB1" w:themeColor="accent3"/>
      <w:sz w:val="22"/>
    </w:rPr>
  </w:style>
  <w:style w:type="paragraph" w:styleId="Heading6">
    <w:name w:val="heading 6"/>
    <w:basedOn w:val="Normal"/>
    <w:next w:val="Normal"/>
    <w:link w:val="Heading6Char"/>
    <w:uiPriority w:val="9"/>
    <w:unhideWhenUsed/>
    <w:qFormat/>
    <w:rsid w:val="00596D01"/>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596D01"/>
    <w:pPr>
      <w:keepNext/>
      <w:keepLines/>
      <w:outlineLvl w:val="6"/>
    </w:pPr>
    <w:rPr>
      <w:rFonts w:eastAsiaTheme="majorEastAsia" w:cstheme="majorBidi"/>
      <w:i/>
      <w:iCs/>
    </w:rPr>
  </w:style>
  <w:style w:type="paragraph" w:styleId="Heading8">
    <w:name w:val="heading 8"/>
    <w:basedOn w:val="Normal"/>
    <w:next w:val="Normal"/>
    <w:link w:val="Heading8Char"/>
    <w:uiPriority w:val="9"/>
    <w:unhideWhenUsed/>
    <w:qFormat/>
    <w:rsid w:val="00596D01"/>
    <w:pPr>
      <w:suppressAutoHyphens w:val="0"/>
      <w:spacing w:before="180" w:after="0"/>
      <w:ind w:left="1440" w:hanging="1440"/>
      <w:outlineLvl w:val="7"/>
    </w:pPr>
    <w:rPr>
      <w:rFonts w:ascii="Times New Roman" w:eastAsia="Times New Roman" w:hAnsi="Times New Roman"/>
      <w:color w:val="931638"/>
      <w:sz w:val="24"/>
      <w:szCs w:val="24"/>
    </w:rPr>
  </w:style>
  <w:style w:type="paragraph" w:styleId="Heading9">
    <w:name w:val="heading 9"/>
    <w:basedOn w:val="Normal"/>
    <w:next w:val="Normal"/>
    <w:link w:val="Heading9Char"/>
    <w:uiPriority w:val="9"/>
    <w:unhideWhenUsed/>
    <w:qFormat/>
    <w:rsid w:val="00596D01"/>
    <w:pPr>
      <w:suppressAutoHyphens w:val="0"/>
      <w:spacing w:before="180" w:after="0"/>
      <w:ind w:left="1584" w:hanging="1584"/>
      <w:outlineLvl w:val="8"/>
    </w:pPr>
    <w:rPr>
      <w:rFonts w:ascii="Times New Roman" w:eastAsia="Times New Roman" w:hAnsi="Times New Roman"/>
      <w:color w:val="93163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596D01"/>
    <w:pPr>
      <w:spacing w:after="120"/>
    </w:pPr>
    <w:rPr>
      <w:rFonts w:ascii="Calibri" w:hAnsi="Calibri"/>
      <w:color w:val="313131"/>
      <w:sz w:val="22"/>
      <w:szCs w:val="22"/>
      <w:lang w:val="en-GB"/>
    </w:rPr>
  </w:style>
  <w:style w:type="paragraph" w:styleId="Header">
    <w:name w:val="header"/>
    <w:basedOn w:val="Normal"/>
    <w:link w:val="HeaderChar"/>
    <w:uiPriority w:val="99"/>
    <w:rsid w:val="00596D01"/>
    <w:pPr>
      <w:tabs>
        <w:tab w:val="center" w:pos="4513"/>
        <w:tab w:val="right" w:pos="9026"/>
      </w:tabs>
      <w:spacing w:before="0" w:after="0"/>
    </w:pPr>
    <w:rPr>
      <w:rFonts w:asciiTheme="majorHAnsi" w:hAnsiTheme="majorHAnsi"/>
      <w:b/>
      <w:sz w:val="16"/>
    </w:rPr>
  </w:style>
  <w:style w:type="character" w:styleId="PageNumber">
    <w:name w:val="page number"/>
    <w:basedOn w:val="DefaultParagraphFont"/>
    <w:rsid w:val="00970B40"/>
    <w:rPr>
      <w:rFonts w:ascii="Calibri" w:hAnsi="Calibri"/>
      <w:color w:val="auto"/>
      <w:sz w:val="18"/>
      <w:szCs w:val="18"/>
    </w:rPr>
  </w:style>
  <w:style w:type="paragraph" w:customStyle="1" w:styleId="Bullet1">
    <w:name w:val="Bullet 1"/>
    <w:basedOn w:val="Normal"/>
    <w:uiPriority w:val="2"/>
    <w:qFormat/>
    <w:rsid w:val="00596D01"/>
    <w:pPr>
      <w:numPr>
        <w:numId w:val="9"/>
      </w:numPr>
      <w:spacing w:before="60"/>
    </w:pPr>
  </w:style>
  <w:style w:type="character" w:styleId="FootnoteReference">
    <w:name w:val="footnote reference"/>
    <w:basedOn w:val="DefaultParagraphFont"/>
    <w:uiPriority w:val="99"/>
    <w:rsid w:val="00596D01"/>
    <w:rPr>
      <w:vertAlign w:val="superscript"/>
    </w:rPr>
  </w:style>
  <w:style w:type="paragraph" w:customStyle="1" w:styleId="TableHeadingCentre">
    <w:name w:val="Table Heading Centre"/>
    <w:basedOn w:val="Normal"/>
    <w:rsid w:val="00970B40"/>
    <w:pPr>
      <w:keepNext/>
      <w:keepLines/>
      <w:spacing w:before="20" w:after="20"/>
      <w:jc w:val="center"/>
    </w:pPr>
    <w:rPr>
      <w:rFonts w:ascii="Calibri" w:hAnsi="Calibri"/>
      <w:b/>
      <w:color w:val="002776"/>
      <w:szCs w:val="22"/>
    </w:rPr>
  </w:style>
  <w:style w:type="paragraph" w:styleId="TOC1">
    <w:name w:val="toc 1"/>
    <w:basedOn w:val="Normal"/>
    <w:next w:val="Normal"/>
    <w:autoRedefine/>
    <w:uiPriority w:val="39"/>
    <w:rsid w:val="00596D01"/>
    <w:pPr>
      <w:keepNext/>
      <w:pBdr>
        <w:bottom w:val="single" w:sz="4" w:space="5" w:color="007EB1" w:themeColor="accent3"/>
        <w:between w:val="single" w:sz="4" w:space="1" w:color="007EB1" w:themeColor="accent3"/>
      </w:pBdr>
      <w:tabs>
        <w:tab w:val="right" w:pos="9628"/>
      </w:tabs>
      <w:spacing w:line="340" w:lineRule="atLeast"/>
      <w:ind w:left="567" w:hanging="567"/>
    </w:pPr>
    <w:rPr>
      <w:rFonts w:asciiTheme="majorHAnsi" w:hAnsiTheme="majorHAnsi"/>
      <w:b/>
      <w:color w:val="002776" w:themeColor="text2"/>
      <w:sz w:val="24"/>
    </w:rPr>
  </w:style>
  <w:style w:type="paragraph" w:styleId="TOC2">
    <w:name w:val="toc 2"/>
    <w:basedOn w:val="Normal"/>
    <w:next w:val="Normal"/>
    <w:autoRedefine/>
    <w:uiPriority w:val="39"/>
    <w:rsid w:val="00596D01"/>
    <w:pPr>
      <w:tabs>
        <w:tab w:val="right" w:pos="9628"/>
      </w:tabs>
      <w:ind w:left="567" w:hanging="567"/>
    </w:pPr>
    <w:rPr>
      <w:rFonts w:asciiTheme="majorHAnsi" w:hAnsiTheme="majorHAnsi"/>
      <w:b/>
    </w:rPr>
  </w:style>
  <w:style w:type="paragraph" w:styleId="TOC3">
    <w:name w:val="toc 3"/>
    <w:basedOn w:val="Normal"/>
    <w:next w:val="Normal"/>
    <w:autoRedefine/>
    <w:uiPriority w:val="39"/>
    <w:rsid w:val="00596D01"/>
    <w:pPr>
      <w:tabs>
        <w:tab w:val="right" w:pos="9628"/>
      </w:tabs>
      <w:spacing w:before="60"/>
      <w:ind w:left="1134" w:hanging="567"/>
    </w:pPr>
    <w:rPr>
      <w:rFonts w:asciiTheme="majorHAnsi" w:hAnsiTheme="majorHAnsi"/>
      <w:noProof/>
    </w:rPr>
  </w:style>
  <w:style w:type="character" w:styleId="Hyperlink">
    <w:name w:val="Hyperlink"/>
    <w:basedOn w:val="DefaultParagraphFont"/>
    <w:uiPriority w:val="99"/>
    <w:unhideWhenUsed/>
    <w:rsid w:val="00596D01"/>
    <w:rPr>
      <w:color w:val="0070C0"/>
      <w:u w:val="single"/>
    </w:rPr>
  </w:style>
  <w:style w:type="paragraph" w:styleId="Caption">
    <w:name w:val="caption"/>
    <w:basedOn w:val="Normal"/>
    <w:next w:val="Normal"/>
    <w:uiPriority w:val="19"/>
    <w:qFormat/>
    <w:rsid w:val="00596D01"/>
    <w:pPr>
      <w:spacing w:before="0" w:after="200"/>
    </w:pPr>
    <w:rPr>
      <w:rFonts w:asciiTheme="majorHAnsi" w:hAnsiTheme="majorHAnsi"/>
      <w:iCs/>
      <w:caps/>
      <w:sz w:val="16"/>
      <w:szCs w:val="18"/>
    </w:rPr>
  </w:style>
  <w:style w:type="paragraph" w:styleId="TableofFigures">
    <w:name w:val="table of figures"/>
    <w:basedOn w:val="Normal"/>
    <w:next w:val="Normal"/>
    <w:uiPriority w:val="99"/>
    <w:rsid w:val="00596D01"/>
    <w:pPr>
      <w:tabs>
        <w:tab w:val="right" w:leader="dot" w:pos="8505"/>
      </w:tabs>
      <w:ind w:left="567" w:right="567" w:hanging="567"/>
    </w:pPr>
    <w:rPr>
      <w:rFonts w:ascii="Calibri" w:hAnsi="Calibri"/>
      <w:szCs w:val="22"/>
    </w:rPr>
  </w:style>
  <w:style w:type="paragraph" w:customStyle="1" w:styleId="TabletextLeft">
    <w:name w:val="Table text Left"/>
    <w:basedOn w:val="Normal"/>
    <w:rsid w:val="00970B40"/>
    <w:pPr>
      <w:spacing w:before="60"/>
    </w:pPr>
  </w:style>
  <w:style w:type="table" w:styleId="TableGrid">
    <w:name w:val="Table Grid"/>
    <w:basedOn w:val="TableNormal"/>
    <w:uiPriority w:val="39"/>
    <w:rsid w:val="00596D01"/>
    <w:pPr>
      <w:spacing w:before="120"/>
      <w:jc w:val="left"/>
    </w:pPr>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Normal"/>
    <w:link w:val="SourceChar"/>
    <w:qFormat/>
    <w:rsid w:val="003402BC"/>
    <w:pPr>
      <w:spacing w:after="120"/>
    </w:pPr>
    <w:rPr>
      <w:rFonts w:ascii="Calibri" w:hAnsi="Calibri" w:cs="Arial"/>
      <w:sz w:val="18"/>
    </w:rPr>
  </w:style>
  <w:style w:type="character" w:styleId="Strong">
    <w:name w:val="Strong"/>
    <w:basedOn w:val="DefaultParagraphFont"/>
    <w:uiPriority w:val="33"/>
    <w:qFormat/>
    <w:rsid w:val="00596D01"/>
    <w:rPr>
      <w:b/>
      <w:bCs/>
    </w:rPr>
  </w:style>
  <w:style w:type="character" w:styleId="Emphasis">
    <w:name w:val="Emphasis"/>
    <w:basedOn w:val="DefaultParagraphFont"/>
    <w:uiPriority w:val="33"/>
    <w:qFormat/>
    <w:rsid w:val="00596D01"/>
    <w:rPr>
      <w:i/>
      <w:iCs/>
    </w:rPr>
  </w:style>
  <w:style w:type="paragraph" w:styleId="CommentSubject">
    <w:name w:val="annotation subject"/>
    <w:basedOn w:val="Normal"/>
    <w:link w:val="CommentSubjectChar"/>
    <w:uiPriority w:val="99"/>
    <w:rsid w:val="00596D01"/>
    <w:rPr>
      <w:b/>
      <w:bCs/>
    </w:rPr>
  </w:style>
  <w:style w:type="paragraph" w:styleId="Revision">
    <w:name w:val="Revision"/>
    <w:hidden/>
    <w:uiPriority w:val="99"/>
    <w:semiHidden/>
    <w:rsid w:val="00721EC7"/>
    <w:pPr>
      <w:spacing w:before="240"/>
    </w:pPr>
    <w:rPr>
      <w:rFonts w:ascii="Arial" w:hAnsi="Arial"/>
      <w:sz w:val="22"/>
      <w:lang w:eastAsia="en-US"/>
    </w:rPr>
  </w:style>
  <w:style w:type="paragraph" w:customStyle="1" w:styleId="Bullet2">
    <w:name w:val="Bullet 2"/>
    <w:basedOn w:val="Normal"/>
    <w:uiPriority w:val="2"/>
    <w:qFormat/>
    <w:rsid w:val="00596D01"/>
    <w:pPr>
      <w:numPr>
        <w:ilvl w:val="1"/>
        <w:numId w:val="9"/>
      </w:numPr>
      <w:spacing w:before="60"/>
    </w:pPr>
  </w:style>
  <w:style w:type="paragraph" w:customStyle="1" w:styleId="BodyText-Centred">
    <w:name w:val="BodyText - Centred"/>
    <w:basedOn w:val="Normal"/>
    <w:qFormat/>
    <w:rsid w:val="00970B40"/>
    <w:pPr>
      <w:jc w:val="center"/>
    </w:pPr>
    <w:rPr>
      <w:rFonts w:ascii="Calibri" w:hAnsi="Calibri"/>
      <w:noProof/>
    </w:rPr>
  </w:style>
  <w:style w:type="paragraph" w:styleId="Footer">
    <w:name w:val="footer"/>
    <w:basedOn w:val="Normal"/>
    <w:link w:val="FooterChar"/>
    <w:uiPriority w:val="99"/>
    <w:rsid w:val="00596D01"/>
    <w:pPr>
      <w:tabs>
        <w:tab w:val="center" w:pos="4513"/>
        <w:tab w:val="right" w:pos="9026"/>
      </w:tabs>
      <w:spacing w:before="0" w:after="0"/>
    </w:pPr>
    <w:rPr>
      <w:rFonts w:asciiTheme="majorHAnsi" w:hAnsiTheme="majorHAnsi"/>
      <w:sz w:val="16"/>
    </w:rPr>
  </w:style>
  <w:style w:type="character" w:customStyle="1" w:styleId="FooterChar">
    <w:name w:val="Footer Char"/>
    <w:basedOn w:val="DefaultParagraphFont"/>
    <w:link w:val="Footer"/>
    <w:uiPriority w:val="99"/>
    <w:rsid w:val="00596D01"/>
    <w:rPr>
      <w:rFonts w:asciiTheme="majorHAnsi" w:eastAsiaTheme="minorHAnsi" w:hAnsiTheme="majorHAnsi" w:cstheme="minorBidi"/>
      <w:color w:val="262626" w:themeColor="text1" w:themeTint="D9"/>
      <w:sz w:val="16"/>
      <w:lang w:eastAsia="en-US"/>
    </w:rPr>
  </w:style>
  <w:style w:type="paragraph" w:styleId="FootnoteText">
    <w:name w:val="footnote text"/>
    <w:basedOn w:val="Normal"/>
    <w:link w:val="FootnoteTextChar"/>
    <w:uiPriority w:val="99"/>
    <w:rsid w:val="00596D01"/>
    <w:pPr>
      <w:spacing w:before="60"/>
    </w:pPr>
    <w:rPr>
      <w:sz w:val="16"/>
    </w:rPr>
  </w:style>
  <w:style w:type="character" w:customStyle="1" w:styleId="FootnoteTextChar">
    <w:name w:val="Footnote Text Char"/>
    <w:basedOn w:val="DefaultParagraphFont"/>
    <w:link w:val="FootnoteText"/>
    <w:uiPriority w:val="99"/>
    <w:rsid w:val="00596D01"/>
    <w:rPr>
      <w:rFonts w:eastAsiaTheme="minorHAnsi" w:cstheme="minorBidi"/>
      <w:color w:val="262626" w:themeColor="text1" w:themeTint="D9"/>
      <w:sz w:val="16"/>
      <w:lang w:eastAsia="en-US"/>
    </w:rPr>
  </w:style>
  <w:style w:type="character" w:customStyle="1" w:styleId="HeaderChar">
    <w:name w:val="Header Char"/>
    <w:basedOn w:val="DefaultParagraphFont"/>
    <w:link w:val="Header"/>
    <w:uiPriority w:val="99"/>
    <w:rsid w:val="00596D01"/>
    <w:rPr>
      <w:rFonts w:asciiTheme="majorHAnsi" w:eastAsiaTheme="minorHAnsi" w:hAnsiTheme="majorHAnsi" w:cstheme="minorBidi"/>
      <w:b/>
      <w:color w:val="262626" w:themeColor="text1" w:themeTint="D9"/>
      <w:sz w:val="16"/>
      <w:lang w:eastAsia="en-US"/>
    </w:rPr>
  </w:style>
  <w:style w:type="paragraph" w:customStyle="1" w:styleId="AppendixTableOriginalSupplied">
    <w:name w:val="Appendix Table Original Supplied"/>
    <w:basedOn w:val="Normal"/>
    <w:next w:val="BodyText"/>
    <w:qFormat/>
    <w:rsid w:val="00DD466E"/>
    <w:pPr>
      <w:keepNext/>
      <w:keepLines/>
      <w:numPr>
        <w:ilvl w:val="1"/>
        <w:numId w:val="1"/>
      </w:numPr>
      <w:spacing w:before="240" w:after="120"/>
      <w:ind w:left="1134" w:hanging="1134"/>
      <w:jc w:val="center"/>
    </w:pPr>
    <w:rPr>
      <w:rFonts w:ascii="Calibri" w:hAnsi="Calibri"/>
      <w:b/>
      <w:color w:val="002776"/>
    </w:rPr>
  </w:style>
  <w:style w:type="paragraph" w:customStyle="1" w:styleId="CaptionTable">
    <w:name w:val="Caption_Table"/>
    <w:basedOn w:val="Normal"/>
    <w:next w:val="BodyText"/>
    <w:qFormat/>
    <w:rsid w:val="003402BC"/>
    <w:pPr>
      <w:keepNext/>
      <w:keepLines/>
      <w:numPr>
        <w:ilvl w:val="6"/>
        <w:numId w:val="3"/>
      </w:numPr>
      <w:spacing w:after="240"/>
      <w:jc w:val="center"/>
    </w:pPr>
    <w:rPr>
      <w:rFonts w:ascii="Calibri" w:hAnsi="Calibri"/>
      <w:b/>
      <w:color w:val="002776"/>
      <w:sz w:val="22"/>
    </w:rPr>
  </w:style>
  <w:style w:type="paragraph" w:customStyle="1" w:styleId="CaptionFigure">
    <w:name w:val="Caption_Figure"/>
    <w:basedOn w:val="CaptionTable"/>
    <w:next w:val="BodyText"/>
    <w:qFormat/>
    <w:rsid w:val="00970B40"/>
    <w:pPr>
      <w:numPr>
        <w:ilvl w:val="8"/>
      </w:numPr>
    </w:pPr>
    <w:rPr>
      <w:bCs/>
      <w:szCs w:val="22"/>
    </w:rPr>
  </w:style>
  <w:style w:type="paragraph" w:styleId="BalloonText">
    <w:name w:val="Balloon Text"/>
    <w:basedOn w:val="Normal"/>
    <w:link w:val="BalloonTextChar"/>
    <w:uiPriority w:val="99"/>
    <w:rsid w:val="00596D01"/>
    <w:rPr>
      <w:rFonts w:ascii="Tahoma" w:hAnsi="Tahoma" w:cs="Tahoma"/>
      <w:sz w:val="16"/>
      <w:szCs w:val="16"/>
    </w:rPr>
  </w:style>
  <w:style w:type="character" w:customStyle="1" w:styleId="BalloonTextChar">
    <w:name w:val="Balloon Text Char"/>
    <w:basedOn w:val="DefaultParagraphFont"/>
    <w:link w:val="BalloonText"/>
    <w:uiPriority w:val="99"/>
    <w:rsid w:val="00596D01"/>
    <w:rPr>
      <w:rFonts w:ascii="Tahoma" w:hAnsi="Tahoma" w:cs="Tahoma"/>
      <w:sz w:val="16"/>
      <w:szCs w:val="16"/>
    </w:rPr>
  </w:style>
  <w:style w:type="character" w:styleId="CommentReference">
    <w:name w:val="annotation reference"/>
    <w:basedOn w:val="DefaultParagraphFont"/>
    <w:uiPriority w:val="99"/>
    <w:rsid w:val="00596D01"/>
    <w:rPr>
      <w:sz w:val="16"/>
      <w:szCs w:val="16"/>
    </w:rPr>
  </w:style>
  <w:style w:type="paragraph" w:styleId="ListBullet">
    <w:name w:val="List Bullet"/>
    <w:basedOn w:val="Normal"/>
    <w:uiPriority w:val="99"/>
    <w:rsid w:val="00596D01"/>
    <w:pPr>
      <w:numPr>
        <w:numId w:val="5"/>
      </w:numPr>
      <w:contextualSpacing/>
    </w:pPr>
  </w:style>
  <w:style w:type="paragraph" w:styleId="ListParagraph">
    <w:name w:val="List Paragraph"/>
    <w:basedOn w:val="Normal"/>
    <w:link w:val="ListParagraphChar"/>
    <w:uiPriority w:val="34"/>
    <w:qFormat/>
    <w:rsid w:val="00596D01"/>
    <w:pPr>
      <w:ind w:left="720"/>
      <w:contextualSpacing/>
    </w:pPr>
  </w:style>
  <w:style w:type="paragraph" w:styleId="Date">
    <w:name w:val="Date"/>
    <w:basedOn w:val="Normal"/>
    <w:next w:val="Normal"/>
    <w:link w:val="DateChar"/>
    <w:uiPriority w:val="99"/>
    <w:rsid w:val="00596D01"/>
    <w:rPr>
      <w:rFonts w:ascii="Calibri" w:hAnsi="Calibri"/>
    </w:rPr>
  </w:style>
  <w:style w:type="character" w:customStyle="1" w:styleId="DateChar">
    <w:name w:val="Date Char"/>
    <w:basedOn w:val="DefaultParagraphFont"/>
    <w:link w:val="Date"/>
    <w:uiPriority w:val="99"/>
    <w:rsid w:val="00596D01"/>
    <w:rPr>
      <w:rFonts w:ascii="Calibri" w:hAnsi="Calibri"/>
    </w:rPr>
  </w:style>
  <w:style w:type="character" w:styleId="EndnoteReference">
    <w:name w:val="endnote reference"/>
    <w:basedOn w:val="DefaultParagraphFont"/>
    <w:rsid w:val="00970B40"/>
    <w:rPr>
      <w:rFonts w:ascii="Calibri" w:hAnsi="Calibri"/>
      <w:sz w:val="20"/>
      <w:vertAlign w:val="superscript"/>
    </w:rPr>
  </w:style>
  <w:style w:type="paragraph" w:styleId="EndnoteText">
    <w:name w:val="endnote text"/>
    <w:basedOn w:val="Normal"/>
    <w:link w:val="EndnoteTextChar"/>
    <w:uiPriority w:val="99"/>
    <w:rsid w:val="00596D01"/>
    <w:rPr>
      <w:rFonts w:ascii="Calibri" w:hAnsi="Calibri"/>
    </w:rPr>
  </w:style>
  <w:style w:type="character" w:customStyle="1" w:styleId="EndnoteTextChar">
    <w:name w:val="Endnote Text Char"/>
    <w:basedOn w:val="DefaultParagraphFont"/>
    <w:link w:val="EndnoteText"/>
    <w:uiPriority w:val="99"/>
    <w:rsid w:val="00596D01"/>
    <w:rPr>
      <w:rFonts w:ascii="Calibri" w:hAnsi="Calibri"/>
    </w:rPr>
  </w:style>
  <w:style w:type="paragraph" w:styleId="Quote">
    <w:name w:val="Quote"/>
    <w:basedOn w:val="Normal"/>
    <w:next w:val="Normal"/>
    <w:link w:val="QuoteChar"/>
    <w:uiPriority w:val="99"/>
    <w:qFormat/>
    <w:rsid w:val="00596D01"/>
    <w:rPr>
      <w:rFonts w:ascii="Calibri" w:hAnsi="Calibri"/>
      <w:i/>
      <w:iCs/>
      <w:color w:val="565656"/>
    </w:rPr>
  </w:style>
  <w:style w:type="character" w:customStyle="1" w:styleId="QuoteChar">
    <w:name w:val="Quote Char"/>
    <w:basedOn w:val="DefaultParagraphFont"/>
    <w:link w:val="Quote"/>
    <w:uiPriority w:val="99"/>
    <w:rsid w:val="00596D01"/>
    <w:rPr>
      <w:rFonts w:ascii="Calibri" w:hAnsi="Calibri"/>
      <w:i/>
      <w:iCs/>
      <w:color w:val="565656"/>
    </w:rPr>
  </w:style>
  <w:style w:type="paragraph" w:styleId="Salutation">
    <w:name w:val="Salutation"/>
    <w:basedOn w:val="Normal"/>
    <w:next w:val="Normal"/>
    <w:link w:val="SalutationChar"/>
    <w:uiPriority w:val="99"/>
    <w:rsid w:val="00596D01"/>
    <w:rPr>
      <w:rFonts w:ascii="Calibri" w:hAnsi="Calibri"/>
    </w:rPr>
  </w:style>
  <w:style w:type="character" w:customStyle="1" w:styleId="SalutationChar">
    <w:name w:val="Salutation Char"/>
    <w:basedOn w:val="DefaultParagraphFont"/>
    <w:link w:val="Salutation"/>
    <w:uiPriority w:val="99"/>
    <w:rsid w:val="00596D01"/>
    <w:rPr>
      <w:rFonts w:ascii="Calibri" w:hAnsi="Calibri"/>
    </w:rPr>
  </w:style>
  <w:style w:type="paragraph" w:styleId="Signature">
    <w:name w:val="Signature"/>
    <w:basedOn w:val="Normal"/>
    <w:link w:val="SignatureChar"/>
    <w:uiPriority w:val="99"/>
    <w:rsid w:val="00596D01"/>
    <w:pPr>
      <w:ind w:left="4252"/>
    </w:pPr>
  </w:style>
  <w:style w:type="character" w:customStyle="1" w:styleId="SignatureChar">
    <w:name w:val="Signature Char"/>
    <w:basedOn w:val="DefaultParagraphFont"/>
    <w:link w:val="Signature"/>
    <w:uiPriority w:val="99"/>
    <w:rsid w:val="00596D01"/>
  </w:style>
  <w:style w:type="paragraph" w:styleId="TOCHeading">
    <w:name w:val="TOC Heading"/>
    <w:basedOn w:val="Heading1"/>
    <w:next w:val="Normal"/>
    <w:uiPriority w:val="39"/>
    <w:qFormat/>
    <w:rsid w:val="00596D01"/>
    <w:pPr>
      <w:outlineLvl w:val="9"/>
    </w:pPr>
  </w:style>
  <w:style w:type="paragraph" w:styleId="CommentText">
    <w:name w:val="annotation text"/>
    <w:basedOn w:val="Normal"/>
    <w:link w:val="CommentTextChar"/>
    <w:uiPriority w:val="99"/>
    <w:unhideWhenUsed/>
    <w:rsid w:val="00596D01"/>
  </w:style>
  <w:style w:type="character" w:customStyle="1" w:styleId="CommentTextChar">
    <w:name w:val="Comment Text Char"/>
    <w:basedOn w:val="DefaultParagraphFont"/>
    <w:link w:val="CommentText"/>
    <w:uiPriority w:val="99"/>
    <w:rsid w:val="00596D01"/>
  </w:style>
  <w:style w:type="paragraph" w:styleId="NormalWeb">
    <w:name w:val="Normal (Web)"/>
    <w:basedOn w:val="Normal"/>
    <w:uiPriority w:val="99"/>
    <w:unhideWhenUsed/>
    <w:rsid w:val="00596D01"/>
    <w:pPr>
      <w:spacing w:before="100" w:beforeAutospacing="1" w:after="100" w:afterAutospacing="1"/>
    </w:pPr>
  </w:style>
  <w:style w:type="character" w:customStyle="1" w:styleId="SourceChar">
    <w:name w:val="Source Char"/>
    <w:basedOn w:val="DefaultParagraphFont"/>
    <w:link w:val="Source"/>
    <w:rsid w:val="005B5F98"/>
    <w:rPr>
      <w:rFonts w:ascii="Calibri" w:hAnsi="Calibri" w:cs="Arial"/>
      <w:sz w:val="18"/>
      <w:szCs w:val="24"/>
      <w:lang w:eastAsia="en-US"/>
    </w:rPr>
  </w:style>
  <w:style w:type="character" w:customStyle="1" w:styleId="ListParagraphChar">
    <w:name w:val="List Paragraph Char"/>
    <w:basedOn w:val="DefaultParagraphFont"/>
    <w:link w:val="ListParagraph"/>
    <w:uiPriority w:val="34"/>
    <w:locked/>
    <w:rsid w:val="00596D01"/>
    <w:rPr>
      <w:rFonts w:eastAsiaTheme="minorHAnsi" w:cstheme="minorBidi"/>
      <w:color w:val="262626" w:themeColor="text1" w:themeTint="D9"/>
      <w:lang w:eastAsia="en-US"/>
    </w:rPr>
  </w:style>
  <w:style w:type="character" w:styleId="BookTitle">
    <w:name w:val="Book Title"/>
    <w:uiPriority w:val="33"/>
    <w:qFormat/>
    <w:rsid w:val="00DB20DB"/>
    <w:rPr>
      <w:i/>
      <w:iCs/>
      <w:smallCaps/>
      <w:spacing w:val="5"/>
    </w:rPr>
  </w:style>
  <w:style w:type="paragraph" w:styleId="TOC5">
    <w:name w:val="toc 5"/>
    <w:basedOn w:val="Normal"/>
    <w:next w:val="Normal"/>
    <w:autoRedefine/>
    <w:uiPriority w:val="39"/>
    <w:rsid w:val="00596D01"/>
    <w:pPr>
      <w:suppressAutoHyphens w:val="0"/>
      <w:spacing w:before="0" w:after="100"/>
      <w:ind w:left="960"/>
    </w:pPr>
    <w:rPr>
      <w:rFonts w:ascii="Times New Roman" w:eastAsia="Times New Roman" w:hAnsi="Times New Roman"/>
      <w:color w:val="auto"/>
      <w:sz w:val="24"/>
      <w:szCs w:val="24"/>
    </w:rPr>
  </w:style>
  <w:style w:type="table" w:styleId="MediumShading1-Accent1">
    <w:name w:val="Medium Shading 1 Accent 1"/>
    <w:basedOn w:val="TableNormal"/>
    <w:uiPriority w:val="63"/>
    <w:rsid w:val="00596D01"/>
    <w:pPr>
      <w:spacing w:before="0"/>
      <w:jc w:val="left"/>
    </w:pPr>
    <w:rPr>
      <w:rFonts w:eastAsiaTheme="minorHAnsi" w:cstheme="minorBidi"/>
      <w:color w:val="auto"/>
      <w:lang w:eastAsia="en-US"/>
    </w:rPr>
    <w:tblPr>
      <w:tblStyleRowBandSize w:val="1"/>
      <w:tblStyleColBandSize w:val="1"/>
      <w:tblBorders>
        <w:top w:val="single" w:sz="8" w:space="0" w:color="0047D8" w:themeColor="accent1" w:themeTint="BF"/>
        <w:left w:val="single" w:sz="8" w:space="0" w:color="0047D8" w:themeColor="accent1" w:themeTint="BF"/>
        <w:bottom w:val="single" w:sz="8" w:space="0" w:color="0047D8" w:themeColor="accent1" w:themeTint="BF"/>
        <w:right w:val="single" w:sz="8" w:space="0" w:color="0047D8" w:themeColor="accent1" w:themeTint="BF"/>
        <w:insideH w:val="single" w:sz="8" w:space="0" w:color="0047D8" w:themeColor="accent1" w:themeTint="BF"/>
      </w:tblBorders>
    </w:tblPr>
    <w:tblStylePr w:type="firstRow">
      <w:pPr>
        <w:spacing w:before="0" w:after="0" w:line="240" w:lineRule="auto"/>
      </w:pPr>
      <w:rPr>
        <w:b/>
        <w:bCs/>
        <w:color w:val="FFFFFF" w:themeColor="background1"/>
      </w:rPr>
      <w:tblPr/>
      <w:tcPr>
        <w:tcBorders>
          <w:top w:val="single" w:sz="8" w:space="0" w:color="0047D8" w:themeColor="accent1" w:themeTint="BF"/>
          <w:left w:val="single" w:sz="8" w:space="0" w:color="0047D8" w:themeColor="accent1" w:themeTint="BF"/>
          <w:bottom w:val="single" w:sz="8" w:space="0" w:color="0047D8" w:themeColor="accent1" w:themeTint="BF"/>
          <w:right w:val="single" w:sz="8" w:space="0" w:color="0047D8" w:themeColor="accent1" w:themeTint="BF"/>
          <w:insideH w:val="nil"/>
          <w:insideV w:val="nil"/>
        </w:tcBorders>
        <w:shd w:val="clear" w:color="auto" w:fill="002776" w:themeFill="accent1"/>
      </w:tcPr>
    </w:tblStylePr>
    <w:tblStylePr w:type="lastRow">
      <w:pPr>
        <w:spacing w:before="0" w:after="0" w:line="240" w:lineRule="auto"/>
      </w:pPr>
      <w:rPr>
        <w:b/>
        <w:bCs/>
      </w:rPr>
      <w:tblPr/>
      <w:tcPr>
        <w:tcBorders>
          <w:top w:val="double" w:sz="6" w:space="0" w:color="0047D8" w:themeColor="accent1" w:themeTint="BF"/>
          <w:left w:val="single" w:sz="8" w:space="0" w:color="0047D8" w:themeColor="accent1" w:themeTint="BF"/>
          <w:bottom w:val="single" w:sz="8" w:space="0" w:color="0047D8" w:themeColor="accent1" w:themeTint="BF"/>
          <w:right w:val="single" w:sz="8" w:space="0" w:color="0047D8" w:themeColor="accent1" w:themeTint="BF"/>
          <w:insideH w:val="nil"/>
          <w:insideV w:val="nil"/>
        </w:tcBorders>
      </w:tcPr>
    </w:tblStylePr>
    <w:tblStylePr w:type="firstCol">
      <w:rPr>
        <w:b/>
        <w:bCs/>
      </w:rPr>
    </w:tblStylePr>
    <w:tblStylePr w:type="lastCol">
      <w:rPr>
        <w:b/>
        <w:bCs/>
      </w:rPr>
    </w:tblStylePr>
    <w:tblStylePr w:type="band1Vert">
      <w:tblPr/>
      <w:tcPr>
        <w:shd w:val="clear" w:color="auto" w:fill="9EBDFF" w:themeFill="accent1" w:themeFillTint="3F"/>
      </w:tcPr>
    </w:tblStylePr>
    <w:tblStylePr w:type="band1Horz">
      <w:tblPr/>
      <w:tcPr>
        <w:tcBorders>
          <w:insideH w:val="nil"/>
          <w:insideV w:val="nil"/>
        </w:tcBorders>
        <w:shd w:val="clear" w:color="auto" w:fill="9EBDFF"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596D01"/>
    <w:pPr>
      <w:spacing w:before="0"/>
      <w:jc w:val="left"/>
    </w:pPr>
    <w:rPr>
      <w:rFonts w:ascii="Times New Roman" w:eastAsiaTheme="minorHAnsi" w:hAnsi="Times New Roman" w:cstheme="minorBidi"/>
      <w:color w:val="auto"/>
      <w:sz w:val="24"/>
      <w:lang w:eastAsia="en-US"/>
    </w:rPr>
    <w:tblPr>
      <w:tblStyleRowBandSize w:val="1"/>
      <w:tblStyleColBandSize w:val="1"/>
      <w:tblBorders>
        <w:top w:val="single" w:sz="8" w:space="0" w:color="002776" w:themeColor="accent1"/>
        <w:left w:val="single" w:sz="8" w:space="0" w:color="002776" w:themeColor="accent1"/>
        <w:bottom w:val="single" w:sz="8" w:space="0" w:color="002776" w:themeColor="accent1"/>
        <w:right w:val="single" w:sz="8" w:space="0" w:color="002776" w:themeColor="accent1"/>
      </w:tblBorders>
    </w:tblPr>
    <w:tblStylePr w:type="firstRow">
      <w:pPr>
        <w:spacing w:before="0" w:after="0" w:line="240" w:lineRule="auto"/>
      </w:pPr>
      <w:rPr>
        <w:b/>
        <w:bCs/>
        <w:color w:val="FFFFFF" w:themeColor="background1"/>
      </w:rPr>
      <w:tblPr/>
      <w:tcPr>
        <w:shd w:val="clear" w:color="auto" w:fill="002776" w:themeFill="accent1"/>
      </w:tcPr>
    </w:tblStylePr>
    <w:tblStylePr w:type="lastRow">
      <w:pPr>
        <w:spacing w:before="0" w:after="0" w:line="240" w:lineRule="auto"/>
      </w:pPr>
      <w:rPr>
        <w:b/>
        <w:bCs/>
      </w:rPr>
      <w:tblPr/>
      <w:tcPr>
        <w:tcBorders>
          <w:top w:val="double" w:sz="6" w:space="0" w:color="002776" w:themeColor="accent1"/>
          <w:left w:val="single" w:sz="8" w:space="0" w:color="002776" w:themeColor="accent1"/>
          <w:bottom w:val="single" w:sz="8" w:space="0" w:color="002776" w:themeColor="accent1"/>
          <w:right w:val="single" w:sz="8" w:space="0" w:color="002776" w:themeColor="accent1"/>
        </w:tcBorders>
      </w:tcPr>
    </w:tblStylePr>
    <w:tblStylePr w:type="firstCol">
      <w:rPr>
        <w:b/>
        <w:bCs/>
      </w:rPr>
    </w:tblStylePr>
    <w:tblStylePr w:type="lastCol">
      <w:rPr>
        <w:b/>
        <w:bCs/>
      </w:rPr>
    </w:tblStylePr>
    <w:tblStylePr w:type="band1Vert">
      <w:tblPr/>
      <w:tcPr>
        <w:tcBorders>
          <w:top w:val="single" w:sz="8" w:space="0" w:color="002776" w:themeColor="accent1"/>
          <w:left w:val="single" w:sz="8" w:space="0" w:color="002776" w:themeColor="accent1"/>
          <w:bottom w:val="single" w:sz="8" w:space="0" w:color="002776" w:themeColor="accent1"/>
          <w:right w:val="single" w:sz="8" w:space="0" w:color="002776" w:themeColor="accent1"/>
        </w:tcBorders>
      </w:tcPr>
    </w:tblStylePr>
    <w:tblStylePr w:type="band1Horz">
      <w:tblPr/>
      <w:tcPr>
        <w:tcBorders>
          <w:top w:val="single" w:sz="8" w:space="0" w:color="002776" w:themeColor="accent1"/>
          <w:left w:val="single" w:sz="8" w:space="0" w:color="002776" w:themeColor="accent1"/>
          <w:bottom w:val="single" w:sz="8" w:space="0" w:color="002776" w:themeColor="accent1"/>
          <w:right w:val="single" w:sz="8" w:space="0" w:color="002776" w:themeColor="accent1"/>
        </w:tcBorders>
      </w:tcPr>
    </w:tblStylePr>
  </w:style>
  <w:style w:type="character" w:customStyle="1" w:styleId="BodyTextChar">
    <w:name w:val="Body Text Char"/>
    <w:basedOn w:val="DefaultParagraphFont"/>
    <w:link w:val="BodyText"/>
    <w:uiPriority w:val="99"/>
    <w:rsid w:val="00596D01"/>
    <w:rPr>
      <w:rFonts w:ascii="Calibri" w:hAnsi="Calibri"/>
      <w:color w:val="313131"/>
      <w:sz w:val="22"/>
      <w:szCs w:val="22"/>
      <w:lang w:val="en-GB"/>
    </w:rPr>
  </w:style>
  <w:style w:type="paragraph" w:styleId="PlainText">
    <w:name w:val="Plain Text"/>
    <w:basedOn w:val="Normal"/>
    <w:link w:val="PlainTextChar"/>
    <w:uiPriority w:val="99"/>
    <w:unhideWhenUsed/>
    <w:rsid w:val="00596D01"/>
    <w:rPr>
      <w:rFonts w:ascii="Calibri" w:eastAsiaTheme="minorHAnsi" w:hAnsi="Calibri"/>
      <w:sz w:val="22"/>
      <w:szCs w:val="22"/>
    </w:rPr>
  </w:style>
  <w:style w:type="character" w:customStyle="1" w:styleId="PlainTextChar">
    <w:name w:val="Plain Text Char"/>
    <w:basedOn w:val="DefaultParagraphFont"/>
    <w:link w:val="PlainText"/>
    <w:uiPriority w:val="99"/>
    <w:rsid w:val="00596D01"/>
    <w:rPr>
      <w:rFonts w:ascii="Calibri" w:eastAsiaTheme="minorHAnsi" w:hAnsi="Calibri"/>
      <w:sz w:val="22"/>
      <w:szCs w:val="22"/>
    </w:rPr>
  </w:style>
  <w:style w:type="character" w:styleId="FollowedHyperlink">
    <w:name w:val="FollowedHyperlink"/>
    <w:basedOn w:val="DefaultParagraphFont"/>
    <w:uiPriority w:val="99"/>
    <w:rsid w:val="00596D01"/>
    <w:rPr>
      <w:color w:val="0070C0"/>
      <w:u w:val="single"/>
    </w:rPr>
  </w:style>
  <w:style w:type="paragraph" w:styleId="DocumentMap">
    <w:name w:val="Document Map"/>
    <w:basedOn w:val="Normal"/>
    <w:link w:val="DocumentMapChar"/>
    <w:uiPriority w:val="99"/>
    <w:rsid w:val="00596D01"/>
    <w:rPr>
      <w:rFonts w:ascii="Lucida Grande" w:hAnsi="Lucida Grande" w:cs="Lucida Grande"/>
    </w:rPr>
  </w:style>
  <w:style w:type="character" w:customStyle="1" w:styleId="DocumentMapChar">
    <w:name w:val="Document Map Char"/>
    <w:basedOn w:val="DefaultParagraphFont"/>
    <w:link w:val="DocumentMap"/>
    <w:uiPriority w:val="99"/>
    <w:rsid w:val="00596D01"/>
    <w:rPr>
      <w:rFonts w:ascii="Lucida Grande" w:hAnsi="Lucida Grande" w:cs="Lucida Grande"/>
    </w:rPr>
  </w:style>
  <w:style w:type="paragraph" w:styleId="TOC4">
    <w:name w:val="toc 4"/>
    <w:basedOn w:val="Normal"/>
    <w:next w:val="Normal"/>
    <w:autoRedefine/>
    <w:uiPriority w:val="39"/>
    <w:rsid w:val="00596D01"/>
    <w:pPr>
      <w:tabs>
        <w:tab w:val="right" w:pos="9628"/>
      </w:tabs>
      <w:spacing w:before="60"/>
      <w:ind w:left="1135" w:hanging="851"/>
    </w:pPr>
  </w:style>
  <w:style w:type="paragraph" w:styleId="TOC6">
    <w:name w:val="toc 6"/>
    <w:basedOn w:val="Normal"/>
    <w:next w:val="Normal"/>
    <w:autoRedefine/>
    <w:uiPriority w:val="39"/>
    <w:unhideWhenUsed/>
    <w:rsid w:val="00596D01"/>
    <w:pPr>
      <w:suppressAutoHyphens w:val="0"/>
      <w:spacing w:before="0" w:after="100" w:line="276" w:lineRule="auto"/>
      <w:ind w:left="1100"/>
    </w:pPr>
    <w:rPr>
      <w:color w:val="auto"/>
    </w:rPr>
  </w:style>
  <w:style w:type="paragraph" w:styleId="TOC7">
    <w:name w:val="toc 7"/>
    <w:basedOn w:val="Normal"/>
    <w:next w:val="Normal"/>
    <w:autoRedefine/>
    <w:uiPriority w:val="39"/>
    <w:unhideWhenUsed/>
    <w:rsid w:val="00596D01"/>
    <w:pPr>
      <w:suppressAutoHyphens w:val="0"/>
      <w:spacing w:before="0" w:after="100" w:line="276" w:lineRule="auto"/>
      <w:ind w:left="1320"/>
    </w:pPr>
    <w:rPr>
      <w:color w:val="auto"/>
    </w:rPr>
  </w:style>
  <w:style w:type="paragraph" w:styleId="TOC8">
    <w:name w:val="toc 8"/>
    <w:basedOn w:val="Normal"/>
    <w:next w:val="Normal"/>
    <w:autoRedefine/>
    <w:uiPriority w:val="39"/>
    <w:unhideWhenUsed/>
    <w:rsid w:val="00596D01"/>
    <w:pPr>
      <w:suppressAutoHyphens w:val="0"/>
      <w:spacing w:before="0" w:after="100" w:line="276" w:lineRule="auto"/>
      <w:ind w:left="1540"/>
    </w:pPr>
    <w:rPr>
      <w:color w:val="auto"/>
    </w:rPr>
  </w:style>
  <w:style w:type="paragraph" w:styleId="TOC9">
    <w:name w:val="toc 9"/>
    <w:basedOn w:val="Normal"/>
    <w:next w:val="Normal"/>
    <w:autoRedefine/>
    <w:uiPriority w:val="39"/>
    <w:unhideWhenUsed/>
    <w:rsid w:val="00596D01"/>
    <w:pPr>
      <w:suppressAutoHyphens w:val="0"/>
      <w:spacing w:before="0" w:after="100" w:line="276" w:lineRule="auto"/>
      <w:ind w:left="1760"/>
    </w:pPr>
    <w:rPr>
      <w:color w:val="auto"/>
    </w:rPr>
  </w:style>
  <w:style w:type="character" w:customStyle="1" w:styleId="Heading1Char">
    <w:name w:val="Heading 1 Char"/>
    <w:basedOn w:val="DefaultParagraphFont"/>
    <w:link w:val="Heading1"/>
    <w:uiPriority w:val="9"/>
    <w:rsid w:val="00596D01"/>
    <w:rPr>
      <w:rFonts w:asciiTheme="majorHAnsi" w:eastAsiaTheme="majorEastAsia" w:hAnsiTheme="majorHAnsi" w:cstheme="majorBidi"/>
      <w:color w:val="002776" w:themeColor="text2"/>
      <w:sz w:val="56"/>
      <w:szCs w:val="32"/>
      <w:lang w:eastAsia="en-US"/>
    </w:rPr>
  </w:style>
  <w:style w:type="paragraph" w:styleId="Subtitle">
    <w:name w:val="Subtitle"/>
    <w:basedOn w:val="Normal"/>
    <w:next w:val="Normal"/>
    <w:link w:val="SubtitleChar"/>
    <w:uiPriority w:val="23"/>
    <w:qFormat/>
    <w:rsid w:val="00596D01"/>
    <w:pPr>
      <w:keepLines/>
      <w:numPr>
        <w:ilvl w:val="1"/>
      </w:numPr>
      <w:spacing w:before="300" w:after="300" w:line="360" w:lineRule="exact"/>
      <w:contextualSpacing/>
    </w:pPr>
    <w:rPr>
      <w:b/>
      <w:sz w:val="32"/>
    </w:rPr>
  </w:style>
  <w:style w:type="character" w:customStyle="1" w:styleId="SubtitleChar">
    <w:name w:val="Subtitle Char"/>
    <w:basedOn w:val="DefaultParagraphFont"/>
    <w:link w:val="Subtitle"/>
    <w:uiPriority w:val="23"/>
    <w:rsid w:val="00596D01"/>
    <w:rPr>
      <w:rFonts w:cstheme="minorBidi"/>
      <w:b/>
      <w:color w:val="262626" w:themeColor="text1" w:themeTint="D9"/>
      <w:sz w:val="32"/>
      <w:lang w:eastAsia="en-US"/>
    </w:rPr>
  </w:style>
  <w:style w:type="paragraph" w:styleId="ListBullet2">
    <w:name w:val="List Bullet 2"/>
    <w:basedOn w:val="Normal"/>
    <w:rsid w:val="00962507"/>
    <w:pPr>
      <w:numPr>
        <w:numId w:val="2"/>
      </w:numPr>
      <w:contextualSpacing/>
    </w:pPr>
  </w:style>
  <w:style w:type="table" w:styleId="LightList">
    <w:name w:val="Light List"/>
    <w:basedOn w:val="TableNormal"/>
    <w:uiPriority w:val="61"/>
    <w:rsid w:val="00596D01"/>
    <w:pPr>
      <w:spacing w:before="0"/>
      <w:jc w:val="left"/>
    </w:pPr>
    <w:rPr>
      <w:rFonts w:eastAsiaTheme="minorHAnsi" w:cstheme="minorBidi"/>
      <w:color w:val="auto"/>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2Char">
    <w:name w:val="Heading 2 Char"/>
    <w:basedOn w:val="DefaultParagraphFont"/>
    <w:link w:val="Heading2"/>
    <w:uiPriority w:val="9"/>
    <w:rsid w:val="00E20EC0"/>
    <w:rPr>
      <w:rFonts w:asciiTheme="majorHAnsi" w:eastAsiaTheme="majorEastAsia" w:hAnsiTheme="majorHAnsi" w:cstheme="majorBidi"/>
      <w:b/>
      <w:color w:val="002776" w:themeColor="text2"/>
      <w:sz w:val="32"/>
      <w:szCs w:val="26"/>
    </w:rPr>
  </w:style>
  <w:style w:type="paragraph" w:styleId="NoSpacing">
    <w:name w:val="No Spacing"/>
    <w:link w:val="NoSpacingChar"/>
    <w:uiPriority w:val="1"/>
    <w:qFormat/>
    <w:rsid w:val="00596D01"/>
    <w:pPr>
      <w:spacing w:before="120"/>
      <w:jc w:val="left"/>
    </w:pPr>
    <w:rPr>
      <w:rFonts w:eastAsiaTheme="minorHAnsi" w:cstheme="minorBidi"/>
      <w:lang w:eastAsia="en-US"/>
    </w:rPr>
  </w:style>
  <w:style w:type="character" w:customStyle="1" w:styleId="Heading3Char">
    <w:name w:val="Heading 3 Char"/>
    <w:basedOn w:val="DefaultParagraphFont"/>
    <w:link w:val="Heading3"/>
    <w:uiPriority w:val="9"/>
    <w:rsid w:val="00944018"/>
    <w:rPr>
      <w:rFonts w:asciiTheme="majorHAnsi" w:eastAsiaTheme="majorEastAsia" w:hAnsiTheme="majorHAnsi" w:cstheme="majorBidi"/>
      <w:color w:val="002776" w:themeColor="text2"/>
      <w:sz w:val="28"/>
      <w:szCs w:val="24"/>
    </w:rPr>
  </w:style>
  <w:style w:type="character" w:customStyle="1" w:styleId="Heading4Char">
    <w:name w:val="Heading 4 Char"/>
    <w:basedOn w:val="DefaultParagraphFont"/>
    <w:link w:val="Heading4"/>
    <w:uiPriority w:val="9"/>
    <w:rsid w:val="00944018"/>
    <w:rPr>
      <w:rFonts w:asciiTheme="majorHAnsi" w:eastAsiaTheme="majorEastAsia" w:hAnsiTheme="majorHAnsi" w:cstheme="majorBidi"/>
      <w:iCs/>
      <w:color w:val="007EB1" w:themeColor="accent3"/>
      <w:sz w:val="24"/>
      <w:szCs w:val="24"/>
    </w:rPr>
  </w:style>
  <w:style w:type="character" w:customStyle="1" w:styleId="Heading5Char">
    <w:name w:val="Heading 5 Char"/>
    <w:basedOn w:val="DefaultParagraphFont"/>
    <w:link w:val="Heading5"/>
    <w:uiPriority w:val="9"/>
    <w:rsid w:val="00596D01"/>
    <w:rPr>
      <w:rFonts w:eastAsiaTheme="majorEastAsia" w:cstheme="majorBidi"/>
      <w:i/>
      <w:color w:val="007EB1" w:themeColor="accent3"/>
      <w:sz w:val="22"/>
      <w:lang w:eastAsia="en-US"/>
    </w:rPr>
  </w:style>
  <w:style w:type="character" w:customStyle="1" w:styleId="Heading6Char">
    <w:name w:val="Heading 6 Char"/>
    <w:basedOn w:val="DefaultParagraphFont"/>
    <w:link w:val="Heading6"/>
    <w:uiPriority w:val="9"/>
    <w:rsid w:val="00596D01"/>
    <w:rPr>
      <w:rFonts w:eastAsiaTheme="majorEastAsia" w:cstheme="majorBidi"/>
      <w:b/>
      <w:i/>
      <w:color w:val="262626" w:themeColor="text1" w:themeTint="D9"/>
      <w:lang w:eastAsia="en-US"/>
    </w:rPr>
  </w:style>
  <w:style w:type="character" w:customStyle="1" w:styleId="Heading7Char">
    <w:name w:val="Heading 7 Char"/>
    <w:basedOn w:val="DefaultParagraphFont"/>
    <w:link w:val="Heading7"/>
    <w:uiPriority w:val="9"/>
    <w:rsid w:val="00596D01"/>
    <w:rPr>
      <w:rFonts w:eastAsiaTheme="majorEastAsia" w:cstheme="majorBidi"/>
      <w:i/>
      <w:iCs/>
      <w:color w:val="262626" w:themeColor="text1" w:themeTint="D9"/>
      <w:lang w:eastAsia="en-US"/>
    </w:rPr>
  </w:style>
  <w:style w:type="character" w:customStyle="1" w:styleId="Heading8Char">
    <w:name w:val="Heading 8 Char"/>
    <w:basedOn w:val="DefaultParagraphFont"/>
    <w:link w:val="Heading8"/>
    <w:uiPriority w:val="9"/>
    <w:rsid w:val="00596D01"/>
    <w:rPr>
      <w:rFonts w:ascii="Times New Roman" w:eastAsia="Times New Roman" w:hAnsi="Times New Roman"/>
      <w:color w:val="931638"/>
      <w:sz w:val="24"/>
      <w:szCs w:val="24"/>
      <w:lang w:eastAsia="en-US"/>
    </w:rPr>
  </w:style>
  <w:style w:type="character" w:customStyle="1" w:styleId="Heading9Char">
    <w:name w:val="Heading 9 Char"/>
    <w:basedOn w:val="DefaultParagraphFont"/>
    <w:link w:val="Heading9"/>
    <w:uiPriority w:val="9"/>
    <w:rsid w:val="00596D01"/>
    <w:rPr>
      <w:rFonts w:ascii="Times New Roman" w:eastAsia="Times New Roman" w:hAnsi="Times New Roman"/>
      <w:color w:val="931638"/>
      <w:sz w:val="24"/>
      <w:szCs w:val="24"/>
      <w:lang w:eastAsia="en-US"/>
    </w:rPr>
  </w:style>
  <w:style w:type="paragraph" w:styleId="Title">
    <w:name w:val="Title"/>
    <w:basedOn w:val="Normal"/>
    <w:next w:val="Normal"/>
    <w:link w:val="TitleChar"/>
    <w:uiPriority w:val="22"/>
    <w:qFormat/>
    <w:rsid w:val="005659F4"/>
    <w:pPr>
      <w:keepLines/>
      <w:spacing w:before="900" w:after="300" w:line="640" w:lineRule="exact"/>
      <w:contextualSpacing/>
    </w:pPr>
    <w:rPr>
      <w:rFonts w:asciiTheme="majorHAnsi" w:eastAsiaTheme="majorEastAsia" w:hAnsiTheme="majorHAnsi" w:cstheme="majorBidi"/>
      <w:color w:val="002776" w:themeColor="accent1"/>
      <w:kern w:val="28"/>
      <w:sz w:val="56"/>
      <w:szCs w:val="56"/>
    </w:rPr>
  </w:style>
  <w:style w:type="character" w:customStyle="1" w:styleId="TitleChar">
    <w:name w:val="Title Char"/>
    <w:basedOn w:val="DefaultParagraphFont"/>
    <w:link w:val="Title"/>
    <w:uiPriority w:val="22"/>
    <w:rsid w:val="005659F4"/>
    <w:rPr>
      <w:rFonts w:asciiTheme="majorHAnsi" w:eastAsiaTheme="majorEastAsia" w:hAnsiTheme="majorHAnsi" w:cstheme="majorBidi"/>
      <w:color w:val="002776" w:themeColor="accent1"/>
      <w:kern w:val="28"/>
      <w:sz w:val="56"/>
      <w:szCs w:val="56"/>
    </w:rPr>
  </w:style>
  <w:style w:type="character" w:styleId="SubtleEmphasis">
    <w:name w:val="Subtle Emphasis"/>
    <w:uiPriority w:val="19"/>
    <w:qFormat/>
    <w:rsid w:val="00596D01"/>
    <w:rPr>
      <w:i/>
      <w:iCs/>
    </w:rPr>
  </w:style>
  <w:style w:type="character" w:styleId="IntenseEmphasis">
    <w:name w:val="Intense Emphasis"/>
    <w:basedOn w:val="DefaultParagraphFont"/>
    <w:uiPriority w:val="33"/>
    <w:qFormat/>
    <w:rsid w:val="00596D01"/>
    <w:rPr>
      <w:b/>
      <w:i/>
      <w:iCs/>
      <w:color w:val="000000" w:themeColor="text1"/>
    </w:rPr>
  </w:style>
  <w:style w:type="paragraph" w:styleId="IntenseQuote">
    <w:name w:val="Intense Quote"/>
    <w:basedOn w:val="Normal"/>
    <w:next w:val="Normal"/>
    <w:link w:val="IntenseQuoteChar"/>
    <w:uiPriority w:val="30"/>
    <w:qFormat/>
    <w:rsid w:val="008F3E8B"/>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8F3E8B"/>
    <w:rPr>
      <w:b/>
      <w:bCs/>
      <w:i/>
      <w:iCs/>
      <w:sz w:val="24"/>
      <w:szCs w:val="24"/>
      <w:lang w:eastAsia="en-US"/>
    </w:rPr>
  </w:style>
  <w:style w:type="character" w:styleId="SubtleReference">
    <w:name w:val="Subtle Reference"/>
    <w:uiPriority w:val="31"/>
    <w:unhideWhenUsed/>
    <w:qFormat/>
    <w:rsid w:val="00596D01"/>
    <w:rPr>
      <w:smallCaps/>
    </w:rPr>
  </w:style>
  <w:style w:type="character" w:styleId="IntenseReference">
    <w:name w:val="Intense Reference"/>
    <w:uiPriority w:val="32"/>
    <w:unhideWhenUsed/>
    <w:qFormat/>
    <w:rsid w:val="00596D01"/>
    <w:rPr>
      <w:smallCaps/>
      <w:spacing w:val="5"/>
      <w:u w:val="single"/>
    </w:rPr>
  </w:style>
  <w:style w:type="character" w:customStyle="1" w:styleId="NoSpacingChar">
    <w:name w:val="No Spacing Char"/>
    <w:basedOn w:val="DefaultParagraphFont"/>
    <w:link w:val="NoSpacing"/>
    <w:uiPriority w:val="1"/>
    <w:rsid w:val="00596D01"/>
    <w:rPr>
      <w:rFonts w:eastAsiaTheme="minorHAnsi" w:cstheme="minorBidi"/>
      <w:color w:val="262626" w:themeColor="text1" w:themeTint="D9"/>
      <w:lang w:eastAsia="en-US"/>
    </w:rPr>
  </w:style>
  <w:style w:type="character" w:customStyle="1" w:styleId="CommentSubjectChar">
    <w:name w:val="Comment Subject Char"/>
    <w:basedOn w:val="CommentTextChar"/>
    <w:link w:val="CommentSubject"/>
    <w:uiPriority w:val="99"/>
    <w:rsid w:val="00596D01"/>
    <w:rPr>
      <w:b/>
      <w:bCs/>
    </w:rPr>
  </w:style>
  <w:style w:type="paragraph" w:customStyle="1" w:styleId="TableHeading">
    <w:name w:val="Table Heading"/>
    <w:basedOn w:val="Normal"/>
    <w:uiPriority w:val="99"/>
    <w:rsid w:val="00C720A4"/>
    <w:pPr>
      <w:autoSpaceDE w:val="0"/>
      <w:autoSpaceDN w:val="0"/>
      <w:spacing w:line="288" w:lineRule="auto"/>
    </w:pPr>
    <w:rPr>
      <w:rFonts w:ascii="Arial" w:eastAsiaTheme="minorHAnsi" w:hAnsi="Arial" w:cs="Arial"/>
      <w:b/>
      <w:bCs/>
      <w:color w:val="000000"/>
    </w:rPr>
  </w:style>
  <w:style w:type="paragraph" w:customStyle="1" w:styleId="NILSTabletext">
    <w:name w:val="NILS Table text"/>
    <w:basedOn w:val="Normal"/>
    <w:uiPriority w:val="99"/>
    <w:rsid w:val="003402BC"/>
    <w:pPr>
      <w:spacing w:before="60"/>
      <w:jc w:val="both"/>
    </w:pPr>
    <w:rPr>
      <w:rFonts w:ascii="Arial" w:eastAsia="Times" w:hAnsi="Arial"/>
      <w:sz w:val="22"/>
    </w:rPr>
  </w:style>
  <w:style w:type="table" w:styleId="TableColumns3">
    <w:name w:val="Table Columns 3"/>
    <w:basedOn w:val="TableNormal"/>
    <w:rsid w:val="00596D01"/>
    <w:pPr>
      <w:spacing w:before="0"/>
      <w:jc w:val="lef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lassic4">
    <w:name w:val="Table Classic 4"/>
    <w:basedOn w:val="TableNormal"/>
    <w:rsid w:val="00050319"/>
    <w:pPr>
      <w:spacing w:before="0"/>
      <w:jc w:val="lef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rsid w:val="00050319"/>
    <w:pPr>
      <w:spacing w:before="0"/>
      <w:jc w:val="lef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8">
    <w:name w:val="Table Grid 8"/>
    <w:basedOn w:val="TableNormal"/>
    <w:rsid w:val="00596D01"/>
    <w:pPr>
      <w:spacing w:before="0"/>
      <w:jc w:val="lef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numbering" w:customStyle="1" w:styleId="DefaultBullets">
    <w:name w:val="Default Bullets"/>
    <w:uiPriority w:val="99"/>
    <w:rsid w:val="00596D01"/>
    <w:pPr>
      <w:numPr>
        <w:numId w:val="35"/>
      </w:numPr>
    </w:pPr>
  </w:style>
  <w:style w:type="paragraph" w:customStyle="1" w:styleId="default">
    <w:name w:val="default"/>
    <w:basedOn w:val="Normal"/>
    <w:rsid w:val="006549E1"/>
    <w:pPr>
      <w:autoSpaceDE w:val="0"/>
      <w:autoSpaceDN w:val="0"/>
    </w:pPr>
    <w:rPr>
      <w:rFonts w:ascii="Tahoma" w:eastAsiaTheme="minorHAnsi" w:hAnsi="Tahoma" w:cs="Tahoma"/>
      <w:color w:val="000000"/>
    </w:rPr>
  </w:style>
  <w:style w:type="paragraph" w:customStyle="1" w:styleId="AppendixNumbered">
    <w:name w:val="Appendix Numbered"/>
    <w:basedOn w:val="Heading2"/>
    <w:uiPriority w:val="11"/>
    <w:qFormat/>
    <w:rsid w:val="00E911C8"/>
    <w:pPr>
      <w:pageBreakBefore/>
      <w:numPr>
        <w:numId w:val="34"/>
      </w:numPr>
      <w:ind w:left="0" w:firstLine="0"/>
    </w:pPr>
  </w:style>
  <w:style w:type="numbering" w:customStyle="1" w:styleId="AppendixNumbers">
    <w:name w:val="Appendix Numbers"/>
    <w:uiPriority w:val="99"/>
    <w:rsid w:val="00FE3413"/>
    <w:pPr>
      <w:numPr>
        <w:numId w:val="6"/>
      </w:numPr>
    </w:pPr>
  </w:style>
  <w:style w:type="paragraph" w:customStyle="1" w:styleId="Boxed1Text">
    <w:name w:val="Boxed 1 Text"/>
    <w:basedOn w:val="Normal"/>
    <w:uiPriority w:val="29"/>
    <w:qFormat/>
    <w:rsid w:val="00596D01"/>
    <w:pPr>
      <w:pBdr>
        <w:top w:val="single" w:sz="4" w:space="14" w:color="72C7E7" w:themeColor="accent5"/>
        <w:left w:val="single" w:sz="4" w:space="14" w:color="72C7E7" w:themeColor="accent5"/>
        <w:bottom w:val="single" w:sz="4" w:space="14" w:color="72C7E7" w:themeColor="accent5"/>
        <w:right w:val="single" w:sz="4" w:space="14" w:color="72C7E7" w:themeColor="accent5"/>
      </w:pBdr>
      <w:shd w:val="clear" w:color="auto" w:fill="AADDF0" w:themeFill="accent5" w:themeFillTint="99"/>
      <w:spacing w:line="240" w:lineRule="atLeast"/>
      <w:ind w:left="284" w:right="284"/>
    </w:pPr>
  </w:style>
  <w:style w:type="paragraph" w:customStyle="1" w:styleId="Boxed1Bullet">
    <w:name w:val="Boxed 1 Bullet"/>
    <w:basedOn w:val="Boxed1Text"/>
    <w:uiPriority w:val="30"/>
    <w:qFormat/>
    <w:rsid w:val="00596D01"/>
    <w:pPr>
      <w:numPr>
        <w:numId w:val="8"/>
      </w:numPr>
    </w:pPr>
  </w:style>
  <w:style w:type="paragraph" w:customStyle="1" w:styleId="Boxed1Bullet2">
    <w:name w:val="Boxed 1 Bullet 2"/>
    <w:basedOn w:val="Boxed1Bullet"/>
    <w:uiPriority w:val="30"/>
    <w:qFormat/>
    <w:rsid w:val="00596D01"/>
    <w:pPr>
      <w:numPr>
        <w:numId w:val="7"/>
      </w:numPr>
      <w:tabs>
        <w:tab w:val="clear" w:pos="284"/>
        <w:tab w:val="left" w:pos="567"/>
      </w:tabs>
    </w:pPr>
    <w:rPr>
      <w:lang w:val="en-GB"/>
    </w:rPr>
  </w:style>
  <w:style w:type="paragraph" w:customStyle="1" w:styleId="Boxed1Heading">
    <w:name w:val="Boxed 1 Heading"/>
    <w:basedOn w:val="Boxed1Text"/>
    <w:uiPriority w:val="29"/>
    <w:qFormat/>
    <w:rsid w:val="00596D01"/>
    <w:pPr>
      <w:keepNext/>
    </w:pPr>
    <w:rPr>
      <w:b/>
      <w:color w:val="002776" w:themeColor="text2"/>
      <w:sz w:val="24"/>
    </w:rPr>
  </w:style>
  <w:style w:type="paragraph" w:customStyle="1" w:styleId="Boxed2Text">
    <w:name w:val="Boxed 2 Text"/>
    <w:basedOn w:val="Boxed1Text"/>
    <w:uiPriority w:val="31"/>
    <w:qFormat/>
    <w:rsid w:val="00596D01"/>
    <w:pPr>
      <w:pBdr>
        <w:top w:val="single" w:sz="4" w:space="14" w:color="128A00" w:themeColor="accent2"/>
        <w:left w:val="single" w:sz="4" w:space="14" w:color="128A00" w:themeColor="accent2"/>
        <w:bottom w:val="single" w:sz="4" w:space="14" w:color="128A00" w:themeColor="accent2"/>
        <w:right w:val="single" w:sz="4" w:space="14" w:color="128A00" w:themeColor="accent2"/>
      </w:pBdr>
      <w:shd w:val="clear" w:color="auto" w:fill="auto"/>
    </w:pPr>
  </w:style>
  <w:style w:type="paragraph" w:customStyle="1" w:styleId="Boxed2Bullet">
    <w:name w:val="Boxed 2 Bullet"/>
    <w:basedOn w:val="Boxed2Text"/>
    <w:uiPriority w:val="32"/>
    <w:qFormat/>
    <w:rsid w:val="00596D01"/>
    <w:pPr>
      <w:numPr>
        <w:ilvl w:val="1"/>
        <w:numId w:val="8"/>
      </w:numPr>
    </w:pPr>
  </w:style>
  <w:style w:type="paragraph" w:customStyle="1" w:styleId="Boxed2Heading">
    <w:name w:val="Boxed 2 Heading"/>
    <w:basedOn w:val="Boxed2Text"/>
    <w:uiPriority w:val="31"/>
    <w:qFormat/>
    <w:rsid w:val="00596D01"/>
    <w:pPr>
      <w:keepNext/>
    </w:pPr>
    <w:rPr>
      <w:b/>
      <w:color w:val="136400" w:themeColor="accent4"/>
    </w:rPr>
  </w:style>
  <w:style w:type="numbering" w:customStyle="1" w:styleId="BoxedBullets">
    <w:name w:val="Boxed Bullets"/>
    <w:uiPriority w:val="99"/>
    <w:rsid w:val="00596D01"/>
    <w:pPr>
      <w:numPr>
        <w:numId w:val="8"/>
      </w:numPr>
    </w:pPr>
  </w:style>
  <w:style w:type="paragraph" w:customStyle="1" w:styleId="Bullet3">
    <w:name w:val="Bullet 3"/>
    <w:basedOn w:val="Normal"/>
    <w:uiPriority w:val="2"/>
    <w:qFormat/>
    <w:rsid w:val="00596D01"/>
    <w:pPr>
      <w:numPr>
        <w:ilvl w:val="2"/>
        <w:numId w:val="9"/>
      </w:numPr>
      <w:spacing w:before="60"/>
    </w:pPr>
  </w:style>
  <w:style w:type="paragraph" w:customStyle="1" w:styleId="FigureTitle">
    <w:name w:val="Figure Title"/>
    <w:basedOn w:val="Normal"/>
    <w:uiPriority w:val="12"/>
    <w:qFormat/>
    <w:rsid w:val="00660C00"/>
    <w:pPr>
      <w:keepNext/>
      <w:numPr>
        <w:ilvl w:val="4"/>
        <w:numId w:val="17"/>
      </w:numPr>
      <w:spacing w:before="240"/>
    </w:pPr>
    <w:rPr>
      <w:rFonts w:asciiTheme="majorHAnsi" w:hAnsiTheme="majorHAnsi"/>
      <w:b/>
      <w:color w:val="002776" w:themeColor="text2"/>
      <w:sz w:val="22"/>
    </w:rPr>
  </w:style>
  <w:style w:type="paragraph" w:customStyle="1" w:styleId="ChartTitle">
    <w:name w:val="Chart Title"/>
    <w:basedOn w:val="FigureTitle"/>
    <w:uiPriority w:val="12"/>
    <w:qFormat/>
    <w:rsid w:val="00596D01"/>
    <w:pPr>
      <w:numPr>
        <w:ilvl w:val="6"/>
      </w:numPr>
    </w:pPr>
  </w:style>
  <w:style w:type="paragraph" w:customStyle="1" w:styleId="CoverDate">
    <w:name w:val="Cover Date"/>
    <w:basedOn w:val="Subtitle"/>
    <w:uiPriority w:val="24"/>
    <w:qFormat/>
    <w:rsid w:val="00596D01"/>
  </w:style>
  <w:style w:type="table" w:customStyle="1" w:styleId="GridTable5Dark-Accent11">
    <w:name w:val="Grid Table 5 Dark - Accent 11"/>
    <w:basedOn w:val="TableNormal"/>
    <w:uiPriority w:val="50"/>
    <w:rsid w:val="00596D01"/>
    <w:pPr>
      <w:spacing w:before="120"/>
      <w:jc w:val="left"/>
    </w:pPr>
    <w:rPr>
      <w:rFonts w:eastAsia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0CA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77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77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77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776" w:themeFill="accent1"/>
      </w:tcPr>
    </w:tblStylePr>
    <w:tblStylePr w:type="band1Vert">
      <w:tblPr/>
      <w:tcPr>
        <w:shd w:val="clear" w:color="auto" w:fill="6295FF" w:themeFill="accent1" w:themeFillTint="66"/>
      </w:tcPr>
    </w:tblStylePr>
    <w:tblStylePr w:type="band1Horz">
      <w:tblPr/>
      <w:tcPr>
        <w:shd w:val="clear" w:color="auto" w:fill="6295FF" w:themeFill="accent1" w:themeFillTint="66"/>
      </w:tcPr>
    </w:tblStylePr>
  </w:style>
  <w:style w:type="table" w:customStyle="1" w:styleId="DefaultTable1">
    <w:name w:val="Default Table 1"/>
    <w:basedOn w:val="GridTable5Dark-Accent11"/>
    <w:uiPriority w:val="99"/>
    <w:rsid w:val="001865B8"/>
    <w:pPr>
      <w:spacing w:before="60" w:after="60"/>
    </w:p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20"/>
      </w:rPr>
      <w:tblPr/>
      <w:tcPr>
        <w:tcBorders>
          <w:top w:val="single" w:sz="4" w:space="0" w:color="002776" w:themeColor="text2"/>
          <w:left w:val="single" w:sz="4" w:space="0" w:color="002776" w:themeColor="text2"/>
          <w:bottom w:val="single" w:sz="4" w:space="0" w:color="002776" w:themeColor="text2"/>
          <w:right w:val="single" w:sz="4" w:space="0" w:color="002776" w:themeColor="text2"/>
          <w:insideH w:val="single" w:sz="4" w:space="0" w:color="002776" w:themeColor="text2"/>
          <w:insideV w:val="single" w:sz="4" w:space="0" w:color="002776" w:themeColor="text2"/>
          <w:tl2br w:val="nil"/>
          <w:tr2bl w:val="nil"/>
        </w:tcBorders>
        <w:shd w:val="clear" w:color="auto" w:fill="002776" w:themeFill="accent1"/>
      </w:tcPr>
    </w:tblStylePr>
    <w:tblStylePr w:type="lastRow">
      <w:rPr>
        <w:b/>
        <w:bCs/>
        <w:color w:val="000000" w:themeColor="text1"/>
      </w:rPr>
      <w:tblPr/>
      <w:tcPr>
        <w:tcBorders>
          <w:top w:val="single" w:sz="4" w:space="0" w:color="002776" w:themeColor="text2"/>
          <w:left w:val="single" w:sz="4" w:space="0" w:color="002776" w:themeColor="text2"/>
          <w:bottom w:val="single" w:sz="4" w:space="0" w:color="002776" w:themeColor="text2"/>
          <w:right w:val="single" w:sz="4" w:space="0" w:color="002776" w:themeColor="text2"/>
          <w:insideH w:val="single" w:sz="4" w:space="0" w:color="002776" w:themeColor="text2"/>
          <w:insideV w:val="single" w:sz="4" w:space="0" w:color="002776" w:themeColor="text2"/>
        </w:tcBorders>
        <w:shd w:val="clear" w:color="auto" w:fill="auto"/>
      </w:tcPr>
    </w:tblStylePr>
    <w:tblStylePr w:type="firstCol">
      <w:rPr>
        <w:b/>
        <w:bCs/>
        <w:color w:val="262626" w:themeColor="text1" w:themeTint="D9"/>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auto"/>
      </w:tcPr>
    </w:tblStylePr>
    <w:tblStylePr w:type="lastCol">
      <w:pPr>
        <w:jc w:val="right"/>
      </w:pPr>
      <w:rPr>
        <w:b/>
        <w:bCs/>
        <w:color w:val="262626" w:themeColor="text1" w:themeTint="D9"/>
      </w:rPr>
      <w:tblPr/>
      <w:tcPr>
        <w:tcBorders>
          <w:top w:val="single" w:sz="4" w:space="0" w:color="002776" w:themeColor="text2"/>
          <w:left w:val="single" w:sz="4" w:space="0" w:color="002776" w:themeColor="text2"/>
          <w:bottom w:val="single" w:sz="4" w:space="0" w:color="002776" w:themeColor="text2"/>
          <w:right w:val="single" w:sz="4" w:space="0" w:color="002776" w:themeColor="text2"/>
          <w:insideH w:val="single" w:sz="4" w:space="0" w:color="002776" w:themeColor="text2"/>
          <w:insideV w:val="single" w:sz="4" w:space="0" w:color="002776" w:themeColor="text2"/>
        </w:tcBorders>
        <w:shd w:val="clear" w:color="auto" w:fill="auto"/>
      </w:tcPr>
    </w:tblStylePr>
    <w:tblStylePr w:type="band1Vert">
      <w:tblPr/>
      <w:tcPr>
        <w:shd w:val="clear" w:color="auto" w:fill="E2F3FA" w:themeFill="accent5" w:themeFillTint="33"/>
      </w:tcPr>
    </w:tblStylePr>
    <w:tblStylePr w:type="band2Vert">
      <w:tblPr/>
      <w:tcPr>
        <w:shd w:val="clear" w:color="auto" w:fill="C6E8F5" w:themeFill="accent5" w:themeFillTint="66"/>
      </w:tcPr>
    </w:tblStylePr>
    <w:tblStylePr w:type="band1Horz">
      <w:tblPr/>
      <w:tcPr>
        <w:shd w:val="clear" w:color="auto" w:fill="E2F3FA" w:themeFill="accent5" w:themeFillTint="33"/>
      </w:tcPr>
    </w:tblStylePr>
    <w:tblStylePr w:type="band2Horz">
      <w:tblPr/>
      <w:tcPr>
        <w:shd w:val="clear" w:color="auto" w:fill="C6E8F5" w:themeFill="accent5" w:themeFillTint="66"/>
      </w:tcPr>
    </w:tblStylePr>
  </w:style>
  <w:style w:type="table" w:customStyle="1" w:styleId="DefaultTable2">
    <w:name w:val="Default Table 2"/>
    <w:basedOn w:val="TableNormal"/>
    <w:uiPriority w:val="99"/>
    <w:rsid w:val="00596D01"/>
    <w:pPr>
      <w:spacing w:before="0"/>
      <w:jc w:val="left"/>
    </w:pPr>
    <w:rPr>
      <w:rFonts w:eastAsiaTheme="minorHAnsi" w:cstheme="minorBidi"/>
      <w:lang w:eastAsia="en-US"/>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57" w:type="dxa"/>
        <w:bottom w:w="28" w:type="dxa"/>
        <w:right w:w="57" w:type="dxa"/>
      </w:tblCellMar>
    </w:tblPr>
    <w:tblStylePr w:type="firstRow">
      <w:rPr>
        <w:b/>
      </w:rPr>
      <w:tblPr/>
      <w:tcPr>
        <w:shd w:val="clear" w:color="auto" w:fill="A6A6A6" w:themeFill="background1" w:themeFillShade="A6"/>
      </w:tcPr>
    </w:tblStylePr>
    <w:tblStylePr w:type="lastRow">
      <w:rPr>
        <w:b/>
      </w:rPr>
      <w:tblPr/>
      <w:tcPr>
        <w:shd w:val="clear" w:color="auto" w:fill="D9D9D9" w:themeFill="background1" w:themeFillShade="D9"/>
      </w:tcPr>
    </w:tblStylePr>
    <w:tblStylePr w:type="firstCol">
      <w:rPr>
        <w:b/>
      </w:rPr>
      <w:tblPr/>
      <w:tcPr>
        <w:shd w:val="clear" w:color="auto" w:fill="F2F2F2" w:themeFill="background1" w:themeFillShade="F2"/>
      </w:tcPr>
    </w:tblStylePr>
    <w:tblStylePr w:type="lastCol">
      <w:rPr>
        <w:b/>
      </w:rPr>
      <w:tblPr/>
      <w:tcPr>
        <w:shd w:val="clear" w:color="auto" w:fill="F2F2F2" w:themeFill="background1" w:themeFillShade="F2"/>
      </w:tcPr>
    </w:tblStylePr>
    <w:tblStylePr w:type="band1Vert">
      <w:tblPr/>
      <w:tcPr>
        <w:shd w:val="clear" w:color="auto" w:fill="F2F2F2" w:themeFill="background1" w:themeFillShade="F2"/>
      </w:tcPr>
    </w:tblStylePr>
    <w:tblStylePr w:type="band2Vert">
      <w:tblPr/>
      <w:tcPr>
        <w:shd w:val="clear" w:color="auto" w:fill="FFFFFF" w:themeFill="background1"/>
      </w:tc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numbering" w:customStyle="1" w:styleId="FigureNumbers">
    <w:name w:val="Figure Numbers"/>
    <w:uiPriority w:val="99"/>
    <w:rsid w:val="00596D01"/>
    <w:pPr>
      <w:numPr>
        <w:numId w:val="10"/>
      </w:numPr>
    </w:pPr>
  </w:style>
  <w:style w:type="paragraph" w:customStyle="1" w:styleId="Heading1Numbered">
    <w:name w:val="Heading 1 Numbered"/>
    <w:basedOn w:val="Heading1"/>
    <w:uiPriority w:val="10"/>
    <w:qFormat/>
    <w:rsid w:val="00E20EC0"/>
    <w:pPr>
      <w:numPr>
        <w:numId w:val="17"/>
      </w:numPr>
      <w:outlineLvl w:val="1"/>
    </w:pPr>
  </w:style>
  <w:style w:type="paragraph" w:customStyle="1" w:styleId="Heading2Numbered">
    <w:name w:val="Heading 2 Numbered"/>
    <w:basedOn w:val="Heading2"/>
    <w:uiPriority w:val="10"/>
    <w:qFormat/>
    <w:rsid w:val="00E20EC0"/>
    <w:pPr>
      <w:numPr>
        <w:ilvl w:val="1"/>
        <w:numId w:val="17"/>
      </w:numPr>
      <w:outlineLvl w:val="2"/>
    </w:pPr>
  </w:style>
  <w:style w:type="paragraph" w:customStyle="1" w:styleId="Heading3Numbered">
    <w:name w:val="Heading 3 Numbered"/>
    <w:basedOn w:val="Heading3"/>
    <w:uiPriority w:val="10"/>
    <w:qFormat/>
    <w:rsid w:val="00E20EC0"/>
    <w:pPr>
      <w:numPr>
        <w:ilvl w:val="2"/>
        <w:numId w:val="17"/>
      </w:numPr>
      <w:outlineLvl w:val="3"/>
    </w:pPr>
  </w:style>
  <w:style w:type="paragraph" w:customStyle="1" w:styleId="Heading4Numbered">
    <w:name w:val="Heading 4 Numbered"/>
    <w:basedOn w:val="Heading4"/>
    <w:uiPriority w:val="10"/>
    <w:qFormat/>
    <w:rsid w:val="00944018"/>
    <w:pPr>
      <w:numPr>
        <w:ilvl w:val="3"/>
        <w:numId w:val="17"/>
      </w:numPr>
      <w:outlineLvl w:val="4"/>
    </w:pPr>
  </w:style>
  <w:style w:type="numbering" w:customStyle="1" w:styleId="KCBullets">
    <w:name w:val="KC Bullets"/>
    <w:uiPriority w:val="99"/>
    <w:rsid w:val="00596D01"/>
    <w:pPr>
      <w:numPr>
        <w:numId w:val="11"/>
      </w:numPr>
    </w:pPr>
  </w:style>
  <w:style w:type="numbering" w:customStyle="1" w:styleId="List1Numbered">
    <w:name w:val="List 1 Numbered"/>
    <w:uiPriority w:val="99"/>
    <w:rsid w:val="00596D01"/>
    <w:pPr>
      <w:numPr>
        <w:numId w:val="12"/>
      </w:numPr>
    </w:pPr>
  </w:style>
  <w:style w:type="paragraph" w:customStyle="1" w:styleId="List1Numbered1">
    <w:name w:val="List 1 Numbered 1"/>
    <w:basedOn w:val="Normal"/>
    <w:uiPriority w:val="2"/>
    <w:qFormat/>
    <w:rsid w:val="00596D01"/>
    <w:pPr>
      <w:numPr>
        <w:numId w:val="13"/>
      </w:numPr>
    </w:pPr>
  </w:style>
  <w:style w:type="paragraph" w:customStyle="1" w:styleId="NormalIndent5mm">
    <w:name w:val="Normal Indent 5mm"/>
    <w:basedOn w:val="Normal"/>
    <w:qFormat/>
    <w:rsid w:val="00596D01"/>
    <w:pPr>
      <w:ind w:left="284"/>
    </w:pPr>
  </w:style>
  <w:style w:type="numbering" w:customStyle="1" w:styleId="NumberedHeadings">
    <w:name w:val="Numbered Headings"/>
    <w:uiPriority w:val="99"/>
    <w:rsid w:val="00596D01"/>
    <w:pPr>
      <w:numPr>
        <w:numId w:val="14"/>
      </w:numPr>
    </w:pPr>
  </w:style>
  <w:style w:type="paragraph" w:customStyle="1" w:styleId="PullOut">
    <w:name w:val="Pull Out"/>
    <w:basedOn w:val="Normal"/>
    <w:uiPriority w:val="22"/>
    <w:qFormat/>
    <w:rsid w:val="00596D01"/>
    <w:pPr>
      <w:spacing w:line="340" w:lineRule="atLeast"/>
    </w:pPr>
    <w:rPr>
      <w:color w:val="002776" w:themeColor="text2"/>
      <w:sz w:val="26"/>
    </w:rPr>
  </w:style>
  <w:style w:type="paragraph" w:customStyle="1" w:styleId="SourceNotes">
    <w:name w:val="Source Notes"/>
    <w:basedOn w:val="Normal"/>
    <w:uiPriority w:val="21"/>
    <w:qFormat/>
    <w:rsid w:val="00596D01"/>
    <w:pPr>
      <w:spacing w:before="60"/>
    </w:pPr>
    <w:rPr>
      <w:sz w:val="16"/>
    </w:rPr>
  </w:style>
  <w:style w:type="paragraph" w:customStyle="1" w:styleId="SourceNotesHeading">
    <w:name w:val="Source Notes Heading"/>
    <w:basedOn w:val="SourceNotes"/>
    <w:uiPriority w:val="20"/>
    <w:qFormat/>
    <w:rsid w:val="00596D01"/>
    <w:rPr>
      <w:rFonts w:asciiTheme="majorHAnsi" w:hAnsiTheme="majorHAnsi"/>
      <w:b/>
    </w:rPr>
  </w:style>
  <w:style w:type="paragraph" w:customStyle="1" w:styleId="SourceNotesNumbered">
    <w:name w:val="Source Notes Numbered"/>
    <w:basedOn w:val="SourceNotes"/>
    <w:uiPriority w:val="21"/>
    <w:qFormat/>
    <w:rsid w:val="00596D01"/>
    <w:pPr>
      <w:numPr>
        <w:numId w:val="15"/>
      </w:numPr>
    </w:pPr>
  </w:style>
  <w:style w:type="numbering" w:customStyle="1" w:styleId="TableNumbers">
    <w:name w:val="Table Numbers"/>
    <w:uiPriority w:val="99"/>
    <w:rsid w:val="00596D01"/>
    <w:pPr>
      <w:numPr>
        <w:numId w:val="16"/>
      </w:numPr>
    </w:pPr>
  </w:style>
  <w:style w:type="paragraph" w:customStyle="1" w:styleId="TableTitle">
    <w:name w:val="Table Title"/>
    <w:basedOn w:val="FigureTitle"/>
    <w:uiPriority w:val="12"/>
    <w:qFormat/>
    <w:rsid w:val="00596D01"/>
    <w:pPr>
      <w:numPr>
        <w:ilvl w:val="5"/>
      </w:numPr>
    </w:pPr>
  </w:style>
  <w:style w:type="character" w:customStyle="1" w:styleId="UnresolvedMention">
    <w:name w:val="Unresolved Mention"/>
    <w:basedOn w:val="DefaultParagraphFont"/>
    <w:uiPriority w:val="99"/>
    <w:semiHidden/>
    <w:unhideWhenUsed/>
    <w:rsid w:val="00596D01"/>
    <w:rPr>
      <w:color w:val="605E5C"/>
      <w:shd w:val="clear" w:color="auto" w:fill="E1DFDD"/>
    </w:rPr>
  </w:style>
  <w:style w:type="paragraph" w:customStyle="1" w:styleId="AppendixTable">
    <w:name w:val="Appendix Table"/>
    <w:basedOn w:val="Normal"/>
    <w:uiPriority w:val="11"/>
    <w:qFormat/>
    <w:rsid w:val="00FE3413"/>
    <w:pPr>
      <w:numPr>
        <w:ilvl w:val="1"/>
        <w:numId w:val="34"/>
      </w:numPr>
    </w:pPr>
    <w:rPr>
      <w:rFonts w:asciiTheme="majorHAnsi" w:hAnsiTheme="majorHAnsi"/>
      <w:color w:val="002776" w:themeColor="text2"/>
      <w:sz w:val="22"/>
    </w:rPr>
  </w:style>
  <w:style w:type="paragraph" w:customStyle="1" w:styleId="AppendixFigure">
    <w:name w:val="Appendix Figure"/>
    <w:basedOn w:val="AppendixTable"/>
    <w:uiPriority w:val="11"/>
    <w:qFormat/>
    <w:rsid w:val="00FE3413"/>
    <w:pPr>
      <w:numPr>
        <w:ilvl w:val="2"/>
      </w:numPr>
      <w:spacing w:before="240" w:after="120"/>
    </w:pPr>
  </w:style>
  <w:style w:type="paragraph" w:customStyle="1" w:styleId="NoCharacterStyle">
    <w:name w:val="No Character Style"/>
    <w:basedOn w:val="Normal"/>
    <w:qFormat/>
    <w:rsid w:val="00C67407"/>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7589">
      <w:bodyDiv w:val="1"/>
      <w:marLeft w:val="0"/>
      <w:marRight w:val="0"/>
      <w:marTop w:val="0"/>
      <w:marBottom w:val="0"/>
      <w:divBdr>
        <w:top w:val="none" w:sz="0" w:space="0" w:color="auto"/>
        <w:left w:val="none" w:sz="0" w:space="0" w:color="auto"/>
        <w:bottom w:val="none" w:sz="0" w:space="0" w:color="auto"/>
        <w:right w:val="none" w:sz="0" w:space="0" w:color="auto"/>
      </w:divBdr>
    </w:div>
    <w:div w:id="9529413">
      <w:bodyDiv w:val="1"/>
      <w:marLeft w:val="0"/>
      <w:marRight w:val="0"/>
      <w:marTop w:val="0"/>
      <w:marBottom w:val="0"/>
      <w:divBdr>
        <w:top w:val="none" w:sz="0" w:space="0" w:color="auto"/>
        <w:left w:val="none" w:sz="0" w:space="0" w:color="auto"/>
        <w:bottom w:val="none" w:sz="0" w:space="0" w:color="auto"/>
        <w:right w:val="none" w:sz="0" w:space="0" w:color="auto"/>
      </w:divBdr>
    </w:div>
    <w:div w:id="12269515">
      <w:bodyDiv w:val="1"/>
      <w:marLeft w:val="0"/>
      <w:marRight w:val="0"/>
      <w:marTop w:val="0"/>
      <w:marBottom w:val="0"/>
      <w:divBdr>
        <w:top w:val="none" w:sz="0" w:space="0" w:color="auto"/>
        <w:left w:val="none" w:sz="0" w:space="0" w:color="auto"/>
        <w:bottom w:val="none" w:sz="0" w:space="0" w:color="auto"/>
        <w:right w:val="none" w:sz="0" w:space="0" w:color="auto"/>
      </w:divBdr>
    </w:div>
    <w:div w:id="13505105">
      <w:bodyDiv w:val="1"/>
      <w:marLeft w:val="0"/>
      <w:marRight w:val="0"/>
      <w:marTop w:val="0"/>
      <w:marBottom w:val="0"/>
      <w:divBdr>
        <w:top w:val="none" w:sz="0" w:space="0" w:color="auto"/>
        <w:left w:val="none" w:sz="0" w:space="0" w:color="auto"/>
        <w:bottom w:val="none" w:sz="0" w:space="0" w:color="auto"/>
        <w:right w:val="none" w:sz="0" w:space="0" w:color="auto"/>
      </w:divBdr>
    </w:div>
    <w:div w:id="16398003">
      <w:bodyDiv w:val="1"/>
      <w:marLeft w:val="0"/>
      <w:marRight w:val="0"/>
      <w:marTop w:val="0"/>
      <w:marBottom w:val="0"/>
      <w:divBdr>
        <w:top w:val="none" w:sz="0" w:space="0" w:color="auto"/>
        <w:left w:val="none" w:sz="0" w:space="0" w:color="auto"/>
        <w:bottom w:val="none" w:sz="0" w:space="0" w:color="auto"/>
        <w:right w:val="none" w:sz="0" w:space="0" w:color="auto"/>
      </w:divBdr>
    </w:div>
    <w:div w:id="16931732">
      <w:bodyDiv w:val="1"/>
      <w:marLeft w:val="0"/>
      <w:marRight w:val="0"/>
      <w:marTop w:val="0"/>
      <w:marBottom w:val="0"/>
      <w:divBdr>
        <w:top w:val="none" w:sz="0" w:space="0" w:color="auto"/>
        <w:left w:val="none" w:sz="0" w:space="0" w:color="auto"/>
        <w:bottom w:val="none" w:sz="0" w:space="0" w:color="auto"/>
        <w:right w:val="none" w:sz="0" w:space="0" w:color="auto"/>
      </w:divBdr>
    </w:div>
    <w:div w:id="17702815">
      <w:bodyDiv w:val="1"/>
      <w:marLeft w:val="0"/>
      <w:marRight w:val="0"/>
      <w:marTop w:val="0"/>
      <w:marBottom w:val="0"/>
      <w:divBdr>
        <w:top w:val="none" w:sz="0" w:space="0" w:color="auto"/>
        <w:left w:val="none" w:sz="0" w:space="0" w:color="auto"/>
        <w:bottom w:val="none" w:sz="0" w:space="0" w:color="auto"/>
        <w:right w:val="none" w:sz="0" w:space="0" w:color="auto"/>
      </w:divBdr>
    </w:div>
    <w:div w:id="18555789">
      <w:bodyDiv w:val="1"/>
      <w:marLeft w:val="0"/>
      <w:marRight w:val="0"/>
      <w:marTop w:val="0"/>
      <w:marBottom w:val="0"/>
      <w:divBdr>
        <w:top w:val="none" w:sz="0" w:space="0" w:color="auto"/>
        <w:left w:val="none" w:sz="0" w:space="0" w:color="auto"/>
        <w:bottom w:val="none" w:sz="0" w:space="0" w:color="auto"/>
        <w:right w:val="none" w:sz="0" w:space="0" w:color="auto"/>
      </w:divBdr>
    </w:div>
    <w:div w:id="19863493">
      <w:bodyDiv w:val="1"/>
      <w:marLeft w:val="0"/>
      <w:marRight w:val="0"/>
      <w:marTop w:val="0"/>
      <w:marBottom w:val="0"/>
      <w:divBdr>
        <w:top w:val="none" w:sz="0" w:space="0" w:color="auto"/>
        <w:left w:val="none" w:sz="0" w:space="0" w:color="auto"/>
        <w:bottom w:val="none" w:sz="0" w:space="0" w:color="auto"/>
        <w:right w:val="none" w:sz="0" w:space="0" w:color="auto"/>
      </w:divBdr>
    </w:div>
    <w:div w:id="20980795">
      <w:bodyDiv w:val="1"/>
      <w:marLeft w:val="0"/>
      <w:marRight w:val="0"/>
      <w:marTop w:val="0"/>
      <w:marBottom w:val="0"/>
      <w:divBdr>
        <w:top w:val="none" w:sz="0" w:space="0" w:color="auto"/>
        <w:left w:val="none" w:sz="0" w:space="0" w:color="auto"/>
        <w:bottom w:val="none" w:sz="0" w:space="0" w:color="auto"/>
        <w:right w:val="none" w:sz="0" w:space="0" w:color="auto"/>
      </w:divBdr>
    </w:div>
    <w:div w:id="21134084">
      <w:bodyDiv w:val="1"/>
      <w:marLeft w:val="0"/>
      <w:marRight w:val="0"/>
      <w:marTop w:val="0"/>
      <w:marBottom w:val="0"/>
      <w:divBdr>
        <w:top w:val="none" w:sz="0" w:space="0" w:color="auto"/>
        <w:left w:val="none" w:sz="0" w:space="0" w:color="auto"/>
        <w:bottom w:val="none" w:sz="0" w:space="0" w:color="auto"/>
        <w:right w:val="none" w:sz="0" w:space="0" w:color="auto"/>
      </w:divBdr>
    </w:div>
    <w:div w:id="21177152">
      <w:bodyDiv w:val="1"/>
      <w:marLeft w:val="0"/>
      <w:marRight w:val="0"/>
      <w:marTop w:val="0"/>
      <w:marBottom w:val="0"/>
      <w:divBdr>
        <w:top w:val="none" w:sz="0" w:space="0" w:color="auto"/>
        <w:left w:val="none" w:sz="0" w:space="0" w:color="auto"/>
        <w:bottom w:val="none" w:sz="0" w:space="0" w:color="auto"/>
        <w:right w:val="none" w:sz="0" w:space="0" w:color="auto"/>
      </w:divBdr>
    </w:div>
    <w:div w:id="24605657">
      <w:bodyDiv w:val="1"/>
      <w:marLeft w:val="0"/>
      <w:marRight w:val="0"/>
      <w:marTop w:val="0"/>
      <w:marBottom w:val="0"/>
      <w:divBdr>
        <w:top w:val="none" w:sz="0" w:space="0" w:color="auto"/>
        <w:left w:val="none" w:sz="0" w:space="0" w:color="auto"/>
        <w:bottom w:val="none" w:sz="0" w:space="0" w:color="auto"/>
        <w:right w:val="none" w:sz="0" w:space="0" w:color="auto"/>
      </w:divBdr>
    </w:div>
    <w:div w:id="26490899">
      <w:bodyDiv w:val="1"/>
      <w:marLeft w:val="0"/>
      <w:marRight w:val="0"/>
      <w:marTop w:val="0"/>
      <w:marBottom w:val="0"/>
      <w:divBdr>
        <w:top w:val="none" w:sz="0" w:space="0" w:color="auto"/>
        <w:left w:val="none" w:sz="0" w:space="0" w:color="auto"/>
        <w:bottom w:val="none" w:sz="0" w:space="0" w:color="auto"/>
        <w:right w:val="none" w:sz="0" w:space="0" w:color="auto"/>
      </w:divBdr>
    </w:div>
    <w:div w:id="28453902">
      <w:bodyDiv w:val="1"/>
      <w:marLeft w:val="0"/>
      <w:marRight w:val="0"/>
      <w:marTop w:val="0"/>
      <w:marBottom w:val="0"/>
      <w:divBdr>
        <w:top w:val="none" w:sz="0" w:space="0" w:color="auto"/>
        <w:left w:val="none" w:sz="0" w:space="0" w:color="auto"/>
        <w:bottom w:val="none" w:sz="0" w:space="0" w:color="auto"/>
        <w:right w:val="none" w:sz="0" w:space="0" w:color="auto"/>
      </w:divBdr>
    </w:div>
    <w:div w:id="29232105">
      <w:bodyDiv w:val="1"/>
      <w:marLeft w:val="0"/>
      <w:marRight w:val="0"/>
      <w:marTop w:val="0"/>
      <w:marBottom w:val="0"/>
      <w:divBdr>
        <w:top w:val="none" w:sz="0" w:space="0" w:color="auto"/>
        <w:left w:val="none" w:sz="0" w:space="0" w:color="auto"/>
        <w:bottom w:val="none" w:sz="0" w:space="0" w:color="auto"/>
        <w:right w:val="none" w:sz="0" w:space="0" w:color="auto"/>
      </w:divBdr>
    </w:div>
    <w:div w:id="30035487">
      <w:bodyDiv w:val="1"/>
      <w:marLeft w:val="0"/>
      <w:marRight w:val="0"/>
      <w:marTop w:val="0"/>
      <w:marBottom w:val="0"/>
      <w:divBdr>
        <w:top w:val="none" w:sz="0" w:space="0" w:color="auto"/>
        <w:left w:val="none" w:sz="0" w:space="0" w:color="auto"/>
        <w:bottom w:val="none" w:sz="0" w:space="0" w:color="auto"/>
        <w:right w:val="none" w:sz="0" w:space="0" w:color="auto"/>
      </w:divBdr>
    </w:div>
    <w:div w:id="36324432">
      <w:bodyDiv w:val="1"/>
      <w:marLeft w:val="0"/>
      <w:marRight w:val="0"/>
      <w:marTop w:val="0"/>
      <w:marBottom w:val="0"/>
      <w:divBdr>
        <w:top w:val="none" w:sz="0" w:space="0" w:color="auto"/>
        <w:left w:val="none" w:sz="0" w:space="0" w:color="auto"/>
        <w:bottom w:val="none" w:sz="0" w:space="0" w:color="auto"/>
        <w:right w:val="none" w:sz="0" w:space="0" w:color="auto"/>
      </w:divBdr>
    </w:div>
    <w:div w:id="36903987">
      <w:bodyDiv w:val="1"/>
      <w:marLeft w:val="0"/>
      <w:marRight w:val="0"/>
      <w:marTop w:val="0"/>
      <w:marBottom w:val="0"/>
      <w:divBdr>
        <w:top w:val="none" w:sz="0" w:space="0" w:color="auto"/>
        <w:left w:val="none" w:sz="0" w:space="0" w:color="auto"/>
        <w:bottom w:val="none" w:sz="0" w:space="0" w:color="auto"/>
        <w:right w:val="none" w:sz="0" w:space="0" w:color="auto"/>
      </w:divBdr>
    </w:div>
    <w:div w:id="40790004">
      <w:bodyDiv w:val="1"/>
      <w:marLeft w:val="0"/>
      <w:marRight w:val="0"/>
      <w:marTop w:val="0"/>
      <w:marBottom w:val="0"/>
      <w:divBdr>
        <w:top w:val="none" w:sz="0" w:space="0" w:color="auto"/>
        <w:left w:val="none" w:sz="0" w:space="0" w:color="auto"/>
        <w:bottom w:val="none" w:sz="0" w:space="0" w:color="auto"/>
        <w:right w:val="none" w:sz="0" w:space="0" w:color="auto"/>
      </w:divBdr>
    </w:div>
    <w:div w:id="43069540">
      <w:bodyDiv w:val="1"/>
      <w:marLeft w:val="0"/>
      <w:marRight w:val="0"/>
      <w:marTop w:val="0"/>
      <w:marBottom w:val="0"/>
      <w:divBdr>
        <w:top w:val="none" w:sz="0" w:space="0" w:color="auto"/>
        <w:left w:val="none" w:sz="0" w:space="0" w:color="auto"/>
        <w:bottom w:val="none" w:sz="0" w:space="0" w:color="auto"/>
        <w:right w:val="none" w:sz="0" w:space="0" w:color="auto"/>
      </w:divBdr>
    </w:div>
    <w:div w:id="46496714">
      <w:bodyDiv w:val="1"/>
      <w:marLeft w:val="0"/>
      <w:marRight w:val="0"/>
      <w:marTop w:val="0"/>
      <w:marBottom w:val="0"/>
      <w:divBdr>
        <w:top w:val="none" w:sz="0" w:space="0" w:color="auto"/>
        <w:left w:val="none" w:sz="0" w:space="0" w:color="auto"/>
        <w:bottom w:val="none" w:sz="0" w:space="0" w:color="auto"/>
        <w:right w:val="none" w:sz="0" w:space="0" w:color="auto"/>
      </w:divBdr>
    </w:div>
    <w:div w:id="49617086">
      <w:bodyDiv w:val="1"/>
      <w:marLeft w:val="0"/>
      <w:marRight w:val="0"/>
      <w:marTop w:val="0"/>
      <w:marBottom w:val="0"/>
      <w:divBdr>
        <w:top w:val="none" w:sz="0" w:space="0" w:color="auto"/>
        <w:left w:val="none" w:sz="0" w:space="0" w:color="auto"/>
        <w:bottom w:val="none" w:sz="0" w:space="0" w:color="auto"/>
        <w:right w:val="none" w:sz="0" w:space="0" w:color="auto"/>
      </w:divBdr>
    </w:div>
    <w:div w:id="51393071">
      <w:bodyDiv w:val="1"/>
      <w:marLeft w:val="0"/>
      <w:marRight w:val="0"/>
      <w:marTop w:val="0"/>
      <w:marBottom w:val="0"/>
      <w:divBdr>
        <w:top w:val="none" w:sz="0" w:space="0" w:color="auto"/>
        <w:left w:val="none" w:sz="0" w:space="0" w:color="auto"/>
        <w:bottom w:val="none" w:sz="0" w:space="0" w:color="auto"/>
        <w:right w:val="none" w:sz="0" w:space="0" w:color="auto"/>
      </w:divBdr>
    </w:div>
    <w:div w:id="52512299">
      <w:bodyDiv w:val="1"/>
      <w:marLeft w:val="0"/>
      <w:marRight w:val="0"/>
      <w:marTop w:val="0"/>
      <w:marBottom w:val="0"/>
      <w:divBdr>
        <w:top w:val="none" w:sz="0" w:space="0" w:color="auto"/>
        <w:left w:val="none" w:sz="0" w:space="0" w:color="auto"/>
        <w:bottom w:val="none" w:sz="0" w:space="0" w:color="auto"/>
        <w:right w:val="none" w:sz="0" w:space="0" w:color="auto"/>
      </w:divBdr>
    </w:div>
    <w:div w:id="52780497">
      <w:bodyDiv w:val="1"/>
      <w:marLeft w:val="0"/>
      <w:marRight w:val="0"/>
      <w:marTop w:val="0"/>
      <w:marBottom w:val="0"/>
      <w:divBdr>
        <w:top w:val="none" w:sz="0" w:space="0" w:color="auto"/>
        <w:left w:val="none" w:sz="0" w:space="0" w:color="auto"/>
        <w:bottom w:val="none" w:sz="0" w:space="0" w:color="auto"/>
        <w:right w:val="none" w:sz="0" w:space="0" w:color="auto"/>
      </w:divBdr>
    </w:div>
    <w:div w:id="53086554">
      <w:bodyDiv w:val="1"/>
      <w:marLeft w:val="0"/>
      <w:marRight w:val="0"/>
      <w:marTop w:val="0"/>
      <w:marBottom w:val="0"/>
      <w:divBdr>
        <w:top w:val="none" w:sz="0" w:space="0" w:color="auto"/>
        <w:left w:val="none" w:sz="0" w:space="0" w:color="auto"/>
        <w:bottom w:val="none" w:sz="0" w:space="0" w:color="auto"/>
        <w:right w:val="none" w:sz="0" w:space="0" w:color="auto"/>
      </w:divBdr>
    </w:div>
    <w:div w:id="54089722">
      <w:bodyDiv w:val="1"/>
      <w:marLeft w:val="0"/>
      <w:marRight w:val="0"/>
      <w:marTop w:val="0"/>
      <w:marBottom w:val="0"/>
      <w:divBdr>
        <w:top w:val="none" w:sz="0" w:space="0" w:color="auto"/>
        <w:left w:val="none" w:sz="0" w:space="0" w:color="auto"/>
        <w:bottom w:val="none" w:sz="0" w:space="0" w:color="auto"/>
        <w:right w:val="none" w:sz="0" w:space="0" w:color="auto"/>
      </w:divBdr>
    </w:div>
    <w:div w:id="60636581">
      <w:bodyDiv w:val="1"/>
      <w:marLeft w:val="0"/>
      <w:marRight w:val="0"/>
      <w:marTop w:val="0"/>
      <w:marBottom w:val="0"/>
      <w:divBdr>
        <w:top w:val="none" w:sz="0" w:space="0" w:color="auto"/>
        <w:left w:val="none" w:sz="0" w:space="0" w:color="auto"/>
        <w:bottom w:val="none" w:sz="0" w:space="0" w:color="auto"/>
        <w:right w:val="none" w:sz="0" w:space="0" w:color="auto"/>
      </w:divBdr>
    </w:div>
    <w:div w:id="61485773">
      <w:bodyDiv w:val="1"/>
      <w:marLeft w:val="0"/>
      <w:marRight w:val="0"/>
      <w:marTop w:val="0"/>
      <w:marBottom w:val="0"/>
      <w:divBdr>
        <w:top w:val="none" w:sz="0" w:space="0" w:color="auto"/>
        <w:left w:val="none" w:sz="0" w:space="0" w:color="auto"/>
        <w:bottom w:val="none" w:sz="0" w:space="0" w:color="auto"/>
        <w:right w:val="none" w:sz="0" w:space="0" w:color="auto"/>
      </w:divBdr>
    </w:div>
    <w:div w:id="62530105">
      <w:bodyDiv w:val="1"/>
      <w:marLeft w:val="0"/>
      <w:marRight w:val="0"/>
      <w:marTop w:val="0"/>
      <w:marBottom w:val="0"/>
      <w:divBdr>
        <w:top w:val="none" w:sz="0" w:space="0" w:color="auto"/>
        <w:left w:val="none" w:sz="0" w:space="0" w:color="auto"/>
        <w:bottom w:val="none" w:sz="0" w:space="0" w:color="auto"/>
        <w:right w:val="none" w:sz="0" w:space="0" w:color="auto"/>
      </w:divBdr>
    </w:div>
    <w:div w:id="62988334">
      <w:bodyDiv w:val="1"/>
      <w:marLeft w:val="0"/>
      <w:marRight w:val="0"/>
      <w:marTop w:val="0"/>
      <w:marBottom w:val="0"/>
      <w:divBdr>
        <w:top w:val="none" w:sz="0" w:space="0" w:color="auto"/>
        <w:left w:val="none" w:sz="0" w:space="0" w:color="auto"/>
        <w:bottom w:val="none" w:sz="0" w:space="0" w:color="auto"/>
        <w:right w:val="none" w:sz="0" w:space="0" w:color="auto"/>
      </w:divBdr>
    </w:div>
    <w:div w:id="69237232">
      <w:bodyDiv w:val="1"/>
      <w:marLeft w:val="0"/>
      <w:marRight w:val="0"/>
      <w:marTop w:val="0"/>
      <w:marBottom w:val="0"/>
      <w:divBdr>
        <w:top w:val="none" w:sz="0" w:space="0" w:color="auto"/>
        <w:left w:val="none" w:sz="0" w:space="0" w:color="auto"/>
        <w:bottom w:val="none" w:sz="0" w:space="0" w:color="auto"/>
        <w:right w:val="none" w:sz="0" w:space="0" w:color="auto"/>
      </w:divBdr>
    </w:div>
    <w:div w:id="70006382">
      <w:bodyDiv w:val="1"/>
      <w:marLeft w:val="0"/>
      <w:marRight w:val="0"/>
      <w:marTop w:val="0"/>
      <w:marBottom w:val="0"/>
      <w:divBdr>
        <w:top w:val="none" w:sz="0" w:space="0" w:color="auto"/>
        <w:left w:val="none" w:sz="0" w:space="0" w:color="auto"/>
        <w:bottom w:val="none" w:sz="0" w:space="0" w:color="auto"/>
        <w:right w:val="none" w:sz="0" w:space="0" w:color="auto"/>
      </w:divBdr>
    </w:div>
    <w:div w:id="70784108">
      <w:bodyDiv w:val="1"/>
      <w:marLeft w:val="0"/>
      <w:marRight w:val="0"/>
      <w:marTop w:val="0"/>
      <w:marBottom w:val="0"/>
      <w:divBdr>
        <w:top w:val="none" w:sz="0" w:space="0" w:color="auto"/>
        <w:left w:val="none" w:sz="0" w:space="0" w:color="auto"/>
        <w:bottom w:val="none" w:sz="0" w:space="0" w:color="auto"/>
        <w:right w:val="none" w:sz="0" w:space="0" w:color="auto"/>
      </w:divBdr>
    </w:div>
    <w:div w:id="72628412">
      <w:bodyDiv w:val="1"/>
      <w:marLeft w:val="0"/>
      <w:marRight w:val="0"/>
      <w:marTop w:val="0"/>
      <w:marBottom w:val="0"/>
      <w:divBdr>
        <w:top w:val="none" w:sz="0" w:space="0" w:color="auto"/>
        <w:left w:val="none" w:sz="0" w:space="0" w:color="auto"/>
        <w:bottom w:val="none" w:sz="0" w:space="0" w:color="auto"/>
        <w:right w:val="none" w:sz="0" w:space="0" w:color="auto"/>
      </w:divBdr>
    </w:div>
    <w:div w:id="81266648">
      <w:bodyDiv w:val="1"/>
      <w:marLeft w:val="0"/>
      <w:marRight w:val="0"/>
      <w:marTop w:val="0"/>
      <w:marBottom w:val="0"/>
      <w:divBdr>
        <w:top w:val="none" w:sz="0" w:space="0" w:color="auto"/>
        <w:left w:val="none" w:sz="0" w:space="0" w:color="auto"/>
        <w:bottom w:val="none" w:sz="0" w:space="0" w:color="auto"/>
        <w:right w:val="none" w:sz="0" w:space="0" w:color="auto"/>
      </w:divBdr>
    </w:div>
    <w:div w:id="82772391">
      <w:bodyDiv w:val="1"/>
      <w:marLeft w:val="0"/>
      <w:marRight w:val="0"/>
      <w:marTop w:val="0"/>
      <w:marBottom w:val="0"/>
      <w:divBdr>
        <w:top w:val="none" w:sz="0" w:space="0" w:color="auto"/>
        <w:left w:val="none" w:sz="0" w:space="0" w:color="auto"/>
        <w:bottom w:val="none" w:sz="0" w:space="0" w:color="auto"/>
        <w:right w:val="none" w:sz="0" w:space="0" w:color="auto"/>
      </w:divBdr>
    </w:div>
    <w:div w:id="82799152">
      <w:bodyDiv w:val="1"/>
      <w:marLeft w:val="0"/>
      <w:marRight w:val="0"/>
      <w:marTop w:val="0"/>
      <w:marBottom w:val="0"/>
      <w:divBdr>
        <w:top w:val="none" w:sz="0" w:space="0" w:color="auto"/>
        <w:left w:val="none" w:sz="0" w:space="0" w:color="auto"/>
        <w:bottom w:val="none" w:sz="0" w:space="0" w:color="auto"/>
        <w:right w:val="none" w:sz="0" w:space="0" w:color="auto"/>
      </w:divBdr>
    </w:div>
    <w:div w:id="82916740">
      <w:bodyDiv w:val="1"/>
      <w:marLeft w:val="0"/>
      <w:marRight w:val="0"/>
      <w:marTop w:val="0"/>
      <w:marBottom w:val="0"/>
      <w:divBdr>
        <w:top w:val="none" w:sz="0" w:space="0" w:color="auto"/>
        <w:left w:val="none" w:sz="0" w:space="0" w:color="auto"/>
        <w:bottom w:val="none" w:sz="0" w:space="0" w:color="auto"/>
        <w:right w:val="none" w:sz="0" w:space="0" w:color="auto"/>
      </w:divBdr>
    </w:div>
    <w:div w:id="83772989">
      <w:bodyDiv w:val="1"/>
      <w:marLeft w:val="0"/>
      <w:marRight w:val="0"/>
      <w:marTop w:val="0"/>
      <w:marBottom w:val="0"/>
      <w:divBdr>
        <w:top w:val="none" w:sz="0" w:space="0" w:color="auto"/>
        <w:left w:val="none" w:sz="0" w:space="0" w:color="auto"/>
        <w:bottom w:val="none" w:sz="0" w:space="0" w:color="auto"/>
        <w:right w:val="none" w:sz="0" w:space="0" w:color="auto"/>
      </w:divBdr>
    </w:div>
    <w:div w:id="85730451">
      <w:bodyDiv w:val="1"/>
      <w:marLeft w:val="0"/>
      <w:marRight w:val="0"/>
      <w:marTop w:val="0"/>
      <w:marBottom w:val="0"/>
      <w:divBdr>
        <w:top w:val="none" w:sz="0" w:space="0" w:color="auto"/>
        <w:left w:val="none" w:sz="0" w:space="0" w:color="auto"/>
        <w:bottom w:val="none" w:sz="0" w:space="0" w:color="auto"/>
        <w:right w:val="none" w:sz="0" w:space="0" w:color="auto"/>
      </w:divBdr>
    </w:div>
    <w:div w:id="87435799">
      <w:bodyDiv w:val="1"/>
      <w:marLeft w:val="0"/>
      <w:marRight w:val="0"/>
      <w:marTop w:val="0"/>
      <w:marBottom w:val="0"/>
      <w:divBdr>
        <w:top w:val="none" w:sz="0" w:space="0" w:color="auto"/>
        <w:left w:val="none" w:sz="0" w:space="0" w:color="auto"/>
        <w:bottom w:val="none" w:sz="0" w:space="0" w:color="auto"/>
        <w:right w:val="none" w:sz="0" w:space="0" w:color="auto"/>
      </w:divBdr>
    </w:div>
    <w:div w:id="87622417">
      <w:bodyDiv w:val="1"/>
      <w:marLeft w:val="0"/>
      <w:marRight w:val="0"/>
      <w:marTop w:val="0"/>
      <w:marBottom w:val="0"/>
      <w:divBdr>
        <w:top w:val="none" w:sz="0" w:space="0" w:color="auto"/>
        <w:left w:val="none" w:sz="0" w:space="0" w:color="auto"/>
        <w:bottom w:val="none" w:sz="0" w:space="0" w:color="auto"/>
        <w:right w:val="none" w:sz="0" w:space="0" w:color="auto"/>
      </w:divBdr>
    </w:div>
    <w:div w:id="89083679">
      <w:bodyDiv w:val="1"/>
      <w:marLeft w:val="0"/>
      <w:marRight w:val="0"/>
      <w:marTop w:val="0"/>
      <w:marBottom w:val="0"/>
      <w:divBdr>
        <w:top w:val="none" w:sz="0" w:space="0" w:color="auto"/>
        <w:left w:val="none" w:sz="0" w:space="0" w:color="auto"/>
        <w:bottom w:val="none" w:sz="0" w:space="0" w:color="auto"/>
        <w:right w:val="none" w:sz="0" w:space="0" w:color="auto"/>
      </w:divBdr>
    </w:div>
    <w:div w:id="90593465">
      <w:bodyDiv w:val="1"/>
      <w:marLeft w:val="0"/>
      <w:marRight w:val="0"/>
      <w:marTop w:val="0"/>
      <w:marBottom w:val="0"/>
      <w:divBdr>
        <w:top w:val="none" w:sz="0" w:space="0" w:color="auto"/>
        <w:left w:val="none" w:sz="0" w:space="0" w:color="auto"/>
        <w:bottom w:val="none" w:sz="0" w:space="0" w:color="auto"/>
        <w:right w:val="none" w:sz="0" w:space="0" w:color="auto"/>
      </w:divBdr>
    </w:div>
    <w:div w:id="92366908">
      <w:bodyDiv w:val="1"/>
      <w:marLeft w:val="0"/>
      <w:marRight w:val="0"/>
      <w:marTop w:val="0"/>
      <w:marBottom w:val="0"/>
      <w:divBdr>
        <w:top w:val="none" w:sz="0" w:space="0" w:color="auto"/>
        <w:left w:val="none" w:sz="0" w:space="0" w:color="auto"/>
        <w:bottom w:val="none" w:sz="0" w:space="0" w:color="auto"/>
        <w:right w:val="none" w:sz="0" w:space="0" w:color="auto"/>
      </w:divBdr>
    </w:div>
    <w:div w:id="92747606">
      <w:bodyDiv w:val="1"/>
      <w:marLeft w:val="0"/>
      <w:marRight w:val="0"/>
      <w:marTop w:val="0"/>
      <w:marBottom w:val="0"/>
      <w:divBdr>
        <w:top w:val="none" w:sz="0" w:space="0" w:color="auto"/>
        <w:left w:val="none" w:sz="0" w:space="0" w:color="auto"/>
        <w:bottom w:val="none" w:sz="0" w:space="0" w:color="auto"/>
        <w:right w:val="none" w:sz="0" w:space="0" w:color="auto"/>
      </w:divBdr>
    </w:div>
    <w:div w:id="94207723">
      <w:bodyDiv w:val="1"/>
      <w:marLeft w:val="0"/>
      <w:marRight w:val="0"/>
      <w:marTop w:val="0"/>
      <w:marBottom w:val="0"/>
      <w:divBdr>
        <w:top w:val="none" w:sz="0" w:space="0" w:color="auto"/>
        <w:left w:val="none" w:sz="0" w:space="0" w:color="auto"/>
        <w:bottom w:val="none" w:sz="0" w:space="0" w:color="auto"/>
        <w:right w:val="none" w:sz="0" w:space="0" w:color="auto"/>
      </w:divBdr>
    </w:div>
    <w:div w:id="96758674">
      <w:bodyDiv w:val="1"/>
      <w:marLeft w:val="0"/>
      <w:marRight w:val="0"/>
      <w:marTop w:val="0"/>
      <w:marBottom w:val="0"/>
      <w:divBdr>
        <w:top w:val="none" w:sz="0" w:space="0" w:color="auto"/>
        <w:left w:val="none" w:sz="0" w:space="0" w:color="auto"/>
        <w:bottom w:val="none" w:sz="0" w:space="0" w:color="auto"/>
        <w:right w:val="none" w:sz="0" w:space="0" w:color="auto"/>
      </w:divBdr>
    </w:div>
    <w:div w:id="99646147">
      <w:bodyDiv w:val="1"/>
      <w:marLeft w:val="0"/>
      <w:marRight w:val="0"/>
      <w:marTop w:val="0"/>
      <w:marBottom w:val="0"/>
      <w:divBdr>
        <w:top w:val="none" w:sz="0" w:space="0" w:color="auto"/>
        <w:left w:val="none" w:sz="0" w:space="0" w:color="auto"/>
        <w:bottom w:val="none" w:sz="0" w:space="0" w:color="auto"/>
        <w:right w:val="none" w:sz="0" w:space="0" w:color="auto"/>
      </w:divBdr>
    </w:div>
    <w:div w:id="100224839">
      <w:bodyDiv w:val="1"/>
      <w:marLeft w:val="0"/>
      <w:marRight w:val="0"/>
      <w:marTop w:val="0"/>
      <w:marBottom w:val="0"/>
      <w:divBdr>
        <w:top w:val="none" w:sz="0" w:space="0" w:color="auto"/>
        <w:left w:val="none" w:sz="0" w:space="0" w:color="auto"/>
        <w:bottom w:val="none" w:sz="0" w:space="0" w:color="auto"/>
        <w:right w:val="none" w:sz="0" w:space="0" w:color="auto"/>
      </w:divBdr>
    </w:div>
    <w:div w:id="100225440">
      <w:bodyDiv w:val="1"/>
      <w:marLeft w:val="0"/>
      <w:marRight w:val="0"/>
      <w:marTop w:val="0"/>
      <w:marBottom w:val="0"/>
      <w:divBdr>
        <w:top w:val="none" w:sz="0" w:space="0" w:color="auto"/>
        <w:left w:val="none" w:sz="0" w:space="0" w:color="auto"/>
        <w:bottom w:val="none" w:sz="0" w:space="0" w:color="auto"/>
        <w:right w:val="none" w:sz="0" w:space="0" w:color="auto"/>
      </w:divBdr>
    </w:div>
    <w:div w:id="104082968">
      <w:bodyDiv w:val="1"/>
      <w:marLeft w:val="0"/>
      <w:marRight w:val="0"/>
      <w:marTop w:val="0"/>
      <w:marBottom w:val="0"/>
      <w:divBdr>
        <w:top w:val="none" w:sz="0" w:space="0" w:color="auto"/>
        <w:left w:val="none" w:sz="0" w:space="0" w:color="auto"/>
        <w:bottom w:val="none" w:sz="0" w:space="0" w:color="auto"/>
        <w:right w:val="none" w:sz="0" w:space="0" w:color="auto"/>
      </w:divBdr>
    </w:div>
    <w:div w:id="104465132">
      <w:bodyDiv w:val="1"/>
      <w:marLeft w:val="0"/>
      <w:marRight w:val="0"/>
      <w:marTop w:val="0"/>
      <w:marBottom w:val="0"/>
      <w:divBdr>
        <w:top w:val="none" w:sz="0" w:space="0" w:color="auto"/>
        <w:left w:val="none" w:sz="0" w:space="0" w:color="auto"/>
        <w:bottom w:val="none" w:sz="0" w:space="0" w:color="auto"/>
        <w:right w:val="none" w:sz="0" w:space="0" w:color="auto"/>
      </w:divBdr>
    </w:div>
    <w:div w:id="107553731">
      <w:bodyDiv w:val="1"/>
      <w:marLeft w:val="0"/>
      <w:marRight w:val="0"/>
      <w:marTop w:val="0"/>
      <w:marBottom w:val="0"/>
      <w:divBdr>
        <w:top w:val="none" w:sz="0" w:space="0" w:color="auto"/>
        <w:left w:val="none" w:sz="0" w:space="0" w:color="auto"/>
        <w:bottom w:val="none" w:sz="0" w:space="0" w:color="auto"/>
        <w:right w:val="none" w:sz="0" w:space="0" w:color="auto"/>
      </w:divBdr>
    </w:div>
    <w:div w:id="108009655">
      <w:bodyDiv w:val="1"/>
      <w:marLeft w:val="0"/>
      <w:marRight w:val="0"/>
      <w:marTop w:val="0"/>
      <w:marBottom w:val="0"/>
      <w:divBdr>
        <w:top w:val="none" w:sz="0" w:space="0" w:color="auto"/>
        <w:left w:val="none" w:sz="0" w:space="0" w:color="auto"/>
        <w:bottom w:val="none" w:sz="0" w:space="0" w:color="auto"/>
        <w:right w:val="none" w:sz="0" w:space="0" w:color="auto"/>
      </w:divBdr>
    </w:div>
    <w:div w:id="109249148">
      <w:bodyDiv w:val="1"/>
      <w:marLeft w:val="0"/>
      <w:marRight w:val="0"/>
      <w:marTop w:val="0"/>
      <w:marBottom w:val="0"/>
      <w:divBdr>
        <w:top w:val="none" w:sz="0" w:space="0" w:color="auto"/>
        <w:left w:val="none" w:sz="0" w:space="0" w:color="auto"/>
        <w:bottom w:val="none" w:sz="0" w:space="0" w:color="auto"/>
        <w:right w:val="none" w:sz="0" w:space="0" w:color="auto"/>
      </w:divBdr>
    </w:div>
    <w:div w:id="111246290">
      <w:bodyDiv w:val="1"/>
      <w:marLeft w:val="0"/>
      <w:marRight w:val="0"/>
      <w:marTop w:val="0"/>
      <w:marBottom w:val="0"/>
      <w:divBdr>
        <w:top w:val="none" w:sz="0" w:space="0" w:color="auto"/>
        <w:left w:val="none" w:sz="0" w:space="0" w:color="auto"/>
        <w:bottom w:val="none" w:sz="0" w:space="0" w:color="auto"/>
        <w:right w:val="none" w:sz="0" w:space="0" w:color="auto"/>
      </w:divBdr>
    </w:div>
    <w:div w:id="113448005">
      <w:bodyDiv w:val="1"/>
      <w:marLeft w:val="0"/>
      <w:marRight w:val="0"/>
      <w:marTop w:val="0"/>
      <w:marBottom w:val="0"/>
      <w:divBdr>
        <w:top w:val="none" w:sz="0" w:space="0" w:color="auto"/>
        <w:left w:val="none" w:sz="0" w:space="0" w:color="auto"/>
        <w:bottom w:val="none" w:sz="0" w:space="0" w:color="auto"/>
        <w:right w:val="none" w:sz="0" w:space="0" w:color="auto"/>
      </w:divBdr>
    </w:div>
    <w:div w:id="119349105">
      <w:bodyDiv w:val="1"/>
      <w:marLeft w:val="0"/>
      <w:marRight w:val="0"/>
      <w:marTop w:val="0"/>
      <w:marBottom w:val="0"/>
      <w:divBdr>
        <w:top w:val="none" w:sz="0" w:space="0" w:color="auto"/>
        <w:left w:val="none" w:sz="0" w:space="0" w:color="auto"/>
        <w:bottom w:val="none" w:sz="0" w:space="0" w:color="auto"/>
        <w:right w:val="none" w:sz="0" w:space="0" w:color="auto"/>
      </w:divBdr>
    </w:div>
    <w:div w:id="119762759">
      <w:bodyDiv w:val="1"/>
      <w:marLeft w:val="0"/>
      <w:marRight w:val="0"/>
      <w:marTop w:val="0"/>
      <w:marBottom w:val="0"/>
      <w:divBdr>
        <w:top w:val="none" w:sz="0" w:space="0" w:color="auto"/>
        <w:left w:val="none" w:sz="0" w:space="0" w:color="auto"/>
        <w:bottom w:val="none" w:sz="0" w:space="0" w:color="auto"/>
        <w:right w:val="none" w:sz="0" w:space="0" w:color="auto"/>
      </w:divBdr>
    </w:div>
    <w:div w:id="119998981">
      <w:bodyDiv w:val="1"/>
      <w:marLeft w:val="0"/>
      <w:marRight w:val="0"/>
      <w:marTop w:val="0"/>
      <w:marBottom w:val="0"/>
      <w:divBdr>
        <w:top w:val="none" w:sz="0" w:space="0" w:color="auto"/>
        <w:left w:val="none" w:sz="0" w:space="0" w:color="auto"/>
        <w:bottom w:val="none" w:sz="0" w:space="0" w:color="auto"/>
        <w:right w:val="none" w:sz="0" w:space="0" w:color="auto"/>
      </w:divBdr>
    </w:div>
    <w:div w:id="120536264">
      <w:bodyDiv w:val="1"/>
      <w:marLeft w:val="0"/>
      <w:marRight w:val="0"/>
      <w:marTop w:val="0"/>
      <w:marBottom w:val="0"/>
      <w:divBdr>
        <w:top w:val="none" w:sz="0" w:space="0" w:color="auto"/>
        <w:left w:val="none" w:sz="0" w:space="0" w:color="auto"/>
        <w:bottom w:val="none" w:sz="0" w:space="0" w:color="auto"/>
        <w:right w:val="none" w:sz="0" w:space="0" w:color="auto"/>
      </w:divBdr>
    </w:div>
    <w:div w:id="120615238">
      <w:bodyDiv w:val="1"/>
      <w:marLeft w:val="0"/>
      <w:marRight w:val="0"/>
      <w:marTop w:val="0"/>
      <w:marBottom w:val="0"/>
      <w:divBdr>
        <w:top w:val="none" w:sz="0" w:space="0" w:color="auto"/>
        <w:left w:val="none" w:sz="0" w:space="0" w:color="auto"/>
        <w:bottom w:val="none" w:sz="0" w:space="0" w:color="auto"/>
        <w:right w:val="none" w:sz="0" w:space="0" w:color="auto"/>
      </w:divBdr>
    </w:div>
    <w:div w:id="128666326">
      <w:bodyDiv w:val="1"/>
      <w:marLeft w:val="0"/>
      <w:marRight w:val="0"/>
      <w:marTop w:val="0"/>
      <w:marBottom w:val="0"/>
      <w:divBdr>
        <w:top w:val="none" w:sz="0" w:space="0" w:color="auto"/>
        <w:left w:val="none" w:sz="0" w:space="0" w:color="auto"/>
        <w:bottom w:val="none" w:sz="0" w:space="0" w:color="auto"/>
        <w:right w:val="none" w:sz="0" w:space="0" w:color="auto"/>
      </w:divBdr>
    </w:div>
    <w:div w:id="129831410">
      <w:bodyDiv w:val="1"/>
      <w:marLeft w:val="0"/>
      <w:marRight w:val="0"/>
      <w:marTop w:val="0"/>
      <w:marBottom w:val="0"/>
      <w:divBdr>
        <w:top w:val="none" w:sz="0" w:space="0" w:color="auto"/>
        <w:left w:val="none" w:sz="0" w:space="0" w:color="auto"/>
        <w:bottom w:val="none" w:sz="0" w:space="0" w:color="auto"/>
        <w:right w:val="none" w:sz="0" w:space="0" w:color="auto"/>
      </w:divBdr>
    </w:div>
    <w:div w:id="134880804">
      <w:bodyDiv w:val="1"/>
      <w:marLeft w:val="0"/>
      <w:marRight w:val="0"/>
      <w:marTop w:val="0"/>
      <w:marBottom w:val="0"/>
      <w:divBdr>
        <w:top w:val="none" w:sz="0" w:space="0" w:color="auto"/>
        <w:left w:val="none" w:sz="0" w:space="0" w:color="auto"/>
        <w:bottom w:val="none" w:sz="0" w:space="0" w:color="auto"/>
        <w:right w:val="none" w:sz="0" w:space="0" w:color="auto"/>
      </w:divBdr>
    </w:div>
    <w:div w:id="137261288">
      <w:bodyDiv w:val="1"/>
      <w:marLeft w:val="0"/>
      <w:marRight w:val="0"/>
      <w:marTop w:val="0"/>
      <w:marBottom w:val="0"/>
      <w:divBdr>
        <w:top w:val="none" w:sz="0" w:space="0" w:color="auto"/>
        <w:left w:val="none" w:sz="0" w:space="0" w:color="auto"/>
        <w:bottom w:val="none" w:sz="0" w:space="0" w:color="auto"/>
        <w:right w:val="none" w:sz="0" w:space="0" w:color="auto"/>
      </w:divBdr>
    </w:div>
    <w:div w:id="142507489">
      <w:bodyDiv w:val="1"/>
      <w:marLeft w:val="0"/>
      <w:marRight w:val="0"/>
      <w:marTop w:val="0"/>
      <w:marBottom w:val="0"/>
      <w:divBdr>
        <w:top w:val="none" w:sz="0" w:space="0" w:color="auto"/>
        <w:left w:val="none" w:sz="0" w:space="0" w:color="auto"/>
        <w:bottom w:val="none" w:sz="0" w:space="0" w:color="auto"/>
        <w:right w:val="none" w:sz="0" w:space="0" w:color="auto"/>
      </w:divBdr>
    </w:div>
    <w:div w:id="152181904">
      <w:bodyDiv w:val="1"/>
      <w:marLeft w:val="0"/>
      <w:marRight w:val="0"/>
      <w:marTop w:val="0"/>
      <w:marBottom w:val="0"/>
      <w:divBdr>
        <w:top w:val="none" w:sz="0" w:space="0" w:color="auto"/>
        <w:left w:val="none" w:sz="0" w:space="0" w:color="auto"/>
        <w:bottom w:val="none" w:sz="0" w:space="0" w:color="auto"/>
        <w:right w:val="none" w:sz="0" w:space="0" w:color="auto"/>
      </w:divBdr>
    </w:div>
    <w:div w:id="152530650">
      <w:bodyDiv w:val="1"/>
      <w:marLeft w:val="0"/>
      <w:marRight w:val="0"/>
      <w:marTop w:val="0"/>
      <w:marBottom w:val="0"/>
      <w:divBdr>
        <w:top w:val="none" w:sz="0" w:space="0" w:color="auto"/>
        <w:left w:val="none" w:sz="0" w:space="0" w:color="auto"/>
        <w:bottom w:val="none" w:sz="0" w:space="0" w:color="auto"/>
        <w:right w:val="none" w:sz="0" w:space="0" w:color="auto"/>
      </w:divBdr>
    </w:div>
    <w:div w:id="157117174">
      <w:bodyDiv w:val="1"/>
      <w:marLeft w:val="0"/>
      <w:marRight w:val="0"/>
      <w:marTop w:val="0"/>
      <w:marBottom w:val="0"/>
      <w:divBdr>
        <w:top w:val="none" w:sz="0" w:space="0" w:color="auto"/>
        <w:left w:val="none" w:sz="0" w:space="0" w:color="auto"/>
        <w:bottom w:val="none" w:sz="0" w:space="0" w:color="auto"/>
        <w:right w:val="none" w:sz="0" w:space="0" w:color="auto"/>
      </w:divBdr>
    </w:div>
    <w:div w:id="157422246">
      <w:bodyDiv w:val="1"/>
      <w:marLeft w:val="0"/>
      <w:marRight w:val="0"/>
      <w:marTop w:val="0"/>
      <w:marBottom w:val="0"/>
      <w:divBdr>
        <w:top w:val="none" w:sz="0" w:space="0" w:color="auto"/>
        <w:left w:val="none" w:sz="0" w:space="0" w:color="auto"/>
        <w:bottom w:val="none" w:sz="0" w:space="0" w:color="auto"/>
        <w:right w:val="none" w:sz="0" w:space="0" w:color="auto"/>
      </w:divBdr>
    </w:div>
    <w:div w:id="158737479">
      <w:bodyDiv w:val="1"/>
      <w:marLeft w:val="0"/>
      <w:marRight w:val="0"/>
      <w:marTop w:val="0"/>
      <w:marBottom w:val="0"/>
      <w:divBdr>
        <w:top w:val="none" w:sz="0" w:space="0" w:color="auto"/>
        <w:left w:val="none" w:sz="0" w:space="0" w:color="auto"/>
        <w:bottom w:val="none" w:sz="0" w:space="0" w:color="auto"/>
        <w:right w:val="none" w:sz="0" w:space="0" w:color="auto"/>
      </w:divBdr>
    </w:div>
    <w:div w:id="161743592">
      <w:bodyDiv w:val="1"/>
      <w:marLeft w:val="0"/>
      <w:marRight w:val="0"/>
      <w:marTop w:val="0"/>
      <w:marBottom w:val="0"/>
      <w:divBdr>
        <w:top w:val="none" w:sz="0" w:space="0" w:color="auto"/>
        <w:left w:val="none" w:sz="0" w:space="0" w:color="auto"/>
        <w:bottom w:val="none" w:sz="0" w:space="0" w:color="auto"/>
        <w:right w:val="none" w:sz="0" w:space="0" w:color="auto"/>
      </w:divBdr>
    </w:div>
    <w:div w:id="162473335">
      <w:bodyDiv w:val="1"/>
      <w:marLeft w:val="0"/>
      <w:marRight w:val="0"/>
      <w:marTop w:val="0"/>
      <w:marBottom w:val="0"/>
      <w:divBdr>
        <w:top w:val="none" w:sz="0" w:space="0" w:color="auto"/>
        <w:left w:val="none" w:sz="0" w:space="0" w:color="auto"/>
        <w:bottom w:val="none" w:sz="0" w:space="0" w:color="auto"/>
        <w:right w:val="none" w:sz="0" w:space="0" w:color="auto"/>
      </w:divBdr>
    </w:div>
    <w:div w:id="163672320">
      <w:bodyDiv w:val="1"/>
      <w:marLeft w:val="0"/>
      <w:marRight w:val="0"/>
      <w:marTop w:val="0"/>
      <w:marBottom w:val="0"/>
      <w:divBdr>
        <w:top w:val="none" w:sz="0" w:space="0" w:color="auto"/>
        <w:left w:val="none" w:sz="0" w:space="0" w:color="auto"/>
        <w:bottom w:val="none" w:sz="0" w:space="0" w:color="auto"/>
        <w:right w:val="none" w:sz="0" w:space="0" w:color="auto"/>
      </w:divBdr>
    </w:div>
    <w:div w:id="164326979">
      <w:bodyDiv w:val="1"/>
      <w:marLeft w:val="0"/>
      <w:marRight w:val="0"/>
      <w:marTop w:val="0"/>
      <w:marBottom w:val="0"/>
      <w:divBdr>
        <w:top w:val="none" w:sz="0" w:space="0" w:color="auto"/>
        <w:left w:val="none" w:sz="0" w:space="0" w:color="auto"/>
        <w:bottom w:val="none" w:sz="0" w:space="0" w:color="auto"/>
        <w:right w:val="none" w:sz="0" w:space="0" w:color="auto"/>
      </w:divBdr>
    </w:div>
    <w:div w:id="165294420">
      <w:bodyDiv w:val="1"/>
      <w:marLeft w:val="0"/>
      <w:marRight w:val="0"/>
      <w:marTop w:val="0"/>
      <w:marBottom w:val="0"/>
      <w:divBdr>
        <w:top w:val="none" w:sz="0" w:space="0" w:color="auto"/>
        <w:left w:val="none" w:sz="0" w:space="0" w:color="auto"/>
        <w:bottom w:val="none" w:sz="0" w:space="0" w:color="auto"/>
        <w:right w:val="none" w:sz="0" w:space="0" w:color="auto"/>
      </w:divBdr>
    </w:div>
    <w:div w:id="167067298">
      <w:bodyDiv w:val="1"/>
      <w:marLeft w:val="0"/>
      <w:marRight w:val="0"/>
      <w:marTop w:val="0"/>
      <w:marBottom w:val="0"/>
      <w:divBdr>
        <w:top w:val="none" w:sz="0" w:space="0" w:color="auto"/>
        <w:left w:val="none" w:sz="0" w:space="0" w:color="auto"/>
        <w:bottom w:val="none" w:sz="0" w:space="0" w:color="auto"/>
        <w:right w:val="none" w:sz="0" w:space="0" w:color="auto"/>
      </w:divBdr>
    </w:div>
    <w:div w:id="169880789">
      <w:bodyDiv w:val="1"/>
      <w:marLeft w:val="0"/>
      <w:marRight w:val="0"/>
      <w:marTop w:val="0"/>
      <w:marBottom w:val="0"/>
      <w:divBdr>
        <w:top w:val="none" w:sz="0" w:space="0" w:color="auto"/>
        <w:left w:val="none" w:sz="0" w:space="0" w:color="auto"/>
        <w:bottom w:val="none" w:sz="0" w:space="0" w:color="auto"/>
        <w:right w:val="none" w:sz="0" w:space="0" w:color="auto"/>
      </w:divBdr>
    </w:div>
    <w:div w:id="171646043">
      <w:bodyDiv w:val="1"/>
      <w:marLeft w:val="0"/>
      <w:marRight w:val="0"/>
      <w:marTop w:val="0"/>
      <w:marBottom w:val="0"/>
      <w:divBdr>
        <w:top w:val="none" w:sz="0" w:space="0" w:color="auto"/>
        <w:left w:val="none" w:sz="0" w:space="0" w:color="auto"/>
        <w:bottom w:val="none" w:sz="0" w:space="0" w:color="auto"/>
        <w:right w:val="none" w:sz="0" w:space="0" w:color="auto"/>
      </w:divBdr>
    </w:div>
    <w:div w:id="172229838">
      <w:bodyDiv w:val="1"/>
      <w:marLeft w:val="0"/>
      <w:marRight w:val="0"/>
      <w:marTop w:val="0"/>
      <w:marBottom w:val="0"/>
      <w:divBdr>
        <w:top w:val="none" w:sz="0" w:space="0" w:color="auto"/>
        <w:left w:val="none" w:sz="0" w:space="0" w:color="auto"/>
        <w:bottom w:val="none" w:sz="0" w:space="0" w:color="auto"/>
        <w:right w:val="none" w:sz="0" w:space="0" w:color="auto"/>
      </w:divBdr>
    </w:div>
    <w:div w:id="172766564">
      <w:bodyDiv w:val="1"/>
      <w:marLeft w:val="0"/>
      <w:marRight w:val="0"/>
      <w:marTop w:val="0"/>
      <w:marBottom w:val="0"/>
      <w:divBdr>
        <w:top w:val="none" w:sz="0" w:space="0" w:color="auto"/>
        <w:left w:val="none" w:sz="0" w:space="0" w:color="auto"/>
        <w:bottom w:val="none" w:sz="0" w:space="0" w:color="auto"/>
        <w:right w:val="none" w:sz="0" w:space="0" w:color="auto"/>
      </w:divBdr>
    </w:div>
    <w:div w:id="173153147">
      <w:bodyDiv w:val="1"/>
      <w:marLeft w:val="0"/>
      <w:marRight w:val="0"/>
      <w:marTop w:val="0"/>
      <w:marBottom w:val="0"/>
      <w:divBdr>
        <w:top w:val="none" w:sz="0" w:space="0" w:color="auto"/>
        <w:left w:val="none" w:sz="0" w:space="0" w:color="auto"/>
        <w:bottom w:val="none" w:sz="0" w:space="0" w:color="auto"/>
        <w:right w:val="none" w:sz="0" w:space="0" w:color="auto"/>
      </w:divBdr>
    </w:div>
    <w:div w:id="177812151">
      <w:bodyDiv w:val="1"/>
      <w:marLeft w:val="0"/>
      <w:marRight w:val="0"/>
      <w:marTop w:val="0"/>
      <w:marBottom w:val="0"/>
      <w:divBdr>
        <w:top w:val="none" w:sz="0" w:space="0" w:color="auto"/>
        <w:left w:val="none" w:sz="0" w:space="0" w:color="auto"/>
        <w:bottom w:val="none" w:sz="0" w:space="0" w:color="auto"/>
        <w:right w:val="none" w:sz="0" w:space="0" w:color="auto"/>
      </w:divBdr>
    </w:div>
    <w:div w:id="185025988">
      <w:bodyDiv w:val="1"/>
      <w:marLeft w:val="0"/>
      <w:marRight w:val="0"/>
      <w:marTop w:val="0"/>
      <w:marBottom w:val="0"/>
      <w:divBdr>
        <w:top w:val="none" w:sz="0" w:space="0" w:color="auto"/>
        <w:left w:val="none" w:sz="0" w:space="0" w:color="auto"/>
        <w:bottom w:val="none" w:sz="0" w:space="0" w:color="auto"/>
        <w:right w:val="none" w:sz="0" w:space="0" w:color="auto"/>
      </w:divBdr>
    </w:div>
    <w:div w:id="185143476">
      <w:bodyDiv w:val="1"/>
      <w:marLeft w:val="0"/>
      <w:marRight w:val="0"/>
      <w:marTop w:val="0"/>
      <w:marBottom w:val="0"/>
      <w:divBdr>
        <w:top w:val="none" w:sz="0" w:space="0" w:color="auto"/>
        <w:left w:val="none" w:sz="0" w:space="0" w:color="auto"/>
        <w:bottom w:val="none" w:sz="0" w:space="0" w:color="auto"/>
        <w:right w:val="none" w:sz="0" w:space="0" w:color="auto"/>
      </w:divBdr>
    </w:div>
    <w:div w:id="185796228">
      <w:bodyDiv w:val="1"/>
      <w:marLeft w:val="0"/>
      <w:marRight w:val="0"/>
      <w:marTop w:val="0"/>
      <w:marBottom w:val="0"/>
      <w:divBdr>
        <w:top w:val="none" w:sz="0" w:space="0" w:color="auto"/>
        <w:left w:val="none" w:sz="0" w:space="0" w:color="auto"/>
        <w:bottom w:val="none" w:sz="0" w:space="0" w:color="auto"/>
        <w:right w:val="none" w:sz="0" w:space="0" w:color="auto"/>
      </w:divBdr>
    </w:div>
    <w:div w:id="186136888">
      <w:bodyDiv w:val="1"/>
      <w:marLeft w:val="0"/>
      <w:marRight w:val="0"/>
      <w:marTop w:val="0"/>
      <w:marBottom w:val="0"/>
      <w:divBdr>
        <w:top w:val="none" w:sz="0" w:space="0" w:color="auto"/>
        <w:left w:val="none" w:sz="0" w:space="0" w:color="auto"/>
        <w:bottom w:val="none" w:sz="0" w:space="0" w:color="auto"/>
        <w:right w:val="none" w:sz="0" w:space="0" w:color="auto"/>
      </w:divBdr>
    </w:div>
    <w:div w:id="186797110">
      <w:bodyDiv w:val="1"/>
      <w:marLeft w:val="0"/>
      <w:marRight w:val="0"/>
      <w:marTop w:val="0"/>
      <w:marBottom w:val="0"/>
      <w:divBdr>
        <w:top w:val="none" w:sz="0" w:space="0" w:color="auto"/>
        <w:left w:val="none" w:sz="0" w:space="0" w:color="auto"/>
        <w:bottom w:val="none" w:sz="0" w:space="0" w:color="auto"/>
        <w:right w:val="none" w:sz="0" w:space="0" w:color="auto"/>
      </w:divBdr>
    </w:div>
    <w:div w:id="193544637">
      <w:bodyDiv w:val="1"/>
      <w:marLeft w:val="0"/>
      <w:marRight w:val="0"/>
      <w:marTop w:val="0"/>
      <w:marBottom w:val="0"/>
      <w:divBdr>
        <w:top w:val="none" w:sz="0" w:space="0" w:color="auto"/>
        <w:left w:val="none" w:sz="0" w:space="0" w:color="auto"/>
        <w:bottom w:val="none" w:sz="0" w:space="0" w:color="auto"/>
        <w:right w:val="none" w:sz="0" w:space="0" w:color="auto"/>
      </w:divBdr>
    </w:div>
    <w:div w:id="197206977">
      <w:bodyDiv w:val="1"/>
      <w:marLeft w:val="0"/>
      <w:marRight w:val="0"/>
      <w:marTop w:val="0"/>
      <w:marBottom w:val="0"/>
      <w:divBdr>
        <w:top w:val="none" w:sz="0" w:space="0" w:color="auto"/>
        <w:left w:val="none" w:sz="0" w:space="0" w:color="auto"/>
        <w:bottom w:val="none" w:sz="0" w:space="0" w:color="auto"/>
        <w:right w:val="none" w:sz="0" w:space="0" w:color="auto"/>
      </w:divBdr>
    </w:div>
    <w:div w:id="197596018">
      <w:bodyDiv w:val="1"/>
      <w:marLeft w:val="0"/>
      <w:marRight w:val="0"/>
      <w:marTop w:val="0"/>
      <w:marBottom w:val="0"/>
      <w:divBdr>
        <w:top w:val="none" w:sz="0" w:space="0" w:color="auto"/>
        <w:left w:val="none" w:sz="0" w:space="0" w:color="auto"/>
        <w:bottom w:val="none" w:sz="0" w:space="0" w:color="auto"/>
        <w:right w:val="none" w:sz="0" w:space="0" w:color="auto"/>
      </w:divBdr>
    </w:div>
    <w:div w:id="198587700">
      <w:bodyDiv w:val="1"/>
      <w:marLeft w:val="0"/>
      <w:marRight w:val="0"/>
      <w:marTop w:val="0"/>
      <w:marBottom w:val="0"/>
      <w:divBdr>
        <w:top w:val="none" w:sz="0" w:space="0" w:color="auto"/>
        <w:left w:val="none" w:sz="0" w:space="0" w:color="auto"/>
        <w:bottom w:val="none" w:sz="0" w:space="0" w:color="auto"/>
        <w:right w:val="none" w:sz="0" w:space="0" w:color="auto"/>
      </w:divBdr>
    </w:div>
    <w:div w:id="201092420">
      <w:bodyDiv w:val="1"/>
      <w:marLeft w:val="0"/>
      <w:marRight w:val="0"/>
      <w:marTop w:val="0"/>
      <w:marBottom w:val="0"/>
      <w:divBdr>
        <w:top w:val="none" w:sz="0" w:space="0" w:color="auto"/>
        <w:left w:val="none" w:sz="0" w:space="0" w:color="auto"/>
        <w:bottom w:val="none" w:sz="0" w:space="0" w:color="auto"/>
        <w:right w:val="none" w:sz="0" w:space="0" w:color="auto"/>
      </w:divBdr>
    </w:div>
    <w:div w:id="201676743">
      <w:bodyDiv w:val="1"/>
      <w:marLeft w:val="0"/>
      <w:marRight w:val="0"/>
      <w:marTop w:val="0"/>
      <w:marBottom w:val="0"/>
      <w:divBdr>
        <w:top w:val="none" w:sz="0" w:space="0" w:color="auto"/>
        <w:left w:val="none" w:sz="0" w:space="0" w:color="auto"/>
        <w:bottom w:val="none" w:sz="0" w:space="0" w:color="auto"/>
        <w:right w:val="none" w:sz="0" w:space="0" w:color="auto"/>
      </w:divBdr>
    </w:div>
    <w:div w:id="201794277">
      <w:bodyDiv w:val="1"/>
      <w:marLeft w:val="0"/>
      <w:marRight w:val="0"/>
      <w:marTop w:val="0"/>
      <w:marBottom w:val="0"/>
      <w:divBdr>
        <w:top w:val="none" w:sz="0" w:space="0" w:color="auto"/>
        <w:left w:val="none" w:sz="0" w:space="0" w:color="auto"/>
        <w:bottom w:val="none" w:sz="0" w:space="0" w:color="auto"/>
        <w:right w:val="none" w:sz="0" w:space="0" w:color="auto"/>
      </w:divBdr>
    </w:div>
    <w:div w:id="202331146">
      <w:bodyDiv w:val="1"/>
      <w:marLeft w:val="0"/>
      <w:marRight w:val="0"/>
      <w:marTop w:val="0"/>
      <w:marBottom w:val="0"/>
      <w:divBdr>
        <w:top w:val="none" w:sz="0" w:space="0" w:color="auto"/>
        <w:left w:val="none" w:sz="0" w:space="0" w:color="auto"/>
        <w:bottom w:val="none" w:sz="0" w:space="0" w:color="auto"/>
        <w:right w:val="none" w:sz="0" w:space="0" w:color="auto"/>
      </w:divBdr>
    </w:div>
    <w:div w:id="202450780">
      <w:bodyDiv w:val="1"/>
      <w:marLeft w:val="0"/>
      <w:marRight w:val="0"/>
      <w:marTop w:val="0"/>
      <w:marBottom w:val="0"/>
      <w:divBdr>
        <w:top w:val="none" w:sz="0" w:space="0" w:color="auto"/>
        <w:left w:val="none" w:sz="0" w:space="0" w:color="auto"/>
        <w:bottom w:val="none" w:sz="0" w:space="0" w:color="auto"/>
        <w:right w:val="none" w:sz="0" w:space="0" w:color="auto"/>
      </w:divBdr>
    </w:div>
    <w:div w:id="204342712">
      <w:bodyDiv w:val="1"/>
      <w:marLeft w:val="0"/>
      <w:marRight w:val="0"/>
      <w:marTop w:val="0"/>
      <w:marBottom w:val="0"/>
      <w:divBdr>
        <w:top w:val="none" w:sz="0" w:space="0" w:color="auto"/>
        <w:left w:val="none" w:sz="0" w:space="0" w:color="auto"/>
        <w:bottom w:val="none" w:sz="0" w:space="0" w:color="auto"/>
        <w:right w:val="none" w:sz="0" w:space="0" w:color="auto"/>
      </w:divBdr>
    </w:div>
    <w:div w:id="205416093">
      <w:bodyDiv w:val="1"/>
      <w:marLeft w:val="0"/>
      <w:marRight w:val="0"/>
      <w:marTop w:val="0"/>
      <w:marBottom w:val="0"/>
      <w:divBdr>
        <w:top w:val="none" w:sz="0" w:space="0" w:color="auto"/>
        <w:left w:val="none" w:sz="0" w:space="0" w:color="auto"/>
        <w:bottom w:val="none" w:sz="0" w:space="0" w:color="auto"/>
        <w:right w:val="none" w:sz="0" w:space="0" w:color="auto"/>
      </w:divBdr>
    </w:div>
    <w:div w:id="206644828">
      <w:bodyDiv w:val="1"/>
      <w:marLeft w:val="0"/>
      <w:marRight w:val="0"/>
      <w:marTop w:val="0"/>
      <w:marBottom w:val="0"/>
      <w:divBdr>
        <w:top w:val="none" w:sz="0" w:space="0" w:color="auto"/>
        <w:left w:val="none" w:sz="0" w:space="0" w:color="auto"/>
        <w:bottom w:val="none" w:sz="0" w:space="0" w:color="auto"/>
        <w:right w:val="none" w:sz="0" w:space="0" w:color="auto"/>
      </w:divBdr>
    </w:div>
    <w:div w:id="207650435">
      <w:bodyDiv w:val="1"/>
      <w:marLeft w:val="0"/>
      <w:marRight w:val="0"/>
      <w:marTop w:val="0"/>
      <w:marBottom w:val="0"/>
      <w:divBdr>
        <w:top w:val="none" w:sz="0" w:space="0" w:color="auto"/>
        <w:left w:val="none" w:sz="0" w:space="0" w:color="auto"/>
        <w:bottom w:val="none" w:sz="0" w:space="0" w:color="auto"/>
        <w:right w:val="none" w:sz="0" w:space="0" w:color="auto"/>
      </w:divBdr>
    </w:div>
    <w:div w:id="208155725">
      <w:bodyDiv w:val="1"/>
      <w:marLeft w:val="0"/>
      <w:marRight w:val="0"/>
      <w:marTop w:val="0"/>
      <w:marBottom w:val="0"/>
      <w:divBdr>
        <w:top w:val="none" w:sz="0" w:space="0" w:color="auto"/>
        <w:left w:val="none" w:sz="0" w:space="0" w:color="auto"/>
        <w:bottom w:val="none" w:sz="0" w:space="0" w:color="auto"/>
        <w:right w:val="none" w:sz="0" w:space="0" w:color="auto"/>
      </w:divBdr>
    </w:div>
    <w:div w:id="208416972">
      <w:bodyDiv w:val="1"/>
      <w:marLeft w:val="0"/>
      <w:marRight w:val="0"/>
      <w:marTop w:val="0"/>
      <w:marBottom w:val="0"/>
      <w:divBdr>
        <w:top w:val="none" w:sz="0" w:space="0" w:color="auto"/>
        <w:left w:val="none" w:sz="0" w:space="0" w:color="auto"/>
        <w:bottom w:val="none" w:sz="0" w:space="0" w:color="auto"/>
        <w:right w:val="none" w:sz="0" w:space="0" w:color="auto"/>
      </w:divBdr>
    </w:div>
    <w:div w:id="210269923">
      <w:bodyDiv w:val="1"/>
      <w:marLeft w:val="0"/>
      <w:marRight w:val="0"/>
      <w:marTop w:val="0"/>
      <w:marBottom w:val="0"/>
      <w:divBdr>
        <w:top w:val="none" w:sz="0" w:space="0" w:color="auto"/>
        <w:left w:val="none" w:sz="0" w:space="0" w:color="auto"/>
        <w:bottom w:val="none" w:sz="0" w:space="0" w:color="auto"/>
        <w:right w:val="none" w:sz="0" w:space="0" w:color="auto"/>
      </w:divBdr>
    </w:div>
    <w:div w:id="213202563">
      <w:bodyDiv w:val="1"/>
      <w:marLeft w:val="0"/>
      <w:marRight w:val="0"/>
      <w:marTop w:val="0"/>
      <w:marBottom w:val="0"/>
      <w:divBdr>
        <w:top w:val="none" w:sz="0" w:space="0" w:color="auto"/>
        <w:left w:val="none" w:sz="0" w:space="0" w:color="auto"/>
        <w:bottom w:val="none" w:sz="0" w:space="0" w:color="auto"/>
        <w:right w:val="none" w:sz="0" w:space="0" w:color="auto"/>
      </w:divBdr>
    </w:div>
    <w:div w:id="219681208">
      <w:bodyDiv w:val="1"/>
      <w:marLeft w:val="0"/>
      <w:marRight w:val="0"/>
      <w:marTop w:val="0"/>
      <w:marBottom w:val="0"/>
      <w:divBdr>
        <w:top w:val="none" w:sz="0" w:space="0" w:color="auto"/>
        <w:left w:val="none" w:sz="0" w:space="0" w:color="auto"/>
        <w:bottom w:val="none" w:sz="0" w:space="0" w:color="auto"/>
        <w:right w:val="none" w:sz="0" w:space="0" w:color="auto"/>
      </w:divBdr>
    </w:div>
    <w:div w:id="219947373">
      <w:bodyDiv w:val="1"/>
      <w:marLeft w:val="0"/>
      <w:marRight w:val="0"/>
      <w:marTop w:val="0"/>
      <w:marBottom w:val="0"/>
      <w:divBdr>
        <w:top w:val="none" w:sz="0" w:space="0" w:color="auto"/>
        <w:left w:val="none" w:sz="0" w:space="0" w:color="auto"/>
        <w:bottom w:val="none" w:sz="0" w:space="0" w:color="auto"/>
        <w:right w:val="none" w:sz="0" w:space="0" w:color="auto"/>
      </w:divBdr>
    </w:div>
    <w:div w:id="226115110">
      <w:bodyDiv w:val="1"/>
      <w:marLeft w:val="0"/>
      <w:marRight w:val="0"/>
      <w:marTop w:val="0"/>
      <w:marBottom w:val="0"/>
      <w:divBdr>
        <w:top w:val="none" w:sz="0" w:space="0" w:color="auto"/>
        <w:left w:val="none" w:sz="0" w:space="0" w:color="auto"/>
        <w:bottom w:val="none" w:sz="0" w:space="0" w:color="auto"/>
        <w:right w:val="none" w:sz="0" w:space="0" w:color="auto"/>
      </w:divBdr>
    </w:div>
    <w:div w:id="226576924">
      <w:bodyDiv w:val="1"/>
      <w:marLeft w:val="0"/>
      <w:marRight w:val="0"/>
      <w:marTop w:val="0"/>
      <w:marBottom w:val="0"/>
      <w:divBdr>
        <w:top w:val="none" w:sz="0" w:space="0" w:color="auto"/>
        <w:left w:val="none" w:sz="0" w:space="0" w:color="auto"/>
        <w:bottom w:val="none" w:sz="0" w:space="0" w:color="auto"/>
        <w:right w:val="none" w:sz="0" w:space="0" w:color="auto"/>
      </w:divBdr>
    </w:div>
    <w:div w:id="228541105">
      <w:bodyDiv w:val="1"/>
      <w:marLeft w:val="0"/>
      <w:marRight w:val="0"/>
      <w:marTop w:val="0"/>
      <w:marBottom w:val="0"/>
      <w:divBdr>
        <w:top w:val="none" w:sz="0" w:space="0" w:color="auto"/>
        <w:left w:val="none" w:sz="0" w:space="0" w:color="auto"/>
        <w:bottom w:val="none" w:sz="0" w:space="0" w:color="auto"/>
        <w:right w:val="none" w:sz="0" w:space="0" w:color="auto"/>
      </w:divBdr>
    </w:div>
    <w:div w:id="229078389">
      <w:bodyDiv w:val="1"/>
      <w:marLeft w:val="0"/>
      <w:marRight w:val="0"/>
      <w:marTop w:val="0"/>
      <w:marBottom w:val="0"/>
      <w:divBdr>
        <w:top w:val="none" w:sz="0" w:space="0" w:color="auto"/>
        <w:left w:val="none" w:sz="0" w:space="0" w:color="auto"/>
        <w:bottom w:val="none" w:sz="0" w:space="0" w:color="auto"/>
        <w:right w:val="none" w:sz="0" w:space="0" w:color="auto"/>
      </w:divBdr>
    </w:div>
    <w:div w:id="229469010">
      <w:bodyDiv w:val="1"/>
      <w:marLeft w:val="0"/>
      <w:marRight w:val="0"/>
      <w:marTop w:val="0"/>
      <w:marBottom w:val="0"/>
      <w:divBdr>
        <w:top w:val="none" w:sz="0" w:space="0" w:color="auto"/>
        <w:left w:val="none" w:sz="0" w:space="0" w:color="auto"/>
        <w:bottom w:val="none" w:sz="0" w:space="0" w:color="auto"/>
        <w:right w:val="none" w:sz="0" w:space="0" w:color="auto"/>
      </w:divBdr>
    </w:div>
    <w:div w:id="240217828">
      <w:bodyDiv w:val="1"/>
      <w:marLeft w:val="0"/>
      <w:marRight w:val="0"/>
      <w:marTop w:val="0"/>
      <w:marBottom w:val="0"/>
      <w:divBdr>
        <w:top w:val="none" w:sz="0" w:space="0" w:color="auto"/>
        <w:left w:val="none" w:sz="0" w:space="0" w:color="auto"/>
        <w:bottom w:val="none" w:sz="0" w:space="0" w:color="auto"/>
        <w:right w:val="none" w:sz="0" w:space="0" w:color="auto"/>
      </w:divBdr>
    </w:div>
    <w:div w:id="243148580">
      <w:bodyDiv w:val="1"/>
      <w:marLeft w:val="0"/>
      <w:marRight w:val="0"/>
      <w:marTop w:val="0"/>
      <w:marBottom w:val="0"/>
      <w:divBdr>
        <w:top w:val="none" w:sz="0" w:space="0" w:color="auto"/>
        <w:left w:val="none" w:sz="0" w:space="0" w:color="auto"/>
        <w:bottom w:val="none" w:sz="0" w:space="0" w:color="auto"/>
        <w:right w:val="none" w:sz="0" w:space="0" w:color="auto"/>
      </w:divBdr>
    </w:div>
    <w:div w:id="243993859">
      <w:bodyDiv w:val="1"/>
      <w:marLeft w:val="0"/>
      <w:marRight w:val="0"/>
      <w:marTop w:val="0"/>
      <w:marBottom w:val="0"/>
      <w:divBdr>
        <w:top w:val="none" w:sz="0" w:space="0" w:color="auto"/>
        <w:left w:val="none" w:sz="0" w:space="0" w:color="auto"/>
        <w:bottom w:val="none" w:sz="0" w:space="0" w:color="auto"/>
        <w:right w:val="none" w:sz="0" w:space="0" w:color="auto"/>
      </w:divBdr>
    </w:div>
    <w:div w:id="246572495">
      <w:bodyDiv w:val="1"/>
      <w:marLeft w:val="0"/>
      <w:marRight w:val="0"/>
      <w:marTop w:val="0"/>
      <w:marBottom w:val="0"/>
      <w:divBdr>
        <w:top w:val="none" w:sz="0" w:space="0" w:color="auto"/>
        <w:left w:val="none" w:sz="0" w:space="0" w:color="auto"/>
        <w:bottom w:val="none" w:sz="0" w:space="0" w:color="auto"/>
        <w:right w:val="none" w:sz="0" w:space="0" w:color="auto"/>
      </w:divBdr>
    </w:div>
    <w:div w:id="249241950">
      <w:bodyDiv w:val="1"/>
      <w:marLeft w:val="0"/>
      <w:marRight w:val="0"/>
      <w:marTop w:val="0"/>
      <w:marBottom w:val="0"/>
      <w:divBdr>
        <w:top w:val="none" w:sz="0" w:space="0" w:color="auto"/>
        <w:left w:val="none" w:sz="0" w:space="0" w:color="auto"/>
        <w:bottom w:val="none" w:sz="0" w:space="0" w:color="auto"/>
        <w:right w:val="none" w:sz="0" w:space="0" w:color="auto"/>
      </w:divBdr>
    </w:div>
    <w:div w:id="251352396">
      <w:bodyDiv w:val="1"/>
      <w:marLeft w:val="0"/>
      <w:marRight w:val="0"/>
      <w:marTop w:val="0"/>
      <w:marBottom w:val="0"/>
      <w:divBdr>
        <w:top w:val="none" w:sz="0" w:space="0" w:color="auto"/>
        <w:left w:val="none" w:sz="0" w:space="0" w:color="auto"/>
        <w:bottom w:val="none" w:sz="0" w:space="0" w:color="auto"/>
        <w:right w:val="none" w:sz="0" w:space="0" w:color="auto"/>
      </w:divBdr>
    </w:div>
    <w:div w:id="253324489">
      <w:bodyDiv w:val="1"/>
      <w:marLeft w:val="0"/>
      <w:marRight w:val="0"/>
      <w:marTop w:val="0"/>
      <w:marBottom w:val="0"/>
      <w:divBdr>
        <w:top w:val="none" w:sz="0" w:space="0" w:color="auto"/>
        <w:left w:val="none" w:sz="0" w:space="0" w:color="auto"/>
        <w:bottom w:val="none" w:sz="0" w:space="0" w:color="auto"/>
        <w:right w:val="none" w:sz="0" w:space="0" w:color="auto"/>
      </w:divBdr>
    </w:div>
    <w:div w:id="253516715">
      <w:bodyDiv w:val="1"/>
      <w:marLeft w:val="0"/>
      <w:marRight w:val="0"/>
      <w:marTop w:val="0"/>
      <w:marBottom w:val="0"/>
      <w:divBdr>
        <w:top w:val="none" w:sz="0" w:space="0" w:color="auto"/>
        <w:left w:val="none" w:sz="0" w:space="0" w:color="auto"/>
        <w:bottom w:val="none" w:sz="0" w:space="0" w:color="auto"/>
        <w:right w:val="none" w:sz="0" w:space="0" w:color="auto"/>
      </w:divBdr>
    </w:div>
    <w:div w:id="259946445">
      <w:bodyDiv w:val="1"/>
      <w:marLeft w:val="0"/>
      <w:marRight w:val="0"/>
      <w:marTop w:val="0"/>
      <w:marBottom w:val="0"/>
      <w:divBdr>
        <w:top w:val="none" w:sz="0" w:space="0" w:color="auto"/>
        <w:left w:val="none" w:sz="0" w:space="0" w:color="auto"/>
        <w:bottom w:val="none" w:sz="0" w:space="0" w:color="auto"/>
        <w:right w:val="none" w:sz="0" w:space="0" w:color="auto"/>
      </w:divBdr>
    </w:div>
    <w:div w:id="261302831">
      <w:bodyDiv w:val="1"/>
      <w:marLeft w:val="0"/>
      <w:marRight w:val="0"/>
      <w:marTop w:val="0"/>
      <w:marBottom w:val="0"/>
      <w:divBdr>
        <w:top w:val="none" w:sz="0" w:space="0" w:color="auto"/>
        <w:left w:val="none" w:sz="0" w:space="0" w:color="auto"/>
        <w:bottom w:val="none" w:sz="0" w:space="0" w:color="auto"/>
        <w:right w:val="none" w:sz="0" w:space="0" w:color="auto"/>
      </w:divBdr>
    </w:div>
    <w:div w:id="267005530">
      <w:bodyDiv w:val="1"/>
      <w:marLeft w:val="0"/>
      <w:marRight w:val="0"/>
      <w:marTop w:val="0"/>
      <w:marBottom w:val="0"/>
      <w:divBdr>
        <w:top w:val="none" w:sz="0" w:space="0" w:color="auto"/>
        <w:left w:val="none" w:sz="0" w:space="0" w:color="auto"/>
        <w:bottom w:val="none" w:sz="0" w:space="0" w:color="auto"/>
        <w:right w:val="none" w:sz="0" w:space="0" w:color="auto"/>
      </w:divBdr>
    </w:div>
    <w:div w:id="268317906">
      <w:bodyDiv w:val="1"/>
      <w:marLeft w:val="0"/>
      <w:marRight w:val="0"/>
      <w:marTop w:val="0"/>
      <w:marBottom w:val="0"/>
      <w:divBdr>
        <w:top w:val="none" w:sz="0" w:space="0" w:color="auto"/>
        <w:left w:val="none" w:sz="0" w:space="0" w:color="auto"/>
        <w:bottom w:val="none" w:sz="0" w:space="0" w:color="auto"/>
        <w:right w:val="none" w:sz="0" w:space="0" w:color="auto"/>
      </w:divBdr>
    </w:div>
    <w:div w:id="271203205">
      <w:bodyDiv w:val="1"/>
      <w:marLeft w:val="0"/>
      <w:marRight w:val="0"/>
      <w:marTop w:val="0"/>
      <w:marBottom w:val="0"/>
      <w:divBdr>
        <w:top w:val="none" w:sz="0" w:space="0" w:color="auto"/>
        <w:left w:val="none" w:sz="0" w:space="0" w:color="auto"/>
        <w:bottom w:val="none" w:sz="0" w:space="0" w:color="auto"/>
        <w:right w:val="none" w:sz="0" w:space="0" w:color="auto"/>
      </w:divBdr>
    </w:div>
    <w:div w:id="272783108">
      <w:bodyDiv w:val="1"/>
      <w:marLeft w:val="0"/>
      <w:marRight w:val="0"/>
      <w:marTop w:val="0"/>
      <w:marBottom w:val="0"/>
      <w:divBdr>
        <w:top w:val="none" w:sz="0" w:space="0" w:color="auto"/>
        <w:left w:val="none" w:sz="0" w:space="0" w:color="auto"/>
        <w:bottom w:val="none" w:sz="0" w:space="0" w:color="auto"/>
        <w:right w:val="none" w:sz="0" w:space="0" w:color="auto"/>
      </w:divBdr>
    </w:div>
    <w:div w:id="276373036">
      <w:bodyDiv w:val="1"/>
      <w:marLeft w:val="0"/>
      <w:marRight w:val="0"/>
      <w:marTop w:val="0"/>
      <w:marBottom w:val="0"/>
      <w:divBdr>
        <w:top w:val="none" w:sz="0" w:space="0" w:color="auto"/>
        <w:left w:val="none" w:sz="0" w:space="0" w:color="auto"/>
        <w:bottom w:val="none" w:sz="0" w:space="0" w:color="auto"/>
        <w:right w:val="none" w:sz="0" w:space="0" w:color="auto"/>
      </w:divBdr>
    </w:div>
    <w:div w:id="277300413">
      <w:bodyDiv w:val="1"/>
      <w:marLeft w:val="0"/>
      <w:marRight w:val="0"/>
      <w:marTop w:val="0"/>
      <w:marBottom w:val="0"/>
      <w:divBdr>
        <w:top w:val="none" w:sz="0" w:space="0" w:color="auto"/>
        <w:left w:val="none" w:sz="0" w:space="0" w:color="auto"/>
        <w:bottom w:val="none" w:sz="0" w:space="0" w:color="auto"/>
        <w:right w:val="none" w:sz="0" w:space="0" w:color="auto"/>
      </w:divBdr>
    </w:div>
    <w:div w:id="277376587">
      <w:bodyDiv w:val="1"/>
      <w:marLeft w:val="0"/>
      <w:marRight w:val="0"/>
      <w:marTop w:val="0"/>
      <w:marBottom w:val="0"/>
      <w:divBdr>
        <w:top w:val="none" w:sz="0" w:space="0" w:color="auto"/>
        <w:left w:val="none" w:sz="0" w:space="0" w:color="auto"/>
        <w:bottom w:val="none" w:sz="0" w:space="0" w:color="auto"/>
        <w:right w:val="none" w:sz="0" w:space="0" w:color="auto"/>
      </w:divBdr>
    </w:div>
    <w:div w:id="278101794">
      <w:bodyDiv w:val="1"/>
      <w:marLeft w:val="0"/>
      <w:marRight w:val="0"/>
      <w:marTop w:val="0"/>
      <w:marBottom w:val="0"/>
      <w:divBdr>
        <w:top w:val="none" w:sz="0" w:space="0" w:color="auto"/>
        <w:left w:val="none" w:sz="0" w:space="0" w:color="auto"/>
        <w:bottom w:val="none" w:sz="0" w:space="0" w:color="auto"/>
        <w:right w:val="none" w:sz="0" w:space="0" w:color="auto"/>
      </w:divBdr>
    </w:div>
    <w:div w:id="278218986">
      <w:bodyDiv w:val="1"/>
      <w:marLeft w:val="0"/>
      <w:marRight w:val="0"/>
      <w:marTop w:val="0"/>
      <w:marBottom w:val="0"/>
      <w:divBdr>
        <w:top w:val="none" w:sz="0" w:space="0" w:color="auto"/>
        <w:left w:val="none" w:sz="0" w:space="0" w:color="auto"/>
        <w:bottom w:val="none" w:sz="0" w:space="0" w:color="auto"/>
        <w:right w:val="none" w:sz="0" w:space="0" w:color="auto"/>
      </w:divBdr>
    </w:div>
    <w:div w:id="279144522">
      <w:bodyDiv w:val="1"/>
      <w:marLeft w:val="0"/>
      <w:marRight w:val="0"/>
      <w:marTop w:val="0"/>
      <w:marBottom w:val="0"/>
      <w:divBdr>
        <w:top w:val="none" w:sz="0" w:space="0" w:color="auto"/>
        <w:left w:val="none" w:sz="0" w:space="0" w:color="auto"/>
        <w:bottom w:val="none" w:sz="0" w:space="0" w:color="auto"/>
        <w:right w:val="none" w:sz="0" w:space="0" w:color="auto"/>
      </w:divBdr>
    </w:div>
    <w:div w:id="285279118">
      <w:bodyDiv w:val="1"/>
      <w:marLeft w:val="0"/>
      <w:marRight w:val="0"/>
      <w:marTop w:val="0"/>
      <w:marBottom w:val="0"/>
      <w:divBdr>
        <w:top w:val="none" w:sz="0" w:space="0" w:color="auto"/>
        <w:left w:val="none" w:sz="0" w:space="0" w:color="auto"/>
        <w:bottom w:val="none" w:sz="0" w:space="0" w:color="auto"/>
        <w:right w:val="none" w:sz="0" w:space="0" w:color="auto"/>
      </w:divBdr>
    </w:div>
    <w:div w:id="286011875">
      <w:bodyDiv w:val="1"/>
      <w:marLeft w:val="0"/>
      <w:marRight w:val="0"/>
      <w:marTop w:val="0"/>
      <w:marBottom w:val="0"/>
      <w:divBdr>
        <w:top w:val="none" w:sz="0" w:space="0" w:color="auto"/>
        <w:left w:val="none" w:sz="0" w:space="0" w:color="auto"/>
        <w:bottom w:val="none" w:sz="0" w:space="0" w:color="auto"/>
        <w:right w:val="none" w:sz="0" w:space="0" w:color="auto"/>
      </w:divBdr>
    </w:div>
    <w:div w:id="287707553">
      <w:bodyDiv w:val="1"/>
      <w:marLeft w:val="0"/>
      <w:marRight w:val="0"/>
      <w:marTop w:val="0"/>
      <w:marBottom w:val="0"/>
      <w:divBdr>
        <w:top w:val="none" w:sz="0" w:space="0" w:color="auto"/>
        <w:left w:val="none" w:sz="0" w:space="0" w:color="auto"/>
        <w:bottom w:val="none" w:sz="0" w:space="0" w:color="auto"/>
        <w:right w:val="none" w:sz="0" w:space="0" w:color="auto"/>
      </w:divBdr>
    </w:div>
    <w:div w:id="288977102">
      <w:bodyDiv w:val="1"/>
      <w:marLeft w:val="0"/>
      <w:marRight w:val="0"/>
      <w:marTop w:val="0"/>
      <w:marBottom w:val="0"/>
      <w:divBdr>
        <w:top w:val="none" w:sz="0" w:space="0" w:color="auto"/>
        <w:left w:val="none" w:sz="0" w:space="0" w:color="auto"/>
        <w:bottom w:val="none" w:sz="0" w:space="0" w:color="auto"/>
        <w:right w:val="none" w:sz="0" w:space="0" w:color="auto"/>
      </w:divBdr>
    </w:div>
    <w:div w:id="290209376">
      <w:bodyDiv w:val="1"/>
      <w:marLeft w:val="0"/>
      <w:marRight w:val="0"/>
      <w:marTop w:val="0"/>
      <w:marBottom w:val="0"/>
      <w:divBdr>
        <w:top w:val="none" w:sz="0" w:space="0" w:color="auto"/>
        <w:left w:val="none" w:sz="0" w:space="0" w:color="auto"/>
        <w:bottom w:val="none" w:sz="0" w:space="0" w:color="auto"/>
        <w:right w:val="none" w:sz="0" w:space="0" w:color="auto"/>
      </w:divBdr>
    </w:div>
    <w:div w:id="290526162">
      <w:bodyDiv w:val="1"/>
      <w:marLeft w:val="0"/>
      <w:marRight w:val="0"/>
      <w:marTop w:val="0"/>
      <w:marBottom w:val="0"/>
      <w:divBdr>
        <w:top w:val="none" w:sz="0" w:space="0" w:color="auto"/>
        <w:left w:val="none" w:sz="0" w:space="0" w:color="auto"/>
        <w:bottom w:val="none" w:sz="0" w:space="0" w:color="auto"/>
        <w:right w:val="none" w:sz="0" w:space="0" w:color="auto"/>
      </w:divBdr>
    </w:div>
    <w:div w:id="291062005">
      <w:bodyDiv w:val="1"/>
      <w:marLeft w:val="0"/>
      <w:marRight w:val="0"/>
      <w:marTop w:val="0"/>
      <w:marBottom w:val="0"/>
      <w:divBdr>
        <w:top w:val="none" w:sz="0" w:space="0" w:color="auto"/>
        <w:left w:val="none" w:sz="0" w:space="0" w:color="auto"/>
        <w:bottom w:val="none" w:sz="0" w:space="0" w:color="auto"/>
        <w:right w:val="none" w:sz="0" w:space="0" w:color="auto"/>
      </w:divBdr>
    </w:div>
    <w:div w:id="291374087">
      <w:bodyDiv w:val="1"/>
      <w:marLeft w:val="0"/>
      <w:marRight w:val="0"/>
      <w:marTop w:val="0"/>
      <w:marBottom w:val="0"/>
      <w:divBdr>
        <w:top w:val="none" w:sz="0" w:space="0" w:color="auto"/>
        <w:left w:val="none" w:sz="0" w:space="0" w:color="auto"/>
        <w:bottom w:val="none" w:sz="0" w:space="0" w:color="auto"/>
        <w:right w:val="none" w:sz="0" w:space="0" w:color="auto"/>
      </w:divBdr>
    </w:div>
    <w:div w:id="297491165">
      <w:bodyDiv w:val="1"/>
      <w:marLeft w:val="0"/>
      <w:marRight w:val="0"/>
      <w:marTop w:val="0"/>
      <w:marBottom w:val="0"/>
      <w:divBdr>
        <w:top w:val="none" w:sz="0" w:space="0" w:color="auto"/>
        <w:left w:val="none" w:sz="0" w:space="0" w:color="auto"/>
        <w:bottom w:val="none" w:sz="0" w:space="0" w:color="auto"/>
        <w:right w:val="none" w:sz="0" w:space="0" w:color="auto"/>
      </w:divBdr>
    </w:div>
    <w:div w:id="299921316">
      <w:bodyDiv w:val="1"/>
      <w:marLeft w:val="0"/>
      <w:marRight w:val="0"/>
      <w:marTop w:val="0"/>
      <w:marBottom w:val="0"/>
      <w:divBdr>
        <w:top w:val="none" w:sz="0" w:space="0" w:color="auto"/>
        <w:left w:val="none" w:sz="0" w:space="0" w:color="auto"/>
        <w:bottom w:val="none" w:sz="0" w:space="0" w:color="auto"/>
        <w:right w:val="none" w:sz="0" w:space="0" w:color="auto"/>
      </w:divBdr>
    </w:div>
    <w:div w:id="303388596">
      <w:bodyDiv w:val="1"/>
      <w:marLeft w:val="0"/>
      <w:marRight w:val="0"/>
      <w:marTop w:val="0"/>
      <w:marBottom w:val="0"/>
      <w:divBdr>
        <w:top w:val="none" w:sz="0" w:space="0" w:color="auto"/>
        <w:left w:val="none" w:sz="0" w:space="0" w:color="auto"/>
        <w:bottom w:val="none" w:sz="0" w:space="0" w:color="auto"/>
        <w:right w:val="none" w:sz="0" w:space="0" w:color="auto"/>
      </w:divBdr>
    </w:div>
    <w:div w:id="304507780">
      <w:bodyDiv w:val="1"/>
      <w:marLeft w:val="0"/>
      <w:marRight w:val="0"/>
      <w:marTop w:val="0"/>
      <w:marBottom w:val="0"/>
      <w:divBdr>
        <w:top w:val="none" w:sz="0" w:space="0" w:color="auto"/>
        <w:left w:val="none" w:sz="0" w:space="0" w:color="auto"/>
        <w:bottom w:val="none" w:sz="0" w:space="0" w:color="auto"/>
        <w:right w:val="none" w:sz="0" w:space="0" w:color="auto"/>
      </w:divBdr>
    </w:div>
    <w:div w:id="305285862">
      <w:bodyDiv w:val="1"/>
      <w:marLeft w:val="0"/>
      <w:marRight w:val="0"/>
      <w:marTop w:val="0"/>
      <w:marBottom w:val="0"/>
      <w:divBdr>
        <w:top w:val="none" w:sz="0" w:space="0" w:color="auto"/>
        <w:left w:val="none" w:sz="0" w:space="0" w:color="auto"/>
        <w:bottom w:val="none" w:sz="0" w:space="0" w:color="auto"/>
        <w:right w:val="none" w:sz="0" w:space="0" w:color="auto"/>
      </w:divBdr>
    </w:div>
    <w:div w:id="305672716">
      <w:bodyDiv w:val="1"/>
      <w:marLeft w:val="0"/>
      <w:marRight w:val="0"/>
      <w:marTop w:val="0"/>
      <w:marBottom w:val="0"/>
      <w:divBdr>
        <w:top w:val="none" w:sz="0" w:space="0" w:color="auto"/>
        <w:left w:val="none" w:sz="0" w:space="0" w:color="auto"/>
        <w:bottom w:val="none" w:sz="0" w:space="0" w:color="auto"/>
        <w:right w:val="none" w:sz="0" w:space="0" w:color="auto"/>
      </w:divBdr>
    </w:div>
    <w:div w:id="307246810">
      <w:bodyDiv w:val="1"/>
      <w:marLeft w:val="0"/>
      <w:marRight w:val="0"/>
      <w:marTop w:val="0"/>
      <w:marBottom w:val="0"/>
      <w:divBdr>
        <w:top w:val="none" w:sz="0" w:space="0" w:color="auto"/>
        <w:left w:val="none" w:sz="0" w:space="0" w:color="auto"/>
        <w:bottom w:val="none" w:sz="0" w:space="0" w:color="auto"/>
        <w:right w:val="none" w:sz="0" w:space="0" w:color="auto"/>
      </w:divBdr>
    </w:div>
    <w:div w:id="309408578">
      <w:bodyDiv w:val="1"/>
      <w:marLeft w:val="0"/>
      <w:marRight w:val="0"/>
      <w:marTop w:val="0"/>
      <w:marBottom w:val="0"/>
      <w:divBdr>
        <w:top w:val="none" w:sz="0" w:space="0" w:color="auto"/>
        <w:left w:val="none" w:sz="0" w:space="0" w:color="auto"/>
        <w:bottom w:val="none" w:sz="0" w:space="0" w:color="auto"/>
        <w:right w:val="none" w:sz="0" w:space="0" w:color="auto"/>
      </w:divBdr>
    </w:div>
    <w:div w:id="310906560">
      <w:bodyDiv w:val="1"/>
      <w:marLeft w:val="0"/>
      <w:marRight w:val="0"/>
      <w:marTop w:val="0"/>
      <w:marBottom w:val="0"/>
      <w:divBdr>
        <w:top w:val="none" w:sz="0" w:space="0" w:color="auto"/>
        <w:left w:val="none" w:sz="0" w:space="0" w:color="auto"/>
        <w:bottom w:val="none" w:sz="0" w:space="0" w:color="auto"/>
        <w:right w:val="none" w:sz="0" w:space="0" w:color="auto"/>
      </w:divBdr>
    </w:div>
    <w:div w:id="311181128">
      <w:bodyDiv w:val="1"/>
      <w:marLeft w:val="0"/>
      <w:marRight w:val="0"/>
      <w:marTop w:val="0"/>
      <w:marBottom w:val="0"/>
      <w:divBdr>
        <w:top w:val="none" w:sz="0" w:space="0" w:color="auto"/>
        <w:left w:val="none" w:sz="0" w:space="0" w:color="auto"/>
        <w:bottom w:val="none" w:sz="0" w:space="0" w:color="auto"/>
        <w:right w:val="none" w:sz="0" w:space="0" w:color="auto"/>
      </w:divBdr>
    </w:div>
    <w:div w:id="311719388">
      <w:bodyDiv w:val="1"/>
      <w:marLeft w:val="0"/>
      <w:marRight w:val="0"/>
      <w:marTop w:val="0"/>
      <w:marBottom w:val="0"/>
      <w:divBdr>
        <w:top w:val="none" w:sz="0" w:space="0" w:color="auto"/>
        <w:left w:val="none" w:sz="0" w:space="0" w:color="auto"/>
        <w:bottom w:val="none" w:sz="0" w:space="0" w:color="auto"/>
        <w:right w:val="none" w:sz="0" w:space="0" w:color="auto"/>
      </w:divBdr>
    </w:div>
    <w:div w:id="315650582">
      <w:bodyDiv w:val="1"/>
      <w:marLeft w:val="0"/>
      <w:marRight w:val="0"/>
      <w:marTop w:val="0"/>
      <w:marBottom w:val="0"/>
      <w:divBdr>
        <w:top w:val="none" w:sz="0" w:space="0" w:color="auto"/>
        <w:left w:val="none" w:sz="0" w:space="0" w:color="auto"/>
        <w:bottom w:val="none" w:sz="0" w:space="0" w:color="auto"/>
        <w:right w:val="none" w:sz="0" w:space="0" w:color="auto"/>
      </w:divBdr>
    </w:div>
    <w:div w:id="316227603">
      <w:bodyDiv w:val="1"/>
      <w:marLeft w:val="0"/>
      <w:marRight w:val="0"/>
      <w:marTop w:val="0"/>
      <w:marBottom w:val="0"/>
      <w:divBdr>
        <w:top w:val="none" w:sz="0" w:space="0" w:color="auto"/>
        <w:left w:val="none" w:sz="0" w:space="0" w:color="auto"/>
        <w:bottom w:val="none" w:sz="0" w:space="0" w:color="auto"/>
        <w:right w:val="none" w:sz="0" w:space="0" w:color="auto"/>
      </w:divBdr>
    </w:div>
    <w:div w:id="317854159">
      <w:bodyDiv w:val="1"/>
      <w:marLeft w:val="0"/>
      <w:marRight w:val="0"/>
      <w:marTop w:val="0"/>
      <w:marBottom w:val="0"/>
      <w:divBdr>
        <w:top w:val="none" w:sz="0" w:space="0" w:color="auto"/>
        <w:left w:val="none" w:sz="0" w:space="0" w:color="auto"/>
        <w:bottom w:val="none" w:sz="0" w:space="0" w:color="auto"/>
        <w:right w:val="none" w:sz="0" w:space="0" w:color="auto"/>
      </w:divBdr>
    </w:div>
    <w:div w:id="322048611">
      <w:bodyDiv w:val="1"/>
      <w:marLeft w:val="0"/>
      <w:marRight w:val="0"/>
      <w:marTop w:val="0"/>
      <w:marBottom w:val="0"/>
      <w:divBdr>
        <w:top w:val="none" w:sz="0" w:space="0" w:color="auto"/>
        <w:left w:val="none" w:sz="0" w:space="0" w:color="auto"/>
        <w:bottom w:val="none" w:sz="0" w:space="0" w:color="auto"/>
        <w:right w:val="none" w:sz="0" w:space="0" w:color="auto"/>
      </w:divBdr>
    </w:div>
    <w:div w:id="322517050">
      <w:bodyDiv w:val="1"/>
      <w:marLeft w:val="0"/>
      <w:marRight w:val="0"/>
      <w:marTop w:val="0"/>
      <w:marBottom w:val="0"/>
      <w:divBdr>
        <w:top w:val="none" w:sz="0" w:space="0" w:color="auto"/>
        <w:left w:val="none" w:sz="0" w:space="0" w:color="auto"/>
        <w:bottom w:val="none" w:sz="0" w:space="0" w:color="auto"/>
        <w:right w:val="none" w:sz="0" w:space="0" w:color="auto"/>
      </w:divBdr>
    </w:div>
    <w:div w:id="322706546">
      <w:bodyDiv w:val="1"/>
      <w:marLeft w:val="0"/>
      <w:marRight w:val="0"/>
      <w:marTop w:val="0"/>
      <w:marBottom w:val="0"/>
      <w:divBdr>
        <w:top w:val="none" w:sz="0" w:space="0" w:color="auto"/>
        <w:left w:val="none" w:sz="0" w:space="0" w:color="auto"/>
        <w:bottom w:val="none" w:sz="0" w:space="0" w:color="auto"/>
        <w:right w:val="none" w:sz="0" w:space="0" w:color="auto"/>
      </w:divBdr>
    </w:div>
    <w:div w:id="324549669">
      <w:bodyDiv w:val="1"/>
      <w:marLeft w:val="0"/>
      <w:marRight w:val="0"/>
      <w:marTop w:val="0"/>
      <w:marBottom w:val="0"/>
      <w:divBdr>
        <w:top w:val="none" w:sz="0" w:space="0" w:color="auto"/>
        <w:left w:val="none" w:sz="0" w:space="0" w:color="auto"/>
        <w:bottom w:val="none" w:sz="0" w:space="0" w:color="auto"/>
        <w:right w:val="none" w:sz="0" w:space="0" w:color="auto"/>
      </w:divBdr>
    </w:div>
    <w:div w:id="324826027">
      <w:bodyDiv w:val="1"/>
      <w:marLeft w:val="0"/>
      <w:marRight w:val="0"/>
      <w:marTop w:val="0"/>
      <w:marBottom w:val="0"/>
      <w:divBdr>
        <w:top w:val="none" w:sz="0" w:space="0" w:color="auto"/>
        <w:left w:val="none" w:sz="0" w:space="0" w:color="auto"/>
        <w:bottom w:val="none" w:sz="0" w:space="0" w:color="auto"/>
        <w:right w:val="none" w:sz="0" w:space="0" w:color="auto"/>
      </w:divBdr>
    </w:div>
    <w:div w:id="329137594">
      <w:bodyDiv w:val="1"/>
      <w:marLeft w:val="0"/>
      <w:marRight w:val="0"/>
      <w:marTop w:val="0"/>
      <w:marBottom w:val="0"/>
      <w:divBdr>
        <w:top w:val="none" w:sz="0" w:space="0" w:color="auto"/>
        <w:left w:val="none" w:sz="0" w:space="0" w:color="auto"/>
        <w:bottom w:val="none" w:sz="0" w:space="0" w:color="auto"/>
        <w:right w:val="none" w:sz="0" w:space="0" w:color="auto"/>
      </w:divBdr>
    </w:div>
    <w:div w:id="334963713">
      <w:bodyDiv w:val="1"/>
      <w:marLeft w:val="0"/>
      <w:marRight w:val="0"/>
      <w:marTop w:val="0"/>
      <w:marBottom w:val="0"/>
      <w:divBdr>
        <w:top w:val="none" w:sz="0" w:space="0" w:color="auto"/>
        <w:left w:val="none" w:sz="0" w:space="0" w:color="auto"/>
        <w:bottom w:val="none" w:sz="0" w:space="0" w:color="auto"/>
        <w:right w:val="none" w:sz="0" w:space="0" w:color="auto"/>
      </w:divBdr>
    </w:div>
    <w:div w:id="335501191">
      <w:bodyDiv w:val="1"/>
      <w:marLeft w:val="0"/>
      <w:marRight w:val="0"/>
      <w:marTop w:val="0"/>
      <w:marBottom w:val="0"/>
      <w:divBdr>
        <w:top w:val="none" w:sz="0" w:space="0" w:color="auto"/>
        <w:left w:val="none" w:sz="0" w:space="0" w:color="auto"/>
        <w:bottom w:val="none" w:sz="0" w:space="0" w:color="auto"/>
        <w:right w:val="none" w:sz="0" w:space="0" w:color="auto"/>
      </w:divBdr>
    </w:div>
    <w:div w:id="335571958">
      <w:bodyDiv w:val="1"/>
      <w:marLeft w:val="0"/>
      <w:marRight w:val="0"/>
      <w:marTop w:val="0"/>
      <w:marBottom w:val="0"/>
      <w:divBdr>
        <w:top w:val="none" w:sz="0" w:space="0" w:color="auto"/>
        <w:left w:val="none" w:sz="0" w:space="0" w:color="auto"/>
        <w:bottom w:val="none" w:sz="0" w:space="0" w:color="auto"/>
        <w:right w:val="none" w:sz="0" w:space="0" w:color="auto"/>
      </w:divBdr>
    </w:div>
    <w:div w:id="336158093">
      <w:bodyDiv w:val="1"/>
      <w:marLeft w:val="0"/>
      <w:marRight w:val="0"/>
      <w:marTop w:val="0"/>
      <w:marBottom w:val="0"/>
      <w:divBdr>
        <w:top w:val="none" w:sz="0" w:space="0" w:color="auto"/>
        <w:left w:val="none" w:sz="0" w:space="0" w:color="auto"/>
        <w:bottom w:val="none" w:sz="0" w:space="0" w:color="auto"/>
        <w:right w:val="none" w:sz="0" w:space="0" w:color="auto"/>
      </w:divBdr>
    </w:div>
    <w:div w:id="340930786">
      <w:bodyDiv w:val="1"/>
      <w:marLeft w:val="0"/>
      <w:marRight w:val="0"/>
      <w:marTop w:val="0"/>
      <w:marBottom w:val="0"/>
      <w:divBdr>
        <w:top w:val="none" w:sz="0" w:space="0" w:color="auto"/>
        <w:left w:val="none" w:sz="0" w:space="0" w:color="auto"/>
        <w:bottom w:val="none" w:sz="0" w:space="0" w:color="auto"/>
        <w:right w:val="none" w:sz="0" w:space="0" w:color="auto"/>
      </w:divBdr>
    </w:div>
    <w:div w:id="342709324">
      <w:bodyDiv w:val="1"/>
      <w:marLeft w:val="0"/>
      <w:marRight w:val="0"/>
      <w:marTop w:val="0"/>
      <w:marBottom w:val="0"/>
      <w:divBdr>
        <w:top w:val="none" w:sz="0" w:space="0" w:color="auto"/>
        <w:left w:val="none" w:sz="0" w:space="0" w:color="auto"/>
        <w:bottom w:val="none" w:sz="0" w:space="0" w:color="auto"/>
        <w:right w:val="none" w:sz="0" w:space="0" w:color="auto"/>
      </w:divBdr>
    </w:div>
    <w:div w:id="346098460">
      <w:bodyDiv w:val="1"/>
      <w:marLeft w:val="0"/>
      <w:marRight w:val="0"/>
      <w:marTop w:val="0"/>
      <w:marBottom w:val="0"/>
      <w:divBdr>
        <w:top w:val="none" w:sz="0" w:space="0" w:color="auto"/>
        <w:left w:val="none" w:sz="0" w:space="0" w:color="auto"/>
        <w:bottom w:val="none" w:sz="0" w:space="0" w:color="auto"/>
        <w:right w:val="none" w:sz="0" w:space="0" w:color="auto"/>
      </w:divBdr>
    </w:div>
    <w:div w:id="351541492">
      <w:bodyDiv w:val="1"/>
      <w:marLeft w:val="0"/>
      <w:marRight w:val="0"/>
      <w:marTop w:val="0"/>
      <w:marBottom w:val="0"/>
      <w:divBdr>
        <w:top w:val="none" w:sz="0" w:space="0" w:color="auto"/>
        <w:left w:val="none" w:sz="0" w:space="0" w:color="auto"/>
        <w:bottom w:val="none" w:sz="0" w:space="0" w:color="auto"/>
        <w:right w:val="none" w:sz="0" w:space="0" w:color="auto"/>
      </w:divBdr>
    </w:div>
    <w:div w:id="351566757">
      <w:bodyDiv w:val="1"/>
      <w:marLeft w:val="0"/>
      <w:marRight w:val="0"/>
      <w:marTop w:val="0"/>
      <w:marBottom w:val="0"/>
      <w:divBdr>
        <w:top w:val="none" w:sz="0" w:space="0" w:color="auto"/>
        <w:left w:val="none" w:sz="0" w:space="0" w:color="auto"/>
        <w:bottom w:val="none" w:sz="0" w:space="0" w:color="auto"/>
        <w:right w:val="none" w:sz="0" w:space="0" w:color="auto"/>
      </w:divBdr>
    </w:div>
    <w:div w:id="353385769">
      <w:bodyDiv w:val="1"/>
      <w:marLeft w:val="0"/>
      <w:marRight w:val="0"/>
      <w:marTop w:val="0"/>
      <w:marBottom w:val="0"/>
      <w:divBdr>
        <w:top w:val="none" w:sz="0" w:space="0" w:color="auto"/>
        <w:left w:val="none" w:sz="0" w:space="0" w:color="auto"/>
        <w:bottom w:val="none" w:sz="0" w:space="0" w:color="auto"/>
        <w:right w:val="none" w:sz="0" w:space="0" w:color="auto"/>
      </w:divBdr>
    </w:div>
    <w:div w:id="354234289">
      <w:bodyDiv w:val="1"/>
      <w:marLeft w:val="0"/>
      <w:marRight w:val="0"/>
      <w:marTop w:val="0"/>
      <w:marBottom w:val="0"/>
      <w:divBdr>
        <w:top w:val="none" w:sz="0" w:space="0" w:color="auto"/>
        <w:left w:val="none" w:sz="0" w:space="0" w:color="auto"/>
        <w:bottom w:val="none" w:sz="0" w:space="0" w:color="auto"/>
        <w:right w:val="none" w:sz="0" w:space="0" w:color="auto"/>
      </w:divBdr>
    </w:div>
    <w:div w:id="355618355">
      <w:bodyDiv w:val="1"/>
      <w:marLeft w:val="0"/>
      <w:marRight w:val="0"/>
      <w:marTop w:val="0"/>
      <w:marBottom w:val="0"/>
      <w:divBdr>
        <w:top w:val="none" w:sz="0" w:space="0" w:color="auto"/>
        <w:left w:val="none" w:sz="0" w:space="0" w:color="auto"/>
        <w:bottom w:val="none" w:sz="0" w:space="0" w:color="auto"/>
        <w:right w:val="none" w:sz="0" w:space="0" w:color="auto"/>
      </w:divBdr>
    </w:div>
    <w:div w:id="356808925">
      <w:bodyDiv w:val="1"/>
      <w:marLeft w:val="0"/>
      <w:marRight w:val="0"/>
      <w:marTop w:val="0"/>
      <w:marBottom w:val="0"/>
      <w:divBdr>
        <w:top w:val="none" w:sz="0" w:space="0" w:color="auto"/>
        <w:left w:val="none" w:sz="0" w:space="0" w:color="auto"/>
        <w:bottom w:val="none" w:sz="0" w:space="0" w:color="auto"/>
        <w:right w:val="none" w:sz="0" w:space="0" w:color="auto"/>
      </w:divBdr>
    </w:div>
    <w:div w:id="360396007">
      <w:bodyDiv w:val="1"/>
      <w:marLeft w:val="0"/>
      <w:marRight w:val="0"/>
      <w:marTop w:val="0"/>
      <w:marBottom w:val="0"/>
      <w:divBdr>
        <w:top w:val="none" w:sz="0" w:space="0" w:color="auto"/>
        <w:left w:val="none" w:sz="0" w:space="0" w:color="auto"/>
        <w:bottom w:val="none" w:sz="0" w:space="0" w:color="auto"/>
        <w:right w:val="none" w:sz="0" w:space="0" w:color="auto"/>
      </w:divBdr>
    </w:div>
    <w:div w:id="361589531">
      <w:bodyDiv w:val="1"/>
      <w:marLeft w:val="0"/>
      <w:marRight w:val="0"/>
      <w:marTop w:val="0"/>
      <w:marBottom w:val="0"/>
      <w:divBdr>
        <w:top w:val="none" w:sz="0" w:space="0" w:color="auto"/>
        <w:left w:val="none" w:sz="0" w:space="0" w:color="auto"/>
        <w:bottom w:val="none" w:sz="0" w:space="0" w:color="auto"/>
        <w:right w:val="none" w:sz="0" w:space="0" w:color="auto"/>
      </w:divBdr>
    </w:div>
    <w:div w:id="363754354">
      <w:bodyDiv w:val="1"/>
      <w:marLeft w:val="0"/>
      <w:marRight w:val="0"/>
      <w:marTop w:val="0"/>
      <w:marBottom w:val="0"/>
      <w:divBdr>
        <w:top w:val="none" w:sz="0" w:space="0" w:color="auto"/>
        <w:left w:val="none" w:sz="0" w:space="0" w:color="auto"/>
        <w:bottom w:val="none" w:sz="0" w:space="0" w:color="auto"/>
        <w:right w:val="none" w:sz="0" w:space="0" w:color="auto"/>
      </w:divBdr>
    </w:div>
    <w:div w:id="364137457">
      <w:bodyDiv w:val="1"/>
      <w:marLeft w:val="0"/>
      <w:marRight w:val="0"/>
      <w:marTop w:val="0"/>
      <w:marBottom w:val="0"/>
      <w:divBdr>
        <w:top w:val="none" w:sz="0" w:space="0" w:color="auto"/>
        <w:left w:val="none" w:sz="0" w:space="0" w:color="auto"/>
        <w:bottom w:val="none" w:sz="0" w:space="0" w:color="auto"/>
        <w:right w:val="none" w:sz="0" w:space="0" w:color="auto"/>
      </w:divBdr>
    </w:div>
    <w:div w:id="365064862">
      <w:bodyDiv w:val="1"/>
      <w:marLeft w:val="0"/>
      <w:marRight w:val="0"/>
      <w:marTop w:val="0"/>
      <w:marBottom w:val="0"/>
      <w:divBdr>
        <w:top w:val="none" w:sz="0" w:space="0" w:color="auto"/>
        <w:left w:val="none" w:sz="0" w:space="0" w:color="auto"/>
        <w:bottom w:val="none" w:sz="0" w:space="0" w:color="auto"/>
        <w:right w:val="none" w:sz="0" w:space="0" w:color="auto"/>
      </w:divBdr>
    </w:div>
    <w:div w:id="368260934">
      <w:bodyDiv w:val="1"/>
      <w:marLeft w:val="0"/>
      <w:marRight w:val="0"/>
      <w:marTop w:val="0"/>
      <w:marBottom w:val="0"/>
      <w:divBdr>
        <w:top w:val="none" w:sz="0" w:space="0" w:color="auto"/>
        <w:left w:val="none" w:sz="0" w:space="0" w:color="auto"/>
        <w:bottom w:val="none" w:sz="0" w:space="0" w:color="auto"/>
        <w:right w:val="none" w:sz="0" w:space="0" w:color="auto"/>
      </w:divBdr>
    </w:div>
    <w:div w:id="368602863">
      <w:bodyDiv w:val="1"/>
      <w:marLeft w:val="0"/>
      <w:marRight w:val="0"/>
      <w:marTop w:val="0"/>
      <w:marBottom w:val="0"/>
      <w:divBdr>
        <w:top w:val="none" w:sz="0" w:space="0" w:color="auto"/>
        <w:left w:val="none" w:sz="0" w:space="0" w:color="auto"/>
        <w:bottom w:val="none" w:sz="0" w:space="0" w:color="auto"/>
        <w:right w:val="none" w:sz="0" w:space="0" w:color="auto"/>
      </w:divBdr>
    </w:div>
    <w:div w:id="368727717">
      <w:bodyDiv w:val="1"/>
      <w:marLeft w:val="0"/>
      <w:marRight w:val="0"/>
      <w:marTop w:val="0"/>
      <w:marBottom w:val="0"/>
      <w:divBdr>
        <w:top w:val="none" w:sz="0" w:space="0" w:color="auto"/>
        <w:left w:val="none" w:sz="0" w:space="0" w:color="auto"/>
        <w:bottom w:val="none" w:sz="0" w:space="0" w:color="auto"/>
        <w:right w:val="none" w:sz="0" w:space="0" w:color="auto"/>
      </w:divBdr>
    </w:div>
    <w:div w:id="374083099">
      <w:bodyDiv w:val="1"/>
      <w:marLeft w:val="0"/>
      <w:marRight w:val="0"/>
      <w:marTop w:val="0"/>
      <w:marBottom w:val="0"/>
      <w:divBdr>
        <w:top w:val="none" w:sz="0" w:space="0" w:color="auto"/>
        <w:left w:val="none" w:sz="0" w:space="0" w:color="auto"/>
        <w:bottom w:val="none" w:sz="0" w:space="0" w:color="auto"/>
        <w:right w:val="none" w:sz="0" w:space="0" w:color="auto"/>
      </w:divBdr>
    </w:div>
    <w:div w:id="374157617">
      <w:bodyDiv w:val="1"/>
      <w:marLeft w:val="0"/>
      <w:marRight w:val="0"/>
      <w:marTop w:val="0"/>
      <w:marBottom w:val="0"/>
      <w:divBdr>
        <w:top w:val="none" w:sz="0" w:space="0" w:color="auto"/>
        <w:left w:val="none" w:sz="0" w:space="0" w:color="auto"/>
        <w:bottom w:val="none" w:sz="0" w:space="0" w:color="auto"/>
        <w:right w:val="none" w:sz="0" w:space="0" w:color="auto"/>
      </w:divBdr>
    </w:div>
    <w:div w:id="376121728">
      <w:bodyDiv w:val="1"/>
      <w:marLeft w:val="0"/>
      <w:marRight w:val="0"/>
      <w:marTop w:val="0"/>
      <w:marBottom w:val="0"/>
      <w:divBdr>
        <w:top w:val="none" w:sz="0" w:space="0" w:color="auto"/>
        <w:left w:val="none" w:sz="0" w:space="0" w:color="auto"/>
        <w:bottom w:val="none" w:sz="0" w:space="0" w:color="auto"/>
        <w:right w:val="none" w:sz="0" w:space="0" w:color="auto"/>
      </w:divBdr>
    </w:div>
    <w:div w:id="376390707">
      <w:bodyDiv w:val="1"/>
      <w:marLeft w:val="0"/>
      <w:marRight w:val="0"/>
      <w:marTop w:val="0"/>
      <w:marBottom w:val="0"/>
      <w:divBdr>
        <w:top w:val="none" w:sz="0" w:space="0" w:color="auto"/>
        <w:left w:val="none" w:sz="0" w:space="0" w:color="auto"/>
        <w:bottom w:val="none" w:sz="0" w:space="0" w:color="auto"/>
        <w:right w:val="none" w:sz="0" w:space="0" w:color="auto"/>
      </w:divBdr>
    </w:div>
    <w:div w:id="378434339">
      <w:bodyDiv w:val="1"/>
      <w:marLeft w:val="0"/>
      <w:marRight w:val="0"/>
      <w:marTop w:val="0"/>
      <w:marBottom w:val="0"/>
      <w:divBdr>
        <w:top w:val="none" w:sz="0" w:space="0" w:color="auto"/>
        <w:left w:val="none" w:sz="0" w:space="0" w:color="auto"/>
        <w:bottom w:val="none" w:sz="0" w:space="0" w:color="auto"/>
        <w:right w:val="none" w:sz="0" w:space="0" w:color="auto"/>
      </w:divBdr>
    </w:div>
    <w:div w:id="381254473">
      <w:bodyDiv w:val="1"/>
      <w:marLeft w:val="0"/>
      <w:marRight w:val="0"/>
      <w:marTop w:val="0"/>
      <w:marBottom w:val="0"/>
      <w:divBdr>
        <w:top w:val="none" w:sz="0" w:space="0" w:color="auto"/>
        <w:left w:val="none" w:sz="0" w:space="0" w:color="auto"/>
        <w:bottom w:val="none" w:sz="0" w:space="0" w:color="auto"/>
        <w:right w:val="none" w:sz="0" w:space="0" w:color="auto"/>
      </w:divBdr>
    </w:div>
    <w:div w:id="381297047">
      <w:bodyDiv w:val="1"/>
      <w:marLeft w:val="0"/>
      <w:marRight w:val="0"/>
      <w:marTop w:val="0"/>
      <w:marBottom w:val="0"/>
      <w:divBdr>
        <w:top w:val="none" w:sz="0" w:space="0" w:color="auto"/>
        <w:left w:val="none" w:sz="0" w:space="0" w:color="auto"/>
        <w:bottom w:val="none" w:sz="0" w:space="0" w:color="auto"/>
        <w:right w:val="none" w:sz="0" w:space="0" w:color="auto"/>
      </w:divBdr>
    </w:div>
    <w:div w:id="381682081">
      <w:bodyDiv w:val="1"/>
      <w:marLeft w:val="0"/>
      <w:marRight w:val="0"/>
      <w:marTop w:val="0"/>
      <w:marBottom w:val="0"/>
      <w:divBdr>
        <w:top w:val="none" w:sz="0" w:space="0" w:color="auto"/>
        <w:left w:val="none" w:sz="0" w:space="0" w:color="auto"/>
        <w:bottom w:val="none" w:sz="0" w:space="0" w:color="auto"/>
        <w:right w:val="none" w:sz="0" w:space="0" w:color="auto"/>
      </w:divBdr>
    </w:div>
    <w:div w:id="382489069">
      <w:bodyDiv w:val="1"/>
      <w:marLeft w:val="0"/>
      <w:marRight w:val="0"/>
      <w:marTop w:val="0"/>
      <w:marBottom w:val="0"/>
      <w:divBdr>
        <w:top w:val="none" w:sz="0" w:space="0" w:color="auto"/>
        <w:left w:val="none" w:sz="0" w:space="0" w:color="auto"/>
        <w:bottom w:val="none" w:sz="0" w:space="0" w:color="auto"/>
        <w:right w:val="none" w:sz="0" w:space="0" w:color="auto"/>
      </w:divBdr>
    </w:div>
    <w:div w:id="387805840">
      <w:bodyDiv w:val="1"/>
      <w:marLeft w:val="0"/>
      <w:marRight w:val="0"/>
      <w:marTop w:val="0"/>
      <w:marBottom w:val="0"/>
      <w:divBdr>
        <w:top w:val="none" w:sz="0" w:space="0" w:color="auto"/>
        <w:left w:val="none" w:sz="0" w:space="0" w:color="auto"/>
        <w:bottom w:val="none" w:sz="0" w:space="0" w:color="auto"/>
        <w:right w:val="none" w:sz="0" w:space="0" w:color="auto"/>
      </w:divBdr>
    </w:div>
    <w:div w:id="397555558">
      <w:bodyDiv w:val="1"/>
      <w:marLeft w:val="0"/>
      <w:marRight w:val="0"/>
      <w:marTop w:val="0"/>
      <w:marBottom w:val="0"/>
      <w:divBdr>
        <w:top w:val="none" w:sz="0" w:space="0" w:color="auto"/>
        <w:left w:val="none" w:sz="0" w:space="0" w:color="auto"/>
        <w:bottom w:val="none" w:sz="0" w:space="0" w:color="auto"/>
        <w:right w:val="none" w:sz="0" w:space="0" w:color="auto"/>
      </w:divBdr>
    </w:div>
    <w:div w:id="397940911">
      <w:bodyDiv w:val="1"/>
      <w:marLeft w:val="0"/>
      <w:marRight w:val="0"/>
      <w:marTop w:val="0"/>
      <w:marBottom w:val="0"/>
      <w:divBdr>
        <w:top w:val="none" w:sz="0" w:space="0" w:color="auto"/>
        <w:left w:val="none" w:sz="0" w:space="0" w:color="auto"/>
        <w:bottom w:val="none" w:sz="0" w:space="0" w:color="auto"/>
        <w:right w:val="none" w:sz="0" w:space="0" w:color="auto"/>
      </w:divBdr>
    </w:div>
    <w:div w:id="398752829">
      <w:bodyDiv w:val="1"/>
      <w:marLeft w:val="0"/>
      <w:marRight w:val="0"/>
      <w:marTop w:val="0"/>
      <w:marBottom w:val="0"/>
      <w:divBdr>
        <w:top w:val="none" w:sz="0" w:space="0" w:color="auto"/>
        <w:left w:val="none" w:sz="0" w:space="0" w:color="auto"/>
        <w:bottom w:val="none" w:sz="0" w:space="0" w:color="auto"/>
        <w:right w:val="none" w:sz="0" w:space="0" w:color="auto"/>
      </w:divBdr>
    </w:div>
    <w:div w:id="399444673">
      <w:bodyDiv w:val="1"/>
      <w:marLeft w:val="0"/>
      <w:marRight w:val="0"/>
      <w:marTop w:val="0"/>
      <w:marBottom w:val="0"/>
      <w:divBdr>
        <w:top w:val="none" w:sz="0" w:space="0" w:color="auto"/>
        <w:left w:val="none" w:sz="0" w:space="0" w:color="auto"/>
        <w:bottom w:val="none" w:sz="0" w:space="0" w:color="auto"/>
        <w:right w:val="none" w:sz="0" w:space="0" w:color="auto"/>
      </w:divBdr>
    </w:div>
    <w:div w:id="400979625">
      <w:bodyDiv w:val="1"/>
      <w:marLeft w:val="0"/>
      <w:marRight w:val="0"/>
      <w:marTop w:val="0"/>
      <w:marBottom w:val="0"/>
      <w:divBdr>
        <w:top w:val="none" w:sz="0" w:space="0" w:color="auto"/>
        <w:left w:val="none" w:sz="0" w:space="0" w:color="auto"/>
        <w:bottom w:val="none" w:sz="0" w:space="0" w:color="auto"/>
        <w:right w:val="none" w:sz="0" w:space="0" w:color="auto"/>
      </w:divBdr>
    </w:div>
    <w:div w:id="402605929">
      <w:bodyDiv w:val="1"/>
      <w:marLeft w:val="0"/>
      <w:marRight w:val="0"/>
      <w:marTop w:val="0"/>
      <w:marBottom w:val="0"/>
      <w:divBdr>
        <w:top w:val="none" w:sz="0" w:space="0" w:color="auto"/>
        <w:left w:val="none" w:sz="0" w:space="0" w:color="auto"/>
        <w:bottom w:val="none" w:sz="0" w:space="0" w:color="auto"/>
        <w:right w:val="none" w:sz="0" w:space="0" w:color="auto"/>
      </w:divBdr>
    </w:div>
    <w:div w:id="402993483">
      <w:bodyDiv w:val="1"/>
      <w:marLeft w:val="0"/>
      <w:marRight w:val="0"/>
      <w:marTop w:val="0"/>
      <w:marBottom w:val="0"/>
      <w:divBdr>
        <w:top w:val="none" w:sz="0" w:space="0" w:color="auto"/>
        <w:left w:val="none" w:sz="0" w:space="0" w:color="auto"/>
        <w:bottom w:val="none" w:sz="0" w:space="0" w:color="auto"/>
        <w:right w:val="none" w:sz="0" w:space="0" w:color="auto"/>
      </w:divBdr>
    </w:div>
    <w:div w:id="404231816">
      <w:bodyDiv w:val="1"/>
      <w:marLeft w:val="0"/>
      <w:marRight w:val="0"/>
      <w:marTop w:val="0"/>
      <w:marBottom w:val="0"/>
      <w:divBdr>
        <w:top w:val="none" w:sz="0" w:space="0" w:color="auto"/>
        <w:left w:val="none" w:sz="0" w:space="0" w:color="auto"/>
        <w:bottom w:val="none" w:sz="0" w:space="0" w:color="auto"/>
        <w:right w:val="none" w:sz="0" w:space="0" w:color="auto"/>
      </w:divBdr>
    </w:div>
    <w:div w:id="406075109">
      <w:bodyDiv w:val="1"/>
      <w:marLeft w:val="0"/>
      <w:marRight w:val="0"/>
      <w:marTop w:val="0"/>
      <w:marBottom w:val="0"/>
      <w:divBdr>
        <w:top w:val="none" w:sz="0" w:space="0" w:color="auto"/>
        <w:left w:val="none" w:sz="0" w:space="0" w:color="auto"/>
        <w:bottom w:val="none" w:sz="0" w:space="0" w:color="auto"/>
        <w:right w:val="none" w:sz="0" w:space="0" w:color="auto"/>
      </w:divBdr>
    </w:div>
    <w:div w:id="411709061">
      <w:bodyDiv w:val="1"/>
      <w:marLeft w:val="0"/>
      <w:marRight w:val="0"/>
      <w:marTop w:val="0"/>
      <w:marBottom w:val="0"/>
      <w:divBdr>
        <w:top w:val="none" w:sz="0" w:space="0" w:color="auto"/>
        <w:left w:val="none" w:sz="0" w:space="0" w:color="auto"/>
        <w:bottom w:val="none" w:sz="0" w:space="0" w:color="auto"/>
        <w:right w:val="none" w:sz="0" w:space="0" w:color="auto"/>
      </w:divBdr>
    </w:div>
    <w:div w:id="413206038">
      <w:bodyDiv w:val="1"/>
      <w:marLeft w:val="0"/>
      <w:marRight w:val="0"/>
      <w:marTop w:val="0"/>
      <w:marBottom w:val="0"/>
      <w:divBdr>
        <w:top w:val="none" w:sz="0" w:space="0" w:color="auto"/>
        <w:left w:val="none" w:sz="0" w:space="0" w:color="auto"/>
        <w:bottom w:val="none" w:sz="0" w:space="0" w:color="auto"/>
        <w:right w:val="none" w:sz="0" w:space="0" w:color="auto"/>
      </w:divBdr>
    </w:div>
    <w:div w:id="414011678">
      <w:bodyDiv w:val="1"/>
      <w:marLeft w:val="0"/>
      <w:marRight w:val="0"/>
      <w:marTop w:val="0"/>
      <w:marBottom w:val="0"/>
      <w:divBdr>
        <w:top w:val="none" w:sz="0" w:space="0" w:color="auto"/>
        <w:left w:val="none" w:sz="0" w:space="0" w:color="auto"/>
        <w:bottom w:val="none" w:sz="0" w:space="0" w:color="auto"/>
        <w:right w:val="none" w:sz="0" w:space="0" w:color="auto"/>
      </w:divBdr>
    </w:div>
    <w:div w:id="420494920">
      <w:bodyDiv w:val="1"/>
      <w:marLeft w:val="0"/>
      <w:marRight w:val="0"/>
      <w:marTop w:val="0"/>
      <w:marBottom w:val="0"/>
      <w:divBdr>
        <w:top w:val="none" w:sz="0" w:space="0" w:color="auto"/>
        <w:left w:val="none" w:sz="0" w:space="0" w:color="auto"/>
        <w:bottom w:val="none" w:sz="0" w:space="0" w:color="auto"/>
        <w:right w:val="none" w:sz="0" w:space="0" w:color="auto"/>
      </w:divBdr>
    </w:div>
    <w:div w:id="422412241">
      <w:bodyDiv w:val="1"/>
      <w:marLeft w:val="0"/>
      <w:marRight w:val="0"/>
      <w:marTop w:val="0"/>
      <w:marBottom w:val="0"/>
      <w:divBdr>
        <w:top w:val="none" w:sz="0" w:space="0" w:color="auto"/>
        <w:left w:val="none" w:sz="0" w:space="0" w:color="auto"/>
        <w:bottom w:val="none" w:sz="0" w:space="0" w:color="auto"/>
        <w:right w:val="none" w:sz="0" w:space="0" w:color="auto"/>
      </w:divBdr>
    </w:div>
    <w:div w:id="424619738">
      <w:bodyDiv w:val="1"/>
      <w:marLeft w:val="0"/>
      <w:marRight w:val="0"/>
      <w:marTop w:val="0"/>
      <w:marBottom w:val="0"/>
      <w:divBdr>
        <w:top w:val="none" w:sz="0" w:space="0" w:color="auto"/>
        <w:left w:val="none" w:sz="0" w:space="0" w:color="auto"/>
        <w:bottom w:val="none" w:sz="0" w:space="0" w:color="auto"/>
        <w:right w:val="none" w:sz="0" w:space="0" w:color="auto"/>
      </w:divBdr>
    </w:div>
    <w:div w:id="426579242">
      <w:bodyDiv w:val="1"/>
      <w:marLeft w:val="0"/>
      <w:marRight w:val="0"/>
      <w:marTop w:val="0"/>
      <w:marBottom w:val="0"/>
      <w:divBdr>
        <w:top w:val="none" w:sz="0" w:space="0" w:color="auto"/>
        <w:left w:val="none" w:sz="0" w:space="0" w:color="auto"/>
        <w:bottom w:val="none" w:sz="0" w:space="0" w:color="auto"/>
        <w:right w:val="none" w:sz="0" w:space="0" w:color="auto"/>
      </w:divBdr>
    </w:div>
    <w:div w:id="429085711">
      <w:bodyDiv w:val="1"/>
      <w:marLeft w:val="0"/>
      <w:marRight w:val="0"/>
      <w:marTop w:val="0"/>
      <w:marBottom w:val="0"/>
      <w:divBdr>
        <w:top w:val="none" w:sz="0" w:space="0" w:color="auto"/>
        <w:left w:val="none" w:sz="0" w:space="0" w:color="auto"/>
        <w:bottom w:val="none" w:sz="0" w:space="0" w:color="auto"/>
        <w:right w:val="none" w:sz="0" w:space="0" w:color="auto"/>
      </w:divBdr>
    </w:div>
    <w:div w:id="430244615">
      <w:bodyDiv w:val="1"/>
      <w:marLeft w:val="0"/>
      <w:marRight w:val="0"/>
      <w:marTop w:val="0"/>
      <w:marBottom w:val="0"/>
      <w:divBdr>
        <w:top w:val="none" w:sz="0" w:space="0" w:color="auto"/>
        <w:left w:val="none" w:sz="0" w:space="0" w:color="auto"/>
        <w:bottom w:val="none" w:sz="0" w:space="0" w:color="auto"/>
        <w:right w:val="none" w:sz="0" w:space="0" w:color="auto"/>
      </w:divBdr>
    </w:div>
    <w:div w:id="434596829">
      <w:bodyDiv w:val="1"/>
      <w:marLeft w:val="0"/>
      <w:marRight w:val="0"/>
      <w:marTop w:val="0"/>
      <w:marBottom w:val="0"/>
      <w:divBdr>
        <w:top w:val="none" w:sz="0" w:space="0" w:color="auto"/>
        <w:left w:val="none" w:sz="0" w:space="0" w:color="auto"/>
        <w:bottom w:val="none" w:sz="0" w:space="0" w:color="auto"/>
        <w:right w:val="none" w:sz="0" w:space="0" w:color="auto"/>
      </w:divBdr>
    </w:div>
    <w:div w:id="435517290">
      <w:bodyDiv w:val="1"/>
      <w:marLeft w:val="0"/>
      <w:marRight w:val="0"/>
      <w:marTop w:val="0"/>
      <w:marBottom w:val="0"/>
      <w:divBdr>
        <w:top w:val="none" w:sz="0" w:space="0" w:color="auto"/>
        <w:left w:val="none" w:sz="0" w:space="0" w:color="auto"/>
        <w:bottom w:val="none" w:sz="0" w:space="0" w:color="auto"/>
        <w:right w:val="none" w:sz="0" w:space="0" w:color="auto"/>
      </w:divBdr>
    </w:div>
    <w:div w:id="437801693">
      <w:bodyDiv w:val="1"/>
      <w:marLeft w:val="0"/>
      <w:marRight w:val="0"/>
      <w:marTop w:val="0"/>
      <w:marBottom w:val="0"/>
      <w:divBdr>
        <w:top w:val="none" w:sz="0" w:space="0" w:color="auto"/>
        <w:left w:val="none" w:sz="0" w:space="0" w:color="auto"/>
        <w:bottom w:val="none" w:sz="0" w:space="0" w:color="auto"/>
        <w:right w:val="none" w:sz="0" w:space="0" w:color="auto"/>
      </w:divBdr>
    </w:div>
    <w:div w:id="438568107">
      <w:bodyDiv w:val="1"/>
      <w:marLeft w:val="0"/>
      <w:marRight w:val="0"/>
      <w:marTop w:val="0"/>
      <w:marBottom w:val="0"/>
      <w:divBdr>
        <w:top w:val="none" w:sz="0" w:space="0" w:color="auto"/>
        <w:left w:val="none" w:sz="0" w:space="0" w:color="auto"/>
        <w:bottom w:val="none" w:sz="0" w:space="0" w:color="auto"/>
        <w:right w:val="none" w:sz="0" w:space="0" w:color="auto"/>
      </w:divBdr>
    </w:div>
    <w:div w:id="438991222">
      <w:bodyDiv w:val="1"/>
      <w:marLeft w:val="0"/>
      <w:marRight w:val="0"/>
      <w:marTop w:val="0"/>
      <w:marBottom w:val="0"/>
      <w:divBdr>
        <w:top w:val="none" w:sz="0" w:space="0" w:color="auto"/>
        <w:left w:val="none" w:sz="0" w:space="0" w:color="auto"/>
        <w:bottom w:val="none" w:sz="0" w:space="0" w:color="auto"/>
        <w:right w:val="none" w:sz="0" w:space="0" w:color="auto"/>
      </w:divBdr>
    </w:div>
    <w:div w:id="440228894">
      <w:bodyDiv w:val="1"/>
      <w:marLeft w:val="0"/>
      <w:marRight w:val="0"/>
      <w:marTop w:val="0"/>
      <w:marBottom w:val="0"/>
      <w:divBdr>
        <w:top w:val="none" w:sz="0" w:space="0" w:color="auto"/>
        <w:left w:val="none" w:sz="0" w:space="0" w:color="auto"/>
        <w:bottom w:val="none" w:sz="0" w:space="0" w:color="auto"/>
        <w:right w:val="none" w:sz="0" w:space="0" w:color="auto"/>
      </w:divBdr>
    </w:div>
    <w:div w:id="441268993">
      <w:bodyDiv w:val="1"/>
      <w:marLeft w:val="0"/>
      <w:marRight w:val="0"/>
      <w:marTop w:val="0"/>
      <w:marBottom w:val="0"/>
      <w:divBdr>
        <w:top w:val="none" w:sz="0" w:space="0" w:color="auto"/>
        <w:left w:val="none" w:sz="0" w:space="0" w:color="auto"/>
        <w:bottom w:val="none" w:sz="0" w:space="0" w:color="auto"/>
        <w:right w:val="none" w:sz="0" w:space="0" w:color="auto"/>
      </w:divBdr>
    </w:div>
    <w:div w:id="443884360">
      <w:bodyDiv w:val="1"/>
      <w:marLeft w:val="0"/>
      <w:marRight w:val="0"/>
      <w:marTop w:val="0"/>
      <w:marBottom w:val="0"/>
      <w:divBdr>
        <w:top w:val="none" w:sz="0" w:space="0" w:color="auto"/>
        <w:left w:val="none" w:sz="0" w:space="0" w:color="auto"/>
        <w:bottom w:val="none" w:sz="0" w:space="0" w:color="auto"/>
        <w:right w:val="none" w:sz="0" w:space="0" w:color="auto"/>
      </w:divBdr>
    </w:div>
    <w:div w:id="444035821">
      <w:bodyDiv w:val="1"/>
      <w:marLeft w:val="0"/>
      <w:marRight w:val="0"/>
      <w:marTop w:val="0"/>
      <w:marBottom w:val="0"/>
      <w:divBdr>
        <w:top w:val="none" w:sz="0" w:space="0" w:color="auto"/>
        <w:left w:val="none" w:sz="0" w:space="0" w:color="auto"/>
        <w:bottom w:val="none" w:sz="0" w:space="0" w:color="auto"/>
        <w:right w:val="none" w:sz="0" w:space="0" w:color="auto"/>
      </w:divBdr>
    </w:div>
    <w:div w:id="448475481">
      <w:bodyDiv w:val="1"/>
      <w:marLeft w:val="0"/>
      <w:marRight w:val="0"/>
      <w:marTop w:val="0"/>
      <w:marBottom w:val="0"/>
      <w:divBdr>
        <w:top w:val="none" w:sz="0" w:space="0" w:color="auto"/>
        <w:left w:val="none" w:sz="0" w:space="0" w:color="auto"/>
        <w:bottom w:val="none" w:sz="0" w:space="0" w:color="auto"/>
        <w:right w:val="none" w:sz="0" w:space="0" w:color="auto"/>
      </w:divBdr>
    </w:div>
    <w:div w:id="451285809">
      <w:bodyDiv w:val="1"/>
      <w:marLeft w:val="0"/>
      <w:marRight w:val="0"/>
      <w:marTop w:val="0"/>
      <w:marBottom w:val="0"/>
      <w:divBdr>
        <w:top w:val="none" w:sz="0" w:space="0" w:color="auto"/>
        <w:left w:val="none" w:sz="0" w:space="0" w:color="auto"/>
        <w:bottom w:val="none" w:sz="0" w:space="0" w:color="auto"/>
        <w:right w:val="none" w:sz="0" w:space="0" w:color="auto"/>
      </w:divBdr>
    </w:div>
    <w:div w:id="451940529">
      <w:bodyDiv w:val="1"/>
      <w:marLeft w:val="0"/>
      <w:marRight w:val="0"/>
      <w:marTop w:val="0"/>
      <w:marBottom w:val="0"/>
      <w:divBdr>
        <w:top w:val="none" w:sz="0" w:space="0" w:color="auto"/>
        <w:left w:val="none" w:sz="0" w:space="0" w:color="auto"/>
        <w:bottom w:val="none" w:sz="0" w:space="0" w:color="auto"/>
        <w:right w:val="none" w:sz="0" w:space="0" w:color="auto"/>
      </w:divBdr>
    </w:div>
    <w:div w:id="453864876">
      <w:bodyDiv w:val="1"/>
      <w:marLeft w:val="0"/>
      <w:marRight w:val="0"/>
      <w:marTop w:val="0"/>
      <w:marBottom w:val="0"/>
      <w:divBdr>
        <w:top w:val="none" w:sz="0" w:space="0" w:color="auto"/>
        <w:left w:val="none" w:sz="0" w:space="0" w:color="auto"/>
        <w:bottom w:val="none" w:sz="0" w:space="0" w:color="auto"/>
        <w:right w:val="none" w:sz="0" w:space="0" w:color="auto"/>
      </w:divBdr>
    </w:div>
    <w:div w:id="454326866">
      <w:bodyDiv w:val="1"/>
      <w:marLeft w:val="0"/>
      <w:marRight w:val="0"/>
      <w:marTop w:val="0"/>
      <w:marBottom w:val="0"/>
      <w:divBdr>
        <w:top w:val="none" w:sz="0" w:space="0" w:color="auto"/>
        <w:left w:val="none" w:sz="0" w:space="0" w:color="auto"/>
        <w:bottom w:val="none" w:sz="0" w:space="0" w:color="auto"/>
        <w:right w:val="none" w:sz="0" w:space="0" w:color="auto"/>
      </w:divBdr>
    </w:div>
    <w:div w:id="454451205">
      <w:bodyDiv w:val="1"/>
      <w:marLeft w:val="0"/>
      <w:marRight w:val="0"/>
      <w:marTop w:val="0"/>
      <w:marBottom w:val="0"/>
      <w:divBdr>
        <w:top w:val="none" w:sz="0" w:space="0" w:color="auto"/>
        <w:left w:val="none" w:sz="0" w:space="0" w:color="auto"/>
        <w:bottom w:val="none" w:sz="0" w:space="0" w:color="auto"/>
        <w:right w:val="none" w:sz="0" w:space="0" w:color="auto"/>
      </w:divBdr>
    </w:div>
    <w:div w:id="456290946">
      <w:bodyDiv w:val="1"/>
      <w:marLeft w:val="0"/>
      <w:marRight w:val="0"/>
      <w:marTop w:val="0"/>
      <w:marBottom w:val="0"/>
      <w:divBdr>
        <w:top w:val="none" w:sz="0" w:space="0" w:color="auto"/>
        <w:left w:val="none" w:sz="0" w:space="0" w:color="auto"/>
        <w:bottom w:val="none" w:sz="0" w:space="0" w:color="auto"/>
        <w:right w:val="none" w:sz="0" w:space="0" w:color="auto"/>
      </w:divBdr>
    </w:div>
    <w:div w:id="459812154">
      <w:bodyDiv w:val="1"/>
      <w:marLeft w:val="0"/>
      <w:marRight w:val="0"/>
      <w:marTop w:val="0"/>
      <w:marBottom w:val="0"/>
      <w:divBdr>
        <w:top w:val="none" w:sz="0" w:space="0" w:color="auto"/>
        <w:left w:val="none" w:sz="0" w:space="0" w:color="auto"/>
        <w:bottom w:val="none" w:sz="0" w:space="0" w:color="auto"/>
        <w:right w:val="none" w:sz="0" w:space="0" w:color="auto"/>
      </w:divBdr>
    </w:div>
    <w:div w:id="461192561">
      <w:bodyDiv w:val="1"/>
      <w:marLeft w:val="0"/>
      <w:marRight w:val="0"/>
      <w:marTop w:val="0"/>
      <w:marBottom w:val="0"/>
      <w:divBdr>
        <w:top w:val="none" w:sz="0" w:space="0" w:color="auto"/>
        <w:left w:val="none" w:sz="0" w:space="0" w:color="auto"/>
        <w:bottom w:val="none" w:sz="0" w:space="0" w:color="auto"/>
        <w:right w:val="none" w:sz="0" w:space="0" w:color="auto"/>
      </w:divBdr>
    </w:div>
    <w:div w:id="461920879">
      <w:bodyDiv w:val="1"/>
      <w:marLeft w:val="0"/>
      <w:marRight w:val="0"/>
      <w:marTop w:val="0"/>
      <w:marBottom w:val="0"/>
      <w:divBdr>
        <w:top w:val="none" w:sz="0" w:space="0" w:color="auto"/>
        <w:left w:val="none" w:sz="0" w:space="0" w:color="auto"/>
        <w:bottom w:val="none" w:sz="0" w:space="0" w:color="auto"/>
        <w:right w:val="none" w:sz="0" w:space="0" w:color="auto"/>
      </w:divBdr>
    </w:div>
    <w:div w:id="465466799">
      <w:bodyDiv w:val="1"/>
      <w:marLeft w:val="0"/>
      <w:marRight w:val="0"/>
      <w:marTop w:val="0"/>
      <w:marBottom w:val="0"/>
      <w:divBdr>
        <w:top w:val="none" w:sz="0" w:space="0" w:color="auto"/>
        <w:left w:val="none" w:sz="0" w:space="0" w:color="auto"/>
        <w:bottom w:val="none" w:sz="0" w:space="0" w:color="auto"/>
        <w:right w:val="none" w:sz="0" w:space="0" w:color="auto"/>
      </w:divBdr>
    </w:div>
    <w:div w:id="467480236">
      <w:bodyDiv w:val="1"/>
      <w:marLeft w:val="0"/>
      <w:marRight w:val="0"/>
      <w:marTop w:val="0"/>
      <w:marBottom w:val="0"/>
      <w:divBdr>
        <w:top w:val="none" w:sz="0" w:space="0" w:color="auto"/>
        <w:left w:val="none" w:sz="0" w:space="0" w:color="auto"/>
        <w:bottom w:val="none" w:sz="0" w:space="0" w:color="auto"/>
        <w:right w:val="none" w:sz="0" w:space="0" w:color="auto"/>
      </w:divBdr>
    </w:div>
    <w:div w:id="470248920">
      <w:bodyDiv w:val="1"/>
      <w:marLeft w:val="0"/>
      <w:marRight w:val="0"/>
      <w:marTop w:val="0"/>
      <w:marBottom w:val="0"/>
      <w:divBdr>
        <w:top w:val="none" w:sz="0" w:space="0" w:color="auto"/>
        <w:left w:val="none" w:sz="0" w:space="0" w:color="auto"/>
        <w:bottom w:val="none" w:sz="0" w:space="0" w:color="auto"/>
        <w:right w:val="none" w:sz="0" w:space="0" w:color="auto"/>
      </w:divBdr>
    </w:div>
    <w:div w:id="470559423">
      <w:bodyDiv w:val="1"/>
      <w:marLeft w:val="0"/>
      <w:marRight w:val="0"/>
      <w:marTop w:val="0"/>
      <w:marBottom w:val="0"/>
      <w:divBdr>
        <w:top w:val="none" w:sz="0" w:space="0" w:color="auto"/>
        <w:left w:val="none" w:sz="0" w:space="0" w:color="auto"/>
        <w:bottom w:val="none" w:sz="0" w:space="0" w:color="auto"/>
        <w:right w:val="none" w:sz="0" w:space="0" w:color="auto"/>
      </w:divBdr>
    </w:div>
    <w:div w:id="473329586">
      <w:bodyDiv w:val="1"/>
      <w:marLeft w:val="0"/>
      <w:marRight w:val="0"/>
      <w:marTop w:val="0"/>
      <w:marBottom w:val="0"/>
      <w:divBdr>
        <w:top w:val="none" w:sz="0" w:space="0" w:color="auto"/>
        <w:left w:val="none" w:sz="0" w:space="0" w:color="auto"/>
        <w:bottom w:val="none" w:sz="0" w:space="0" w:color="auto"/>
        <w:right w:val="none" w:sz="0" w:space="0" w:color="auto"/>
      </w:divBdr>
    </w:div>
    <w:div w:id="475221284">
      <w:bodyDiv w:val="1"/>
      <w:marLeft w:val="0"/>
      <w:marRight w:val="0"/>
      <w:marTop w:val="0"/>
      <w:marBottom w:val="0"/>
      <w:divBdr>
        <w:top w:val="none" w:sz="0" w:space="0" w:color="auto"/>
        <w:left w:val="none" w:sz="0" w:space="0" w:color="auto"/>
        <w:bottom w:val="none" w:sz="0" w:space="0" w:color="auto"/>
        <w:right w:val="none" w:sz="0" w:space="0" w:color="auto"/>
      </w:divBdr>
    </w:div>
    <w:div w:id="475294857">
      <w:bodyDiv w:val="1"/>
      <w:marLeft w:val="0"/>
      <w:marRight w:val="0"/>
      <w:marTop w:val="0"/>
      <w:marBottom w:val="0"/>
      <w:divBdr>
        <w:top w:val="none" w:sz="0" w:space="0" w:color="auto"/>
        <w:left w:val="none" w:sz="0" w:space="0" w:color="auto"/>
        <w:bottom w:val="none" w:sz="0" w:space="0" w:color="auto"/>
        <w:right w:val="none" w:sz="0" w:space="0" w:color="auto"/>
      </w:divBdr>
    </w:div>
    <w:div w:id="476144823">
      <w:bodyDiv w:val="1"/>
      <w:marLeft w:val="0"/>
      <w:marRight w:val="0"/>
      <w:marTop w:val="0"/>
      <w:marBottom w:val="0"/>
      <w:divBdr>
        <w:top w:val="none" w:sz="0" w:space="0" w:color="auto"/>
        <w:left w:val="none" w:sz="0" w:space="0" w:color="auto"/>
        <w:bottom w:val="none" w:sz="0" w:space="0" w:color="auto"/>
        <w:right w:val="none" w:sz="0" w:space="0" w:color="auto"/>
      </w:divBdr>
    </w:div>
    <w:div w:id="476991395">
      <w:bodyDiv w:val="1"/>
      <w:marLeft w:val="0"/>
      <w:marRight w:val="0"/>
      <w:marTop w:val="0"/>
      <w:marBottom w:val="0"/>
      <w:divBdr>
        <w:top w:val="none" w:sz="0" w:space="0" w:color="auto"/>
        <w:left w:val="none" w:sz="0" w:space="0" w:color="auto"/>
        <w:bottom w:val="none" w:sz="0" w:space="0" w:color="auto"/>
        <w:right w:val="none" w:sz="0" w:space="0" w:color="auto"/>
      </w:divBdr>
    </w:div>
    <w:div w:id="476996887">
      <w:bodyDiv w:val="1"/>
      <w:marLeft w:val="0"/>
      <w:marRight w:val="0"/>
      <w:marTop w:val="0"/>
      <w:marBottom w:val="0"/>
      <w:divBdr>
        <w:top w:val="none" w:sz="0" w:space="0" w:color="auto"/>
        <w:left w:val="none" w:sz="0" w:space="0" w:color="auto"/>
        <w:bottom w:val="none" w:sz="0" w:space="0" w:color="auto"/>
        <w:right w:val="none" w:sz="0" w:space="0" w:color="auto"/>
      </w:divBdr>
    </w:div>
    <w:div w:id="481315462">
      <w:bodyDiv w:val="1"/>
      <w:marLeft w:val="0"/>
      <w:marRight w:val="0"/>
      <w:marTop w:val="0"/>
      <w:marBottom w:val="0"/>
      <w:divBdr>
        <w:top w:val="none" w:sz="0" w:space="0" w:color="auto"/>
        <w:left w:val="none" w:sz="0" w:space="0" w:color="auto"/>
        <w:bottom w:val="none" w:sz="0" w:space="0" w:color="auto"/>
        <w:right w:val="none" w:sz="0" w:space="0" w:color="auto"/>
      </w:divBdr>
    </w:div>
    <w:div w:id="481583519">
      <w:bodyDiv w:val="1"/>
      <w:marLeft w:val="0"/>
      <w:marRight w:val="0"/>
      <w:marTop w:val="0"/>
      <w:marBottom w:val="0"/>
      <w:divBdr>
        <w:top w:val="none" w:sz="0" w:space="0" w:color="auto"/>
        <w:left w:val="none" w:sz="0" w:space="0" w:color="auto"/>
        <w:bottom w:val="none" w:sz="0" w:space="0" w:color="auto"/>
        <w:right w:val="none" w:sz="0" w:space="0" w:color="auto"/>
      </w:divBdr>
    </w:div>
    <w:div w:id="484510347">
      <w:bodyDiv w:val="1"/>
      <w:marLeft w:val="0"/>
      <w:marRight w:val="0"/>
      <w:marTop w:val="0"/>
      <w:marBottom w:val="0"/>
      <w:divBdr>
        <w:top w:val="none" w:sz="0" w:space="0" w:color="auto"/>
        <w:left w:val="none" w:sz="0" w:space="0" w:color="auto"/>
        <w:bottom w:val="none" w:sz="0" w:space="0" w:color="auto"/>
        <w:right w:val="none" w:sz="0" w:space="0" w:color="auto"/>
      </w:divBdr>
    </w:div>
    <w:div w:id="485517681">
      <w:bodyDiv w:val="1"/>
      <w:marLeft w:val="0"/>
      <w:marRight w:val="0"/>
      <w:marTop w:val="0"/>
      <w:marBottom w:val="0"/>
      <w:divBdr>
        <w:top w:val="none" w:sz="0" w:space="0" w:color="auto"/>
        <w:left w:val="none" w:sz="0" w:space="0" w:color="auto"/>
        <w:bottom w:val="none" w:sz="0" w:space="0" w:color="auto"/>
        <w:right w:val="none" w:sz="0" w:space="0" w:color="auto"/>
      </w:divBdr>
    </w:div>
    <w:div w:id="487328605">
      <w:bodyDiv w:val="1"/>
      <w:marLeft w:val="0"/>
      <w:marRight w:val="0"/>
      <w:marTop w:val="0"/>
      <w:marBottom w:val="0"/>
      <w:divBdr>
        <w:top w:val="none" w:sz="0" w:space="0" w:color="auto"/>
        <w:left w:val="none" w:sz="0" w:space="0" w:color="auto"/>
        <w:bottom w:val="none" w:sz="0" w:space="0" w:color="auto"/>
        <w:right w:val="none" w:sz="0" w:space="0" w:color="auto"/>
      </w:divBdr>
    </w:div>
    <w:div w:id="492528828">
      <w:bodyDiv w:val="1"/>
      <w:marLeft w:val="0"/>
      <w:marRight w:val="0"/>
      <w:marTop w:val="0"/>
      <w:marBottom w:val="0"/>
      <w:divBdr>
        <w:top w:val="none" w:sz="0" w:space="0" w:color="auto"/>
        <w:left w:val="none" w:sz="0" w:space="0" w:color="auto"/>
        <w:bottom w:val="none" w:sz="0" w:space="0" w:color="auto"/>
        <w:right w:val="none" w:sz="0" w:space="0" w:color="auto"/>
      </w:divBdr>
    </w:div>
    <w:div w:id="492600937">
      <w:bodyDiv w:val="1"/>
      <w:marLeft w:val="0"/>
      <w:marRight w:val="0"/>
      <w:marTop w:val="0"/>
      <w:marBottom w:val="0"/>
      <w:divBdr>
        <w:top w:val="none" w:sz="0" w:space="0" w:color="auto"/>
        <w:left w:val="none" w:sz="0" w:space="0" w:color="auto"/>
        <w:bottom w:val="none" w:sz="0" w:space="0" w:color="auto"/>
        <w:right w:val="none" w:sz="0" w:space="0" w:color="auto"/>
      </w:divBdr>
    </w:div>
    <w:div w:id="493494343">
      <w:bodyDiv w:val="1"/>
      <w:marLeft w:val="0"/>
      <w:marRight w:val="0"/>
      <w:marTop w:val="0"/>
      <w:marBottom w:val="0"/>
      <w:divBdr>
        <w:top w:val="none" w:sz="0" w:space="0" w:color="auto"/>
        <w:left w:val="none" w:sz="0" w:space="0" w:color="auto"/>
        <w:bottom w:val="none" w:sz="0" w:space="0" w:color="auto"/>
        <w:right w:val="none" w:sz="0" w:space="0" w:color="auto"/>
      </w:divBdr>
    </w:div>
    <w:div w:id="493571649">
      <w:bodyDiv w:val="1"/>
      <w:marLeft w:val="0"/>
      <w:marRight w:val="0"/>
      <w:marTop w:val="0"/>
      <w:marBottom w:val="0"/>
      <w:divBdr>
        <w:top w:val="none" w:sz="0" w:space="0" w:color="auto"/>
        <w:left w:val="none" w:sz="0" w:space="0" w:color="auto"/>
        <w:bottom w:val="none" w:sz="0" w:space="0" w:color="auto"/>
        <w:right w:val="none" w:sz="0" w:space="0" w:color="auto"/>
      </w:divBdr>
    </w:div>
    <w:div w:id="496724926">
      <w:bodyDiv w:val="1"/>
      <w:marLeft w:val="0"/>
      <w:marRight w:val="0"/>
      <w:marTop w:val="0"/>
      <w:marBottom w:val="0"/>
      <w:divBdr>
        <w:top w:val="none" w:sz="0" w:space="0" w:color="auto"/>
        <w:left w:val="none" w:sz="0" w:space="0" w:color="auto"/>
        <w:bottom w:val="none" w:sz="0" w:space="0" w:color="auto"/>
        <w:right w:val="none" w:sz="0" w:space="0" w:color="auto"/>
      </w:divBdr>
    </w:div>
    <w:div w:id="501970672">
      <w:bodyDiv w:val="1"/>
      <w:marLeft w:val="0"/>
      <w:marRight w:val="0"/>
      <w:marTop w:val="0"/>
      <w:marBottom w:val="0"/>
      <w:divBdr>
        <w:top w:val="none" w:sz="0" w:space="0" w:color="auto"/>
        <w:left w:val="none" w:sz="0" w:space="0" w:color="auto"/>
        <w:bottom w:val="none" w:sz="0" w:space="0" w:color="auto"/>
        <w:right w:val="none" w:sz="0" w:space="0" w:color="auto"/>
      </w:divBdr>
    </w:div>
    <w:div w:id="502819571">
      <w:bodyDiv w:val="1"/>
      <w:marLeft w:val="0"/>
      <w:marRight w:val="0"/>
      <w:marTop w:val="0"/>
      <w:marBottom w:val="0"/>
      <w:divBdr>
        <w:top w:val="none" w:sz="0" w:space="0" w:color="auto"/>
        <w:left w:val="none" w:sz="0" w:space="0" w:color="auto"/>
        <w:bottom w:val="none" w:sz="0" w:space="0" w:color="auto"/>
        <w:right w:val="none" w:sz="0" w:space="0" w:color="auto"/>
      </w:divBdr>
    </w:div>
    <w:div w:id="506217740">
      <w:bodyDiv w:val="1"/>
      <w:marLeft w:val="0"/>
      <w:marRight w:val="0"/>
      <w:marTop w:val="0"/>
      <w:marBottom w:val="0"/>
      <w:divBdr>
        <w:top w:val="none" w:sz="0" w:space="0" w:color="auto"/>
        <w:left w:val="none" w:sz="0" w:space="0" w:color="auto"/>
        <w:bottom w:val="none" w:sz="0" w:space="0" w:color="auto"/>
        <w:right w:val="none" w:sz="0" w:space="0" w:color="auto"/>
      </w:divBdr>
    </w:div>
    <w:div w:id="513229298">
      <w:bodyDiv w:val="1"/>
      <w:marLeft w:val="0"/>
      <w:marRight w:val="0"/>
      <w:marTop w:val="0"/>
      <w:marBottom w:val="0"/>
      <w:divBdr>
        <w:top w:val="none" w:sz="0" w:space="0" w:color="auto"/>
        <w:left w:val="none" w:sz="0" w:space="0" w:color="auto"/>
        <w:bottom w:val="none" w:sz="0" w:space="0" w:color="auto"/>
        <w:right w:val="none" w:sz="0" w:space="0" w:color="auto"/>
      </w:divBdr>
    </w:div>
    <w:div w:id="517232670">
      <w:bodyDiv w:val="1"/>
      <w:marLeft w:val="0"/>
      <w:marRight w:val="0"/>
      <w:marTop w:val="0"/>
      <w:marBottom w:val="0"/>
      <w:divBdr>
        <w:top w:val="none" w:sz="0" w:space="0" w:color="auto"/>
        <w:left w:val="none" w:sz="0" w:space="0" w:color="auto"/>
        <w:bottom w:val="none" w:sz="0" w:space="0" w:color="auto"/>
        <w:right w:val="none" w:sz="0" w:space="0" w:color="auto"/>
      </w:divBdr>
    </w:div>
    <w:div w:id="519010580">
      <w:bodyDiv w:val="1"/>
      <w:marLeft w:val="0"/>
      <w:marRight w:val="0"/>
      <w:marTop w:val="0"/>
      <w:marBottom w:val="0"/>
      <w:divBdr>
        <w:top w:val="none" w:sz="0" w:space="0" w:color="auto"/>
        <w:left w:val="none" w:sz="0" w:space="0" w:color="auto"/>
        <w:bottom w:val="none" w:sz="0" w:space="0" w:color="auto"/>
        <w:right w:val="none" w:sz="0" w:space="0" w:color="auto"/>
      </w:divBdr>
    </w:div>
    <w:div w:id="520971666">
      <w:bodyDiv w:val="1"/>
      <w:marLeft w:val="0"/>
      <w:marRight w:val="0"/>
      <w:marTop w:val="0"/>
      <w:marBottom w:val="0"/>
      <w:divBdr>
        <w:top w:val="none" w:sz="0" w:space="0" w:color="auto"/>
        <w:left w:val="none" w:sz="0" w:space="0" w:color="auto"/>
        <w:bottom w:val="none" w:sz="0" w:space="0" w:color="auto"/>
        <w:right w:val="none" w:sz="0" w:space="0" w:color="auto"/>
      </w:divBdr>
    </w:div>
    <w:div w:id="529269348">
      <w:bodyDiv w:val="1"/>
      <w:marLeft w:val="0"/>
      <w:marRight w:val="0"/>
      <w:marTop w:val="0"/>
      <w:marBottom w:val="0"/>
      <w:divBdr>
        <w:top w:val="none" w:sz="0" w:space="0" w:color="auto"/>
        <w:left w:val="none" w:sz="0" w:space="0" w:color="auto"/>
        <w:bottom w:val="none" w:sz="0" w:space="0" w:color="auto"/>
        <w:right w:val="none" w:sz="0" w:space="0" w:color="auto"/>
      </w:divBdr>
    </w:div>
    <w:div w:id="530218736">
      <w:bodyDiv w:val="1"/>
      <w:marLeft w:val="0"/>
      <w:marRight w:val="0"/>
      <w:marTop w:val="0"/>
      <w:marBottom w:val="0"/>
      <w:divBdr>
        <w:top w:val="none" w:sz="0" w:space="0" w:color="auto"/>
        <w:left w:val="none" w:sz="0" w:space="0" w:color="auto"/>
        <w:bottom w:val="none" w:sz="0" w:space="0" w:color="auto"/>
        <w:right w:val="none" w:sz="0" w:space="0" w:color="auto"/>
      </w:divBdr>
    </w:div>
    <w:div w:id="531962891">
      <w:bodyDiv w:val="1"/>
      <w:marLeft w:val="0"/>
      <w:marRight w:val="0"/>
      <w:marTop w:val="0"/>
      <w:marBottom w:val="0"/>
      <w:divBdr>
        <w:top w:val="none" w:sz="0" w:space="0" w:color="auto"/>
        <w:left w:val="none" w:sz="0" w:space="0" w:color="auto"/>
        <w:bottom w:val="none" w:sz="0" w:space="0" w:color="auto"/>
        <w:right w:val="none" w:sz="0" w:space="0" w:color="auto"/>
      </w:divBdr>
    </w:div>
    <w:div w:id="533929764">
      <w:bodyDiv w:val="1"/>
      <w:marLeft w:val="0"/>
      <w:marRight w:val="0"/>
      <w:marTop w:val="0"/>
      <w:marBottom w:val="0"/>
      <w:divBdr>
        <w:top w:val="none" w:sz="0" w:space="0" w:color="auto"/>
        <w:left w:val="none" w:sz="0" w:space="0" w:color="auto"/>
        <w:bottom w:val="none" w:sz="0" w:space="0" w:color="auto"/>
        <w:right w:val="none" w:sz="0" w:space="0" w:color="auto"/>
      </w:divBdr>
    </w:div>
    <w:div w:id="541207701">
      <w:bodyDiv w:val="1"/>
      <w:marLeft w:val="0"/>
      <w:marRight w:val="0"/>
      <w:marTop w:val="0"/>
      <w:marBottom w:val="0"/>
      <w:divBdr>
        <w:top w:val="none" w:sz="0" w:space="0" w:color="auto"/>
        <w:left w:val="none" w:sz="0" w:space="0" w:color="auto"/>
        <w:bottom w:val="none" w:sz="0" w:space="0" w:color="auto"/>
        <w:right w:val="none" w:sz="0" w:space="0" w:color="auto"/>
      </w:divBdr>
    </w:div>
    <w:div w:id="542255400">
      <w:bodyDiv w:val="1"/>
      <w:marLeft w:val="0"/>
      <w:marRight w:val="0"/>
      <w:marTop w:val="0"/>
      <w:marBottom w:val="0"/>
      <w:divBdr>
        <w:top w:val="none" w:sz="0" w:space="0" w:color="auto"/>
        <w:left w:val="none" w:sz="0" w:space="0" w:color="auto"/>
        <w:bottom w:val="none" w:sz="0" w:space="0" w:color="auto"/>
        <w:right w:val="none" w:sz="0" w:space="0" w:color="auto"/>
      </w:divBdr>
    </w:div>
    <w:div w:id="542642624">
      <w:bodyDiv w:val="1"/>
      <w:marLeft w:val="0"/>
      <w:marRight w:val="0"/>
      <w:marTop w:val="0"/>
      <w:marBottom w:val="0"/>
      <w:divBdr>
        <w:top w:val="none" w:sz="0" w:space="0" w:color="auto"/>
        <w:left w:val="none" w:sz="0" w:space="0" w:color="auto"/>
        <w:bottom w:val="none" w:sz="0" w:space="0" w:color="auto"/>
        <w:right w:val="none" w:sz="0" w:space="0" w:color="auto"/>
      </w:divBdr>
    </w:div>
    <w:div w:id="543174424">
      <w:bodyDiv w:val="1"/>
      <w:marLeft w:val="0"/>
      <w:marRight w:val="0"/>
      <w:marTop w:val="0"/>
      <w:marBottom w:val="0"/>
      <w:divBdr>
        <w:top w:val="none" w:sz="0" w:space="0" w:color="auto"/>
        <w:left w:val="none" w:sz="0" w:space="0" w:color="auto"/>
        <w:bottom w:val="none" w:sz="0" w:space="0" w:color="auto"/>
        <w:right w:val="none" w:sz="0" w:space="0" w:color="auto"/>
      </w:divBdr>
    </w:div>
    <w:div w:id="543178185">
      <w:bodyDiv w:val="1"/>
      <w:marLeft w:val="0"/>
      <w:marRight w:val="0"/>
      <w:marTop w:val="0"/>
      <w:marBottom w:val="0"/>
      <w:divBdr>
        <w:top w:val="none" w:sz="0" w:space="0" w:color="auto"/>
        <w:left w:val="none" w:sz="0" w:space="0" w:color="auto"/>
        <w:bottom w:val="none" w:sz="0" w:space="0" w:color="auto"/>
        <w:right w:val="none" w:sz="0" w:space="0" w:color="auto"/>
      </w:divBdr>
    </w:div>
    <w:div w:id="545138584">
      <w:bodyDiv w:val="1"/>
      <w:marLeft w:val="0"/>
      <w:marRight w:val="0"/>
      <w:marTop w:val="0"/>
      <w:marBottom w:val="0"/>
      <w:divBdr>
        <w:top w:val="none" w:sz="0" w:space="0" w:color="auto"/>
        <w:left w:val="none" w:sz="0" w:space="0" w:color="auto"/>
        <w:bottom w:val="none" w:sz="0" w:space="0" w:color="auto"/>
        <w:right w:val="none" w:sz="0" w:space="0" w:color="auto"/>
      </w:divBdr>
    </w:div>
    <w:div w:id="546646459">
      <w:bodyDiv w:val="1"/>
      <w:marLeft w:val="0"/>
      <w:marRight w:val="0"/>
      <w:marTop w:val="0"/>
      <w:marBottom w:val="0"/>
      <w:divBdr>
        <w:top w:val="none" w:sz="0" w:space="0" w:color="auto"/>
        <w:left w:val="none" w:sz="0" w:space="0" w:color="auto"/>
        <w:bottom w:val="none" w:sz="0" w:space="0" w:color="auto"/>
        <w:right w:val="none" w:sz="0" w:space="0" w:color="auto"/>
      </w:divBdr>
    </w:div>
    <w:div w:id="546726449">
      <w:bodyDiv w:val="1"/>
      <w:marLeft w:val="0"/>
      <w:marRight w:val="0"/>
      <w:marTop w:val="0"/>
      <w:marBottom w:val="0"/>
      <w:divBdr>
        <w:top w:val="none" w:sz="0" w:space="0" w:color="auto"/>
        <w:left w:val="none" w:sz="0" w:space="0" w:color="auto"/>
        <w:bottom w:val="none" w:sz="0" w:space="0" w:color="auto"/>
        <w:right w:val="none" w:sz="0" w:space="0" w:color="auto"/>
      </w:divBdr>
    </w:div>
    <w:div w:id="547376706">
      <w:bodyDiv w:val="1"/>
      <w:marLeft w:val="0"/>
      <w:marRight w:val="0"/>
      <w:marTop w:val="0"/>
      <w:marBottom w:val="0"/>
      <w:divBdr>
        <w:top w:val="none" w:sz="0" w:space="0" w:color="auto"/>
        <w:left w:val="none" w:sz="0" w:space="0" w:color="auto"/>
        <w:bottom w:val="none" w:sz="0" w:space="0" w:color="auto"/>
        <w:right w:val="none" w:sz="0" w:space="0" w:color="auto"/>
      </w:divBdr>
    </w:div>
    <w:div w:id="551313770">
      <w:bodyDiv w:val="1"/>
      <w:marLeft w:val="0"/>
      <w:marRight w:val="0"/>
      <w:marTop w:val="0"/>
      <w:marBottom w:val="0"/>
      <w:divBdr>
        <w:top w:val="none" w:sz="0" w:space="0" w:color="auto"/>
        <w:left w:val="none" w:sz="0" w:space="0" w:color="auto"/>
        <w:bottom w:val="none" w:sz="0" w:space="0" w:color="auto"/>
        <w:right w:val="none" w:sz="0" w:space="0" w:color="auto"/>
      </w:divBdr>
    </w:div>
    <w:div w:id="552932676">
      <w:bodyDiv w:val="1"/>
      <w:marLeft w:val="0"/>
      <w:marRight w:val="0"/>
      <w:marTop w:val="0"/>
      <w:marBottom w:val="0"/>
      <w:divBdr>
        <w:top w:val="none" w:sz="0" w:space="0" w:color="auto"/>
        <w:left w:val="none" w:sz="0" w:space="0" w:color="auto"/>
        <w:bottom w:val="none" w:sz="0" w:space="0" w:color="auto"/>
        <w:right w:val="none" w:sz="0" w:space="0" w:color="auto"/>
      </w:divBdr>
    </w:div>
    <w:div w:id="557254050">
      <w:bodyDiv w:val="1"/>
      <w:marLeft w:val="0"/>
      <w:marRight w:val="0"/>
      <w:marTop w:val="0"/>
      <w:marBottom w:val="0"/>
      <w:divBdr>
        <w:top w:val="none" w:sz="0" w:space="0" w:color="auto"/>
        <w:left w:val="none" w:sz="0" w:space="0" w:color="auto"/>
        <w:bottom w:val="none" w:sz="0" w:space="0" w:color="auto"/>
        <w:right w:val="none" w:sz="0" w:space="0" w:color="auto"/>
      </w:divBdr>
    </w:div>
    <w:div w:id="557277529">
      <w:bodyDiv w:val="1"/>
      <w:marLeft w:val="0"/>
      <w:marRight w:val="0"/>
      <w:marTop w:val="0"/>
      <w:marBottom w:val="0"/>
      <w:divBdr>
        <w:top w:val="none" w:sz="0" w:space="0" w:color="auto"/>
        <w:left w:val="none" w:sz="0" w:space="0" w:color="auto"/>
        <w:bottom w:val="none" w:sz="0" w:space="0" w:color="auto"/>
        <w:right w:val="none" w:sz="0" w:space="0" w:color="auto"/>
      </w:divBdr>
    </w:div>
    <w:div w:id="557591573">
      <w:bodyDiv w:val="1"/>
      <w:marLeft w:val="0"/>
      <w:marRight w:val="0"/>
      <w:marTop w:val="0"/>
      <w:marBottom w:val="0"/>
      <w:divBdr>
        <w:top w:val="none" w:sz="0" w:space="0" w:color="auto"/>
        <w:left w:val="none" w:sz="0" w:space="0" w:color="auto"/>
        <w:bottom w:val="none" w:sz="0" w:space="0" w:color="auto"/>
        <w:right w:val="none" w:sz="0" w:space="0" w:color="auto"/>
      </w:divBdr>
    </w:div>
    <w:div w:id="559678253">
      <w:bodyDiv w:val="1"/>
      <w:marLeft w:val="0"/>
      <w:marRight w:val="0"/>
      <w:marTop w:val="0"/>
      <w:marBottom w:val="0"/>
      <w:divBdr>
        <w:top w:val="none" w:sz="0" w:space="0" w:color="auto"/>
        <w:left w:val="none" w:sz="0" w:space="0" w:color="auto"/>
        <w:bottom w:val="none" w:sz="0" w:space="0" w:color="auto"/>
        <w:right w:val="none" w:sz="0" w:space="0" w:color="auto"/>
      </w:divBdr>
    </w:div>
    <w:div w:id="562982944">
      <w:bodyDiv w:val="1"/>
      <w:marLeft w:val="0"/>
      <w:marRight w:val="0"/>
      <w:marTop w:val="0"/>
      <w:marBottom w:val="0"/>
      <w:divBdr>
        <w:top w:val="none" w:sz="0" w:space="0" w:color="auto"/>
        <w:left w:val="none" w:sz="0" w:space="0" w:color="auto"/>
        <w:bottom w:val="none" w:sz="0" w:space="0" w:color="auto"/>
        <w:right w:val="none" w:sz="0" w:space="0" w:color="auto"/>
      </w:divBdr>
    </w:div>
    <w:div w:id="563297385">
      <w:bodyDiv w:val="1"/>
      <w:marLeft w:val="0"/>
      <w:marRight w:val="0"/>
      <w:marTop w:val="0"/>
      <w:marBottom w:val="0"/>
      <w:divBdr>
        <w:top w:val="none" w:sz="0" w:space="0" w:color="auto"/>
        <w:left w:val="none" w:sz="0" w:space="0" w:color="auto"/>
        <w:bottom w:val="none" w:sz="0" w:space="0" w:color="auto"/>
        <w:right w:val="none" w:sz="0" w:space="0" w:color="auto"/>
      </w:divBdr>
    </w:div>
    <w:div w:id="564141178">
      <w:bodyDiv w:val="1"/>
      <w:marLeft w:val="0"/>
      <w:marRight w:val="0"/>
      <w:marTop w:val="0"/>
      <w:marBottom w:val="0"/>
      <w:divBdr>
        <w:top w:val="none" w:sz="0" w:space="0" w:color="auto"/>
        <w:left w:val="none" w:sz="0" w:space="0" w:color="auto"/>
        <w:bottom w:val="none" w:sz="0" w:space="0" w:color="auto"/>
        <w:right w:val="none" w:sz="0" w:space="0" w:color="auto"/>
      </w:divBdr>
    </w:div>
    <w:div w:id="564418680">
      <w:bodyDiv w:val="1"/>
      <w:marLeft w:val="0"/>
      <w:marRight w:val="0"/>
      <w:marTop w:val="0"/>
      <w:marBottom w:val="0"/>
      <w:divBdr>
        <w:top w:val="none" w:sz="0" w:space="0" w:color="auto"/>
        <w:left w:val="none" w:sz="0" w:space="0" w:color="auto"/>
        <w:bottom w:val="none" w:sz="0" w:space="0" w:color="auto"/>
        <w:right w:val="none" w:sz="0" w:space="0" w:color="auto"/>
      </w:divBdr>
    </w:div>
    <w:div w:id="565915760">
      <w:bodyDiv w:val="1"/>
      <w:marLeft w:val="0"/>
      <w:marRight w:val="0"/>
      <w:marTop w:val="0"/>
      <w:marBottom w:val="0"/>
      <w:divBdr>
        <w:top w:val="none" w:sz="0" w:space="0" w:color="auto"/>
        <w:left w:val="none" w:sz="0" w:space="0" w:color="auto"/>
        <w:bottom w:val="none" w:sz="0" w:space="0" w:color="auto"/>
        <w:right w:val="none" w:sz="0" w:space="0" w:color="auto"/>
      </w:divBdr>
    </w:div>
    <w:div w:id="567229013">
      <w:bodyDiv w:val="1"/>
      <w:marLeft w:val="0"/>
      <w:marRight w:val="0"/>
      <w:marTop w:val="0"/>
      <w:marBottom w:val="0"/>
      <w:divBdr>
        <w:top w:val="none" w:sz="0" w:space="0" w:color="auto"/>
        <w:left w:val="none" w:sz="0" w:space="0" w:color="auto"/>
        <w:bottom w:val="none" w:sz="0" w:space="0" w:color="auto"/>
        <w:right w:val="none" w:sz="0" w:space="0" w:color="auto"/>
      </w:divBdr>
    </w:div>
    <w:div w:id="567307594">
      <w:bodyDiv w:val="1"/>
      <w:marLeft w:val="0"/>
      <w:marRight w:val="0"/>
      <w:marTop w:val="0"/>
      <w:marBottom w:val="0"/>
      <w:divBdr>
        <w:top w:val="none" w:sz="0" w:space="0" w:color="auto"/>
        <w:left w:val="none" w:sz="0" w:space="0" w:color="auto"/>
        <w:bottom w:val="none" w:sz="0" w:space="0" w:color="auto"/>
        <w:right w:val="none" w:sz="0" w:space="0" w:color="auto"/>
      </w:divBdr>
    </w:div>
    <w:div w:id="568660828">
      <w:bodyDiv w:val="1"/>
      <w:marLeft w:val="0"/>
      <w:marRight w:val="0"/>
      <w:marTop w:val="0"/>
      <w:marBottom w:val="0"/>
      <w:divBdr>
        <w:top w:val="none" w:sz="0" w:space="0" w:color="auto"/>
        <w:left w:val="none" w:sz="0" w:space="0" w:color="auto"/>
        <w:bottom w:val="none" w:sz="0" w:space="0" w:color="auto"/>
        <w:right w:val="none" w:sz="0" w:space="0" w:color="auto"/>
      </w:divBdr>
    </w:div>
    <w:div w:id="568732616">
      <w:bodyDiv w:val="1"/>
      <w:marLeft w:val="0"/>
      <w:marRight w:val="0"/>
      <w:marTop w:val="0"/>
      <w:marBottom w:val="0"/>
      <w:divBdr>
        <w:top w:val="none" w:sz="0" w:space="0" w:color="auto"/>
        <w:left w:val="none" w:sz="0" w:space="0" w:color="auto"/>
        <w:bottom w:val="none" w:sz="0" w:space="0" w:color="auto"/>
        <w:right w:val="none" w:sz="0" w:space="0" w:color="auto"/>
      </w:divBdr>
    </w:div>
    <w:div w:id="568925084">
      <w:bodyDiv w:val="1"/>
      <w:marLeft w:val="0"/>
      <w:marRight w:val="0"/>
      <w:marTop w:val="0"/>
      <w:marBottom w:val="0"/>
      <w:divBdr>
        <w:top w:val="none" w:sz="0" w:space="0" w:color="auto"/>
        <w:left w:val="none" w:sz="0" w:space="0" w:color="auto"/>
        <w:bottom w:val="none" w:sz="0" w:space="0" w:color="auto"/>
        <w:right w:val="none" w:sz="0" w:space="0" w:color="auto"/>
      </w:divBdr>
    </w:div>
    <w:div w:id="575285419">
      <w:bodyDiv w:val="1"/>
      <w:marLeft w:val="0"/>
      <w:marRight w:val="0"/>
      <w:marTop w:val="0"/>
      <w:marBottom w:val="0"/>
      <w:divBdr>
        <w:top w:val="none" w:sz="0" w:space="0" w:color="auto"/>
        <w:left w:val="none" w:sz="0" w:space="0" w:color="auto"/>
        <w:bottom w:val="none" w:sz="0" w:space="0" w:color="auto"/>
        <w:right w:val="none" w:sz="0" w:space="0" w:color="auto"/>
      </w:divBdr>
    </w:div>
    <w:div w:id="575552936">
      <w:bodyDiv w:val="1"/>
      <w:marLeft w:val="0"/>
      <w:marRight w:val="0"/>
      <w:marTop w:val="0"/>
      <w:marBottom w:val="0"/>
      <w:divBdr>
        <w:top w:val="none" w:sz="0" w:space="0" w:color="auto"/>
        <w:left w:val="none" w:sz="0" w:space="0" w:color="auto"/>
        <w:bottom w:val="none" w:sz="0" w:space="0" w:color="auto"/>
        <w:right w:val="none" w:sz="0" w:space="0" w:color="auto"/>
      </w:divBdr>
    </w:div>
    <w:div w:id="576790900">
      <w:bodyDiv w:val="1"/>
      <w:marLeft w:val="0"/>
      <w:marRight w:val="0"/>
      <w:marTop w:val="0"/>
      <w:marBottom w:val="0"/>
      <w:divBdr>
        <w:top w:val="none" w:sz="0" w:space="0" w:color="auto"/>
        <w:left w:val="none" w:sz="0" w:space="0" w:color="auto"/>
        <w:bottom w:val="none" w:sz="0" w:space="0" w:color="auto"/>
        <w:right w:val="none" w:sz="0" w:space="0" w:color="auto"/>
      </w:divBdr>
    </w:div>
    <w:div w:id="579758989">
      <w:bodyDiv w:val="1"/>
      <w:marLeft w:val="0"/>
      <w:marRight w:val="0"/>
      <w:marTop w:val="0"/>
      <w:marBottom w:val="0"/>
      <w:divBdr>
        <w:top w:val="none" w:sz="0" w:space="0" w:color="auto"/>
        <w:left w:val="none" w:sz="0" w:space="0" w:color="auto"/>
        <w:bottom w:val="none" w:sz="0" w:space="0" w:color="auto"/>
        <w:right w:val="none" w:sz="0" w:space="0" w:color="auto"/>
      </w:divBdr>
    </w:div>
    <w:div w:id="582449706">
      <w:bodyDiv w:val="1"/>
      <w:marLeft w:val="0"/>
      <w:marRight w:val="0"/>
      <w:marTop w:val="0"/>
      <w:marBottom w:val="0"/>
      <w:divBdr>
        <w:top w:val="none" w:sz="0" w:space="0" w:color="auto"/>
        <w:left w:val="none" w:sz="0" w:space="0" w:color="auto"/>
        <w:bottom w:val="none" w:sz="0" w:space="0" w:color="auto"/>
        <w:right w:val="none" w:sz="0" w:space="0" w:color="auto"/>
      </w:divBdr>
    </w:div>
    <w:div w:id="586421393">
      <w:bodyDiv w:val="1"/>
      <w:marLeft w:val="0"/>
      <w:marRight w:val="0"/>
      <w:marTop w:val="0"/>
      <w:marBottom w:val="0"/>
      <w:divBdr>
        <w:top w:val="none" w:sz="0" w:space="0" w:color="auto"/>
        <w:left w:val="none" w:sz="0" w:space="0" w:color="auto"/>
        <w:bottom w:val="none" w:sz="0" w:space="0" w:color="auto"/>
        <w:right w:val="none" w:sz="0" w:space="0" w:color="auto"/>
      </w:divBdr>
    </w:div>
    <w:div w:id="587421228">
      <w:bodyDiv w:val="1"/>
      <w:marLeft w:val="0"/>
      <w:marRight w:val="0"/>
      <w:marTop w:val="0"/>
      <w:marBottom w:val="0"/>
      <w:divBdr>
        <w:top w:val="none" w:sz="0" w:space="0" w:color="auto"/>
        <w:left w:val="none" w:sz="0" w:space="0" w:color="auto"/>
        <w:bottom w:val="none" w:sz="0" w:space="0" w:color="auto"/>
        <w:right w:val="none" w:sz="0" w:space="0" w:color="auto"/>
      </w:divBdr>
    </w:div>
    <w:div w:id="588775556">
      <w:bodyDiv w:val="1"/>
      <w:marLeft w:val="0"/>
      <w:marRight w:val="0"/>
      <w:marTop w:val="0"/>
      <w:marBottom w:val="0"/>
      <w:divBdr>
        <w:top w:val="none" w:sz="0" w:space="0" w:color="auto"/>
        <w:left w:val="none" w:sz="0" w:space="0" w:color="auto"/>
        <w:bottom w:val="none" w:sz="0" w:space="0" w:color="auto"/>
        <w:right w:val="none" w:sz="0" w:space="0" w:color="auto"/>
      </w:divBdr>
    </w:div>
    <w:div w:id="590551055">
      <w:bodyDiv w:val="1"/>
      <w:marLeft w:val="0"/>
      <w:marRight w:val="0"/>
      <w:marTop w:val="0"/>
      <w:marBottom w:val="0"/>
      <w:divBdr>
        <w:top w:val="none" w:sz="0" w:space="0" w:color="auto"/>
        <w:left w:val="none" w:sz="0" w:space="0" w:color="auto"/>
        <w:bottom w:val="none" w:sz="0" w:space="0" w:color="auto"/>
        <w:right w:val="none" w:sz="0" w:space="0" w:color="auto"/>
      </w:divBdr>
    </w:div>
    <w:div w:id="591740682">
      <w:bodyDiv w:val="1"/>
      <w:marLeft w:val="0"/>
      <w:marRight w:val="0"/>
      <w:marTop w:val="0"/>
      <w:marBottom w:val="0"/>
      <w:divBdr>
        <w:top w:val="none" w:sz="0" w:space="0" w:color="auto"/>
        <w:left w:val="none" w:sz="0" w:space="0" w:color="auto"/>
        <w:bottom w:val="none" w:sz="0" w:space="0" w:color="auto"/>
        <w:right w:val="none" w:sz="0" w:space="0" w:color="auto"/>
      </w:divBdr>
    </w:div>
    <w:div w:id="595870839">
      <w:bodyDiv w:val="1"/>
      <w:marLeft w:val="0"/>
      <w:marRight w:val="0"/>
      <w:marTop w:val="0"/>
      <w:marBottom w:val="0"/>
      <w:divBdr>
        <w:top w:val="none" w:sz="0" w:space="0" w:color="auto"/>
        <w:left w:val="none" w:sz="0" w:space="0" w:color="auto"/>
        <w:bottom w:val="none" w:sz="0" w:space="0" w:color="auto"/>
        <w:right w:val="none" w:sz="0" w:space="0" w:color="auto"/>
      </w:divBdr>
    </w:div>
    <w:div w:id="597450807">
      <w:bodyDiv w:val="1"/>
      <w:marLeft w:val="0"/>
      <w:marRight w:val="0"/>
      <w:marTop w:val="0"/>
      <w:marBottom w:val="0"/>
      <w:divBdr>
        <w:top w:val="none" w:sz="0" w:space="0" w:color="auto"/>
        <w:left w:val="none" w:sz="0" w:space="0" w:color="auto"/>
        <w:bottom w:val="none" w:sz="0" w:space="0" w:color="auto"/>
        <w:right w:val="none" w:sz="0" w:space="0" w:color="auto"/>
      </w:divBdr>
    </w:div>
    <w:div w:id="598224554">
      <w:bodyDiv w:val="1"/>
      <w:marLeft w:val="0"/>
      <w:marRight w:val="0"/>
      <w:marTop w:val="0"/>
      <w:marBottom w:val="0"/>
      <w:divBdr>
        <w:top w:val="none" w:sz="0" w:space="0" w:color="auto"/>
        <w:left w:val="none" w:sz="0" w:space="0" w:color="auto"/>
        <w:bottom w:val="none" w:sz="0" w:space="0" w:color="auto"/>
        <w:right w:val="none" w:sz="0" w:space="0" w:color="auto"/>
      </w:divBdr>
    </w:div>
    <w:div w:id="602147287">
      <w:bodyDiv w:val="1"/>
      <w:marLeft w:val="0"/>
      <w:marRight w:val="0"/>
      <w:marTop w:val="0"/>
      <w:marBottom w:val="0"/>
      <w:divBdr>
        <w:top w:val="none" w:sz="0" w:space="0" w:color="auto"/>
        <w:left w:val="none" w:sz="0" w:space="0" w:color="auto"/>
        <w:bottom w:val="none" w:sz="0" w:space="0" w:color="auto"/>
        <w:right w:val="none" w:sz="0" w:space="0" w:color="auto"/>
      </w:divBdr>
    </w:div>
    <w:div w:id="608633284">
      <w:bodyDiv w:val="1"/>
      <w:marLeft w:val="0"/>
      <w:marRight w:val="0"/>
      <w:marTop w:val="0"/>
      <w:marBottom w:val="0"/>
      <w:divBdr>
        <w:top w:val="none" w:sz="0" w:space="0" w:color="auto"/>
        <w:left w:val="none" w:sz="0" w:space="0" w:color="auto"/>
        <w:bottom w:val="none" w:sz="0" w:space="0" w:color="auto"/>
        <w:right w:val="none" w:sz="0" w:space="0" w:color="auto"/>
      </w:divBdr>
    </w:div>
    <w:div w:id="619067307">
      <w:bodyDiv w:val="1"/>
      <w:marLeft w:val="0"/>
      <w:marRight w:val="0"/>
      <w:marTop w:val="0"/>
      <w:marBottom w:val="0"/>
      <w:divBdr>
        <w:top w:val="none" w:sz="0" w:space="0" w:color="auto"/>
        <w:left w:val="none" w:sz="0" w:space="0" w:color="auto"/>
        <w:bottom w:val="none" w:sz="0" w:space="0" w:color="auto"/>
        <w:right w:val="none" w:sz="0" w:space="0" w:color="auto"/>
      </w:divBdr>
    </w:div>
    <w:div w:id="619259089">
      <w:bodyDiv w:val="1"/>
      <w:marLeft w:val="0"/>
      <w:marRight w:val="0"/>
      <w:marTop w:val="0"/>
      <w:marBottom w:val="0"/>
      <w:divBdr>
        <w:top w:val="none" w:sz="0" w:space="0" w:color="auto"/>
        <w:left w:val="none" w:sz="0" w:space="0" w:color="auto"/>
        <w:bottom w:val="none" w:sz="0" w:space="0" w:color="auto"/>
        <w:right w:val="none" w:sz="0" w:space="0" w:color="auto"/>
      </w:divBdr>
    </w:div>
    <w:div w:id="620307358">
      <w:bodyDiv w:val="1"/>
      <w:marLeft w:val="0"/>
      <w:marRight w:val="0"/>
      <w:marTop w:val="0"/>
      <w:marBottom w:val="0"/>
      <w:divBdr>
        <w:top w:val="none" w:sz="0" w:space="0" w:color="auto"/>
        <w:left w:val="none" w:sz="0" w:space="0" w:color="auto"/>
        <w:bottom w:val="none" w:sz="0" w:space="0" w:color="auto"/>
        <w:right w:val="none" w:sz="0" w:space="0" w:color="auto"/>
      </w:divBdr>
    </w:div>
    <w:div w:id="621889537">
      <w:bodyDiv w:val="1"/>
      <w:marLeft w:val="0"/>
      <w:marRight w:val="0"/>
      <w:marTop w:val="0"/>
      <w:marBottom w:val="0"/>
      <w:divBdr>
        <w:top w:val="none" w:sz="0" w:space="0" w:color="auto"/>
        <w:left w:val="none" w:sz="0" w:space="0" w:color="auto"/>
        <w:bottom w:val="none" w:sz="0" w:space="0" w:color="auto"/>
        <w:right w:val="none" w:sz="0" w:space="0" w:color="auto"/>
      </w:divBdr>
    </w:div>
    <w:div w:id="623123711">
      <w:bodyDiv w:val="1"/>
      <w:marLeft w:val="0"/>
      <w:marRight w:val="0"/>
      <w:marTop w:val="0"/>
      <w:marBottom w:val="0"/>
      <w:divBdr>
        <w:top w:val="none" w:sz="0" w:space="0" w:color="auto"/>
        <w:left w:val="none" w:sz="0" w:space="0" w:color="auto"/>
        <w:bottom w:val="none" w:sz="0" w:space="0" w:color="auto"/>
        <w:right w:val="none" w:sz="0" w:space="0" w:color="auto"/>
      </w:divBdr>
    </w:div>
    <w:div w:id="623459937">
      <w:bodyDiv w:val="1"/>
      <w:marLeft w:val="0"/>
      <w:marRight w:val="0"/>
      <w:marTop w:val="0"/>
      <w:marBottom w:val="0"/>
      <w:divBdr>
        <w:top w:val="none" w:sz="0" w:space="0" w:color="auto"/>
        <w:left w:val="none" w:sz="0" w:space="0" w:color="auto"/>
        <w:bottom w:val="none" w:sz="0" w:space="0" w:color="auto"/>
        <w:right w:val="none" w:sz="0" w:space="0" w:color="auto"/>
      </w:divBdr>
    </w:div>
    <w:div w:id="629169862">
      <w:bodyDiv w:val="1"/>
      <w:marLeft w:val="0"/>
      <w:marRight w:val="0"/>
      <w:marTop w:val="0"/>
      <w:marBottom w:val="0"/>
      <w:divBdr>
        <w:top w:val="none" w:sz="0" w:space="0" w:color="auto"/>
        <w:left w:val="none" w:sz="0" w:space="0" w:color="auto"/>
        <w:bottom w:val="none" w:sz="0" w:space="0" w:color="auto"/>
        <w:right w:val="none" w:sz="0" w:space="0" w:color="auto"/>
      </w:divBdr>
    </w:div>
    <w:div w:id="630135090">
      <w:bodyDiv w:val="1"/>
      <w:marLeft w:val="0"/>
      <w:marRight w:val="0"/>
      <w:marTop w:val="0"/>
      <w:marBottom w:val="0"/>
      <w:divBdr>
        <w:top w:val="none" w:sz="0" w:space="0" w:color="auto"/>
        <w:left w:val="none" w:sz="0" w:space="0" w:color="auto"/>
        <w:bottom w:val="none" w:sz="0" w:space="0" w:color="auto"/>
        <w:right w:val="none" w:sz="0" w:space="0" w:color="auto"/>
      </w:divBdr>
    </w:div>
    <w:div w:id="633486417">
      <w:bodyDiv w:val="1"/>
      <w:marLeft w:val="0"/>
      <w:marRight w:val="0"/>
      <w:marTop w:val="0"/>
      <w:marBottom w:val="0"/>
      <w:divBdr>
        <w:top w:val="none" w:sz="0" w:space="0" w:color="auto"/>
        <w:left w:val="none" w:sz="0" w:space="0" w:color="auto"/>
        <w:bottom w:val="none" w:sz="0" w:space="0" w:color="auto"/>
        <w:right w:val="none" w:sz="0" w:space="0" w:color="auto"/>
      </w:divBdr>
    </w:div>
    <w:div w:id="634068994">
      <w:bodyDiv w:val="1"/>
      <w:marLeft w:val="0"/>
      <w:marRight w:val="0"/>
      <w:marTop w:val="0"/>
      <w:marBottom w:val="0"/>
      <w:divBdr>
        <w:top w:val="none" w:sz="0" w:space="0" w:color="auto"/>
        <w:left w:val="none" w:sz="0" w:space="0" w:color="auto"/>
        <w:bottom w:val="none" w:sz="0" w:space="0" w:color="auto"/>
        <w:right w:val="none" w:sz="0" w:space="0" w:color="auto"/>
      </w:divBdr>
    </w:div>
    <w:div w:id="634677869">
      <w:bodyDiv w:val="1"/>
      <w:marLeft w:val="0"/>
      <w:marRight w:val="0"/>
      <w:marTop w:val="0"/>
      <w:marBottom w:val="0"/>
      <w:divBdr>
        <w:top w:val="none" w:sz="0" w:space="0" w:color="auto"/>
        <w:left w:val="none" w:sz="0" w:space="0" w:color="auto"/>
        <w:bottom w:val="none" w:sz="0" w:space="0" w:color="auto"/>
        <w:right w:val="none" w:sz="0" w:space="0" w:color="auto"/>
      </w:divBdr>
    </w:div>
    <w:div w:id="635188188">
      <w:bodyDiv w:val="1"/>
      <w:marLeft w:val="0"/>
      <w:marRight w:val="0"/>
      <w:marTop w:val="0"/>
      <w:marBottom w:val="0"/>
      <w:divBdr>
        <w:top w:val="none" w:sz="0" w:space="0" w:color="auto"/>
        <w:left w:val="none" w:sz="0" w:space="0" w:color="auto"/>
        <w:bottom w:val="none" w:sz="0" w:space="0" w:color="auto"/>
        <w:right w:val="none" w:sz="0" w:space="0" w:color="auto"/>
      </w:divBdr>
    </w:div>
    <w:div w:id="639697554">
      <w:bodyDiv w:val="1"/>
      <w:marLeft w:val="0"/>
      <w:marRight w:val="0"/>
      <w:marTop w:val="0"/>
      <w:marBottom w:val="0"/>
      <w:divBdr>
        <w:top w:val="none" w:sz="0" w:space="0" w:color="auto"/>
        <w:left w:val="none" w:sz="0" w:space="0" w:color="auto"/>
        <w:bottom w:val="none" w:sz="0" w:space="0" w:color="auto"/>
        <w:right w:val="none" w:sz="0" w:space="0" w:color="auto"/>
      </w:divBdr>
    </w:div>
    <w:div w:id="641277457">
      <w:bodyDiv w:val="1"/>
      <w:marLeft w:val="0"/>
      <w:marRight w:val="0"/>
      <w:marTop w:val="0"/>
      <w:marBottom w:val="0"/>
      <w:divBdr>
        <w:top w:val="none" w:sz="0" w:space="0" w:color="auto"/>
        <w:left w:val="none" w:sz="0" w:space="0" w:color="auto"/>
        <w:bottom w:val="none" w:sz="0" w:space="0" w:color="auto"/>
        <w:right w:val="none" w:sz="0" w:space="0" w:color="auto"/>
      </w:divBdr>
    </w:div>
    <w:div w:id="642735494">
      <w:bodyDiv w:val="1"/>
      <w:marLeft w:val="0"/>
      <w:marRight w:val="0"/>
      <w:marTop w:val="0"/>
      <w:marBottom w:val="0"/>
      <w:divBdr>
        <w:top w:val="none" w:sz="0" w:space="0" w:color="auto"/>
        <w:left w:val="none" w:sz="0" w:space="0" w:color="auto"/>
        <w:bottom w:val="none" w:sz="0" w:space="0" w:color="auto"/>
        <w:right w:val="none" w:sz="0" w:space="0" w:color="auto"/>
      </w:divBdr>
    </w:div>
    <w:div w:id="643894628">
      <w:bodyDiv w:val="1"/>
      <w:marLeft w:val="0"/>
      <w:marRight w:val="0"/>
      <w:marTop w:val="0"/>
      <w:marBottom w:val="0"/>
      <w:divBdr>
        <w:top w:val="none" w:sz="0" w:space="0" w:color="auto"/>
        <w:left w:val="none" w:sz="0" w:space="0" w:color="auto"/>
        <w:bottom w:val="none" w:sz="0" w:space="0" w:color="auto"/>
        <w:right w:val="none" w:sz="0" w:space="0" w:color="auto"/>
      </w:divBdr>
    </w:div>
    <w:div w:id="644041480">
      <w:bodyDiv w:val="1"/>
      <w:marLeft w:val="0"/>
      <w:marRight w:val="0"/>
      <w:marTop w:val="0"/>
      <w:marBottom w:val="0"/>
      <w:divBdr>
        <w:top w:val="none" w:sz="0" w:space="0" w:color="auto"/>
        <w:left w:val="none" w:sz="0" w:space="0" w:color="auto"/>
        <w:bottom w:val="none" w:sz="0" w:space="0" w:color="auto"/>
        <w:right w:val="none" w:sz="0" w:space="0" w:color="auto"/>
      </w:divBdr>
    </w:div>
    <w:div w:id="644163775">
      <w:bodyDiv w:val="1"/>
      <w:marLeft w:val="0"/>
      <w:marRight w:val="0"/>
      <w:marTop w:val="0"/>
      <w:marBottom w:val="0"/>
      <w:divBdr>
        <w:top w:val="none" w:sz="0" w:space="0" w:color="auto"/>
        <w:left w:val="none" w:sz="0" w:space="0" w:color="auto"/>
        <w:bottom w:val="none" w:sz="0" w:space="0" w:color="auto"/>
        <w:right w:val="none" w:sz="0" w:space="0" w:color="auto"/>
      </w:divBdr>
    </w:div>
    <w:div w:id="649678409">
      <w:bodyDiv w:val="1"/>
      <w:marLeft w:val="0"/>
      <w:marRight w:val="0"/>
      <w:marTop w:val="0"/>
      <w:marBottom w:val="0"/>
      <w:divBdr>
        <w:top w:val="none" w:sz="0" w:space="0" w:color="auto"/>
        <w:left w:val="none" w:sz="0" w:space="0" w:color="auto"/>
        <w:bottom w:val="none" w:sz="0" w:space="0" w:color="auto"/>
        <w:right w:val="none" w:sz="0" w:space="0" w:color="auto"/>
      </w:divBdr>
    </w:div>
    <w:div w:id="651105456">
      <w:bodyDiv w:val="1"/>
      <w:marLeft w:val="0"/>
      <w:marRight w:val="0"/>
      <w:marTop w:val="0"/>
      <w:marBottom w:val="0"/>
      <w:divBdr>
        <w:top w:val="none" w:sz="0" w:space="0" w:color="auto"/>
        <w:left w:val="none" w:sz="0" w:space="0" w:color="auto"/>
        <w:bottom w:val="none" w:sz="0" w:space="0" w:color="auto"/>
        <w:right w:val="none" w:sz="0" w:space="0" w:color="auto"/>
      </w:divBdr>
    </w:div>
    <w:div w:id="657267127">
      <w:bodyDiv w:val="1"/>
      <w:marLeft w:val="0"/>
      <w:marRight w:val="0"/>
      <w:marTop w:val="0"/>
      <w:marBottom w:val="0"/>
      <w:divBdr>
        <w:top w:val="none" w:sz="0" w:space="0" w:color="auto"/>
        <w:left w:val="none" w:sz="0" w:space="0" w:color="auto"/>
        <w:bottom w:val="none" w:sz="0" w:space="0" w:color="auto"/>
        <w:right w:val="none" w:sz="0" w:space="0" w:color="auto"/>
      </w:divBdr>
    </w:div>
    <w:div w:id="658534021">
      <w:bodyDiv w:val="1"/>
      <w:marLeft w:val="0"/>
      <w:marRight w:val="0"/>
      <w:marTop w:val="0"/>
      <w:marBottom w:val="0"/>
      <w:divBdr>
        <w:top w:val="none" w:sz="0" w:space="0" w:color="auto"/>
        <w:left w:val="none" w:sz="0" w:space="0" w:color="auto"/>
        <w:bottom w:val="none" w:sz="0" w:space="0" w:color="auto"/>
        <w:right w:val="none" w:sz="0" w:space="0" w:color="auto"/>
      </w:divBdr>
    </w:div>
    <w:div w:id="658584315">
      <w:bodyDiv w:val="1"/>
      <w:marLeft w:val="0"/>
      <w:marRight w:val="0"/>
      <w:marTop w:val="0"/>
      <w:marBottom w:val="0"/>
      <w:divBdr>
        <w:top w:val="none" w:sz="0" w:space="0" w:color="auto"/>
        <w:left w:val="none" w:sz="0" w:space="0" w:color="auto"/>
        <w:bottom w:val="none" w:sz="0" w:space="0" w:color="auto"/>
        <w:right w:val="none" w:sz="0" w:space="0" w:color="auto"/>
      </w:divBdr>
    </w:div>
    <w:div w:id="662395009">
      <w:bodyDiv w:val="1"/>
      <w:marLeft w:val="0"/>
      <w:marRight w:val="0"/>
      <w:marTop w:val="0"/>
      <w:marBottom w:val="0"/>
      <w:divBdr>
        <w:top w:val="none" w:sz="0" w:space="0" w:color="auto"/>
        <w:left w:val="none" w:sz="0" w:space="0" w:color="auto"/>
        <w:bottom w:val="none" w:sz="0" w:space="0" w:color="auto"/>
        <w:right w:val="none" w:sz="0" w:space="0" w:color="auto"/>
      </w:divBdr>
    </w:div>
    <w:div w:id="663120476">
      <w:bodyDiv w:val="1"/>
      <w:marLeft w:val="0"/>
      <w:marRight w:val="0"/>
      <w:marTop w:val="0"/>
      <w:marBottom w:val="0"/>
      <w:divBdr>
        <w:top w:val="none" w:sz="0" w:space="0" w:color="auto"/>
        <w:left w:val="none" w:sz="0" w:space="0" w:color="auto"/>
        <w:bottom w:val="none" w:sz="0" w:space="0" w:color="auto"/>
        <w:right w:val="none" w:sz="0" w:space="0" w:color="auto"/>
      </w:divBdr>
    </w:div>
    <w:div w:id="666833358">
      <w:bodyDiv w:val="1"/>
      <w:marLeft w:val="0"/>
      <w:marRight w:val="0"/>
      <w:marTop w:val="0"/>
      <w:marBottom w:val="0"/>
      <w:divBdr>
        <w:top w:val="none" w:sz="0" w:space="0" w:color="auto"/>
        <w:left w:val="none" w:sz="0" w:space="0" w:color="auto"/>
        <w:bottom w:val="none" w:sz="0" w:space="0" w:color="auto"/>
        <w:right w:val="none" w:sz="0" w:space="0" w:color="auto"/>
      </w:divBdr>
    </w:div>
    <w:div w:id="667056576">
      <w:bodyDiv w:val="1"/>
      <w:marLeft w:val="0"/>
      <w:marRight w:val="0"/>
      <w:marTop w:val="0"/>
      <w:marBottom w:val="0"/>
      <w:divBdr>
        <w:top w:val="none" w:sz="0" w:space="0" w:color="auto"/>
        <w:left w:val="none" w:sz="0" w:space="0" w:color="auto"/>
        <w:bottom w:val="none" w:sz="0" w:space="0" w:color="auto"/>
        <w:right w:val="none" w:sz="0" w:space="0" w:color="auto"/>
      </w:divBdr>
    </w:div>
    <w:div w:id="669479275">
      <w:bodyDiv w:val="1"/>
      <w:marLeft w:val="0"/>
      <w:marRight w:val="0"/>
      <w:marTop w:val="0"/>
      <w:marBottom w:val="0"/>
      <w:divBdr>
        <w:top w:val="none" w:sz="0" w:space="0" w:color="auto"/>
        <w:left w:val="none" w:sz="0" w:space="0" w:color="auto"/>
        <w:bottom w:val="none" w:sz="0" w:space="0" w:color="auto"/>
        <w:right w:val="none" w:sz="0" w:space="0" w:color="auto"/>
      </w:divBdr>
    </w:div>
    <w:div w:id="672538607">
      <w:bodyDiv w:val="1"/>
      <w:marLeft w:val="0"/>
      <w:marRight w:val="0"/>
      <w:marTop w:val="0"/>
      <w:marBottom w:val="0"/>
      <w:divBdr>
        <w:top w:val="none" w:sz="0" w:space="0" w:color="auto"/>
        <w:left w:val="none" w:sz="0" w:space="0" w:color="auto"/>
        <w:bottom w:val="none" w:sz="0" w:space="0" w:color="auto"/>
        <w:right w:val="none" w:sz="0" w:space="0" w:color="auto"/>
      </w:divBdr>
    </w:div>
    <w:div w:id="673459703">
      <w:bodyDiv w:val="1"/>
      <w:marLeft w:val="0"/>
      <w:marRight w:val="0"/>
      <w:marTop w:val="0"/>
      <w:marBottom w:val="0"/>
      <w:divBdr>
        <w:top w:val="none" w:sz="0" w:space="0" w:color="auto"/>
        <w:left w:val="none" w:sz="0" w:space="0" w:color="auto"/>
        <w:bottom w:val="none" w:sz="0" w:space="0" w:color="auto"/>
        <w:right w:val="none" w:sz="0" w:space="0" w:color="auto"/>
      </w:divBdr>
    </w:div>
    <w:div w:id="674458024">
      <w:bodyDiv w:val="1"/>
      <w:marLeft w:val="0"/>
      <w:marRight w:val="0"/>
      <w:marTop w:val="0"/>
      <w:marBottom w:val="0"/>
      <w:divBdr>
        <w:top w:val="none" w:sz="0" w:space="0" w:color="auto"/>
        <w:left w:val="none" w:sz="0" w:space="0" w:color="auto"/>
        <w:bottom w:val="none" w:sz="0" w:space="0" w:color="auto"/>
        <w:right w:val="none" w:sz="0" w:space="0" w:color="auto"/>
      </w:divBdr>
    </w:div>
    <w:div w:id="674458041">
      <w:bodyDiv w:val="1"/>
      <w:marLeft w:val="0"/>
      <w:marRight w:val="0"/>
      <w:marTop w:val="0"/>
      <w:marBottom w:val="0"/>
      <w:divBdr>
        <w:top w:val="none" w:sz="0" w:space="0" w:color="auto"/>
        <w:left w:val="none" w:sz="0" w:space="0" w:color="auto"/>
        <w:bottom w:val="none" w:sz="0" w:space="0" w:color="auto"/>
        <w:right w:val="none" w:sz="0" w:space="0" w:color="auto"/>
      </w:divBdr>
    </w:div>
    <w:div w:id="676998801">
      <w:bodyDiv w:val="1"/>
      <w:marLeft w:val="0"/>
      <w:marRight w:val="0"/>
      <w:marTop w:val="0"/>
      <w:marBottom w:val="0"/>
      <w:divBdr>
        <w:top w:val="none" w:sz="0" w:space="0" w:color="auto"/>
        <w:left w:val="none" w:sz="0" w:space="0" w:color="auto"/>
        <w:bottom w:val="none" w:sz="0" w:space="0" w:color="auto"/>
        <w:right w:val="none" w:sz="0" w:space="0" w:color="auto"/>
      </w:divBdr>
    </w:div>
    <w:div w:id="677465310">
      <w:bodyDiv w:val="1"/>
      <w:marLeft w:val="0"/>
      <w:marRight w:val="0"/>
      <w:marTop w:val="0"/>
      <w:marBottom w:val="0"/>
      <w:divBdr>
        <w:top w:val="none" w:sz="0" w:space="0" w:color="auto"/>
        <w:left w:val="none" w:sz="0" w:space="0" w:color="auto"/>
        <w:bottom w:val="none" w:sz="0" w:space="0" w:color="auto"/>
        <w:right w:val="none" w:sz="0" w:space="0" w:color="auto"/>
      </w:divBdr>
    </w:div>
    <w:div w:id="678896775">
      <w:bodyDiv w:val="1"/>
      <w:marLeft w:val="0"/>
      <w:marRight w:val="0"/>
      <w:marTop w:val="0"/>
      <w:marBottom w:val="0"/>
      <w:divBdr>
        <w:top w:val="none" w:sz="0" w:space="0" w:color="auto"/>
        <w:left w:val="none" w:sz="0" w:space="0" w:color="auto"/>
        <w:bottom w:val="none" w:sz="0" w:space="0" w:color="auto"/>
        <w:right w:val="none" w:sz="0" w:space="0" w:color="auto"/>
      </w:divBdr>
    </w:div>
    <w:div w:id="678966032">
      <w:bodyDiv w:val="1"/>
      <w:marLeft w:val="0"/>
      <w:marRight w:val="0"/>
      <w:marTop w:val="0"/>
      <w:marBottom w:val="0"/>
      <w:divBdr>
        <w:top w:val="none" w:sz="0" w:space="0" w:color="auto"/>
        <w:left w:val="none" w:sz="0" w:space="0" w:color="auto"/>
        <w:bottom w:val="none" w:sz="0" w:space="0" w:color="auto"/>
        <w:right w:val="none" w:sz="0" w:space="0" w:color="auto"/>
      </w:divBdr>
    </w:div>
    <w:div w:id="684064834">
      <w:bodyDiv w:val="1"/>
      <w:marLeft w:val="0"/>
      <w:marRight w:val="0"/>
      <w:marTop w:val="0"/>
      <w:marBottom w:val="0"/>
      <w:divBdr>
        <w:top w:val="none" w:sz="0" w:space="0" w:color="auto"/>
        <w:left w:val="none" w:sz="0" w:space="0" w:color="auto"/>
        <w:bottom w:val="none" w:sz="0" w:space="0" w:color="auto"/>
        <w:right w:val="none" w:sz="0" w:space="0" w:color="auto"/>
      </w:divBdr>
    </w:div>
    <w:div w:id="692419382">
      <w:bodyDiv w:val="1"/>
      <w:marLeft w:val="0"/>
      <w:marRight w:val="0"/>
      <w:marTop w:val="0"/>
      <w:marBottom w:val="0"/>
      <w:divBdr>
        <w:top w:val="none" w:sz="0" w:space="0" w:color="auto"/>
        <w:left w:val="none" w:sz="0" w:space="0" w:color="auto"/>
        <w:bottom w:val="none" w:sz="0" w:space="0" w:color="auto"/>
        <w:right w:val="none" w:sz="0" w:space="0" w:color="auto"/>
      </w:divBdr>
    </w:div>
    <w:div w:id="693113837">
      <w:bodyDiv w:val="1"/>
      <w:marLeft w:val="0"/>
      <w:marRight w:val="0"/>
      <w:marTop w:val="0"/>
      <w:marBottom w:val="0"/>
      <w:divBdr>
        <w:top w:val="none" w:sz="0" w:space="0" w:color="auto"/>
        <w:left w:val="none" w:sz="0" w:space="0" w:color="auto"/>
        <w:bottom w:val="none" w:sz="0" w:space="0" w:color="auto"/>
        <w:right w:val="none" w:sz="0" w:space="0" w:color="auto"/>
      </w:divBdr>
    </w:div>
    <w:div w:id="695959088">
      <w:bodyDiv w:val="1"/>
      <w:marLeft w:val="0"/>
      <w:marRight w:val="0"/>
      <w:marTop w:val="0"/>
      <w:marBottom w:val="0"/>
      <w:divBdr>
        <w:top w:val="none" w:sz="0" w:space="0" w:color="auto"/>
        <w:left w:val="none" w:sz="0" w:space="0" w:color="auto"/>
        <w:bottom w:val="none" w:sz="0" w:space="0" w:color="auto"/>
        <w:right w:val="none" w:sz="0" w:space="0" w:color="auto"/>
      </w:divBdr>
    </w:div>
    <w:div w:id="696850076">
      <w:bodyDiv w:val="1"/>
      <w:marLeft w:val="0"/>
      <w:marRight w:val="0"/>
      <w:marTop w:val="0"/>
      <w:marBottom w:val="0"/>
      <w:divBdr>
        <w:top w:val="none" w:sz="0" w:space="0" w:color="auto"/>
        <w:left w:val="none" w:sz="0" w:space="0" w:color="auto"/>
        <w:bottom w:val="none" w:sz="0" w:space="0" w:color="auto"/>
        <w:right w:val="none" w:sz="0" w:space="0" w:color="auto"/>
      </w:divBdr>
    </w:div>
    <w:div w:id="703948280">
      <w:bodyDiv w:val="1"/>
      <w:marLeft w:val="0"/>
      <w:marRight w:val="0"/>
      <w:marTop w:val="0"/>
      <w:marBottom w:val="0"/>
      <w:divBdr>
        <w:top w:val="none" w:sz="0" w:space="0" w:color="auto"/>
        <w:left w:val="none" w:sz="0" w:space="0" w:color="auto"/>
        <w:bottom w:val="none" w:sz="0" w:space="0" w:color="auto"/>
        <w:right w:val="none" w:sz="0" w:space="0" w:color="auto"/>
      </w:divBdr>
    </w:div>
    <w:div w:id="704713685">
      <w:bodyDiv w:val="1"/>
      <w:marLeft w:val="0"/>
      <w:marRight w:val="0"/>
      <w:marTop w:val="0"/>
      <w:marBottom w:val="0"/>
      <w:divBdr>
        <w:top w:val="none" w:sz="0" w:space="0" w:color="auto"/>
        <w:left w:val="none" w:sz="0" w:space="0" w:color="auto"/>
        <w:bottom w:val="none" w:sz="0" w:space="0" w:color="auto"/>
        <w:right w:val="none" w:sz="0" w:space="0" w:color="auto"/>
      </w:divBdr>
    </w:div>
    <w:div w:id="705519608">
      <w:bodyDiv w:val="1"/>
      <w:marLeft w:val="0"/>
      <w:marRight w:val="0"/>
      <w:marTop w:val="0"/>
      <w:marBottom w:val="0"/>
      <w:divBdr>
        <w:top w:val="none" w:sz="0" w:space="0" w:color="auto"/>
        <w:left w:val="none" w:sz="0" w:space="0" w:color="auto"/>
        <w:bottom w:val="none" w:sz="0" w:space="0" w:color="auto"/>
        <w:right w:val="none" w:sz="0" w:space="0" w:color="auto"/>
      </w:divBdr>
    </w:div>
    <w:div w:id="710038716">
      <w:bodyDiv w:val="1"/>
      <w:marLeft w:val="0"/>
      <w:marRight w:val="0"/>
      <w:marTop w:val="0"/>
      <w:marBottom w:val="0"/>
      <w:divBdr>
        <w:top w:val="none" w:sz="0" w:space="0" w:color="auto"/>
        <w:left w:val="none" w:sz="0" w:space="0" w:color="auto"/>
        <w:bottom w:val="none" w:sz="0" w:space="0" w:color="auto"/>
        <w:right w:val="none" w:sz="0" w:space="0" w:color="auto"/>
      </w:divBdr>
    </w:div>
    <w:div w:id="713391255">
      <w:bodyDiv w:val="1"/>
      <w:marLeft w:val="0"/>
      <w:marRight w:val="0"/>
      <w:marTop w:val="0"/>
      <w:marBottom w:val="0"/>
      <w:divBdr>
        <w:top w:val="none" w:sz="0" w:space="0" w:color="auto"/>
        <w:left w:val="none" w:sz="0" w:space="0" w:color="auto"/>
        <w:bottom w:val="none" w:sz="0" w:space="0" w:color="auto"/>
        <w:right w:val="none" w:sz="0" w:space="0" w:color="auto"/>
      </w:divBdr>
    </w:div>
    <w:div w:id="713622372">
      <w:bodyDiv w:val="1"/>
      <w:marLeft w:val="0"/>
      <w:marRight w:val="0"/>
      <w:marTop w:val="0"/>
      <w:marBottom w:val="0"/>
      <w:divBdr>
        <w:top w:val="none" w:sz="0" w:space="0" w:color="auto"/>
        <w:left w:val="none" w:sz="0" w:space="0" w:color="auto"/>
        <w:bottom w:val="none" w:sz="0" w:space="0" w:color="auto"/>
        <w:right w:val="none" w:sz="0" w:space="0" w:color="auto"/>
      </w:divBdr>
    </w:div>
    <w:div w:id="713887267">
      <w:bodyDiv w:val="1"/>
      <w:marLeft w:val="0"/>
      <w:marRight w:val="0"/>
      <w:marTop w:val="0"/>
      <w:marBottom w:val="0"/>
      <w:divBdr>
        <w:top w:val="none" w:sz="0" w:space="0" w:color="auto"/>
        <w:left w:val="none" w:sz="0" w:space="0" w:color="auto"/>
        <w:bottom w:val="none" w:sz="0" w:space="0" w:color="auto"/>
        <w:right w:val="none" w:sz="0" w:space="0" w:color="auto"/>
      </w:divBdr>
    </w:div>
    <w:div w:id="715663638">
      <w:bodyDiv w:val="1"/>
      <w:marLeft w:val="0"/>
      <w:marRight w:val="0"/>
      <w:marTop w:val="0"/>
      <w:marBottom w:val="0"/>
      <w:divBdr>
        <w:top w:val="none" w:sz="0" w:space="0" w:color="auto"/>
        <w:left w:val="none" w:sz="0" w:space="0" w:color="auto"/>
        <w:bottom w:val="none" w:sz="0" w:space="0" w:color="auto"/>
        <w:right w:val="none" w:sz="0" w:space="0" w:color="auto"/>
      </w:divBdr>
    </w:div>
    <w:div w:id="717700664">
      <w:bodyDiv w:val="1"/>
      <w:marLeft w:val="0"/>
      <w:marRight w:val="0"/>
      <w:marTop w:val="0"/>
      <w:marBottom w:val="0"/>
      <w:divBdr>
        <w:top w:val="none" w:sz="0" w:space="0" w:color="auto"/>
        <w:left w:val="none" w:sz="0" w:space="0" w:color="auto"/>
        <w:bottom w:val="none" w:sz="0" w:space="0" w:color="auto"/>
        <w:right w:val="none" w:sz="0" w:space="0" w:color="auto"/>
      </w:divBdr>
    </w:div>
    <w:div w:id="719785668">
      <w:bodyDiv w:val="1"/>
      <w:marLeft w:val="0"/>
      <w:marRight w:val="0"/>
      <w:marTop w:val="0"/>
      <w:marBottom w:val="0"/>
      <w:divBdr>
        <w:top w:val="none" w:sz="0" w:space="0" w:color="auto"/>
        <w:left w:val="none" w:sz="0" w:space="0" w:color="auto"/>
        <w:bottom w:val="none" w:sz="0" w:space="0" w:color="auto"/>
        <w:right w:val="none" w:sz="0" w:space="0" w:color="auto"/>
      </w:divBdr>
    </w:div>
    <w:div w:id="723338457">
      <w:bodyDiv w:val="1"/>
      <w:marLeft w:val="0"/>
      <w:marRight w:val="0"/>
      <w:marTop w:val="0"/>
      <w:marBottom w:val="0"/>
      <w:divBdr>
        <w:top w:val="none" w:sz="0" w:space="0" w:color="auto"/>
        <w:left w:val="none" w:sz="0" w:space="0" w:color="auto"/>
        <w:bottom w:val="none" w:sz="0" w:space="0" w:color="auto"/>
        <w:right w:val="none" w:sz="0" w:space="0" w:color="auto"/>
      </w:divBdr>
    </w:div>
    <w:div w:id="724792532">
      <w:bodyDiv w:val="1"/>
      <w:marLeft w:val="0"/>
      <w:marRight w:val="0"/>
      <w:marTop w:val="0"/>
      <w:marBottom w:val="0"/>
      <w:divBdr>
        <w:top w:val="none" w:sz="0" w:space="0" w:color="auto"/>
        <w:left w:val="none" w:sz="0" w:space="0" w:color="auto"/>
        <w:bottom w:val="none" w:sz="0" w:space="0" w:color="auto"/>
        <w:right w:val="none" w:sz="0" w:space="0" w:color="auto"/>
      </w:divBdr>
    </w:div>
    <w:div w:id="726689778">
      <w:bodyDiv w:val="1"/>
      <w:marLeft w:val="0"/>
      <w:marRight w:val="0"/>
      <w:marTop w:val="0"/>
      <w:marBottom w:val="0"/>
      <w:divBdr>
        <w:top w:val="none" w:sz="0" w:space="0" w:color="auto"/>
        <w:left w:val="none" w:sz="0" w:space="0" w:color="auto"/>
        <w:bottom w:val="none" w:sz="0" w:space="0" w:color="auto"/>
        <w:right w:val="none" w:sz="0" w:space="0" w:color="auto"/>
      </w:divBdr>
    </w:div>
    <w:div w:id="729503561">
      <w:bodyDiv w:val="1"/>
      <w:marLeft w:val="0"/>
      <w:marRight w:val="0"/>
      <w:marTop w:val="0"/>
      <w:marBottom w:val="0"/>
      <w:divBdr>
        <w:top w:val="none" w:sz="0" w:space="0" w:color="auto"/>
        <w:left w:val="none" w:sz="0" w:space="0" w:color="auto"/>
        <w:bottom w:val="none" w:sz="0" w:space="0" w:color="auto"/>
        <w:right w:val="none" w:sz="0" w:space="0" w:color="auto"/>
      </w:divBdr>
    </w:div>
    <w:div w:id="730739003">
      <w:bodyDiv w:val="1"/>
      <w:marLeft w:val="0"/>
      <w:marRight w:val="0"/>
      <w:marTop w:val="0"/>
      <w:marBottom w:val="0"/>
      <w:divBdr>
        <w:top w:val="none" w:sz="0" w:space="0" w:color="auto"/>
        <w:left w:val="none" w:sz="0" w:space="0" w:color="auto"/>
        <w:bottom w:val="none" w:sz="0" w:space="0" w:color="auto"/>
        <w:right w:val="none" w:sz="0" w:space="0" w:color="auto"/>
      </w:divBdr>
    </w:div>
    <w:div w:id="736363862">
      <w:bodyDiv w:val="1"/>
      <w:marLeft w:val="0"/>
      <w:marRight w:val="0"/>
      <w:marTop w:val="0"/>
      <w:marBottom w:val="0"/>
      <w:divBdr>
        <w:top w:val="none" w:sz="0" w:space="0" w:color="auto"/>
        <w:left w:val="none" w:sz="0" w:space="0" w:color="auto"/>
        <w:bottom w:val="none" w:sz="0" w:space="0" w:color="auto"/>
        <w:right w:val="none" w:sz="0" w:space="0" w:color="auto"/>
      </w:divBdr>
    </w:div>
    <w:div w:id="739518860">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4882369">
      <w:bodyDiv w:val="1"/>
      <w:marLeft w:val="0"/>
      <w:marRight w:val="0"/>
      <w:marTop w:val="0"/>
      <w:marBottom w:val="0"/>
      <w:divBdr>
        <w:top w:val="none" w:sz="0" w:space="0" w:color="auto"/>
        <w:left w:val="none" w:sz="0" w:space="0" w:color="auto"/>
        <w:bottom w:val="none" w:sz="0" w:space="0" w:color="auto"/>
        <w:right w:val="none" w:sz="0" w:space="0" w:color="auto"/>
      </w:divBdr>
    </w:div>
    <w:div w:id="745684926">
      <w:bodyDiv w:val="1"/>
      <w:marLeft w:val="0"/>
      <w:marRight w:val="0"/>
      <w:marTop w:val="0"/>
      <w:marBottom w:val="0"/>
      <w:divBdr>
        <w:top w:val="none" w:sz="0" w:space="0" w:color="auto"/>
        <w:left w:val="none" w:sz="0" w:space="0" w:color="auto"/>
        <w:bottom w:val="none" w:sz="0" w:space="0" w:color="auto"/>
        <w:right w:val="none" w:sz="0" w:space="0" w:color="auto"/>
      </w:divBdr>
    </w:div>
    <w:div w:id="752627849">
      <w:bodyDiv w:val="1"/>
      <w:marLeft w:val="0"/>
      <w:marRight w:val="0"/>
      <w:marTop w:val="0"/>
      <w:marBottom w:val="0"/>
      <w:divBdr>
        <w:top w:val="none" w:sz="0" w:space="0" w:color="auto"/>
        <w:left w:val="none" w:sz="0" w:space="0" w:color="auto"/>
        <w:bottom w:val="none" w:sz="0" w:space="0" w:color="auto"/>
        <w:right w:val="none" w:sz="0" w:space="0" w:color="auto"/>
      </w:divBdr>
    </w:div>
    <w:div w:id="754590259">
      <w:bodyDiv w:val="1"/>
      <w:marLeft w:val="0"/>
      <w:marRight w:val="0"/>
      <w:marTop w:val="0"/>
      <w:marBottom w:val="0"/>
      <w:divBdr>
        <w:top w:val="none" w:sz="0" w:space="0" w:color="auto"/>
        <w:left w:val="none" w:sz="0" w:space="0" w:color="auto"/>
        <w:bottom w:val="none" w:sz="0" w:space="0" w:color="auto"/>
        <w:right w:val="none" w:sz="0" w:space="0" w:color="auto"/>
      </w:divBdr>
    </w:div>
    <w:div w:id="755788011">
      <w:bodyDiv w:val="1"/>
      <w:marLeft w:val="0"/>
      <w:marRight w:val="0"/>
      <w:marTop w:val="0"/>
      <w:marBottom w:val="0"/>
      <w:divBdr>
        <w:top w:val="none" w:sz="0" w:space="0" w:color="auto"/>
        <w:left w:val="none" w:sz="0" w:space="0" w:color="auto"/>
        <w:bottom w:val="none" w:sz="0" w:space="0" w:color="auto"/>
        <w:right w:val="none" w:sz="0" w:space="0" w:color="auto"/>
      </w:divBdr>
    </w:div>
    <w:div w:id="757100010">
      <w:bodyDiv w:val="1"/>
      <w:marLeft w:val="0"/>
      <w:marRight w:val="0"/>
      <w:marTop w:val="0"/>
      <w:marBottom w:val="0"/>
      <w:divBdr>
        <w:top w:val="none" w:sz="0" w:space="0" w:color="auto"/>
        <w:left w:val="none" w:sz="0" w:space="0" w:color="auto"/>
        <w:bottom w:val="none" w:sz="0" w:space="0" w:color="auto"/>
        <w:right w:val="none" w:sz="0" w:space="0" w:color="auto"/>
      </w:divBdr>
    </w:div>
    <w:div w:id="763186407">
      <w:bodyDiv w:val="1"/>
      <w:marLeft w:val="0"/>
      <w:marRight w:val="0"/>
      <w:marTop w:val="0"/>
      <w:marBottom w:val="0"/>
      <w:divBdr>
        <w:top w:val="none" w:sz="0" w:space="0" w:color="auto"/>
        <w:left w:val="none" w:sz="0" w:space="0" w:color="auto"/>
        <w:bottom w:val="none" w:sz="0" w:space="0" w:color="auto"/>
        <w:right w:val="none" w:sz="0" w:space="0" w:color="auto"/>
      </w:divBdr>
    </w:div>
    <w:div w:id="764112624">
      <w:bodyDiv w:val="1"/>
      <w:marLeft w:val="0"/>
      <w:marRight w:val="0"/>
      <w:marTop w:val="0"/>
      <w:marBottom w:val="0"/>
      <w:divBdr>
        <w:top w:val="none" w:sz="0" w:space="0" w:color="auto"/>
        <w:left w:val="none" w:sz="0" w:space="0" w:color="auto"/>
        <w:bottom w:val="none" w:sz="0" w:space="0" w:color="auto"/>
        <w:right w:val="none" w:sz="0" w:space="0" w:color="auto"/>
      </w:divBdr>
    </w:div>
    <w:div w:id="767890625">
      <w:bodyDiv w:val="1"/>
      <w:marLeft w:val="0"/>
      <w:marRight w:val="0"/>
      <w:marTop w:val="0"/>
      <w:marBottom w:val="0"/>
      <w:divBdr>
        <w:top w:val="none" w:sz="0" w:space="0" w:color="auto"/>
        <w:left w:val="none" w:sz="0" w:space="0" w:color="auto"/>
        <w:bottom w:val="none" w:sz="0" w:space="0" w:color="auto"/>
        <w:right w:val="none" w:sz="0" w:space="0" w:color="auto"/>
      </w:divBdr>
    </w:div>
    <w:div w:id="769541915">
      <w:bodyDiv w:val="1"/>
      <w:marLeft w:val="0"/>
      <w:marRight w:val="0"/>
      <w:marTop w:val="0"/>
      <w:marBottom w:val="0"/>
      <w:divBdr>
        <w:top w:val="none" w:sz="0" w:space="0" w:color="auto"/>
        <w:left w:val="none" w:sz="0" w:space="0" w:color="auto"/>
        <w:bottom w:val="none" w:sz="0" w:space="0" w:color="auto"/>
        <w:right w:val="none" w:sz="0" w:space="0" w:color="auto"/>
      </w:divBdr>
    </w:div>
    <w:div w:id="770049998">
      <w:bodyDiv w:val="1"/>
      <w:marLeft w:val="0"/>
      <w:marRight w:val="0"/>
      <w:marTop w:val="0"/>
      <w:marBottom w:val="0"/>
      <w:divBdr>
        <w:top w:val="none" w:sz="0" w:space="0" w:color="auto"/>
        <w:left w:val="none" w:sz="0" w:space="0" w:color="auto"/>
        <w:bottom w:val="none" w:sz="0" w:space="0" w:color="auto"/>
        <w:right w:val="none" w:sz="0" w:space="0" w:color="auto"/>
      </w:divBdr>
    </w:div>
    <w:div w:id="770471357">
      <w:bodyDiv w:val="1"/>
      <w:marLeft w:val="0"/>
      <w:marRight w:val="0"/>
      <w:marTop w:val="0"/>
      <w:marBottom w:val="0"/>
      <w:divBdr>
        <w:top w:val="none" w:sz="0" w:space="0" w:color="auto"/>
        <w:left w:val="none" w:sz="0" w:space="0" w:color="auto"/>
        <w:bottom w:val="none" w:sz="0" w:space="0" w:color="auto"/>
        <w:right w:val="none" w:sz="0" w:space="0" w:color="auto"/>
      </w:divBdr>
    </w:div>
    <w:div w:id="774136131">
      <w:bodyDiv w:val="1"/>
      <w:marLeft w:val="0"/>
      <w:marRight w:val="0"/>
      <w:marTop w:val="0"/>
      <w:marBottom w:val="0"/>
      <w:divBdr>
        <w:top w:val="none" w:sz="0" w:space="0" w:color="auto"/>
        <w:left w:val="none" w:sz="0" w:space="0" w:color="auto"/>
        <w:bottom w:val="none" w:sz="0" w:space="0" w:color="auto"/>
        <w:right w:val="none" w:sz="0" w:space="0" w:color="auto"/>
      </w:divBdr>
    </w:div>
    <w:div w:id="774374222">
      <w:bodyDiv w:val="1"/>
      <w:marLeft w:val="0"/>
      <w:marRight w:val="0"/>
      <w:marTop w:val="0"/>
      <w:marBottom w:val="0"/>
      <w:divBdr>
        <w:top w:val="none" w:sz="0" w:space="0" w:color="auto"/>
        <w:left w:val="none" w:sz="0" w:space="0" w:color="auto"/>
        <w:bottom w:val="none" w:sz="0" w:space="0" w:color="auto"/>
        <w:right w:val="none" w:sz="0" w:space="0" w:color="auto"/>
      </w:divBdr>
    </w:div>
    <w:div w:id="775835047">
      <w:bodyDiv w:val="1"/>
      <w:marLeft w:val="0"/>
      <w:marRight w:val="0"/>
      <w:marTop w:val="0"/>
      <w:marBottom w:val="0"/>
      <w:divBdr>
        <w:top w:val="none" w:sz="0" w:space="0" w:color="auto"/>
        <w:left w:val="none" w:sz="0" w:space="0" w:color="auto"/>
        <w:bottom w:val="none" w:sz="0" w:space="0" w:color="auto"/>
        <w:right w:val="none" w:sz="0" w:space="0" w:color="auto"/>
      </w:divBdr>
    </w:div>
    <w:div w:id="776563548">
      <w:bodyDiv w:val="1"/>
      <w:marLeft w:val="0"/>
      <w:marRight w:val="0"/>
      <w:marTop w:val="0"/>
      <w:marBottom w:val="0"/>
      <w:divBdr>
        <w:top w:val="none" w:sz="0" w:space="0" w:color="auto"/>
        <w:left w:val="none" w:sz="0" w:space="0" w:color="auto"/>
        <w:bottom w:val="none" w:sz="0" w:space="0" w:color="auto"/>
        <w:right w:val="none" w:sz="0" w:space="0" w:color="auto"/>
      </w:divBdr>
    </w:div>
    <w:div w:id="776676827">
      <w:bodyDiv w:val="1"/>
      <w:marLeft w:val="0"/>
      <w:marRight w:val="0"/>
      <w:marTop w:val="0"/>
      <w:marBottom w:val="0"/>
      <w:divBdr>
        <w:top w:val="none" w:sz="0" w:space="0" w:color="auto"/>
        <w:left w:val="none" w:sz="0" w:space="0" w:color="auto"/>
        <w:bottom w:val="none" w:sz="0" w:space="0" w:color="auto"/>
        <w:right w:val="none" w:sz="0" w:space="0" w:color="auto"/>
      </w:divBdr>
    </w:div>
    <w:div w:id="777604244">
      <w:bodyDiv w:val="1"/>
      <w:marLeft w:val="0"/>
      <w:marRight w:val="0"/>
      <w:marTop w:val="0"/>
      <w:marBottom w:val="0"/>
      <w:divBdr>
        <w:top w:val="none" w:sz="0" w:space="0" w:color="auto"/>
        <w:left w:val="none" w:sz="0" w:space="0" w:color="auto"/>
        <w:bottom w:val="none" w:sz="0" w:space="0" w:color="auto"/>
        <w:right w:val="none" w:sz="0" w:space="0" w:color="auto"/>
      </w:divBdr>
    </w:div>
    <w:div w:id="779492368">
      <w:bodyDiv w:val="1"/>
      <w:marLeft w:val="0"/>
      <w:marRight w:val="0"/>
      <w:marTop w:val="0"/>
      <w:marBottom w:val="0"/>
      <w:divBdr>
        <w:top w:val="none" w:sz="0" w:space="0" w:color="auto"/>
        <w:left w:val="none" w:sz="0" w:space="0" w:color="auto"/>
        <w:bottom w:val="none" w:sz="0" w:space="0" w:color="auto"/>
        <w:right w:val="none" w:sz="0" w:space="0" w:color="auto"/>
      </w:divBdr>
    </w:div>
    <w:div w:id="784080052">
      <w:bodyDiv w:val="1"/>
      <w:marLeft w:val="0"/>
      <w:marRight w:val="0"/>
      <w:marTop w:val="0"/>
      <w:marBottom w:val="0"/>
      <w:divBdr>
        <w:top w:val="none" w:sz="0" w:space="0" w:color="auto"/>
        <w:left w:val="none" w:sz="0" w:space="0" w:color="auto"/>
        <w:bottom w:val="none" w:sz="0" w:space="0" w:color="auto"/>
        <w:right w:val="none" w:sz="0" w:space="0" w:color="auto"/>
      </w:divBdr>
    </w:div>
    <w:div w:id="787891516">
      <w:bodyDiv w:val="1"/>
      <w:marLeft w:val="0"/>
      <w:marRight w:val="0"/>
      <w:marTop w:val="0"/>
      <w:marBottom w:val="0"/>
      <w:divBdr>
        <w:top w:val="none" w:sz="0" w:space="0" w:color="auto"/>
        <w:left w:val="none" w:sz="0" w:space="0" w:color="auto"/>
        <w:bottom w:val="none" w:sz="0" w:space="0" w:color="auto"/>
        <w:right w:val="none" w:sz="0" w:space="0" w:color="auto"/>
      </w:divBdr>
    </w:div>
    <w:div w:id="790172502">
      <w:bodyDiv w:val="1"/>
      <w:marLeft w:val="0"/>
      <w:marRight w:val="0"/>
      <w:marTop w:val="0"/>
      <w:marBottom w:val="0"/>
      <w:divBdr>
        <w:top w:val="none" w:sz="0" w:space="0" w:color="auto"/>
        <w:left w:val="none" w:sz="0" w:space="0" w:color="auto"/>
        <w:bottom w:val="none" w:sz="0" w:space="0" w:color="auto"/>
        <w:right w:val="none" w:sz="0" w:space="0" w:color="auto"/>
      </w:divBdr>
    </w:div>
    <w:div w:id="792752892">
      <w:bodyDiv w:val="1"/>
      <w:marLeft w:val="0"/>
      <w:marRight w:val="0"/>
      <w:marTop w:val="0"/>
      <w:marBottom w:val="0"/>
      <w:divBdr>
        <w:top w:val="none" w:sz="0" w:space="0" w:color="auto"/>
        <w:left w:val="none" w:sz="0" w:space="0" w:color="auto"/>
        <w:bottom w:val="none" w:sz="0" w:space="0" w:color="auto"/>
        <w:right w:val="none" w:sz="0" w:space="0" w:color="auto"/>
      </w:divBdr>
    </w:div>
    <w:div w:id="793906448">
      <w:bodyDiv w:val="1"/>
      <w:marLeft w:val="0"/>
      <w:marRight w:val="0"/>
      <w:marTop w:val="0"/>
      <w:marBottom w:val="0"/>
      <w:divBdr>
        <w:top w:val="none" w:sz="0" w:space="0" w:color="auto"/>
        <w:left w:val="none" w:sz="0" w:space="0" w:color="auto"/>
        <w:bottom w:val="none" w:sz="0" w:space="0" w:color="auto"/>
        <w:right w:val="none" w:sz="0" w:space="0" w:color="auto"/>
      </w:divBdr>
    </w:div>
    <w:div w:id="795219911">
      <w:bodyDiv w:val="1"/>
      <w:marLeft w:val="0"/>
      <w:marRight w:val="0"/>
      <w:marTop w:val="0"/>
      <w:marBottom w:val="0"/>
      <w:divBdr>
        <w:top w:val="none" w:sz="0" w:space="0" w:color="auto"/>
        <w:left w:val="none" w:sz="0" w:space="0" w:color="auto"/>
        <w:bottom w:val="none" w:sz="0" w:space="0" w:color="auto"/>
        <w:right w:val="none" w:sz="0" w:space="0" w:color="auto"/>
      </w:divBdr>
    </w:div>
    <w:div w:id="797265512">
      <w:bodyDiv w:val="1"/>
      <w:marLeft w:val="0"/>
      <w:marRight w:val="0"/>
      <w:marTop w:val="0"/>
      <w:marBottom w:val="0"/>
      <w:divBdr>
        <w:top w:val="none" w:sz="0" w:space="0" w:color="auto"/>
        <w:left w:val="none" w:sz="0" w:space="0" w:color="auto"/>
        <w:bottom w:val="none" w:sz="0" w:space="0" w:color="auto"/>
        <w:right w:val="none" w:sz="0" w:space="0" w:color="auto"/>
      </w:divBdr>
    </w:div>
    <w:div w:id="799569559">
      <w:bodyDiv w:val="1"/>
      <w:marLeft w:val="0"/>
      <w:marRight w:val="0"/>
      <w:marTop w:val="0"/>
      <w:marBottom w:val="0"/>
      <w:divBdr>
        <w:top w:val="none" w:sz="0" w:space="0" w:color="auto"/>
        <w:left w:val="none" w:sz="0" w:space="0" w:color="auto"/>
        <w:bottom w:val="none" w:sz="0" w:space="0" w:color="auto"/>
        <w:right w:val="none" w:sz="0" w:space="0" w:color="auto"/>
      </w:divBdr>
    </w:div>
    <w:div w:id="804277407">
      <w:bodyDiv w:val="1"/>
      <w:marLeft w:val="0"/>
      <w:marRight w:val="0"/>
      <w:marTop w:val="0"/>
      <w:marBottom w:val="0"/>
      <w:divBdr>
        <w:top w:val="none" w:sz="0" w:space="0" w:color="auto"/>
        <w:left w:val="none" w:sz="0" w:space="0" w:color="auto"/>
        <w:bottom w:val="none" w:sz="0" w:space="0" w:color="auto"/>
        <w:right w:val="none" w:sz="0" w:space="0" w:color="auto"/>
      </w:divBdr>
    </w:div>
    <w:div w:id="804854579">
      <w:bodyDiv w:val="1"/>
      <w:marLeft w:val="0"/>
      <w:marRight w:val="0"/>
      <w:marTop w:val="0"/>
      <w:marBottom w:val="0"/>
      <w:divBdr>
        <w:top w:val="none" w:sz="0" w:space="0" w:color="auto"/>
        <w:left w:val="none" w:sz="0" w:space="0" w:color="auto"/>
        <w:bottom w:val="none" w:sz="0" w:space="0" w:color="auto"/>
        <w:right w:val="none" w:sz="0" w:space="0" w:color="auto"/>
      </w:divBdr>
    </w:div>
    <w:div w:id="804935892">
      <w:bodyDiv w:val="1"/>
      <w:marLeft w:val="0"/>
      <w:marRight w:val="0"/>
      <w:marTop w:val="0"/>
      <w:marBottom w:val="0"/>
      <w:divBdr>
        <w:top w:val="none" w:sz="0" w:space="0" w:color="auto"/>
        <w:left w:val="none" w:sz="0" w:space="0" w:color="auto"/>
        <w:bottom w:val="none" w:sz="0" w:space="0" w:color="auto"/>
        <w:right w:val="none" w:sz="0" w:space="0" w:color="auto"/>
      </w:divBdr>
    </w:div>
    <w:div w:id="806043879">
      <w:bodyDiv w:val="1"/>
      <w:marLeft w:val="0"/>
      <w:marRight w:val="0"/>
      <w:marTop w:val="0"/>
      <w:marBottom w:val="0"/>
      <w:divBdr>
        <w:top w:val="none" w:sz="0" w:space="0" w:color="auto"/>
        <w:left w:val="none" w:sz="0" w:space="0" w:color="auto"/>
        <w:bottom w:val="none" w:sz="0" w:space="0" w:color="auto"/>
        <w:right w:val="none" w:sz="0" w:space="0" w:color="auto"/>
      </w:divBdr>
    </w:div>
    <w:div w:id="813639815">
      <w:bodyDiv w:val="1"/>
      <w:marLeft w:val="0"/>
      <w:marRight w:val="0"/>
      <w:marTop w:val="0"/>
      <w:marBottom w:val="0"/>
      <w:divBdr>
        <w:top w:val="none" w:sz="0" w:space="0" w:color="auto"/>
        <w:left w:val="none" w:sz="0" w:space="0" w:color="auto"/>
        <w:bottom w:val="none" w:sz="0" w:space="0" w:color="auto"/>
        <w:right w:val="none" w:sz="0" w:space="0" w:color="auto"/>
      </w:divBdr>
    </w:div>
    <w:div w:id="815101518">
      <w:bodyDiv w:val="1"/>
      <w:marLeft w:val="0"/>
      <w:marRight w:val="0"/>
      <w:marTop w:val="0"/>
      <w:marBottom w:val="0"/>
      <w:divBdr>
        <w:top w:val="none" w:sz="0" w:space="0" w:color="auto"/>
        <w:left w:val="none" w:sz="0" w:space="0" w:color="auto"/>
        <w:bottom w:val="none" w:sz="0" w:space="0" w:color="auto"/>
        <w:right w:val="none" w:sz="0" w:space="0" w:color="auto"/>
      </w:divBdr>
    </w:div>
    <w:div w:id="816338281">
      <w:bodyDiv w:val="1"/>
      <w:marLeft w:val="0"/>
      <w:marRight w:val="0"/>
      <w:marTop w:val="0"/>
      <w:marBottom w:val="0"/>
      <w:divBdr>
        <w:top w:val="none" w:sz="0" w:space="0" w:color="auto"/>
        <w:left w:val="none" w:sz="0" w:space="0" w:color="auto"/>
        <w:bottom w:val="none" w:sz="0" w:space="0" w:color="auto"/>
        <w:right w:val="none" w:sz="0" w:space="0" w:color="auto"/>
      </w:divBdr>
    </w:div>
    <w:div w:id="817917632">
      <w:bodyDiv w:val="1"/>
      <w:marLeft w:val="0"/>
      <w:marRight w:val="0"/>
      <w:marTop w:val="0"/>
      <w:marBottom w:val="0"/>
      <w:divBdr>
        <w:top w:val="none" w:sz="0" w:space="0" w:color="auto"/>
        <w:left w:val="none" w:sz="0" w:space="0" w:color="auto"/>
        <w:bottom w:val="none" w:sz="0" w:space="0" w:color="auto"/>
        <w:right w:val="none" w:sz="0" w:space="0" w:color="auto"/>
      </w:divBdr>
    </w:div>
    <w:div w:id="820079039">
      <w:bodyDiv w:val="1"/>
      <w:marLeft w:val="0"/>
      <w:marRight w:val="0"/>
      <w:marTop w:val="0"/>
      <w:marBottom w:val="0"/>
      <w:divBdr>
        <w:top w:val="none" w:sz="0" w:space="0" w:color="auto"/>
        <w:left w:val="none" w:sz="0" w:space="0" w:color="auto"/>
        <w:bottom w:val="none" w:sz="0" w:space="0" w:color="auto"/>
        <w:right w:val="none" w:sz="0" w:space="0" w:color="auto"/>
      </w:divBdr>
    </w:div>
    <w:div w:id="821312001">
      <w:bodyDiv w:val="1"/>
      <w:marLeft w:val="0"/>
      <w:marRight w:val="0"/>
      <w:marTop w:val="0"/>
      <w:marBottom w:val="0"/>
      <w:divBdr>
        <w:top w:val="none" w:sz="0" w:space="0" w:color="auto"/>
        <w:left w:val="none" w:sz="0" w:space="0" w:color="auto"/>
        <w:bottom w:val="none" w:sz="0" w:space="0" w:color="auto"/>
        <w:right w:val="none" w:sz="0" w:space="0" w:color="auto"/>
      </w:divBdr>
    </w:div>
    <w:div w:id="825821908">
      <w:bodyDiv w:val="1"/>
      <w:marLeft w:val="0"/>
      <w:marRight w:val="0"/>
      <w:marTop w:val="0"/>
      <w:marBottom w:val="0"/>
      <w:divBdr>
        <w:top w:val="none" w:sz="0" w:space="0" w:color="auto"/>
        <w:left w:val="none" w:sz="0" w:space="0" w:color="auto"/>
        <w:bottom w:val="none" w:sz="0" w:space="0" w:color="auto"/>
        <w:right w:val="none" w:sz="0" w:space="0" w:color="auto"/>
      </w:divBdr>
    </w:div>
    <w:div w:id="825903571">
      <w:bodyDiv w:val="1"/>
      <w:marLeft w:val="0"/>
      <w:marRight w:val="0"/>
      <w:marTop w:val="0"/>
      <w:marBottom w:val="0"/>
      <w:divBdr>
        <w:top w:val="none" w:sz="0" w:space="0" w:color="auto"/>
        <w:left w:val="none" w:sz="0" w:space="0" w:color="auto"/>
        <w:bottom w:val="none" w:sz="0" w:space="0" w:color="auto"/>
        <w:right w:val="none" w:sz="0" w:space="0" w:color="auto"/>
      </w:divBdr>
    </w:div>
    <w:div w:id="825977544">
      <w:bodyDiv w:val="1"/>
      <w:marLeft w:val="0"/>
      <w:marRight w:val="0"/>
      <w:marTop w:val="0"/>
      <w:marBottom w:val="0"/>
      <w:divBdr>
        <w:top w:val="none" w:sz="0" w:space="0" w:color="auto"/>
        <w:left w:val="none" w:sz="0" w:space="0" w:color="auto"/>
        <w:bottom w:val="none" w:sz="0" w:space="0" w:color="auto"/>
        <w:right w:val="none" w:sz="0" w:space="0" w:color="auto"/>
      </w:divBdr>
    </w:div>
    <w:div w:id="828524392">
      <w:bodyDiv w:val="1"/>
      <w:marLeft w:val="0"/>
      <w:marRight w:val="0"/>
      <w:marTop w:val="0"/>
      <w:marBottom w:val="0"/>
      <w:divBdr>
        <w:top w:val="none" w:sz="0" w:space="0" w:color="auto"/>
        <w:left w:val="none" w:sz="0" w:space="0" w:color="auto"/>
        <w:bottom w:val="none" w:sz="0" w:space="0" w:color="auto"/>
        <w:right w:val="none" w:sz="0" w:space="0" w:color="auto"/>
      </w:divBdr>
    </w:div>
    <w:div w:id="829908349">
      <w:bodyDiv w:val="1"/>
      <w:marLeft w:val="0"/>
      <w:marRight w:val="0"/>
      <w:marTop w:val="0"/>
      <w:marBottom w:val="0"/>
      <w:divBdr>
        <w:top w:val="none" w:sz="0" w:space="0" w:color="auto"/>
        <w:left w:val="none" w:sz="0" w:space="0" w:color="auto"/>
        <w:bottom w:val="none" w:sz="0" w:space="0" w:color="auto"/>
        <w:right w:val="none" w:sz="0" w:space="0" w:color="auto"/>
      </w:divBdr>
    </w:div>
    <w:div w:id="830751837">
      <w:bodyDiv w:val="1"/>
      <w:marLeft w:val="0"/>
      <w:marRight w:val="0"/>
      <w:marTop w:val="0"/>
      <w:marBottom w:val="0"/>
      <w:divBdr>
        <w:top w:val="none" w:sz="0" w:space="0" w:color="auto"/>
        <w:left w:val="none" w:sz="0" w:space="0" w:color="auto"/>
        <w:bottom w:val="none" w:sz="0" w:space="0" w:color="auto"/>
        <w:right w:val="none" w:sz="0" w:space="0" w:color="auto"/>
      </w:divBdr>
    </w:div>
    <w:div w:id="832065435">
      <w:bodyDiv w:val="1"/>
      <w:marLeft w:val="0"/>
      <w:marRight w:val="0"/>
      <w:marTop w:val="0"/>
      <w:marBottom w:val="0"/>
      <w:divBdr>
        <w:top w:val="none" w:sz="0" w:space="0" w:color="auto"/>
        <w:left w:val="none" w:sz="0" w:space="0" w:color="auto"/>
        <w:bottom w:val="none" w:sz="0" w:space="0" w:color="auto"/>
        <w:right w:val="none" w:sz="0" w:space="0" w:color="auto"/>
      </w:divBdr>
    </w:div>
    <w:div w:id="832914422">
      <w:bodyDiv w:val="1"/>
      <w:marLeft w:val="0"/>
      <w:marRight w:val="0"/>
      <w:marTop w:val="0"/>
      <w:marBottom w:val="0"/>
      <w:divBdr>
        <w:top w:val="none" w:sz="0" w:space="0" w:color="auto"/>
        <w:left w:val="none" w:sz="0" w:space="0" w:color="auto"/>
        <w:bottom w:val="none" w:sz="0" w:space="0" w:color="auto"/>
        <w:right w:val="none" w:sz="0" w:space="0" w:color="auto"/>
      </w:divBdr>
    </w:div>
    <w:div w:id="836728477">
      <w:bodyDiv w:val="1"/>
      <w:marLeft w:val="0"/>
      <w:marRight w:val="0"/>
      <w:marTop w:val="0"/>
      <w:marBottom w:val="0"/>
      <w:divBdr>
        <w:top w:val="none" w:sz="0" w:space="0" w:color="auto"/>
        <w:left w:val="none" w:sz="0" w:space="0" w:color="auto"/>
        <w:bottom w:val="none" w:sz="0" w:space="0" w:color="auto"/>
        <w:right w:val="none" w:sz="0" w:space="0" w:color="auto"/>
      </w:divBdr>
    </w:div>
    <w:div w:id="839272869">
      <w:bodyDiv w:val="1"/>
      <w:marLeft w:val="0"/>
      <w:marRight w:val="0"/>
      <w:marTop w:val="0"/>
      <w:marBottom w:val="0"/>
      <w:divBdr>
        <w:top w:val="none" w:sz="0" w:space="0" w:color="auto"/>
        <w:left w:val="none" w:sz="0" w:space="0" w:color="auto"/>
        <w:bottom w:val="none" w:sz="0" w:space="0" w:color="auto"/>
        <w:right w:val="none" w:sz="0" w:space="0" w:color="auto"/>
      </w:divBdr>
    </w:div>
    <w:div w:id="841970334">
      <w:bodyDiv w:val="1"/>
      <w:marLeft w:val="0"/>
      <w:marRight w:val="0"/>
      <w:marTop w:val="0"/>
      <w:marBottom w:val="0"/>
      <w:divBdr>
        <w:top w:val="none" w:sz="0" w:space="0" w:color="auto"/>
        <w:left w:val="none" w:sz="0" w:space="0" w:color="auto"/>
        <w:bottom w:val="none" w:sz="0" w:space="0" w:color="auto"/>
        <w:right w:val="none" w:sz="0" w:space="0" w:color="auto"/>
      </w:divBdr>
    </w:div>
    <w:div w:id="843519091">
      <w:bodyDiv w:val="1"/>
      <w:marLeft w:val="0"/>
      <w:marRight w:val="0"/>
      <w:marTop w:val="0"/>
      <w:marBottom w:val="0"/>
      <w:divBdr>
        <w:top w:val="none" w:sz="0" w:space="0" w:color="auto"/>
        <w:left w:val="none" w:sz="0" w:space="0" w:color="auto"/>
        <w:bottom w:val="none" w:sz="0" w:space="0" w:color="auto"/>
        <w:right w:val="none" w:sz="0" w:space="0" w:color="auto"/>
      </w:divBdr>
    </w:div>
    <w:div w:id="843588741">
      <w:bodyDiv w:val="1"/>
      <w:marLeft w:val="0"/>
      <w:marRight w:val="0"/>
      <w:marTop w:val="0"/>
      <w:marBottom w:val="0"/>
      <w:divBdr>
        <w:top w:val="none" w:sz="0" w:space="0" w:color="auto"/>
        <w:left w:val="none" w:sz="0" w:space="0" w:color="auto"/>
        <w:bottom w:val="none" w:sz="0" w:space="0" w:color="auto"/>
        <w:right w:val="none" w:sz="0" w:space="0" w:color="auto"/>
      </w:divBdr>
    </w:div>
    <w:div w:id="843667891">
      <w:bodyDiv w:val="1"/>
      <w:marLeft w:val="0"/>
      <w:marRight w:val="0"/>
      <w:marTop w:val="0"/>
      <w:marBottom w:val="0"/>
      <w:divBdr>
        <w:top w:val="none" w:sz="0" w:space="0" w:color="auto"/>
        <w:left w:val="none" w:sz="0" w:space="0" w:color="auto"/>
        <w:bottom w:val="none" w:sz="0" w:space="0" w:color="auto"/>
        <w:right w:val="none" w:sz="0" w:space="0" w:color="auto"/>
      </w:divBdr>
    </w:div>
    <w:div w:id="843980492">
      <w:bodyDiv w:val="1"/>
      <w:marLeft w:val="0"/>
      <w:marRight w:val="0"/>
      <w:marTop w:val="0"/>
      <w:marBottom w:val="0"/>
      <w:divBdr>
        <w:top w:val="none" w:sz="0" w:space="0" w:color="auto"/>
        <w:left w:val="none" w:sz="0" w:space="0" w:color="auto"/>
        <w:bottom w:val="none" w:sz="0" w:space="0" w:color="auto"/>
        <w:right w:val="none" w:sz="0" w:space="0" w:color="auto"/>
      </w:divBdr>
    </w:div>
    <w:div w:id="844708178">
      <w:bodyDiv w:val="1"/>
      <w:marLeft w:val="0"/>
      <w:marRight w:val="0"/>
      <w:marTop w:val="0"/>
      <w:marBottom w:val="0"/>
      <w:divBdr>
        <w:top w:val="none" w:sz="0" w:space="0" w:color="auto"/>
        <w:left w:val="none" w:sz="0" w:space="0" w:color="auto"/>
        <w:bottom w:val="none" w:sz="0" w:space="0" w:color="auto"/>
        <w:right w:val="none" w:sz="0" w:space="0" w:color="auto"/>
      </w:divBdr>
    </w:div>
    <w:div w:id="845704375">
      <w:bodyDiv w:val="1"/>
      <w:marLeft w:val="0"/>
      <w:marRight w:val="0"/>
      <w:marTop w:val="0"/>
      <w:marBottom w:val="0"/>
      <w:divBdr>
        <w:top w:val="none" w:sz="0" w:space="0" w:color="auto"/>
        <w:left w:val="none" w:sz="0" w:space="0" w:color="auto"/>
        <w:bottom w:val="none" w:sz="0" w:space="0" w:color="auto"/>
        <w:right w:val="none" w:sz="0" w:space="0" w:color="auto"/>
      </w:divBdr>
    </w:div>
    <w:div w:id="846482524">
      <w:bodyDiv w:val="1"/>
      <w:marLeft w:val="0"/>
      <w:marRight w:val="0"/>
      <w:marTop w:val="0"/>
      <w:marBottom w:val="0"/>
      <w:divBdr>
        <w:top w:val="none" w:sz="0" w:space="0" w:color="auto"/>
        <w:left w:val="none" w:sz="0" w:space="0" w:color="auto"/>
        <w:bottom w:val="none" w:sz="0" w:space="0" w:color="auto"/>
        <w:right w:val="none" w:sz="0" w:space="0" w:color="auto"/>
      </w:divBdr>
    </w:div>
    <w:div w:id="854803006">
      <w:bodyDiv w:val="1"/>
      <w:marLeft w:val="0"/>
      <w:marRight w:val="0"/>
      <w:marTop w:val="0"/>
      <w:marBottom w:val="0"/>
      <w:divBdr>
        <w:top w:val="none" w:sz="0" w:space="0" w:color="auto"/>
        <w:left w:val="none" w:sz="0" w:space="0" w:color="auto"/>
        <w:bottom w:val="none" w:sz="0" w:space="0" w:color="auto"/>
        <w:right w:val="none" w:sz="0" w:space="0" w:color="auto"/>
      </w:divBdr>
    </w:div>
    <w:div w:id="859126995">
      <w:bodyDiv w:val="1"/>
      <w:marLeft w:val="0"/>
      <w:marRight w:val="0"/>
      <w:marTop w:val="0"/>
      <w:marBottom w:val="0"/>
      <w:divBdr>
        <w:top w:val="none" w:sz="0" w:space="0" w:color="auto"/>
        <w:left w:val="none" w:sz="0" w:space="0" w:color="auto"/>
        <w:bottom w:val="none" w:sz="0" w:space="0" w:color="auto"/>
        <w:right w:val="none" w:sz="0" w:space="0" w:color="auto"/>
      </w:divBdr>
    </w:div>
    <w:div w:id="861016603">
      <w:bodyDiv w:val="1"/>
      <w:marLeft w:val="0"/>
      <w:marRight w:val="0"/>
      <w:marTop w:val="0"/>
      <w:marBottom w:val="0"/>
      <w:divBdr>
        <w:top w:val="none" w:sz="0" w:space="0" w:color="auto"/>
        <w:left w:val="none" w:sz="0" w:space="0" w:color="auto"/>
        <w:bottom w:val="none" w:sz="0" w:space="0" w:color="auto"/>
        <w:right w:val="none" w:sz="0" w:space="0" w:color="auto"/>
      </w:divBdr>
    </w:div>
    <w:div w:id="861748827">
      <w:bodyDiv w:val="1"/>
      <w:marLeft w:val="0"/>
      <w:marRight w:val="0"/>
      <w:marTop w:val="0"/>
      <w:marBottom w:val="0"/>
      <w:divBdr>
        <w:top w:val="none" w:sz="0" w:space="0" w:color="auto"/>
        <w:left w:val="none" w:sz="0" w:space="0" w:color="auto"/>
        <w:bottom w:val="none" w:sz="0" w:space="0" w:color="auto"/>
        <w:right w:val="none" w:sz="0" w:space="0" w:color="auto"/>
      </w:divBdr>
    </w:div>
    <w:div w:id="865485428">
      <w:bodyDiv w:val="1"/>
      <w:marLeft w:val="0"/>
      <w:marRight w:val="0"/>
      <w:marTop w:val="0"/>
      <w:marBottom w:val="0"/>
      <w:divBdr>
        <w:top w:val="none" w:sz="0" w:space="0" w:color="auto"/>
        <w:left w:val="none" w:sz="0" w:space="0" w:color="auto"/>
        <w:bottom w:val="none" w:sz="0" w:space="0" w:color="auto"/>
        <w:right w:val="none" w:sz="0" w:space="0" w:color="auto"/>
      </w:divBdr>
    </w:div>
    <w:div w:id="865756585">
      <w:bodyDiv w:val="1"/>
      <w:marLeft w:val="0"/>
      <w:marRight w:val="0"/>
      <w:marTop w:val="0"/>
      <w:marBottom w:val="0"/>
      <w:divBdr>
        <w:top w:val="none" w:sz="0" w:space="0" w:color="auto"/>
        <w:left w:val="none" w:sz="0" w:space="0" w:color="auto"/>
        <w:bottom w:val="none" w:sz="0" w:space="0" w:color="auto"/>
        <w:right w:val="none" w:sz="0" w:space="0" w:color="auto"/>
      </w:divBdr>
    </w:div>
    <w:div w:id="868030773">
      <w:bodyDiv w:val="1"/>
      <w:marLeft w:val="0"/>
      <w:marRight w:val="0"/>
      <w:marTop w:val="0"/>
      <w:marBottom w:val="0"/>
      <w:divBdr>
        <w:top w:val="none" w:sz="0" w:space="0" w:color="auto"/>
        <w:left w:val="none" w:sz="0" w:space="0" w:color="auto"/>
        <w:bottom w:val="none" w:sz="0" w:space="0" w:color="auto"/>
        <w:right w:val="none" w:sz="0" w:space="0" w:color="auto"/>
      </w:divBdr>
    </w:div>
    <w:div w:id="871110387">
      <w:bodyDiv w:val="1"/>
      <w:marLeft w:val="0"/>
      <w:marRight w:val="0"/>
      <w:marTop w:val="0"/>
      <w:marBottom w:val="0"/>
      <w:divBdr>
        <w:top w:val="none" w:sz="0" w:space="0" w:color="auto"/>
        <w:left w:val="none" w:sz="0" w:space="0" w:color="auto"/>
        <w:bottom w:val="none" w:sz="0" w:space="0" w:color="auto"/>
        <w:right w:val="none" w:sz="0" w:space="0" w:color="auto"/>
      </w:divBdr>
    </w:div>
    <w:div w:id="871260395">
      <w:bodyDiv w:val="1"/>
      <w:marLeft w:val="0"/>
      <w:marRight w:val="0"/>
      <w:marTop w:val="0"/>
      <w:marBottom w:val="0"/>
      <w:divBdr>
        <w:top w:val="none" w:sz="0" w:space="0" w:color="auto"/>
        <w:left w:val="none" w:sz="0" w:space="0" w:color="auto"/>
        <w:bottom w:val="none" w:sz="0" w:space="0" w:color="auto"/>
        <w:right w:val="none" w:sz="0" w:space="0" w:color="auto"/>
      </w:divBdr>
    </w:div>
    <w:div w:id="872113758">
      <w:bodyDiv w:val="1"/>
      <w:marLeft w:val="0"/>
      <w:marRight w:val="0"/>
      <w:marTop w:val="0"/>
      <w:marBottom w:val="0"/>
      <w:divBdr>
        <w:top w:val="none" w:sz="0" w:space="0" w:color="auto"/>
        <w:left w:val="none" w:sz="0" w:space="0" w:color="auto"/>
        <w:bottom w:val="none" w:sz="0" w:space="0" w:color="auto"/>
        <w:right w:val="none" w:sz="0" w:space="0" w:color="auto"/>
      </w:divBdr>
    </w:div>
    <w:div w:id="873923610">
      <w:bodyDiv w:val="1"/>
      <w:marLeft w:val="0"/>
      <w:marRight w:val="0"/>
      <w:marTop w:val="0"/>
      <w:marBottom w:val="0"/>
      <w:divBdr>
        <w:top w:val="none" w:sz="0" w:space="0" w:color="auto"/>
        <w:left w:val="none" w:sz="0" w:space="0" w:color="auto"/>
        <w:bottom w:val="none" w:sz="0" w:space="0" w:color="auto"/>
        <w:right w:val="none" w:sz="0" w:space="0" w:color="auto"/>
      </w:divBdr>
    </w:div>
    <w:div w:id="875115912">
      <w:bodyDiv w:val="1"/>
      <w:marLeft w:val="0"/>
      <w:marRight w:val="0"/>
      <w:marTop w:val="0"/>
      <w:marBottom w:val="0"/>
      <w:divBdr>
        <w:top w:val="none" w:sz="0" w:space="0" w:color="auto"/>
        <w:left w:val="none" w:sz="0" w:space="0" w:color="auto"/>
        <w:bottom w:val="none" w:sz="0" w:space="0" w:color="auto"/>
        <w:right w:val="none" w:sz="0" w:space="0" w:color="auto"/>
      </w:divBdr>
    </w:div>
    <w:div w:id="875577984">
      <w:bodyDiv w:val="1"/>
      <w:marLeft w:val="0"/>
      <w:marRight w:val="0"/>
      <w:marTop w:val="0"/>
      <w:marBottom w:val="0"/>
      <w:divBdr>
        <w:top w:val="none" w:sz="0" w:space="0" w:color="auto"/>
        <w:left w:val="none" w:sz="0" w:space="0" w:color="auto"/>
        <w:bottom w:val="none" w:sz="0" w:space="0" w:color="auto"/>
        <w:right w:val="none" w:sz="0" w:space="0" w:color="auto"/>
      </w:divBdr>
    </w:div>
    <w:div w:id="875584344">
      <w:bodyDiv w:val="1"/>
      <w:marLeft w:val="0"/>
      <w:marRight w:val="0"/>
      <w:marTop w:val="0"/>
      <w:marBottom w:val="0"/>
      <w:divBdr>
        <w:top w:val="none" w:sz="0" w:space="0" w:color="auto"/>
        <w:left w:val="none" w:sz="0" w:space="0" w:color="auto"/>
        <w:bottom w:val="none" w:sz="0" w:space="0" w:color="auto"/>
        <w:right w:val="none" w:sz="0" w:space="0" w:color="auto"/>
      </w:divBdr>
    </w:div>
    <w:div w:id="877550428">
      <w:bodyDiv w:val="1"/>
      <w:marLeft w:val="0"/>
      <w:marRight w:val="0"/>
      <w:marTop w:val="0"/>
      <w:marBottom w:val="0"/>
      <w:divBdr>
        <w:top w:val="none" w:sz="0" w:space="0" w:color="auto"/>
        <w:left w:val="none" w:sz="0" w:space="0" w:color="auto"/>
        <w:bottom w:val="none" w:sz="0" w:space="0" w:color="auto"/>
        <w:right w:val="none" w:sz="0" w:space="0" w:color="auto"/>
      </w:divBdr>
    </w:div>
    <w:div w:id="878471159">
      <w:bodyDiv w:val="1"/>
      <w:marLeft w:val="0"/>
      <w:marRight w:val="0"/>
      <w:marTop w:val="0"/>
      <w:marBottom w:val="0"/>
      <w:divBdr>
        <w:top w:val="none" w:sz="0" w:space="0" w:color="auto"/>
        <w:left w:val="none" w:sz="0" w:space="0" w:color="auto"/>
        <w:bottom w:val="none" w:sz="0" w:space="0" w:color="auto"/>
        <w:right w:val="none" w:sz="0" w:space="0" w:color="auto"/>
      </w:divBdr>
    </w:div>
    <w:div w:id="879323671">
      <w:bodyDiv w:val="1"/>
      <w:marLeft w:val="0"/>
      <w:marRight w:val="0"/>
      <w:marTop w:val="0"/>
      <w:marBottom w:val="0"/>
      <w:divBdr>
        <w:top w:val="none" w:sz="0" w:space="0" w:color="auto"/>
        <w:left w:val="none" w:sz="0" w:space="0" w:color="auto"/>
        <w:bottom w:val="none" w:sz="0" w:space="0" w:color="auto"/>
        <w:right w:val="none" w:sz="0" w:space="0" w:color="auto"/>
      </w:divBdr>
    </w:div>
    <w:div w:id="881526172">
      <w:bodyDiv w:val="1"/>
      <w:marLeft w:val="0"/>
      <w:marRight w:val="0"/>
      <w:marTop w:val="0"/>
      <w:marBottom w:val="0"/>
      <w:divBdr>
        <w:top w:val="none" w:sz="0" w:space="0" w:color="auto"/>
        <w:left w:val="none" w:sz="0" w:space="0" w:color="auto"/>
        <w:bottom w:val="none" w:sz="0" w:space="0" w:color="auto"/>
        <w:right w:val="none" w:sz="0" w:space="0" w:color="auto"/>
      </w:divBdr>
    </w:div>
    <w:div w:id="882793920">
      <w:bodyDiv w:val="1"/>
      <w:marLeft w:val="0"/>
      <w:marRight w:val="0"/>
      <w:marTop w:val="0"/>
      <w:marBottom w:val="0"/>
      <w:divBdr>
        <w:top w:val="none" w:sz="0" w:space="0" w:color="auto"/>
        <w:left w:val="none" w:sz="0" w:space="0" w:color="auto"/>
        <w:bottom w:val="none" w:sz="0" w:space="0" w:color="auto"/>
        <w:right w:val="none" w:sz="0" w:space="0" w:color="auto"/>
      </w:divBdr>
    </w:div>
    <w:div w:id="887686623">
      <w:bodyDiv w:val="1"/>
      <w:marLeft w:val="0"/>
      <w:marRight w:val="0"/>
      <w:marTop w:val="0"/>
      <w:marBottom w:val="0"/>
      <w:divBdr>
        <w:top w:val="none" w:sz="0" w:space="0" w:color="auto"/>
        <w:left w:val="none" w:sz="0" w:space="0" w:color="auto"/>
        <w:bottom w:val="none" w:sz="0" w:space="0" w:color="auto"/>
        <w:right w:val="none" w:sz="0" w:space="0" w:color="auto"/>
      </w:divBdr>
    </w:div>
    <w:div w:id="889805668">
      <w:bodyDiv w:val="1"/>
      <w:marLeft w:val="0"/>
      <w:marRight w:val="0"/>
      <w:marTop w:val="0"/>
      <w:marBottom w:val="0"/>
      <w:divBdr>
        <w:top w:val="none" w:sz="0" w:space="0" w:color="auto"/>
        <w:left w:val="none" w:sz="0" w:space="0" w:color="auto"/>
        <w:bottom w:val="none" w:sz="0" w:space="0" w:color="auto"/>
        <w:right w:val="none" w:sz="0" w:space="0" w:color="auto"/>
      </w:divBdr>
    </w:div>
    <w:div w:id="894387982">
      <w:bodyDiv w:val="1"/>
      <w:marLeft w:val="0"/>
      <w:marRight w:val="0"/>
      <w:marTop w:val="0"/>
      <w:marBottom w:val="0"/>
      <w:divBdr>
        <w:top w:val="none" w:sz="0" w:space="0" w:color="auto"/>
        <w:left w:val="none" w:sz="0" w:space="0" w:color="auto"/>
        <w:bottom w:val="none" w:sz="0" w:space="0" w:color="auto"/>
        <w:right w:val="none" w:sz="0" w:space="0" w:color="auto"/>
      </w:divBdr>
    </w:div>
    <w:div w:id="899707989">
      <w:bodyDiv w:val="1"/>
      <w:marLeft w:val="0"/>
      <w:marRight w:val="0"/>
      <w:marTop w:val="0"/>
      <w:marBottom w:val="0"/>
      <w:divBdr>
        <w:top w:val="none" w:sz="0" w:space="0" w:color="auto"/>
        <w:left w:val="none" w:sz="0" w:space="0" w:color="auto"/>
        <w:bottom w:val="none" w:sz="0" w:space="0" w:color="auto"/>
        <w:right w:val="none" w:sz="0" w:space="0" w:color="auto"/>
      </w:divBdr>
    </w:div>
    <w:div w:id="904219154">
      <w:bodyDiv w:val="1"/>
      <w:marLeft w:val="0"/>
      <w:marRight w:val="0"/>
      <w:marTop w:val="0"/>
      <w:marBottom w:val="0"/>
      <w:divBdr>
        <w:top w:val="none" w:sz="0" w:space="0" w:color="auto"/>
        <w:left w:val="none" w:sz="0" w:space="0" w:color="auto"/>
        <w:bottom w:val="none" w:sz="0" w:space="0" w:color="auto"/>
        <w:right w:val="none" w:sz="0" w:space="0" w:color="auto"/>
      </w:divBdr>
    </w:div>
    <w:div w:id="908080610">
      <w:bodyDiv w:val="1"/>
      <w:marLeft w:val="0"/>
      <w:marRight w:val="0"/>
      <w:marTop w:val="0"/>
      <w:marBottom w:val="0"/>
      <w:divBdr>
        <w:top w:val="none" w:sz="0" w:space="0" w:color="auto"/>
        <w:left w:val="none" w:sz="0" w:space="0" w:color="auto"/>
        <w:bottom w:val="none" w:sz="0" w:space="0" w:color="auto"/>
        <w:right w:val="none" w:sz="0" w:space="0" w:color="auto"/>
      </w:divBdr>
    </w:div>
    <w:div w:id="909655207">
      <w:bodyDiv w:val="1"/>
      <w:marLeft w:val="0"/>
      <w:marRight w:val="0"/>
      <w:marTop w:val="0"/>
      <w:marBottom w:val="0"/>
      <w:divBdr>
        <w:top w:val="none" w:sz="0" w:space="0" w:color="auto"/>
        <w:left w:val="none" w:sz="0" w:space="0" w:color="auto"/>
        <w:bottom w:val="none" w:sz="0" w:space="0" w:color="auto"/>
        <w:right w:val="none" w:sz="0" w:space="0" w:color="auto"/>
      </w:divBdr>
    </w:div>
    <w:div w:id="912665793">
      <w:bodyDiv w:val="1"/>
      <w:marLeft w:val="0"/>
      <w:marRight w:val="0"/>
      <w:marTop w:val="0"/>
      <w:marBottom w:val="0"/>
      <w:divBdr>
        <w:top w:val="none" w:sz="0" w:space="0" w:color="auto"/>
        <w:left w:val="none" w:sz="0" w:space="0" w:color="auto"/>
        <w:bottom w:val="none" w:sz="0" w:space="0" w:color="auto"/>
        <w:right w:val="none" w:sz="0" w:space="0" w:color="auto"/>
      </w:divBdr>
    </w:div>
    <w:div w:id="912852867">
      <w:bodyDiv w:val="1"/>
      <w:marLeft w:val="0"/>
      <w:marRight w:val="0"/>
      <w:marTop w:val="0"/>
      <w:marBottom w:val="0"/>
      <w:divBdr>
        <w:top w:val="none" w:sz="0" w:space="0" w:color="auto"/>
        <w:left w:val="none" w:sz="0" w:space="0" w:color="auto"/>
        <w:bottom w:val="none" w:sz="0" w:space="0" w:color="auto"/>
        <w:right w:val="none" w:sz="0" w:space="0" w:color="auto"/>
      </w:divBdr>
    </w:div>
    <w:div w:id="913902654">
      <w:bodyDiv w:val="1"/>
      <w:marLeft w:val="0"/>
      <w:marRight w:val="0"/>
      <w:marTop w:val="0"/>
      <w:marBottom w:val="0"/>
      <w:divBdr>
        <w:top w:val="none" w:sz="0" w:space="0" w:color="auto"/>
        <w:left w:val="none" w:sz="0" w:space="0" w:color="auto"/>
        <w:bottom w:val="none" w:sz="0" w:space="0" w:color="auto"/>
        <w:right w:val="none" w:sz="0" w:space="0" w:color="auto"/>
      </w:divBdr>
    </w:div>
    <w:div w:id="914123677">
      <w:bodyDiv w:val="1"/>
      <w:marLeft w:val="0"/>
      <w:marRight w:val="0"/>
      <w:marTop w:val="0"/>
      <w:marBottom w:val="0"/>
      <w:divBdr>
        <w:top w:val="none" w:sz="0" w:space="0" w:color="auto"/>
        <w:left w:val="none" w:sz="0" w:space="0" w:color="auto"/>
        <w:bottom w:val="none" w:sz="0" w:space="0" w:color="auto"/>
        <w:right w:val="none" w:sz="0" w:space="0" w:color="auto"/>
      </w:divBdr>
    </w:div>
    <w:div w:id="914781141">
      <w:bodyDiv w:val="1"/>
      <w:marLeft w:val="0"/>
      <w:marRight w:val="0"/>
      <w:marTop w:val="0"/>
      <w:marBottom w:val="0"/>
      <w:divBdr>
        <w:top w:val="none" w:sz="0" w:space="0" w:color="auto"/>
        <w:left w:val="none" w:sz="0" w:space="0" w:color="auto"/>
        <w:bottom w:val="none" w:sz="0" w:space="0" w:color="auto"/>
        <w:right w:val="none" w:sz="0" w:space="0" w:color="auto"/>
      </w:divBdr>
    </w:div>
    <w:div w:id="915628995">
      <w:bodyDiv w:val="1"/>
      <w:marLeft w:val="0"/>
      <w:marRight w:val="0"/>
      <w:marTop w:val="0"/>
      <w:marBottom w:val="0"/>
      <w:divBdr>
        <w:top w:val="none" w:sz="0" w:space="0" w:color="auto"/>
        <w:left w:val="none" w:sz="0" w:space="0" w:color="auto"/>
        <w:bottom w:val="none" w:sz="0" w:space="0" w:color="auto"/>
        <w:right w:val="none" w:sz="0" w:space="0" w:color="auto"/>
      </w:divBdr>
    </w:div>
    <w:div w:id="925771266">
      <w:bodyDiv w:val="1"/>
      <w:marLeft w:val="0"/>
      <w:marRight w:val="0"/>
      <w:marTop w:val="0"/>
      <w:marBottom w:val="0"/>
      <w:divBdr>
        <w:top w:val="none" w:sz="0" w:space="0" w:color="auto"/>
        <w:left w:val="none" w:sz="0" w:space="0" w:color="auto"/>
        <w:bottom w:val="none" w:sz="0" w:space="0" w:color="auto"/>
        <w:right w:val="none" w:sz="0" w:space="0" w:color="auto"/>
      </w:divBdr>
    </w:div>
    <w:div w:id="926115052">
      <w:bodyDiv w:val="1"/>
      <w:marLeft w:val="0"/>
      <w:marRight w:val="0"/>
      <w:marTop w:val="0"/>
      <w:marBottom w:val="0"/>
      <w:divBdr>
        <w:top w:val="none" w:sz="0" w:space="0" w:color="auto"/>
        <w:left w:val="none" w:sz="0" w:space="0" w:color="auto"/>
        <w:bottom w:val="none" w:sz="0" w:space="0" w:color="auto"/>
        <w:right w:val="none" w:sz="0" w:space="0" w:color="auto"/>
      </w:divBdr>
    </w:div>
    <w:div w:id="927273962">
      <w:bodyDiv w:val="1"/>
      <w:marLeft w:val="0"/>
      <w:marRight w:val="0"/>
      <w:marTop w:val="0"/>
      <w:marBottom w:val="0"/>
      <w:divBdr>
        <w:top w:val="none" w:sz="0" w:space="0" w:color="auto"/>
        <w:left w:val="none" w:sz="0" w:space="0" w:color="auto"/>
        <w:bottom w:val="none" w:sz="0" w:space="0" w:color="auto"/>
        <w:right w:val="none" w:sz="0" w:space="0" w:color="auto"/>
      </w:divBdr>
    </w:div>
    <w:div w:id="927494696">
      <w:bodyDiv w:val="1"/>
      <w:marLeft w:val="0"/>
      <w:marRight w:val="0"/>
      <w:marTop w:val="0"/>
      <w:marBottom w:val="0"/>
      <w:divBdr>
        <w:top w:val="none" w:sz="0" w:space="0" w:color="auto"/>
        <w:left w:val="none" w:sz="0" w:space="0" w:color="auto"/>
        <w:bottom w:val="none" w:sz="0" w:space="0" w:color="auto"/>
        <w:right w:val="none" w:sz="0" w:space="0" w:color="auto"/>
      </w:divBdr>
    </w:div>
    <w:div w:id="928923233">
      <w:bodyDiv w:val="1"/>
      <w:marLeft w:val="0"/>
      <w:marRight w:val="0"/>
      <w:marTop w:val="0"/>
      <w:marBottom w:val="0"/>
      <w:divBdr>
        <w:top w:val="none" w:sz="0" w:space="0" w:color="auto"/>
        <w:left w:val="none" w:sz="0" w:space="0" w:color="auto"/>
        <w:bottom w:val="none" w:sz="0" w:space="0" w:color="auto"/>
        <w:right w:val="none" w:sz="0" w:space="0" w:color="auto"/>
      </w:divBdr>
    </w:div>
    <w:div w:id="929241244">
      <w:bodyDiv w:val="1"/>
      <w:marLeft w:val="0"/>
      <w:marRight w:val="0"/>
      <w:marTop w:val="0"/>
      <w:marBottom w:val="0"/>
      <w:divBdr>
        <w:top w:val="none" w:sz="0" w:space="0" w:color="auto"/>
        <w:left w:val="none" w:sz="0" w:space="0" w:color="auto"/>
        <w:bottom w:val="none" w:sz="0" w:space="0" w:color="auto"/>
        <w:right w:val="none" w:sz="0" w:space="0" w:color="auto"/>
      </w:divBdr>
    </w:div>
    <w:div w:id="930355436">
      <w:bodyDiv w:val="1"/>
      <w:marLeft w:val="0"/>
      <w:marRight w:val="0"/>
      <w:marTop w:val="0"/>
      <w:marBottom w:val="0"/>
      <w:divBdr>
        <w:top w:val="none" w:sz="0" w:space="0" w:color="auto"/>
        <w:left w:val="none" w:sz="0" w:space="0" w:color="auto"/>
        <w:bottom w:val="none" w:sz="0" w:space="0" w:color="auto"/>
        <w:right w:val="none" w:sz="0" w:space="0" w:color="auto"/>
      </w:divBdr>
    </w:div>
    <w:div w:id="930545799">
      <w:bodyDiv w:val="1"/>
      <w:marLeft w:val="0"/>
      <w:marRight w:val="0"/>
      <w:marTop w:val="0"/>
      <w:marBottom w:val="0"/>
      <w:divBdr>
        <w:top w:val="none" w:sz="0" w:space="0" w:color="auto"/>
        <w:left w:val="none" w:sz="0" w:space="0" w:color="auto"/>
        <w:bottom w:val="none" w:sz="0" w:space="0" w:color="auto"/>
        <w:right w:val="none" w:sz="0" w:space="0" w:color="auto"/>
      </w:divBdr>
    </w:div>
    <w:div w:id="932586968">
      <w:bodyDiv w:val="1"/>
      <w:marLeft w:val="0"/>
      <w:marRight w:val="0"/>
      <w:marTop w:val="0"/>
      <w:marBottom w:val="0"/>
      <w:divBdr>
        <w:top w:val="none" w:sz="0" w:space="0" w:color="auto"/>
        <w:left w:val="none" w:sz="0" w:space="0" w:color="auto"/>
        <w:bottom w:val="none" w:sz="0" w:space="0" w:color="auto"/>
        <w:right w:val="none" w:sz="0" w:space="0" w:color="auto"/>
      </w:divBdr>
    </w:div>
    <w:div w:id="935330048">
      <w:bodyDiv w:val="1"/>
      <w:marLeft w:val="0"/>
      <w:marRight w:val="0"/>
      <w:marTop w:val="0"/>
      <w:marBottom w:val="0"/>
      <w:divBdr>
        <w:top w:val="none" w:sz="0" w:space="0" w:color="auto"/>
        <w:left w:val="none" w:sz="0" w:space="0" w:color="auto"/>
        <w:bottom w:val="none" w:sz="0" w:space="0" w:color="auto"/>
        <w:right w:val="none" w:sz="0" w:space="0" w:color="auto"/>
      </w:divBdr>
    </w:div>
    <w:div w:id="937786457">
      <w:bodyDiv w:val="1"/>
      <w:marLeft w:val="0"/>
      <w:marRight w:val="0"/>
      <w:marTop w:val="0"/>
      <w:marBottom w:val="0"/>
      <w:divBdr>
        <w:top w:val="none" w:sz="0" w:space="0" w:color="auto"/>
        <w:left w:val="none" w:sz="0" w:space="0" w:color="auto"/>
        <w:bottom w:val="none" w:sz="0" w:space="0" w:color="auto"/>
        <w:right w:val="none" w:sz="0" w:space="0" w:color="auto"/>
      </w:divBdr>
    </w:div>
    <w:div w:id="938677024">
      <w:bodyDiv w:val="1"/>
      <w:marLeft w:val="0"/>
      <w:marRight w:val="0"/>
      <w:marTop w:val="0"/>
      <w:marBottom w:val="0"/>
      <w:divBdr>
        <w:top w:val="none" w:sz="0" w:space="0" w:color="auto"/>
        <w:left w:val="none" w:sz="0" w:space="0" w:color="auto"/>
        <w:bottom w:val="none" w:sz="0" w:space="0" w:color="auto"/>
        <w:right w:val="none" w:sz="0" w:space="0" w:color="auto"/>
      </w:divBdr>
    </w:div>
    <w:div w:id="938757618">
      <w:bodyDiv w:val="1"/>
      <w:marLeft w:val="0"/>
      <w:marRight w:val="0"/>
      <w:marTop w:val="0"/>
      <w:marBottom w:val="0"/>
      <w:divBdr>
        <w:top w:val="none" w:sz="0" w:space="0" w:color="auto"/>
        <w:left w:val="none" w:sz="0" w:space="0" w:color="auto"/>
        <w:bottom w:val="none" w:sz="0" w:space="0" w:color="auto"/>
        <w:right w:val="none" w:sz="0" w:space="0" w:color="auto"/>
      </w:divBdr>
    </w:div>
    <w:div w:id="941456259">
      <w:bodyDiv w:val="1"/>
      <w:marLeft w:val="0"/>
      <w:marRight w:val="0"/>
      <w:marTop w:val="0"/>
      <w:marBottom w:val="0"/>
      <w:divBdr>
        <w:top w:val="none" w:sz="0" w:space="0" w:color="auto"/>
        <w:left w:val="none" w:sz="0" w:space="0" w:color="auto"/>
        <w:bottom w:val="none" w:sz="0" w:space="0" w:color="auto"/>
        <w:right w:val="none" w:sz="0" w:space="0" w:color="auto"/>
      </w:divBdr>
    </w:div>
    <w:div w:id="942109610">
      <w:bodyDiv w:val="1"/>
      <w:marLeft w:val="0"/>
      <w:marRight w:val="0"/>
      <w:marTop w:val="0"/>
      <w:marBottom w:val="0"/>
      <w:divBdr>
        <w:top w:val="none" w:sz="0" w:space="0" w:color="auto"/>
        <w:left w:val="none" w:sz="0" w:space="0" w:color="auto"/>
        <w:bottom w:val="none" w:sz="0" w:space="0" w:color="auto"/>
        <w:right w:val="none" w:sz="0" w:space="0" w:color="auto"/>
      </w:divBdr>
    </w:div>
    <w:div w:id="943342804">
      <w:bodyDiv w:val="1"/>
      <w:marLeft w:val="0"/>
      <w:marRight w:val="0"/>
      <w:marTop w:val="0"/>
      <w:marBottom w:val="0"/>
      <w:divBdr>
        <w:top w:val="none" w:sz="0" w:space="0" w:color="auto"/>
        <w:left w:val="none" w:sz="0" w:space="0" w:color="auto"/>
        <w:bottom w:val="none" w:sz="0" w:space="0" w:color="auto"/>
        <w:right w:val="none" w:sz="0" w:space="0" w:color="auto"/>
      </w:divBdr>
    </w:div>
    <w:div w:id="944843126">
      <w:bodyDiv w:val="1"/>
      <w:marLeft w:val="0"/>
      <w:marRight w:val="0"/>
      <w:marTop w:val="0"/>
      <w:marBottom w:val="0"/>
      <w:divBdr>
        <w:top w:val="none" w:sz="0" w:space="0" w:color="auto"/>
        <w:left w:val="none" w:sz="0" w:space="0" w:color="auto"/>
        <w:bottom w:val="none" w:sz="0" w:space="0" w:color="auto"/>
        <w:right w:val="none" w:sz="0" w:space="0" w:color="auto"/>
      </w:divBdr>
    </w:div>
    <w:div w:id="945386072">
      <w:bodyDiv w:val="1"/>
      <w:marLeft w:val="0"/>
      <w:marRight w:val="0"/>
      <w:marTop w:val="0"/>
      <w:marBottom w:val="0"/>
      <w:divBdr>
        <w:top w:val="none" w:sz="0" w:space="0" w:color="auto"/>
        <w:left w:val="none" w:sz="0" w:space="0" w:color="auto"/>
        <w:bottom w:val="none" w:sz="0" w:space="0" w:color="auto"/>
        <w:right w:val="none" w:sz="0" w:space="0" w:color="auto"/>
      </w:divBdr>
    </w:div>
    <w:div w:id="947539496">
      <w:bodyDiv w:val="1"/>
      <w:marLeft w:val="0"/>
      <w:marRight w:val="0"/>
      <w:marTop w:val="0"/>
      <w:marBottom w:val="0"/>
      <w:divBdr>
        <w:top w:val="none" w:sz="0" w:space="0" w:color="auto"/>
        <w:left w:val="none" w:sz="0" w:space="0" w:color="auto"/>
        <w:bottom w:val="none" w:sz="0" w:space="0" w:color="auto"/>
        <w:right w:val="none" w:sz="0" w:space="0" w:color="auto"/>
      </w:divBdr>
    </w:div>
    <w:div w:id="948392221">
      <w:bodyDiv w:val="1"/>
      <w:marLeft w:val="0"/>
      <w:marRight w:val="0"/>
      <w:marTop w:val="0"/>
      <w:marBottom w:val="0"/>
      <w:divBdr>
        <w:top w:val="none" w:sz="0" w:space="0" w:color="auto"/>
        <w:left w:val="none" w:sz="0" w:space="0" w:color="auto"/>
        <w:bottom w:val="none" w:sz="0" w:space="0" w:color="auto"/>
        <w:right w:val="none" w:sz="0" w:space="0" w:color="auto"/>
      </w:divBdr>
    </w:div>
    <w:div w:id="952714450">
      <w:bodyDiv w:val="1"/>
      <w:marLeft w:val="0"/>
      <w:marRight w:val="0"/>
      <w:marTop w:val="0"/>
      <w:marBottom w:val="0"/>
      <w:divBdr>
        <w:top w:val="none" w:sz="0" w:space="0" w:color="auto"/>
        <w:left w:val="none" w:sz="0" w:space="0" w:color="auto"/>
        <w:bottom w:val="none" w:sz="0" w:space="0" w:color="auto"/>
        <w:right w:val="none" w:sz="0" w:space="0" w:color="auto"/>
      </w:divBdr>
    </w:div>
    <w:div w:id="953634779">
      <w:bodyDiv w:val="1"/>
      <w:marLeft w:val="0"/>
      <w:marRight w:val="0"/>
      <w:marTop w:val="0"/>
      <w:marBottom w:val="0"/>
      <w:divBdr>
        <w:top w:val="none" w:sz="0" w:space="0" w:color="auto"/>
        <w:left w:val="none" w:sz="0" w:space="0" w:color="auto"/>
        <w:bottom w:val="none" w:sz="0" w:space="0" w:color="auto"/>
        <w:right w:val="none" w:sz="0" w:space="0" w:color="auto"/>
      </w:divBdr>
    </w:div>
    <w:div w:id="955285205">
      <w:bodyDiv w:val="1"/>
      <w:marLeft w:val="0"/>
      <w:marRight w:val="0"/>
      <w:marTop w:val="0"/>
      <w:marBottom w:val="0"/>
      <w:divBdr>
        <w:top w:val="none" w:sz="0" w:space="0" w:color="auto"/>
        <w:left w:val="none" w:sz="0" w:space="0" w:color="auto"/>
        <w:bottom w:val="none" w:sz="0" w:space="0" w:color="auto"/>
        <w:right w:val="none" w:sz="0" w:space="0" w:color="auto"/>
      </w:divBdr>
    </w:div>
    <w:div w:id="955990230">
      <w:bodyDiv w:val="1"/>
      <w:marLeft w:val="0"/>
      <w:marRight w:val="0"/>
      <w:marTop w:val="0"/>
      <w:marBottom w:val="0"/>
      <w:divBdr>
        <w:top w:val="none" w:sz="0" w:space="0" w:color="auto"/>
        <w:left w:val="none" w:sz="0" w:space="0" w:color="auto"/>
        <w:bottom w:val="none" w:sz="0" w:space="0" w:color="auto"/>
        <w:right w:val="none" w:sz="0" w:space="0" w:color="auto"/>
      </w:divBdr>
    </w:div>
    <w:div w:id="964851084">
      <w:bodyDiv w:val="1"/>
      <w:marLeft w:val="0"/>
      <w:marRight w:val="0"/>
      <w:marTop w:val="0"/>
      <w:marBottom w:val="0"/>
      <w:divBdr>
        <w:top w:val="none" w:sz="0" w:space="0" w:color="auto"/>
        <w:left w:val="none" w:sz="0" w:space="0" w:color="auto"/>
        <w:bottom w:val="none" w:sz="0" w:space="0" w:color="auto"/>
        <w:right w:val="none" w:sz="0" w:space="0" w:color="auto"/>
      </w:divBdr>
    </w:div>
    <w:div w:id="965504214">
      <w:bodyDiv w:val="1"/>
      <w:marLeft w:val="0"/>
      <w:marRight w:val="0"/>
      <w:marTop w:val="0"/>
      <w:marBottom w:val="0"/>
      <w:divBdr>
        <w:top w:val="none" w:sz="0" w:space="0" w:color="auto"/>
        <w:left w:val="none" w:sz="0" w:space="0" w:color="auto"/>
        <w:bottom w:val="none" w:sz="0" w:space="0" w:color="auto"/>
        <w:right w:val="none" w:sz="0" w:space="0" w:color="auto"/>
      </w:divBdr>
    </w:div>
    <w:div w:id="966735995">
      <w:bodyDiv w:val="1"/>
      <w:marLeft w:val="0"/>
      <w:marRight w:val="0"/>
      <w:marTop w:val="0"/>
      <w:marBottom w:val="0"/>
      <w:divBdr>
        <w:top w:val="none" w:sz="0" w:space="0" w:color="auto"/>
        <w:left w:val="none" w:sz="0" w:space="0" w:color="auto"/>
        <w:bottom w:val="none" w:sz="0" w:space="0" w:color="auto"/>
        <w:right w:val="none" w:sz="0" w:space="0" w:color="auto"/>
      </w:divBdr>
    </w:div>
    <w:div w:id="968975821">
      <w:bodyDiv w:val="1"/>
      <w:marLeft w:val="0"/>
      <w:marRight w:val="0"/>
      <w:marTop w:val="0"/>
      <w:marBottom w:val="0"/>
      <w:divBdr>
        <w:top w:val="none" w:sz="0" w:space="0" w:color="auto"/>
        <w:left w:val="none" w:sz="0" w:space="0" w:color="auto"/>
        <w:bottom w:val="none" w:sz="0" w:space="0" w:color="auto"/>
        <w:right w:val="none" w:sz="0" w:space="0" w:color="auto"/>
      </w:divBdr>
    </w:div>
    <w:div w:id="969088951">
      <w:bodyDiv w:val="1"/>
      <w:marLeft w:val="0"/>
      <w:marRight w:val="0"/>
      <w:marTop w:val="0"/>
      <w:marBottom w:val="0"/>
      <w:divBdr>
        <w:top w:val="none" w:sz="0" w:space="0" w:color="auto"/>
        <w:left w:val="none" w:sz="0" w:space="0" w:color="auto"/>
        <w:bottom w:val="none" w:sz="0" w:space="0" w:color="auto"/>
        <w:right w:val="none" w:sz="0" w:space="0" w:color="auto"/>
      </w:divBdr>
    </w:div>
    <w:div w:id="971784853">
      <w:bodyDiv w:val="1"/>
      <w:marLeft w:val="0"/>
      <w:marRight w:val="0"/>
      <w:marTop w:val="0"/>
      <w:marBottom w:val="0"/>
      <w:divBdr>
        <w:top w:val="none" w:sz="0" w:space="0" w:color="auto"/>
        <w:left w:val="none" w:sz="0" w:space="0" w:color="auto"/>
        <w:bottom w:val="none" w:sz="0" w:space="0" w:color="auto"/>
        <w:right w:val="none" w:sz="0" w:space="0" w:color="auto"/>
      </w:divBdr>
    </w:div>
    <w:div w:id="971983620">
      <w:bodyDiv w:val="1"/>
      <w:marLeft w:val="0"/>
      <w:marRight w:val="0"/>
      <w:marTop w:val="0"/>
      <w:marBottom w:val="0"/>
      <w:divBdr>
        <w:top w:val="none" w:sz="0" w:space="0" w:color="auto"/>
        <w:left w:val="none" w:sz="0" w:space="0" w:color="auto"/>
        <w:bottom w:val="none" w:sz="0" w:space="0" w:color="auto"/>
        <w:right w:val="none" w:sz="0" w:space="0" w:color="auto"/>
      </w:divBdr>
    </w:div>
    <w:div w:id="974338064">
      <w:bodyDiv w:val="1"/>
      <w:marLeft w:val="0"/>
      <w:marRight w:val="0"/>
      <w:marTop w:val="0"/>
      <w:marBottom w:val="0"/>
      <w:divBdr>
        <w:top w:val="none" w:sz="0" w:space="0" w:color="auto"/>
        <w:left w:val="none" w:sz="0" w:space="0" w:color="auto"/>
        <w:bottom w:val="none" w:sz="0" w:space="0" w:color="auto"/>
        <w:right w:val="none" w:sz="0" w:space="0" w:color="auto"/>
      </w:divBdr>
    </w:div>
    <w:div w:id="974918145">
      <w:bodyDiv w:val="1"/>
      <w:marLeft w:val="0"/>
      <w:marRight w:val="0"/>
      <w:marTop w:val="0"/>
      <w:marBottom w:val="0"/>
      <w:divBdr>
        <w:top w:val="none" w:sz="0" w:space="0" w:color="auto"/>
        <w:left w:val="none" w:sz="0" w:space="0" w:color="auto"/>
        <w:bottom w:val="none" w:sz="0" w:space="0" w:color="auto"/>
        <w:right w:val="none" w:sz="0" w:space="0" w:color="auto"/>
      </w:divBdr>
    </w:div>
    <w:div w:id="977150928">
      <w:bodyDiv w:val="1"/>
      <w:marLeft w:val="0"/>
      <w:marRight w:val="0"/>
      <w:marTop w:val="0"/>
      <w:marBottom w:val="0"/>
      <w:divBdr>
        <w:top w:val="none" w:sz="0" w:space="0" w:color="auto"/>
        <w:left w:val="none" w:sz="0" w:space="0" w:color="auto"/>
        <w:bottom w:val="none" w:sz="0" w:space="0" w:color="auto"/>
        <w:right w:val="none" w:sz="0" w:space="0" w:color="auto"/>
      </w:divBdr>
    </w:div>
    <w:div w:id="977300984">
      <w:bodyDiv w:val="1"/>
      <w:marLeft w:val="0"/>
      <w:marRight w:val="0"/>
      <w:marTop w:val="0"/>
      <w:marBottom w:val="0"/>
      <w:divBdr>
        <w:top w:val="none" w:sz="0" w:space="0" w:color="auto"/>
        <w:left w:val="none" w:sz="0" w:space="0" w:color="auto"/>
        <w:bottom w:val="none" w:sz="0" w:space="0" w:color="auto"/>
        <w:right w:val="none" w:sz="0" w:space="0" w:color="auto"/>
      </w:divBdr>
    </w:div>
    <w:div w:id="978143621">
      <w:bodyDiv w:val="1"/>
      <w:marLeft w:val="0"/>
      <w:marRight w:val="0"/>
      <w:marTop w:val="0"/>
      <w:marBottom w:val="0"/>
      <w:divBdr>
        <w:top w:val="none" w:sz="0" w:space="0" w:color="auto"/>
        <w:left w:val="none" w:sz="0" w:space="0" w:color="auto"/>
        <w:bottom w:val="none" w:sz="0" w:space="0" w:color="auto"/>
        <w:right w:val="none" w:sz="0" w:space="0" w:color="auto"/>
      </w:divBdr>
    </w:div>
    <w:div w:id="979991587">
      <w:bodyDiv w:val="1"/>
      <w:marLeft w:val="0"/>
      <w:marRight w:val="0"/>
      <w:marTop w:val="0"/>
      <w:marBottom w:val="0"/>
      <w:divBdr>
        <w:top w:val="none" w:sz="0" w:space="0" w:color="auto"/>
        <w:left w:val="none" w:sz="0" w:space="0" w:color="auto"/>
        <w:bottom w:val="none" w:sz="0" w:space="0" w:color="auto"/>
        <w:right w:val="none" w:sz="0" w:space="0" w:color="auto"/>
      </w:divBdr>
    </w:div>
    <w:div w:id="982539056">
      <w:bodyDiv w:val="1"/>
      <w:marLeft w:val="0"/>
      <w:marRight w:val="0"/>
      <w:marTop w:val="0"/>
      <w:marBottom w:val="0"/>
      <w:divBdr>
        <w:top w:val="none" w:sz="0" w:space="0" w:color="auto"/>
        <w:left w:val="none" w:sz="0" w:space="0" w:color="auto"/>
        <w:bottom w:val="none" w:sz="0" w:space="0" w:color="auto"/>
        <w:right w:val="none" w:sz="0" w:space="0" w:color="auto"/>
      </w:divBdr>
    </w:div>
    <w:div w:id="983201869">
      <w:bodyDiv w:val="1"/>
      <w:marLeft w:val="0"/>
      <w:marRight w:val="0"/>
      <w:marTop w:val="0"/>
      <w:marBottom w:val="0"/>
      <w:divBdr>
        <w:top w:val="none" w:sz="0" w:space="0" w:color="auto"/>
        <w:left w:val="none" w:sz="0" w:space="0" w:color="auto"/>
        <w:bottom w:val="none" w:sz="0" w:space="0" w:color="auto"/>
        <w:right w:val="none" w:sz="0" w:space="0" w:color="auto"/>
      </w:divBdr>
    </w:div>
    <w:div w:id="983781820">
      <w:bodyDiv w:val="1"/>
      <w:marLeft w:val="0"/>
      <w:marRight w:val="0"/>
      <w:marTop w:val="0"/>
      <w:marBottom w:val="0"/>
      <w:divBdr>
        <w:top w:val="none" w:sz="0" w:space="0" w:color="auto"/>
        <w:left w:val="none" w:sz="0" w:space="0" w:color="auto"/>
        <w:bottom w:val="none" w:sz="0" w:space="0" w:color="auto"/>
        <w:right w:val="none" w:sz="0" w:space="0" w:color="auto"/>
      </w:divBdr>
    </w:div>
    <w:div w:id="1001350246">
      <w:bodyDiv w:val="1"/>
      <w:marLeft w:val="0"/>
      <w:marRight w:val="0"/>
      <w:marTop w:val="0"/>
      <w:marBottom w:val="0"/>
      <w:divBdr>
        <w:top w:val="none" w:sz="0" w:space="0" w:color="auto"/>
        <w:left w:val="none" w:sz="0" w:space="0" w:color="auto"/>
        <w:bottom w:val="none" w:sz="0" w:space="0" w:color="auto"/>
        <w:right w:val="none" w:sz="0" w:space="0" w:color="auto"/>
      </w:divBdr>
    </w:div>
    <w:div w:id="1001740124">
      <w:bodyDiv w:val="1"/>
      <w:marLeft w:val="0"/>
      <w:marRight w:val="0"/>
      <w:marTop w:val="0"/>
      <w:marBottom w:val="0"/>
      <w:divBdr>
        <w:top w:val="none" w:sz="0" w:space="0" w:color="auto"/>
        <w:left w:val="none" w:sz="0" w:space="0" w:color="auto"/>
        <w:bottom w:val="none" w:sz="0" w:space="0" w:color="auto"/>
        <w:right w:val="none" w:sz="0" w:space="0" w:color="auto"/>
      </w:divBdr>
    </w:div>
    <w:div w:id="1001784671">
      <w:bodyDiv w:val="1"/>
      <w:marLeft w:val="0"/>
      <w:marRight w:val="0"/>
      <w:marTop w:val="0"/>
      <w:marBottom w:val="0"/>
      <w:divBdr>
        <w:top w:val="none" w:sz="0" w:space="0" w:color="auto"/>
        <w:left w:val="none" w:sz="0" w:space="0" w:color="auto"/>
        <w:bottom w:val="none" w:sz="0" w:space="0" w:color="auto"/>
        <w:right w:val="none" w:sz="0" w:space="0" w:color="auto"/>
      </w:divBdr>
    </w:div>
    <w:div w:id="1007904543">
      <w:bodyDiv w:val="1"/>
      <w:marLeft w:val="0"/>
      <w:marRight w:val="0"/>
      <w:marTop w:val="0"/>
      <w:marBottom w:val="0"/>
      <w:divBdr>
        <w:top w:val="none" w:sz="0" w:space="0" w:color="auto"/>
        <w:left w:val="none" w:sz="0" w:space="0" w:color="auto"/>
        <w:bottom w:val="none" w:sz="0" w:space="0" w:color="auto"/>
        <w:right w:val="none" w:sz="0" w:space="0" w:color="auto"/>
      </w:divBdr>
    </w:div>
    <w:div w:id="1008992505">
      <w:bodyDiv w:val="1"/>
      <w:marLeft w:val="0"/>
      <w:marRight w:val="0"/>
      <w:marTop w:val="0"/>
      <w:marBottom w:val="0"/>
      <w:divBdr>
        <w:top w:val="none" w:sz="0" w:space="0" w:color="auto"/>
        <w:left w:val="none" w:sz="0" w:space="0" w:color="auto"/>
        <w:bottom w:val="none" w:sz="0" w:space="0" w:color="auto"/>
        <w:right w:val="none" w:sz="0" w:space="0" w:color="auto"/>
      </w:divBdr>
    </w:div>
    <w:div w:id="1009478645">
      <w:bodyDiv w:val="1"/>
      <w:marLeft w:val="0"/>
      <w:marRight w:val="0"/>
      <w:marTop w:val="0"/>
      <w:marBottom w:val="0"/>
      <w:divBdr>
        <w:top w:val="none" w:sz="0" w:space="0" w:color="auto"/>
        <w:left w:val="none" w:sz="0" w:space="0" w:color="auto"/>
        <w:bottom w:val="none" w:sz="0" w:space="0" w:color="auto"/>
        <w:right w:val="none" w:sz="0" w:space="0" w:color="auto"/>
      </w:divBdr>
    </w:div>
    <w:div w:id="1011953509">
      <w:bodyDiv w:val="1"/>
      <w:marLeft w:val="0"/>
      <w:marRight w:val="0"/>
      <w:marTop w:val="0"/>
      <w:marBottom w:val="0"/>
      <w:divBdr>
        <w:top w:val="none" w:sz="0" w:space="0" w:color="auto"/>
        <w:left w:val="none" w:sz="0" w:space="0" w:color="auto"/>
        <w:bottom w:val="none" w:sz="0" w:space="0" w:color="auto"/>
        <w:right w:val="none" w:sz="0" w:space="0" w:color="auto"/>
      </w:divBdr>
    </w:div>
    <w:div w:id="1022052983">
      <w:bodyDiv w:val="1"/>
      <w:marLeft w:val="0"/>
      <w:marRight w:val="0"/>
      <w:marTop w:val="0"/>
      <w:marBottom w:val="0"/>
      <w:divBdr>
        <w:top w:val="none" w:sz="0" w:space="0" w:color="auto"/>
        <w:left w:val="none" w:sz="0" w:space="0" w:color="auto"/>
        <w:bottom w:val="none" w:sz="0" w:space="0" w:color="auto"/>
        <w:right w:val="none" w:sz="0" w:space="0" w:color="auto"/>
      </w:divBdr>
    </w:div>
    <w:div w:id="1024788082">
      <w:bodyDiv w:val="1"/>
      <w:marLeft w:val="0"/>
      <w:marRight w:val="0"/>
      <w:marTop w:val="0"/>
      <w:marBottom w:val="0"/>
      <w:divBdr>
        <w:top w:val="none" w:sz="0" w:space="0" w:color="auto"/>
        <w:left w:val="none" w:sz="0" w:space="0" w:color="auto"/>
        <w:bottom w:val="none" w:sz="0" w:space="0" w:color="auto"/>
        <w:right w:val="none" w:sz="0" w:space="0" w:color="auto"/>
      </w:divBdr>
    </w:div>
    <w:div w:id="1031345211">
      <w:bodyDiv w:val="1"/>
      <w:marLeft w:val="0"/>
      <w:marRight w:val="0"/>
      <w:marTop w:val="0"/>
      <w:marBottom w:val="0"/>
      <w:divBdr>
        <w:top w:val="none" w:sz="0" w:space="0" w:color="auto"/>
        <w:left w:val="none" w:sz="0" w:space="0" w:color="auto"/>
        <w:bottom w:val="none" w:sz="0" w:space="0" w:color="auto"/>
        <w:right w:val="none" w:sz="0" w:space="0" w:color="auto"/>
      </w:divBdr>
    </w:div>
    <w:div w:id="1031564625">
      <w:bodyDiv w:val="1"/>
      <w:marLeft w:val="0"/>
      <w:marRight w:val="0"/>
      <w:marTop w:val="0"/>
      <w:marBottom w:val="0"/>
      <w:divBdr>
        <w:top w:val="none" w:sz="0" w:space="0" w:color="auto"/>
        <w:left w:val="none" w:sz="0" w:space="0" w:color="auto"/>
        <w:bottom w:val="none" w:sz="0" w:space="0" w:color="auto"/>
        <w:right w:val="none" w:sz="0" w:space="0" w:color="auto"/>
      </w:divBdr>
    </w:div>
    <w:div w:id="1035621874">
      <w:bodyDiv w:val="1"/>
      <w:marLeft w:val="0"/>
      <w:marRight w:val="0"/>
      <w:marTop w:val="0"/>
      <w:marBottom w:val="0"/>
      <w:divBdr>
        <w:top w:val="none" w:sz="0" w:space="0" w:color="auto"/>
        <w:left w:val="none" w:sz="0" w:space="0" w:color="auto"/>
        <w:bottom w:val="none" w:sz="0" w:space="0" w:color="auto"/>
        <w:right w:val="none" w:sz="0" w:space="0" w:color="auto"/>
      </w:divBdr>
    </w:div>
    <w:div w:id="1038235540">
      <w:bodyDiv w:val="1"/>
      <w:marLeft w:val="0"/>
      <w:marRight w:val="0"/>
      <w:marTop w:val="0"/>
      <w:marBottom w:val="0"/>
      <w:divBdr>
        <w:top w:val="none" w:sz="0" w:space="0" w:color="auto"/>
        <w:left w:val="none" w:sz="0" w:space="0" w:color="auto"/>
        <w:bottom w:val="none" w:sz="0" w:space="0" w:color="auto"/>
        <w:right w:val="none" w:sz="0" w:space="0" w:color="auto"/>
      </w:divBdr>
    </w:div>
    <w:div w:id="1041055071">
      <w:bodyDiv w:val="1"/>
      <w:marLeft w:val="0"/>
      <w:marRight w:val="0"/>
      <w:marTop w:val="0"/>
      <w:marBottom w:val="0"/>
      <w:divBdr>
        <w:top w:val="none" w:sz="0" w:space="0" w:color="auto"/>
        <w:left w:val="none" w:sz="0" w:space="0" w:color="auto"/>
        <w:bottom w:val="none" w:sz="0" w:space="0" w:color="auto"/>
        <w:right w:val="none" w:sz="0" w:space="0" w:color="auto"/>
      </w:divBdr>
    </w:div>
    <w:div w:id="1042634076">
      <w:bodyDiv w:val="1"/>
      <w:marLeft w:val="0"/>
      <w:marRight w:val="0"/>
      <w:marTop w:val="0"/>
      <w:marBottom w:val="0"/>
      <w:divBdr>
        <w:top w:val="none" w:sz="0" w:space="0" w:color="auto"/>
        <w:left w:val="none" w:sz="0" w:space="0" w:color="auto"/>
        <w:bottom w:val="none" w:sz="0" w:space="0" w:color="auto"/>
        <w:right w:val="none" w:sz="0" w:space="0" w:color="auto"/>
      </w:divBdr>
    </w:div>
    <w:div w:id="1044132887">
      <w:bodyDiv w:val="1"/>
      <w:marLeft w:val="0"/>
      <w:marRight w:val="0"/>
      <w:marTop w:val="0"/>
      <w:marBottom w:val="0"/>
      <w:divBdr>
        <w:top w:val="none" w:sz="0" w:space="0" w:color="auto"/>
        <w:left w:val="none" w:sz="0" w:space="0" w:color="auto"/>
        <w:bottom w:val="none" w:sz="0" w:space="0" w:color="auto"/>
        <w:right w:val="none" w:sz="0" w:space="0" w:color="auto"/>
      </w:divBdr>
    </w:div>
    <w:div w:id="1044216849">
      <w:bodyDiv w:val="1"/>
      <w:marLeft w:val="0"/>
      <w:marRight w:val="0"/>
      <w:marTop w:val="0"/>
      <w:marBottom w:val="0"/>
      <w:divBdr>
        <w:top w:val="none" w:sz="0" w:space="0" w:color="auto"/>
        <w:left w:val="none" w:sz="0" w:space="0" w:color="auto"/>
        <w:bottom w:val="none" w:sz="0" w:space="0" w:color="auto"/>
        <w:right w:val="none" w:sz="0" w:space="0" w:color="auto"/>
      </w:divBdr>
    </w:div>
    <w:div w:id="1045062130">
      <w:bodyDiv w:val="1"/>
      <w:marLeft w:val="0"/>
      <w:marRight w:val="0"/>
      <w:marTop w:val="0"/>
      <w:marBottom w:val="0"/>
      <w:divBdr>
        <w:top w:val="none" w:sz="0" w:space="0" w:color="auto"/>
        <w:left w:val="none" w:sz="0" w:space="0" w:color="auto"/>
        <w:bottom w:val="none" w:sz="0" w:space="0" w:color="auto"/>
        <w:right w:val="none" w:sz="0" w:space="0" w:color="auto"/>
      </w:divBdr>
    </w:div>
    <w:div w:id="1046106545">
      <w:bodyDiv w:val="1"/>
      <w:marLeft w:val="0"/>
      <w:marRight w:val="0"/>
      <w:marTop w:val="0"/>
      <w:marBottom w:val="0"/>
      <w:divBdr>
        <w:top w:val="none" w:sz="0" w:space="0" w:color="auto"/>
        <w:left w:val="none" w:sz="0" w:space="0" w:color="auto"/>
        <w:bottom w:val="none" w:sz="0" w:space="0" w:color="auto"/>
        <w:right w:val="none" w:sz="0" w:space="0" w:color="auto"/>
      </w:divBdr>
    </w:div>
    <w:div w:id="1049307088">
      <w:bodyDiv w:val="1"/>
      <w:marLeft w:val="0"/>
      <w:marRight w:val="0"/>
      <w:marTop w:val="0"/>
      <w:marBottom w:val="0"/>
      <w:divBdr>
        <w:top w:val="none" w:sz="0" w:space="0" w:color="auto"/>
        <w:left w:val="none" w:sz="0" w:space="0" w:color="auto"/>
        <w:bottom w:val="none" w:sz="0" w:space="0" w:color="auto"/>
        <w:right w:val="none" w:sz="0" w:space="0" w:color="auto"/>
      </w:divBdr>
    </w:div>
    <w:div w:id="1058242284">
      <w:bodyDiv w:val="1"/>
      <w:marLeft w:val="0"/>
      <w:marRight w:val="0"/>
      <w:marTop w:val="0"/>
      <w:marBottom w:val="0"/>
      <w:divBdr>
        <w:top w:val="none" w:sz="0" w:space="0" w:color="auto"/>
        <w:left w:val="none" w:sz="0" w:space="0" w:color="auto"/>
        <w:bottom w:val="none" w:sz="0" w:space="0" w:color="auto"/>
        <w:right w:val="none" w:sz="0" w:space="0" w:color="auto"/>
      </w:divBdr>
    </w:div>
    <w:div w:id="1061714127">
      <w:bodyDiv w:val="1"/>
      <w:marLeft w:val="0"/>
      <w:marRight w:val="0"/>
      <w:marTop w:val="0"/>
      <w:marBottom w:val="0"/>
      <w:divBdr>
        <w:top w:val="none" w:sz="0" w:space="0" w:color="auto"/>
        <w:left w:val="none" w:sz="0" w:space="0" w:color="auto"/>
        <w:bottom w:val="none" w:sz="0" w:space="0" w:color="auto"/>
        <w:right w:val="none" w:sz="0" w:space="0" w:color="auto"/>
      </w:divBdr>
    </w:div>
    <w:div w:id="1064572071">
      <w:bodyDiv w:val="1"/>
      <w:marLeft w:val="0"/>
      <w:marRight w:val="0"/>
      <w:marTop w:val="0"/>
      <w:marBottom w:val="0"/>
      <w:divBdr>
        <w:top w:val="none" w:sz="0" w:space="0" w:color="auto"/>
        <w:left w:val="none" w:sz="0" w:space="0" w:color="auto"/>
        <w:bottom w:val="none" w:sz="0" w:space="0" w:color="auto"/>
        <w:right w:val="none" w:sz="0" w:space="0" w:color="auto"/>
      </w:divBdr>
    </w:div>
    <w:div w:id="1067610925">
      <w:bodyDiv w:val="1"/>
      <w:marLeft w:val="0"/>
      <w:marRight w:val="0"/>
      <w:marTop w:val="0"/>
      <w:marBottom w:val="0"/>
      <w:divBdr>
        <w:top w:val="none" w:sz="0" w:space="0" w:color="auto"/>
        <w:left w:val="none" w:sz="0" w:space="0" w:color="auto"/>
        <w:bottom w:val="none" w:sz="0" w:space="0" w:color="auto"/>
        <w:right w:val="none" w:sz="0" w:space="0" w:color="auto"/>
      </w:divBdr>
    </w:div>
    <w:div w:id="1068649634">
      <w:bodyDiv w:val="1"/>
      <w:marLeft w:val="0"/>
      <w:marRight w:val="0"/>
      <w:marTop w:val="0"/>
      <w:marBottom w:val="0"/>
      <w:divBdr>
        <w:top w:val="none" w:sz="0" w:space="0" w:color="auto"/>
        <w:left w:val="none" w:sz="0" w:space="0" w:color="auto"/>
        <w:bottom w:val="none" w:sz="0" w:space="0" w:color="auto"/>
        <w:right w:val="none" w:sz="0" w:space="0" w:color="auto"/>
      </w:divBdr>
    </w:div>
    <w:div w:id="1074161205">
      <w:bodyDiv w:val="1"/>
      <w:marLeft w:val="0"/>
      <w:marRight w:val="0"/>
      <w:marTop w:val="0"/>
      <w:marBottom w:val="0"/>
      <w:divBdr>
        <w:top w:val="none" w:sz="0" w:space="0" w:color="auto"/>
        <w:left w:val="none" w:sz="0" w:space="0" w:color="auto"/>
        <w:bottom w:val="none" w:sz="0" w:space="0" w:color="auto"/>
        <w:right w:val="none" w:sz="0" w:space="0" w:color="auto"/>
      </w:divBdr>
    </w:div>
    <w:div w:id="1076707246">
      <w:bodyDiv w:val="1"/>
      <w:marLeft w:val="0"/>
      <w:marRight w:val="0"/>
      <w:marTop w:val="0"/>
      <w:marBottom w:val="0"/>
      <w:divBdr>
        <w:top w:val="none" w:sz="0" w:space="0" w:color="auto"/>
        <w:left w:val="none" w:sz="0" w:space="0" w:color="auto"/>
        <w:bottom w:val="none" w:sz="0" w:space="0" w:color="auto"/>
        <w:right w:val="none" w:sz="0" w:space="0" w:color="auto"/>
      </w:divBdr>
    </w:div>
    <w:div w:id="1077900514">
      <w:bodyDiv w:val="1"/>
      <w:marLeft w:val="0"/>
      <w:marRight w:val="0"/>
      <w:marTop w:val="0"/>
      <w:marBottom w:val="0"/>
      <w:divBdr>
        <w:top w:val="none" w:sz="0" w:space="0" w:color="auto"/>
        <w:left w:val="none" w:sz="0" w:space="0" w:color="auto"/>
        <w:bottom w:val="none" w:sz="0" w:space="0" w:color="auto"/>
        <w:right w:val="none" w:sz="0" w:space="0" w:color="auto"/>
      </w:divBdr>
    </w:div>
    <w:div w:id="1078290966">
      <w:bodyDiv w:val="1"/>
      <w:marLeft w:val="0"/>
      <w:marRight w:val="0"/>
      <w:marTop w:val="0"/>
      <w:marBottom w:val="0"/>
      <w:divBdr>
        <w:top w:val="none" w:sz="0" w:space="0" w:color="auto"/>
        <w:left w:val="none" w:sz="0" w:space="0" w:color="auto"/>
        <w:bottom w:val="none" w:sz="0" w:space="0" w:color="auto"/>
        <w:right w:val="none" w:sz="0" w:space="0" w:color="auto"/>
      </w:divBdr>
    </w:div>
    <w:div w:id="1079910902">
      <w:bodyDiv w:val="1"/>
      <w:marLeft w:val="0"/>
      <w:marRight w:val="0"/>
      <w:marTop w:val="0"/>
      <w:marBottom w:val="0"/>
      <w:divBdr>
        <w:top w:val="none" w:sz="0" w:space="0" w:color="auto"/>
        <w:left w:val="none" w:sz="0" w:space="0" w:color="auto"/>
        <w:bottom w:val="none" w:sz="0" w:space="0" w:color="auto"/>
        <w:right w:val="none" w:sz="0" w:space="0" w:color="auto"/>
      </w:divBdr>
    </w:div>
    <w:div w:id="1081758457">
      <w:bodyDiv w:val="1"/>
      <w:marLeft w:val="0"/>
      <w:marRight w:val="0"/>
      <w:marTop w:val="0"/>
      <w:marBottom w:val="0"/>
      <w:divBdr>
        <w:top w:val="none" w:sz="0" w:space="0" w:color="auto"/>
        <w:left w:val="none" w:sz="0" w:space="0" w:color="auto"/>
        <w:bottom w:val="none" w:sz="0" w:space="0" w:color="auto"/>
        <w:right w:val="none" w:sz="0" w:space="0" w:color="auto"/>
      </w:divBdr>
    </w:div>
    <w:div w:id="1081870514">
      <w:bodyDiv w:val="1"/>
      <w:marLeft w:val="0"/>
      <w:marRight w:val="0"/>
      <w:marTop w:val="0"/>
      <w:marBottom w:val="0"/>
      <w:divBdr>
        <w:top w:val="none" w:sz="0" w:space="0" w:color="auto"/>
        <w:left w:val="none" w:sz="0" w:space="0" w:color="auto"/>
        <w:bottom w:val="none" w:sz="0" w:space="0" w:color="auto"/>
        <w:right w:val="none" w:sz="0" w:space="0" w:color="auto"/>
      </w:divBdr>
    </w:div>
    <w:div w:id="1082608459">
      <w:bodyDiv w:val="1"/>
      <w:marLeft w:val="0"/>
      <w:marRight w:val="0"/>
      <w:marTop w:val="0"/>
      <w:marBottom w:val="0"/>
      <w:divBdr>
        <w:top w:val="none" w:sz="0" w:space="0" w:color="auto"/>
        <w:left w:val="none" w:sz="0" w:space="0" w:color="auto"/>
        <w:bottom w:val="none" w:sz="0" w:space="0" w:color="auto"/>
        <w:right w:val="none" w:sz="0" w:space="0" w:color="auto"/>
      </w:divBdr>
    </w:div>
    <w:div w:id="1084424562">
      <w:bodyDiv w:val="1"/>
      <w:marLeft w:val="0"/>
      <w:marRight w:val="0"/>
      <w:marTop w:val="0"/>
      <w:marBottom w:val="0"/>
      <w:divBdr>
        <w:top w:val="none" w:sz="0" w:space="0" w:color="auto"/>
        <w:left w:val="none" w:sz="0" w:space="0" w:color="auto"/>
        <w:bottom w:val="none" w:sz="0" w:space="0" w:color="auto"/>
        <w:right w:val="none" w:sz="0" w:space="0" w:color="auto"/>
      </w:divBdr>
    </w:div>
    <w:div w:id="1086224309">
      <w:bodyDiv w:val="1"/>
      <w:marLeft w:val="0"/>
      <w:marRight w:val="0"/>
      <w:marTop w:val="0"/>
      <w:marBottom w:val="0"/>
      <w:divBdr>
        <w:top w:val="none" w:sz="0" w:space="0" w:color="auto"/>
        <w:left w:val="none" w:sz="0" w:space="0" w:color="auto"/>
        <w:bottom w:val="none" w:sz="0" w:space="0" w:color="auto"/>
        <w:right w:val="none" w:sz="0" w:space="0" w:color="auto"/>
      </w:divBdr>
    </w:div>
    <w:div w:id="1086263172">
      <w:bodyDiv w:val="1"/>
      <w:marLeft w:val="0"/>
      <w:marRight w:val="0"/>
      <w:marTop w:val="0"/>
      <w:marBottom w:val="0"/>
      <w:divBdr>
        <w:top w:val="none" w:sz="0" w:space="0" w:color="auto"/>
        <w:left w:val="none" w:sz="0" w:space="0" w:color="auto"/>
        <w:bottom w:val="none" w:sz="0" w:space="0" w:color="auto"/>
        <w:right w:val="none" w:sz="0" w:space="0" w:color="auto"/>
      </w:divBdr>
    </w:div>
    <w:div w:id="1086852276">
      <w:bodyDiv w:val="1"/>
      <w:marLeft w:val="0"/>
      <w:marRight w:val="0"/>
      <w:marTop w:val="0"/>
      <w:marBottom w:val="0"/>
      <w:divBdr>
        <w:top w:val="none" w:sz="0" w:space="0" w:color="auto"/>
        <w:left w:val="none" w:sz="0" w:space="0" w:color="auto"/>
        <w:bottom w:val="none" w:sz="0" w:space="0" w:color="auto"/>
        <w:right w:val="none" w:sz="0" w:space="0" w:color="auto"/>
      </w:divBdr>
    </w:div>
    <w:div w:id="1088699451">
      <w:bodyDiv w:val="1"/>
      <w:marLeft w:val="0"/>
      <w:marRight w:val="0"/>
      <w:marTop w:val="0"/>
      <w:marBottom w:val="0"/>
      <w:divBdr>
        <w:top w:val="none" w:sz="0" w:space="0" w:color="auto"/>
        <w:left w:val="none" w:sz="0" w:space="0" w:color="auto"/>
        <w:bottom w:val="none" w:sz="0" w:space="0" w:color="auto"/>
        <w:right w:val="none" w:sz="0" w:space="0" w:color="auto"/>
      </w:divBdr>
    </w:div>
    <w:div w:id="1089816146">
      <w:bodyDiv w:val="1"/>
      <w:marLeft w:val="0"/>
      <w:marRight w:val="0"/>
      <w:marTop w:val="0"/>
      <w:marBottom w:val="0"/>
      <w:divBdr>
        <w:top w:val="none" w:sz="0" w:space="0" w:color="auto"/>
        <w:left w:val="none" w:sz="0" w:space="0" w:color="auto"/>
        <w:bottom w:val="none" w:sz="0" w:space="0" w:color="auto"/>
        <w:right w:val="none" w:sz="0" w:space="0" w:color="auto"/>
      </w:divBdr>
    </w:div>
    <w:div w:id="1094941295">
      <w:bodyDiv w:val="1"/>
      <w:marLeft w:val="0"/>
      <w:marRight w:val="0"/>
      <w:marTop w:val="0"/>
      <w:marBottom w:val="0"/>
      <w:divBdr>
        <w:top w:val="none" w:sz="0" w:space="0" w:color="auto"/>
        <w:left w:val="none" w:sz="0" w:space="0" w:color="auto"/>
        <w:bottom w:val="none" w:sz="0" w:space="0" w:color="auto"/>
        <w:right w:val="none" w:sz="0" w:space="0" w:color="auto"/>
      </w:divBdr>
    </w:div>
    <w:div w:id="1098910569">
      <w:bodyDiv w:val="1"/>
      <w:marLeft w:val="0"/>
      <w:marRight w:val="0"/>
      <w:marTop w:val="0"/>
      <w:marBottom w:val="0"/>
      <w:divBdr>
        <w:top w:val="none" w:sz="0" w:space="0" w:color="auto"/>
        <w:left w:val="none" w:sz="0" w:space="0" w:color="auto"/>
        <w:bottom w:val="none" w:sz="0" w:space="0" w:color="auto"/>
        <w:right w:val="none" w:sz="0" w:space="0" w:color="auto"/>
      </w:divBdr>
    </w:div>
    <w:div w:id="1102072477">
      <w:bodyDiv w:val="1"/>
      <w:marLeft w:val="0"/>
      <w:marRight w:val="0"/>
      <w:marTop w:val="0"/>
      <w:marBottom w:val="0"/>
      <w:divBdr>
        <w:top w:val="none" w:sz="0" w:space="0" w:color="auto"/>
        <w:left w:val="none" w:sz="0" w:space="0" w:color="auto"/>
        <w:bottom w:val="none" w:sz="0" w:space="0" w:color="auto"/>
        <w:right w:val="none" w:sz="0" w:space="0" w:color="auto"/>
      </w:divBdr>
    </w:div>
    <w:div w:id="1102381799">
      <w:bodyDiv w:val="1"/>
      <w:marLeft w:val="0"/>
      <w:marRight w:val="0"/>
      <w:marTop w:val="0"/>
      <w:marBottom w:val="0"/>
      <w:divBdr>
        <w:top w:val="none" w:sz="0" w:space="0" w:color="auto"/>
        <w:left w:val="none" w:sz="0" w:space="0" w:color="auto"/>
        <w:bottom w:val="none" w:sz="0" w:space="0" w:color="auto"/>
        <w:right w:val="none" w:sz="0" w:space="0" w:color="auto"/>
      </w:divBdr>
    </w:div>
    <w:div w:id="1103264392">
      <w:bodyDiv w:val="1"/>
      <w:marLeft w:val="0"/>
      <w:marRight w:val="0"/>
      <w:marTop w:val="0"/>
      <w:marBottom w:val="0"/>
      <w:divBdr>
        <w:top w:val="none" w:sz="0" w:space="0" w:color="auto"/>
        <w:left w:val="none" w:sz="0" w:space="0" w:color="auto"/>
        <w:bottom w:val="none" w:sz="0" w:space="0" w:color="auto"/>
        <w:right w:val="none" w:sz="0" w:space="0" w:color="auto"/>
      </w:divBdr>
    </w:div>
    <w:div w:id="1106541221">
      <w:bodyDiv w:val="1"/>
      <w:marLeft w:val="0"/>
      <w:marRight w:val="0"/>
      <w:marTop w:val="0"/>
      <w:marBottom w:val="0"/>
      <w:divBdr>
        <w:top w:val="none" w:sz="0" w:space="0" w:color="auto"/>
        <w:left w:val="none" w:sz="0" w:space="0" w:color="auto"/>
        <w:bottom w:val="none" w:sz="0" w:space="0" w:color="auto"/>
        <w:right w:val="none" w:sz="0" w:space="0" w:color="auto"/>
      </w:divBdr>
    </w:div>
    <w:div w:id="1110010059">
      <w:bodyDiv w:val="1"/>
      <w:marLeft w:val="0"/>
      <w:marRight w:val="0"/>
      <w:marTop w:val="0"/>
      <w:marBottom w:val="0"/>
      <w:divBdr>
        <w:top w:val="none" w:sz="0" w:space="0" w:color="auto"/>
        <w:left w:val="none" w:sz="0" w:space="0" w:color="auto"/>
        <w:bottom w:val="none" w:sz="0" w:space="0" w:color="auto"/>
        <w:right w:val="none" w:sz="0" w:space="0" w:color="auto"/>
      </w:divBdr>
    </w:div>
    <w:div w:id="1110978322">
      <w:bodyDiv w:val="1"/>
      <w:marLeft w:val="0"/>
      <w:marRight w:val="0"/>
      <w:marTop w:val="0"/>
      <w:marBottom w:val="0"/>
      <w:divBdr>
        <w:top w:val="none" w:sz="0" w:space="0" w:color="auto"/>
        <w:left w:val="none" w:sz="0" w:space="0" w:color="auto"/>
        <w:bottom w:val="none" w:sz="0" w:space="0" w:color="auto"/>
        <w:right w:val="none" w:sz="0" w:space="0" w:color="auto"/>
      </w:divBdr>
    </w:div>
    <w:div w:id="1112744725">
      <w:bodyDiv w:val="1"/>
      <w:marLeft w:val="0"/>
      <w:marRight w:val="0"/>
      <w:marTop w:val="0"/>
      <w:marBottom w:val="0"/>
      <w:divBdr>
        <w:top w:val="none" w:sz="0" w:space="0" w:color="auto"/>
        <w:left w:val="none" w:sz="0" w:space="0" w:color="auto"/>
        <w:bottom w:val="none" w:sz="0" w:space="0" w:color="auto"/>
        <w:right w:val="none" w:sz="0" w:space="0" w:color="auto"/>
      </w:divBdr>
    </w:div>
    <w:div w:id="1114862614">
      <w:bodyDiv w:val="1"/>
      <w:marLeft w:val="0"/>
      <w:marRight w:val="0"/>
      <w:marTop w:val="0"/>
      <w:marBottom w:val="0"/>
      <w:divBdr>
        <w:top w:val="none" w:sz="0" w:space="0" w:color="auto"/>
        <w:left w:val="none" w:sz="0" w:space="0" w:color="auto"/>
        <w:bottom w:val="none" w:sz="0" w:space="0" w:color="auto"/>
        <w:right w:val="none" w:sz="0" w:space="0" w:color="auto"/>
      </w:divBdr>
    </w:div>
    <w:div w:id="1116411366">
      <w:bodyDiv w:val="1"/>
      <w:marLeft w:val="0"/>
      <w:marRight w:val="0"/>
      <w:marTop w:val="0"/>
      <w:marBottom w:val="0"/>
      <w:divBdr>
        <w:top w:val="none" w:sz="0" w:space="0" w:color="auto"/>
        <w:left w:val="none" w:sz="0" w:space="0" w:color="auto"/>
        <w:bottom w:val="none" w:sz="0" w:space="0" w:color="auto"/>
        <w:right w:val="none" w:sz="0" w:space="0" w:color="auto"/>
      </w:divBdr>
    </w:div>
    <w:div w:id="1118531153">
      <w:bodyDiv w:val="1"/>
      <w:marLeft w:val="0"/>
      <w:marRight w:val="0"/>
      <w:marTop w:val="0"/>
      <w:marBottom w:val="0"/>
      <w:divBdr>
        <w:top w:val="none" w:sz="0" w:space="0" w:color="auto"/>
        <w:left w:val="none" w:sz="0" w:space="0" w:color="auto"/>
        <w:bottom w:val="none" w:sz="0" w:space="0" w:color="auto"/>
        <w:right w:val="none" w:sz="0" w:space="0" w:color="auto"/>
      </w:divBdr>
    </w:div>
    <w:div w:id="1119879821">
      <w:bodyDiv w:val="1"/>
      <w:marLeft w:val="0"/>
      <w:marRight w:val="0"/>
      <w:marTop w:val="0"/>
      <w:marBottom w:val="0"/>
      <w:divBdr>
        <w:top w:val="none" w:sz="0" w:space="0" w:color="auto"/>
        <w:left w:val="none" w:sz="0" w:space="0" w:color="auto"/>
        <w:bottom w:val="none" w:sz="0" w:space="0" w:color="auto"/>
        <w:right w:val="none" w:sz="0" w:space="0" w:color="auto"/>
      </w:divBdr>
    </w:div>
    <w:div w:id="1121846091">
      <w:bodyDiv w:val="1"/>
      <w:marLeft w:val="0"/>
      <w:marRight w:val="0"/>
      <w:marTop w:val="0"/>
      <w:marBottom w:val="0"/>
      <w:divBdr>
        <w:top w:val="none" w:sz="0" w:space="0" w:color="auto"/>
        <w:left w:val="none" w:sz="0" w:space="0" w:color="auto"/>
        <w:bottom w:val="none" w:sz="0" w:space="0" w:color="auto"/>
        <w:right w:val="none" w:sz="0" w:space="0" w:color="auto"/>
      </w:divBdr>
    </w:div>
    <w:div w:id="1125319938">
      <w:bodyDiv w:val="1"/>
      <w:marLeft w:val="0"/>
      <w:marRight w:val="0"/>
      <w:marTop w:val="0"/>
      <w:marBottom w:val="0"/>
      <w:divBdr>
        <w:top w:val="none" w:sz="0" w:space="0" w:color="auto"/>
        <w:left w:val="none" w:sz="0" w:space="0" w:color="auto"/>
        <w:bottom w:val="none" w:sz="0" w:space="0" w:color="auto"/>
        <w:right w:val="none" w:sz="0" w:space="0" w:color="auto"/>
      </w:divBdr>
    </w:div>
    <w:div w:id="1125805465">
      <w:bodyDiv w:val="1"/>
      <w:marLeft w:val="0"/>
      <w:marRight w:val="0"/>
      <w:marTop w:val="0"/>
      <w:marBottom w:val="0"/>
      <w:divBdr>
        <w:top w:val="none" w:sz="0" w:space="0" w:color="auto"/>
        <w:left w:val="none" w:sz="0" w:space="0" w:color="auto"/>
        <w:bottom w:val="none" w:sz="0" w:space="0" w:color="auto"/>
        <w:right w:val="none" w:sz="0" w:space="0" w:color="auto"/>
      </w:divBdr>
    </w:div>
    <w:div w:id="1127504428">
      <w:bodyDiv w:val="1"/>
      <w:marLeft w:val="0"/>
      <w:marRight w:val="0"/>
      <w:marTop w:val="0"/>
      <w:marBottom w:val="0"/>
      <w:divBdr>
        <w:top w:val="none" w:sz="0" w:space="0" w:color="auto"/>
        <w:left w:val="none" w:sz="0" w:space="0" w:color="auto"/>
        <w:bottom w:val="none" w:sz="0" w:space="0" w:color="auto"/>
        <w:right w:val="none" w:sz="0" w:space="0" w:color="auto"/>
      </w:divBdr>
    </w:div>
    <w:div w:id="1127626221">
      <w:bodyDiv w:val="1"/>
      <w:marLeft w:val="0"/>
      <w:marRight w:val="0"/>
      <w:marTop w:val="0"/>
      <w:marBottom w:val="0"/>
      <w:divBdr>
        <w:top w:val="none" w:sz="0" w:space="0" w:color="auto"/>
        <w:left w:val="none" w:sz="0" w:space="0" w:color="auto"/>
        <w:bottom w:val="none" w:sz="0" w:space="0" w:color="auto"/>
        <w:right w:val="none" w:sz="0" w:space="0" w:color="auto"/>
      </w:divBdr>
    </w:div>
    <w:div w:id="1134102265">
      <w:bodyDiv w:val="1"/>
      <w:marLeft w:val="0"/>
      <w:marRight w:val="0"/>
      <w:marTop w:val="0"/>
      <w:marBottom w:val="0"/>
      <w:divBdr>
        <w:top w:val="none" w:sz="0" w:space="0" w:color="auto"/>
        <w:left w:val="none" w:sz="0" w:space="0" w:color="auto"/>
        <w:bottom w:val="none" w:sz="0" w:space="0" w:color="auto"/>
        <w:right w:val="none" w:sz="0" w:space="0" w:color="auto"/>
      </w:divBdr>
    </w:div>
    <w:div w:id="1135952079">
      <w:bodyDiv w:val="1"/>
      <w:marLeft w:val="0"/>
      <w:marRight w:val="0"/>
      <w:marTop w:val="0"/>
      <w:marBottom w:val="0"/>
      <w:divBdr>
        <w:top w:val="none" w:sz="0" w:space="0" w:color="auto"/>
        <w:left w:val="none" w:sz="0" w:space="0" w:color="auto"/>
        <w:bottom w:val="none" w:sz="0" w:space="0" w:color="auto"/>
        <w:right w:val="none" w:sz="0" w:space="0" w:color="auto"/>
      </w:divBdr>
    </w:div>
    <w:div w:id="1136727163">
      <w:bodyDiv w:val="1"/>
      <w:marLeft w:val="0"/>
      <w:marRight w:val="0"/>
      <w:marTop w:val="0"/>
      <w:marBottom w:val="0"/>
      <w:divBdr>
        <w:top w:val="none" w:sz="0" w:space="0" w:color="auto"/>
        <w:left w:val="none" w:sz="0" w:space="0" w:color="auto"/>
        <w:bottom w:val="none" w:sz="0" w:space="0" w:color="auto"/>
        <w:right w:val="none" w:sz="0" w:space="0" w:color="auto"/>
      </w:divBdr>
    </w:div>
    <w:div w:id="1136948512">
      <w:bodyDiv w:val="1"/>
      <w:marLeft w:val="0"/>
      <w:marRight w:val="0"/>
      <w:marTop w:val="0"/>
      <w:marBottom w:val="0"/>
      <w:divBdr>
        <w:top w:val="none" w:sz="0" w:space="0" w:color="auto"/>
        <w:left w:val="none" w:sz="0" w:space="0" w:color="auto"/>
        <w:bottom w:val="none" w:sz="0" w:space="0" w:color="auto"/>
        <w:right w:val="none" w:sz="0" w:space="0" w:color="auto"/>
      </w:divBdr>
    </w:div>
    <w:div w:id="1140730903">
      <w:bodyDiv w:val="1"/>
      <w:marLeft w:val="0"/>
      <w:marRight w:val="0"/>
      <w:marTop w:val="0"/>
      <w:marBottom w:val="0"/>
      <w:divBdr>
        <w:top w:val="none" w:sz="0" w:space="0" w:color="auto"/>
        <w:left w:val="none" w:sz="0" w:space="0" w:color="auto"/>
        <w:bottom w:val="none" w:sz="0" w:space="0" w:color="auto"/>
        <w:right w:val="none" w:sz="0" w:space="0" w:color="auto"/>
      </w:divBdr>
    </w:div>
    <w:div w:id="1144857088">
      <w:bodyDiv w:val="1"/>
      <w:marLeft w:val="0"/>
      <w:marRight w:val="0"/>
      <w:marTop w:val="0"/>
      <w:marBottom w:val="0"/>
      <w:divBdr>
        <w:top w:val="none" w:sz="0" w:space="0" w:color="auto"/>
        <w:left w:val="none" w:sz="0" w:space="0" w:color="auto"/>
        <w:bottom w:val="none" w:sz="0" w:space="0" w:color="auto"/>
        <w:right w:val="none" w:sz="0" w:space="0" w:color="auto"/>
      </w:divBdr>
    </w:div>
    <w:div w:id="1145974190">
      <w:bodyDiv w:val="1"/>
      <w:marLeft w:val="0"/>
      <w:marRight w:val="0"/>
      <w:marTop w:val="0"/>
      <w:marBottom w:val="0"/>
      <w:divBdr>
        <w:top w:val="none" w:sz="0" w:space="0" w:color="auto"/>
        <w:left w:val="none" w:sz="0" w:space="0" w:color="auto"/>
        <w:bottom w:val="none" w:sz="0" w:space="0" w:color="auto"/>
        <w:right w:val="none" w:sz="0" w:space="0" w:color="auto"/>
      </w:divBdr>
    </w:div>
    <w:div w:id="1147161647">
      <w:bodyDiv w:val="1"/>
      <w:marLeft w:val="0"/>
      <w:marRight w:val="0"/>
      <w:marTop w:val="0"/>
      <w:marBottom w:val="0"/>
      <w:divBdr>
        <w:top w:val="none" w:sz="0" w:space="0" w:color="auto"/>
        <w:left w:val="none" w:sz="0" w:space="0" w:color="auto"/>
        <w:bottom w:val="none" w:sz="0" w:space="0" w:color="auto"/>
        <w:right w:val="none" w:sz="0" w:space="0" w:color="auto"/>
      </w:divBdr>
    </w:div>
    <w:div w:id="1148549682">
      <w:bodyDiv w:val="1"/>
      <w:marLeft w:val="0"/>
      <w:marRight w:val="0"/>
      <w:marTop w:val="0"/>
      <w:marBottom w:val="0"/>
      <w:divBdr>
        <w:top w:val="none" w:sz="0" w:space="0" w:color="auto"/>
        <w:left w:val="none" w:sz="0" w:space="0" w:color="auto"/>
        <w:bottom w:val="none" w:sz="0" w:space="0" w:color="auto"/>
        <w:right w:val="none" w:sz="0" w:space="0" w:color="auto"/>
      </w:divBdr>
    </w:div>
    <w:div w:id="1154495875">
      <w:bodyDiv w:val="1"/>
      <w:marLeft w:val="0"/>
      <w:marRight w:val="0"/>
      <w:marTop w:val="0"/>
      <w:marBottom w:val="0"/>
      <w:divBdr>
        <w:top w:val="none" w:sz="0" w:space="0" w:color="auto"/>
        <w:left w:val="none" w:sz="0" w:space="0" w:color="auto"/>
        <w:bottom w:val="none" w:sz="0" w:space="0" w:color="auto"/>
        <w:right w:val="none" w:sz="0" w:space="0" w:color="auto"/>
      </w:divBdr>
    </w:div>
    <w:div w:id="1155610481">
      <w:bodyDiv w:val="1"/>
      <w:marLeft w:val="0"/>
      <w:marRight w:val="0"/>
      <w:marTop w:val="0"/>
      <w:marBottom w:val="0"/>
      <w:divBdr>
        <w:top w:val="none" w:sz="0" w:space="0" w:color="auto"/>
        <w:left w:val="none" w:sz="0" w:space="0" w:color="auto"/>
        <w:bottom w:val="none" w:sz="0" w:space="0" w:color="auto"/>
        <w:right w:val="none" w:sz="0" w:space="0" w:color="auto"/>
      </w:divBdr>
    </w:div>
    <w:div w:id="1156217699">
      <w:bodyDiv w:val="1"/>
      <w:marLeft w:val="0"/>
      <w:marRight w:val="0"/>
      <w:marTop w:val="0"/>
      <w:marBottom w:val="0"/>
      <w:divBdr>
        <w:top w:val="none" w:sz="0" w:space="0" w:color="auto"/>
        <w:left w:val="none" w:sz="0" w:space="0" w:color="auto"/>
        <w:bottom w:val="none" w:sz="0" w:space="0" w:color="auto"/>
        <w:right w:val="none" w:sz="0" w:space="0" w:color="auto"/>
      </w:divBdr>
    </w:div>
    <w:div w:id="1163011519">
      <w:bodyDiv w:val="1"/>
      <w:marLeft w:val="0"/>
      <w:marRight w:val="0"/>
      <w:marTop w:val="0"/>
      <w:marBottom w:val="0"/>
      <w:divBdr>
        <w:top w:val="none" w:sz="0" w:space="0" w:color="auto"/>
        <w:left w:val="none" w:sz="0" w:space="0" w:color="auto"/>
        <w:bottom w:val="none" w:sz="0" w:space="0" w:color="auto"/>
        <w:right w:val="none" w:sz="0" w:space="0" w:color="auto"/>
      </w:divBdr>
    </w:div>
    <w:div w:id="1163467000">
      <w:bodyDiv w:val="1"/>
      <w:marLeft w:val="0"/>
      <w:marRight w:val="0"/>
      <w:marTop w:val="0"/>
      <w:marBottom w:val="0"/>
      <w:divBdr>
        <w:top w:val="none" w:sz="0" w:space="0" w:color="auto"/>
        <w:left w:val="none" w:sz="0" w:space="0" w:color="auto"/>
        <w:bottom w:val="none" w:sz="0" w:space="0" w:color="auto"/>
        <w:right w:val="none" w:sz="0" w:space="0" w:color="auto"/>
      </w:divBdr>
    </w:div>
    <w:div w:id="1165632481">
      <w:bodyDiv w:val="1"/>
      <w:marLeft w:val="0"/>
      <w:marRight w:val="0"/>
      <w:marTop w:val="0"/>
      <w:marBottom w:val="0"/>
      <w:divBdr>
        <w:top w:val="none" w:sz="0" w:space="0" w:color="auto"/>
        <w:left w:val="none" w:sz="0" w:space="0" w:color="auto"/>
        <w:bottom w:val="none" w:sz="0" w:space="0" w:color="auto"/>
        <w:right w:val="none" w:sz="0" w:space="0" w:color="auto"/>
      </w:divBdr>
    </w:div>
    <w:div w:id="1165705469">
      <w:bodyDiv w:val="1"/>
      <w:marLeft w:val="0"/>
      <w:marRight w:val="0"/>
      <w:marTop w:val="0"/>
      <w:marBottom w:val="0"/>
      <w:divBdr>
        <w:top w:val="none" w:sz="0" w:space="0" w:color="auto"/>
        <w:left w:val="none" w:sz="0" w:space="0" w:color="auto"/>
        <w:bottom w:val="none" w:sz="0" w:space="0" w:color="auto"/>
        <w:right w:val="none" w:sz="0" w:space="0" w:color="auto"/>
      </w:divBdr>
    </w:div>
    <w:div w:id="1169294920">
      <w:bodyDiv w:val="1"/>
      <w:marLeft w:val="0"/>
      <w:marRight w:val="0"/>
      <w:marTop w:val="0"/>
      <w:marBottom w:val="0"/>
      <w:divBdr>
        <w:top w:val="none" w:sz="0" w:space="0" w:color="auto"/>
        <w:left w:val="none" w:sz="0" w:space="0" w:color="auto"/>
        <w:bottom w:val="none" w:sz="0" w:space="0" w:color="auto"/>
        <w:right w:val="none" w:sz="0" w:space="0" w:color="auto"/>
      </w:divBdr>
    </w:div>
    <w:div w:id="1173959157">
      <w:bodyDiv w:val="1"/>
      <w:marLeft w:val="0"/>
      <w:marRight w:val="0"/>
      <w:marTop w:val="0"/>
      <w:marBottom w:val="0"/>
      <w:divBdr>
        <w:top w:val="none" w:sz="0" w:space="0" w:color="auto"/>
        <w:left w:val="none" w:sz="0" w:space="0" w:color="auto"/>
        <w:bottom w:val="none" w:sz="0" w:space="0" w:color="auto"/>
        <w:right w:val="none" w:sz="0" w:space="0" w:color="auto"/>
      </w:divBdr>
    </w:div>
    <w:div w:id="1175849732">
      <w:bodyDiv w:val="1"/>
      <w:marLeft w:val="0"/>
      <w:marRight w:val="0"/>
      <w:marTop w:val="0"/>
      <w:marBottom w:val="0"/>
      <w:divBdr>
        <w:top w:val="none" w:sz="0" w:space="0" w:color="auto"/>
        <w:left w:val="none" w:sz="0" w:space="0" w:color="auto"/>
        <w:bottom w:val="none" w:sz="0" w:space="0" w:color="auto"/>
        <w:right w:val="none" w:sz="0" w:space="0" w:color="auto"/>
      </w:divBdr>
    </w:div>
    <w:div w:id="1176458107">
      <w:bodyDiv w:val="1"/>
      <w:marLeft w:val="0"/>
      <w:marRight w:val="0"/>
      <w:marTop w:val="0"/>
      <w:marBottom w:val="0"/>
      <w:divBdr>
        <w:top w:val="none" w:sz="0" w:space="0" w:color="auto"/>
        <w:left w:val="none" w:sz="0" w:space="0" w:color="auto"/>
        <w:bottom w:val="none" w:sz="0" w:space="0" w:color="auto"/>
        <w:right w:val="none" w:sz="0" w:space="0" w:color="auto"/>
      </w:divBdr>
    </w:div>
    <w:div w:id="1179076900">
      <w:bodyDiv w:val="1"/>
      <w:marLeft w:val="0"/>
      <w:marRight w:val="0"/>
      <w:marTop w:val="0"/>
      <w:marBottom w:val="0"/>
      <w:divBdr>
        <w:top w:val="none" w:sz="0" w:space="0" w:color="auto"/>
        <w:left w:val="none" w:sz="0" w:space="0" w:color="auto"/>
        <w:bottom w:val="none" w:sz="0" w:space="0" w:color="auto"/>
        <w:right w:val="none" w:sz="0" w:space="0" w:color="auto"/>
      </w:divBdr>
    </w:div>
    <w:div w:id="1181161816">
      <w:bodyDiv w:val="1"/>
      <w:marLeft w:val="0"/>
      <w:marRight w:val="0"/>
      <w:marTop w:val="0"/>
      <w:marBottom w:val="0"/>
      <w:divBdr>
        <w:top w:val="none" w:sz="0" w:space="0" w:color="auto"/>
        <w:left w:val="none" w:sz="0" w:space="0" w:color="auto"/>
        <w:bottom w:val="none" w:sz="0" w:space="0" w:color="auto"/>
        <w:right w:val="none" w:sz="0" w:space="0" w:color="auto"/>
      </w:divBdr>
    </w:div>
    <w:div w:id="1183082830">
      <w:bodyDiv w:val="1"/>
      <w:marLeft w:val="0"/>
      <w:marRight w:val="0"/>
      <w:marTop w:val="0"/>
      <w:marBottom w:val="0"/>
      <w:divBdr>
        <w:top w:val="none" w:sz="0" w:space="0" w:color="auto"/>
        <w:left w:val="none" w:sz="0" w:space="0" w:color="auto"/>
        <w:bottom w:val="none" w:sz="0" w:space="0" w:color="auto"/>
        <w:right w:val="none" w:sz="0" w:space="0" w:color="auto"/>
      </w:divBdr>
    </w:div>
    <w:div w:id="1184439278">
      <w:bodyDiv w:val="1"/>
      <w:marLeft w:val="0"/>
      <w:marRight w:val="0"/>
      <w:marTop w:val="0"/>
      <w:marBottom w:val="0"/>
      <w:divBdr>
        <w:top w:val="none" w:sz="0" w:space="0" w:color="auto"/>
        <w:left w:val="none" w:sz="0" w:space="0" w:color="auto"/>
        <w:bottom w:val="none" w:sz="0" w:space="0" w:color="auto"/>
        <w:right w:val="none" w:sz="0" w:space="0" w:color="auto"/>
      </w:divBdr>
    </w:div>
    <w:div w:id="1187137084">
      <w:bodyDiv w:val="1"/>
      <w:marLeft w:val="0"/>
      <w:marRight w:val="0"/>
      <w:marTop w:val="0"/>
      <w:marBottom w:val="0"/>
      <w:divBdr>
        <w:top w:val="none" w:sz="0" w:space="0" w:color="auto"/>
        <w:left w:val="none" w:sz="0" w:space="0" w:color="auto"/>
        <w:bottom w:val="none" w:sz="0" w:space="0" w:color="auto"/>
        <w:right w:val="none" w:sz="0" w:space="0" w:color="auto"/>
      </w:divBdr>
    </w:div>
    <w:div w:id="1189097565">
      <w:bodyDiv w:val="1"/>
      <w:marLeft w:val="0"/>
      <w:marRight w:val="0"/>
      <w:marTop w:val="0"/>
      <w:marBottom w:val="0"/>
      <w:divBdr>
        <w:top w:val="none" w:sz="0" w:space="0" w:color="auto"/>
        <w:left w:val="none" w:sz="0" w:space="0" w:color="auto"/>
        <w:bottom w:val="none" w:sz="0" w:space="0" w:color="auto"/>
        <w:right w:val="none" w:sz="0" w:space="0" w:color="auto"/>
      </w:divBdr>
    </w:div>
    <w:div w:id="1190991056">
      <w:bodyDiv w:val="1"/>
      <w:marLeft w:val="0"/>
      <w:marRight w:val="0"/>
      <w:marTop w:val="0"/>
      <w:marBottom w:val="0"/>
      <w:divBdr>
        <w:top w:val="none" w:sz="0" w:space="0" w:color="auto"/>
        <w:left w:val="none" w:sz="0" w:space="0" w:color="auto"/>
        <w:bottom w:val="none" w:sz="0" w:space="0" w:color="auto"/>
        <w:right w:val="none" w:sz="0" w:space="0" w:color="auto"/>
      </w:divBdr>
    </w:div>
    <w:div w:id="1196432582">
      <w:bodyDiv w:val="1"/>
      <w:marLeft w:val="0"/>
      <w:marRight w:val="0"/>
      <w:marTop w:val="0"/>
      <w:marBottom w:val="0"/>
      <w:divBdr>
        <w:top w:val="none" w:sz="0" w:space="0" w:color="auto"/>
        <w:left w:val="none" w:sz="0" w:space="0" w:color="auto"/>
        <w:bottom w:val="none" w:sz="0" w:space="0" w:color="auto"/>
        <w:right w:val="none" w:sz="0" w:space="0" w:color="auto"/>
      </w:divBdr>
    </w:div>
    <w:div w:id="1199009244">
      <w:bodyDiv w:val="1"/>
      <w:marLeft w:val="0"/>
      <w:marRight w:val="0"/>
      <w:marTop w:val="0"/>
      <w:marBottom w:val="0"/>
      <w:divBdr>
        <w:top w:val="none" w:sz="0" w:space="0" w:color="auto"/>
        <w:left w:val="none" w:sz="0" w:space="0" w:color="auto"/>
        <w:bottom w:val="none" w:sz="0" w:space="0" w:color="auto"/>
        <w:right w:val="none" w:sz="0" w:space="0" w:color="auto"/>
      </w:divBdr>
    </w:div>
    <w:div w:id="1201288177">
      <w:bodyDiv w:val="1"/>
      <w:marLeft w:val="0"/>
      <w:marRight w:val="0"/>
      <w:marTop w:val="0"/>
      <w:marBottom w:val="0"/>
      <w:divBdr>
        <w:top w:val="none" w:sz="0" w:space="0" w:color="auto"/>
        <w:left w:val="none" w:sz="0" w:space="0" w:color="auto"/>
        <w:bottom w:val="none" w:sz="0" w:space="0" w:color="auto"/>
        <w:right w:val="none" w:sz="0" w:space="0" w:color="auto"/>
      </w:divBdr>
    </w:div>
    <w:div w:id="1203712851">
      <w:bodyDiv w:val="1"/>
      <w:marLeft w:val="0"/>
      <w:marRight w:val="0"/>
      <w:marTop w:val="0"/>
      <w:marBottom w:val="0"/>
      <w:divBdr>
        <w:top w:val="none" w:sz="0" w:space="0" w:color="auto"/>
        <w:left w:val="none" w:sz="0" w:space="0" w:color="auto"/>
        <w:bottom w:val="none" w:sz="0" w:space="0" w:color="auto"/>
        <w:right w:val="none" w:sz="0" w:space="0" w:color="auto"/>
      </w:divBdr>
    </w:div>
    <w:div w:id="1208491609">
      <w:bodyDiv w:val="1"/>
      <w:marLeft w:val="0"/>
      <w:marRight w:val="0"/>
      <w:marTop w:val="0"/>
      <w:marBottom w:val="0"/>
      <w:divBdr>
        <w:top w:val="none" w:sz="0" w:space="0" w:color="auto"/>
        <w:left w:val="none" w:sz="0" w:space="0" w:color="auto"/>
        <w:bottom w:val="none" w:sz="0" w:space="0" w:color="auto"/>
        <w:right w:val="none" w:sz="0" w:space="0" w:color="auto"/>
      </w:divBdr>
    </w:div>
    <w:div w:id="1208760895">
      <w:bodyDiv w:val="1"/>
      <w:marLeft w:val="0"/>
      <w:marRight w:val="0"/>
      <w:marTop w:val="0"/>
      <w:marBottom w:val="0"/>
      <w:divBdr>
        <w:top w:val="none" w:sz="0" w:space="0" w:color="auto"/>
        <w:left w:val="none" w:sz="0" w:space="0" w:color="auto"/>
        <w:bottom w:val="none" w:sz="0" w:space="0" w:color="auto"/>
        <w:right w:val="none" w:sz="0" w:space="0" w:color="auto"/>
      </w:divBdr>
    </w:div>
    <w:div w:id="1209685612">
      <w:bodyDiv w:val="1"/>
      <w:marLeft w:val="0"/>
      <w:marRight w:val="0"/>
      <w:marTop w:val="0"/>
      <w:marBottom w:val="0"/>
      <w:divBdr>
        <w:top w:val="none" w:sz="0" w:space="0" w:color="auto"/>
        <w:left w:val="none" w:sz="0" w:space="0" w:color="auto"/>
        <w:bottom w:val="none" w:sz="0" w:space="0" w:color="auto"/>
        <w:right w:val="none" w:sz="0" w:space="0" w:color="auto"/>
      </w:divBdr>
    </w:div>
    <w:div w:id="1212036422">
      <w:bodyDiv w:val="1"/>
      <w:marLeft w:val="0"/>
      <w:marRight w:val="0"/>
      <w:marTop w:val="0"/>
      <w:marBottom w:val="0"/>
      <w:divBdr>
        <w:top w:val="none" w:sz="0" w:space="0" w:color="auto"/>
        <w:left w:val="none" w:sz="0" w:space="0" w:color="auto"/>
        <w:bottom w:val="none" w:sz="0" w:space="0" w:color="auto"/>
        <w:right w:val="none" w:sz="0" w:space="0" w:color="auto"/>
      </w:divBdr>
    </w:div>
    <w:div w:id="1217359130">
      <w:bodyDiv w:val="1"/>
      <w:marLeft w:val="0"/>
      <w:marRight w:val="0"/>
      <w:marTop w:val="0"/>
      <w:marBottom w:val="0"/>
      <w:divBdr>
        <w:top w:val="none" w:sz="0" w:space="0" w:color="auto"/>
        <w:left w:val="none" w:sz="0" w:space="0" w:color="auto"/>
        <w:bottom w:val="none" w:sz="0" w:space="0" w:color="auto"/>
        <w:right w:val="none" w:sz="0" w:space="0" w:color="auto"/>
      </w:divBdr>
    </w:div>
    <w:div w:id="1217813541">
      <w:bodyDiv w:val="1"/>
      <w:marLeft w:val="0"/>
      <w:marRight w:val="0"/>
      <w:marTop w:val="0"/>
      <w:marBottom w:val="0"/>
      <w:divBdr>
        <w:top w:val="none" w:sz="0" w:space="0" w:color="auto"/>
        <w:left w:val="none" w:sz="0" w:space="0" w:color="auto"/>
        <w:bottom w:val="none" w:sz="0" w:space="0" w:color="auto"/>
        <w:right w:val="none" w:sz="0" w:space="0" w:color="auto"/>
      </w:divBdr>
    </w:div>
    <w:div w:id="1219321601">
      <w:bodyDiv w:val="1"/>
      <w:marLeft w:val="0"/>
      <w:marRight w:val="0"/>
      <w:marTop w:val="0"/>
      <w:marBottom w:val="0"/>
      <w:divBdr>
        <w:top w:val="none" w:sz="0" w:space="0" w:color="auto"/>
        <w:left w:val="none" w:sz="0" w:space="0" w:color="auto"/>
        <w:bottom w:val="none" w:sz="0" w:space="0" w:color="auto"/>
        <w:right w:val="none" w:sz="0" w:space="0" w:color="auto"/>
      </w:divBdr>
    </w:div>
    <w:div w:id="1222328931">
      <w:bodyDiv w:val="1"/>
      <w:marLeft w:val="0"/>
      <w:marRight w:val="0"/>
      <w:marTop w:val="0"/>
      <w:marBottom w:val="0"/>
      <w:divBdr>
        <w:top w:val="none" w:sz="0" w:space="0" w:color="auto"/>
        <w:left w:val="none" w:sz="0" w:space="0" w:color="auto"/>
        <w:bottom w:val="none" w:sz="0" w:space="0" w:color="auto"/>
        <w:right w:val="none" w:sz="0" w:space="0" w:color="auto"/>
      </w:divBdr>
    </w:div>
    <w:div w:id="1223640330">
      <w:bodyDiv w:val="1"/>
      <w:marLeft w:val="0"/>
      <w:marRight w:val="0"/>
      <w:marTop w:val="0"/>
      <w:marBottom w:val="0"/>
      <w:divBdr>
        <w:top w:val="none" w:sz="0" w:space="0" w:color="auto"/>
        <w:left w:val="none" w:sz="0" w:space="0" w:color="auto"/>
        <w:bottom w:val="none" w:sz="0" w:space="0" w:color="auto"/>
        <w:right w:val="none" w:sz="0" w:space="0" w:color="auto"/>
      </w:divBdr>
    </w:div>
    <w:div w:id="1226457308">
      <w:bodyDiv w:val="1"/>
      <w:marLeft w:val="0"/>
      <w:marRight w:val="0"/>
      <w:marTop w:val="0"/>
      <w:marBottom w:val="0"/>
      <w:divBdr>
        <w:top w:val="none" w:sz="0" w:space="0" w:color="auto"/>
        <w:left w:val="none" w:sz="0" w:space="0" w:color="auto"/>
        <w:bottom w:val="none" w:sz="0" w:space="0" w:color="auto"/>
        <w:right w:val="none" w:sz="0" w:space="0" w:color="auto"/>
      </w:divBdr>
    </w:div>
    <w:div w:id="1231649980">
      <w:bodyDiv w:val="1"/>
      <w:marLeft w:val="0"/>
      <w:marRight w:val="0"/>
      <w:marTop w:val="0"/>
      <w:marBottom w:val="0"/>
      <w:divBdr>
        <w:top w:val="none" w:sz="0" w:space="0" w:color="auto"/>
        <w:left w:val="none" w:sz="0" w:space="0" w:color="auto"/>
        <w:bottom w:val="none" w:sz="0" w:space="0" w:color="auto"/>
        <w:right w:val="none" w:sz="0" w:space="0" w:color="auto"/>
      </w:divBdr>
    </w:div>
    <w:div w:id="1232350178">
      <w:bodyDiv w:val="1"/>
      <w:marLeft w:val="0"/>
      <w:marRight w:val="0"/>
      <w:marTop w:val="0"/>
      <w:marBottom w:val="0"/>
      <w:divBdr>
        <w:top w:val="none" w:sz="0" w:space="0" w:color="auto"/>
        <w:left w:val="none" w:sz="0" w:space="0" w:color="auto"/>
        <w:bottom w:val="none" w:sz="0" w:space="0" w:color="auto"/>
        <w:right w:val="none" w:sz="0" w:space="0" w:color="auto"/>
      </w:divBdr>
    </w:div>
    <w:div w:id="1233157160">
      <w:bodyDiv w:val="1"/>
      <w:marLeft w:val="0"/>
      <w:marRight w:val="0"/>
      <w:marTop w:val="0"/>
      <w:marBottom w:val="0"/>
      <w:divBdr>
        <w:top w:val="none" w:sz="0" w:space="0" w:color="auto"/>
        <w:left w:val="none" w:sz="0" w:space="0" w:color="auto"/>
        <w:bottom w:val="none" w:sz="0" w:space="0" w:color="auto"/>
        <w:right w:val="none" w:sz="0" w:space="0" w:color="auto"/>
      </w:divBdr>
    </w:div>
    <w:div w:id="1234268824">
      <w:bodyDiv w:val="1"/>
      <w:marLeft w:val="0"/>
      <w:marRight w:val="0"/>
      <w:marTop w:val="0"/>
      <w:marBottom w:val="0"/>
      <w:divBdr>
        <w:top w:val="none" w:sz="0" w:space="0" w:color="auto"/>
        <w:left w:val="none" w:sz="0" w:space="0" w:color="auto"/>
        <w:bottom w:val="none" w:sz="0" w:space="0" w:color="auto"/>
        <w:right w:val="none" w:sz="0" w:space="0" w:color="auto"/>
      </w:divBdr>
    </w:div>
    <w:div w:id="1234970940">
      <w:bodyDiv w:val="1"/>
      <w:marLeft w:val="0"/>
      <w:marRight w:val="0"/>
      <w:marTop w:val="0"/>
      <w:marBottom w:val="0"/>
      <w:divBdr>
        <w:top w:val="none" w:sz="0" w:space="0" w:color="auto"/>
        <w:left w:val="none" w:sz="0" w:space="0" w:color="auto"/>
        <w:bottom w:val="none" w:sz="0" w:space="0" w:color="auto"/>
        <w:right w:val="none" w:sz="0" w:space="0" w:color="auto"/>
      </w:divBdr>
    </w:div>
    <w:div w:id="1235504919">
      <w:bodyDiv w:val="1"/>
      <w:marLeft w:val="0"/>
      <w:marRight w:val="0"/>
      <w:marTop w:val="0"/>
      <w:marBottom w:val="0"/>
      <w:divBdr>
        <w:top w:val="none" w:sz="0" w:space="0" w:color="auto"/>
        <w:left w:val="none" w:sz="0" w:space="0" w:color="auto"/>
        <w:bottom w:val="none" w:sz="0" w:space="0" w:color="auto"/>
        <w:right w:val="none" w:sz="0" w:space="0" w:color="auto"/>
      </w:divBdr>
    </w:div>
    <w:div w:id="1238592117">
      <w:bodyDiv w:val="1"/>
      <w:marLeft w:val="0"/>
      <w:marRight w:val="0"/>
      <w:marTop w:val="0"/>
      <w:marBottom w:val="0"/>
      <w:divBdr>
        <w:top w:val="none" w:sz="0" w:space="0" w:color="auto"/>
        <w:left w:val="none" w:sz="0" w:space="0" w:color="auto"/>
        <w:bottom w:val="none" w:sz="0" w:space="0" w:color="auto"/>
        <w:right w:val="none" w:sz="0" w:space="0" w:color="auto"/>
      </w:divBdr>
    </w:div>
    <w:div w:id="1239437923">
      <w:bodyDiv w:val="1"/>
      <w:marLeft w:val="0"/>
      <w:marRight w:val="0"/>
      <w:marTop w:val="0"/>
      <w:marBottom w:val="0"/>
      <w:divBdr>
        <w:top w:val="none" w:sz="0" w:space="0" w:color="auto"/>
        <w:left w:val="none" w:sz="0" w:space="0" w:color="auto"/>
        <w:bottom w:val="none" w:sz="0" w:space="0" w:color="auto"/>
        <w:right w:val="none" w:sz="0" w:space="0" w:color="auto"/>
      </w:divBdr>
    </w:div>
    <w:div w:id="1241713426">
      <w:bodyDiv w:val="1"/>
      <w:marLeft w:val="0"/>
      <w:marRight w:val="0"/>
      <w:marTop w:val="0"/>
      <w:marBottom w:val="0"/>
      <w:divBdr>
        <w:top w:val="none" w:sz="0" w:space="0" w:color="auto"/>
        <w:left w:val="none" w:sz="0" w:space="0" w:color="auto"/>
        <w:bottom w:val="none" w:sz="0" w:space="0" w:color="auto"/>
        <w:right w:val="none" w:sz="0" w:space="0" w:color="auto"/>
      </w:divBdr>
    </w:div>
    <w:div w:id="1247300537">
      <w:bodyDiv w:val="1"/>
      <w:marLeft w:val="0"/>
      <w:marRight w:val="0"/>
      <w:marTop w:val="0"/>
      <w:marBottom w:val="0"/>
      <w:divBdr>
        <w:top w:val="none" w:sz="0" w:space="0" w:color="auto"/>
        <w:left w:val="none" w:sz="0" w:space="0" w:color="auto"/>
        <w:bottom w:val="none" w:sz="0" w:space="0" w:color="auto"/>
        <w:right w:val="none" w:sz="0" w:space="0" w:color="auto"/>
      </w:divBdr>
    </w:div>
    <w:div w:id="1249273771">
      <w:bodyDiv w:val="1"/>
      <w:marLeft w:val="0"/>
      <w:marRight w:val="0"/>
      <w:marTop w:val="0"/>
      <w:marBottom w:val="0"/>
      <w:divBdr>
        <w:top w:val="none" w:sz="0" w:space="0" w:color="auto"/>
        <w:left w:val="none" w:sz="0" w:space="0" w:color="auto"/>
        <w:bottom w:val="none" w:sz="0" w:space="0" w:color="auto"/>
        <w:right w:val="none" w:sz="0" w:space="0" w:color="auto"/>
      </w:divBdr>
    </w:div>
    <w:div w:id="1251886128">
      <w:bodyDiv w:val="1"/>
      <w:marLeft w:val="0"/>
      <w:marRight w:val="0"/>
      <w:marTop w:val="0"/>
      <w:marBottom w:val="0"/>
      <w:divBdr>
        <w:top w:val="none" w:sz="0" w:space="0" w:color="auto"/>
        <w:left w:val="none" w:sz="0" w:space="0" w:color="auto"/>
        <w:bottom w:val="none" w:sz="0" w:space="0" w:color="auto"/>
        <w:right w:val="none" w:sz="0" w:space="0" w:color="auto"/>
      </w:divBdr>
    </w:div>
    <w:div w:id="1252859041">
      <w:bodyDiv w:val="1"/>
      <w:marLeft w:val="0"/>
      <w:marRight w:val="0"/>
      <w:marTop w:val="0"/>
      <w:marBottom w:val="0"/>
      <w:divBdr>
        <w:top w:val="none" w:sz="0" w:space="0" w:color="auto"/>
        <w:left w:val="none" w:sz="0" w:space="0" w:color="auto"/>
        <w:bottom w:val="none" w:sz="0" w:space="0" w:color="auto"/>
        <w:right w:val="none" w:sz="0" w:space="0" w:color="auto"/>
      </w:divBdr>
    </w:div>
    <w:div w:id="1252935537">
      <w:bodyDiv w:val="1"/>
      <w:marLeft w:val="0"/>
      <w:marRight w:val="0"/>
      <w:marTop w:val="0"/>
      <w:marBottom w:val="0"/>
      <w:divBdr>
        <w:top w:val="none" w:sz="0" w:space="0" w:color="auto"/>
        <w:left w:val="none" w:sz="0" w:space="0" w:color="auto"/>
        <w:bottom w:val="none" w:sz="0" w:space="0" w:color="auto"/>
        <w:right w:val="none" w:sz="0" w:space="0" w:color="auto"/>
      </w:divBdr>
    </w:div>
    <w:div w:id="1254896304">
      <w:bodyDiv w:val="1"/>
      <w:marLeft w:val="0"/>
      <w:marRight w:val="0"/>
      <w:marTop w:val="0"/>
      <w:marBottom w:val="0"/>
      <w:divBdr>
        <w:top w:val="none" w:sz="0" w:space="0" w:color="auto"/>
        <w:left w:val="none" w:sz="0" w:space="0" w:color="auto"/>
        <w:bottom w:val="none" w:sz="0" w:space="0" w:color="auto"/>
        <w:right w:val="none" w:sz="0" w:space="0" w:color="auto"/>
      </w:divBdr>
    </w:div>
    <w:div w:id="1260218847">
      <w:bodyDiv w:val="1"/>
      <w:marLeft w:val="0"/>
      <w:marRight w:val="0"/>
      <w:marTop w:val="0"/>
      <w:marBottom w:val="0"/>
      <w:divBdr>
        <w:top w:val="none" w:sz="0" w:space="0" w:color="auto"/>
        <w:left w:val="none" w:sz="0" w:space="0" w:color="auto"/>
        <w:bottom w:val="none" w:sz="0" w:space="0" w:color="auto"/>
        <w:right w:val="none" w:sz="0" w:space="0" w:color="auto"/>
      </w:divBdr>
    </w:div>
    <w:div w:id="1260522001">
      <w:bodyDiv w:val="1"/>
      <w:marLeft w:val="0"/>
      <w:marRight w:val="0"/>
      <w:marTop w:val="0"/>
      <w:marBottom w:val="0"/>
      <w:divBdr>
        <w:top w:val="none" w:sz="0" w:space="0" w:color="auto"/>
        <w:left w:val="none" w:sz="0" w:space="0" w:color="auto"/>
        <w:bottom w:val="none" w:sz="0" w:space="0" w:color="auto"/>
        <w:right w:val="none" w:sz="0" w:space="0" w:color="auto"/>
      </w:divBdr>
    </w:div>
    <w:div w:id="1261374339">
      <w:bodyDiv w:val="1"/>
      <w:marLeft w:val="0"/>
      <w:marRight w:val="0"/>
      <w:marTop w:val="0"/>
      <w:marBottom w:val="0"/>
      <w:divBdr>
        <w:top w:val="none" w:sz="0" w:space="0" w:color="auto"/>
        <w:left w:val="none" w:sz="0" w:space="0" w:color="auto"/>
        <w:bottom w:val="none" w:sz="0" w:space="0" w:color="auto"/>
        <w:right w:val="none" w:sz="0" w:space="0" w:color="auto"/>
      </w:divBdr>
    </w:div>
    <w:div w:id="1262106866">
      <w:bodyDiv w:val="1"/>
      <w:marLeft w:val="0"/>
      <w:marRight w:val="0"/>
      <w:marTop w:val="0"/>
      <w:marBottom w:val="0"/>
      <w:divBdr>
        <w:top w:val="none" w:sz="0" w:space="0" w:color="auto"/>
        <w:left w:val="none" w:sz="0" w:space="0" w:color="auto"/>
        <w:bottom w:val="none" w:sz="0" w:space="0" w:color="auto"/>
        <w:right w:val="none" w:sz="0" w:space="0" w:color="auto"/>
      </w:divBdr>
    </w:div>
    <w:div w:id="1262224738">
      <w:bodyDiv w:val="1"/>
      <w:marLeft w:val="0"/>
      <w:marRight w:val="0"/>
      <w:marTop w:val="0"/>
      <w:marBottom w:val="0"/>
      <w:divBdr>
        <w:top w:val="none" w:sz="0" w:space="0" w:color="auto"/>
        <w:left w:val="none" w:sz="0" w:space="0" w:color="auto"/>
        <w:bottom w:val="none" w:sz="0" w:space="0" w:color="auto"/>
        <w:right w:val="none" w:sz="0" w:space="0" w:color="auto"/>
      </w:divBdr>
    </w:div>
    <w:div w:id="1262756514">
      <w:bodyDiv w:val="1"/>
      <w:marLeft w:val="0"/>
      <w:marRight w:val="0"/>
      <w:marTop w:val="0"/>
      <w:marBottom w:val="0"/>
      <w:divBdr>
        <w:top w:val="none" w:sz="0" w:space="0" w:color="auto"/>
        <w:left w:val="none" w:sz="0" w:space="0" w:color="auto"/>
        <w:bottom w:val="none" w:sz="0" w:space="0" w:color="auto"/>
        <w:right w:val="none" w:sz="0" w:space="0" w:color="auto"/>
      </w:divBdr>
    </w:div>
    <w:div w:id="1264807138">
      <w:bodyDiv w:val="1"/>
      <w:marLeft w:val="0"/>
      <w:marRight w:val="0"/>
      <w:marTop w:val="0"/>
      <w:marBottom w:val="0"/>
      <w:divBdr>
        <w:top w:val="none" w:sz="0" w:space="0" w:color="auto"/>
        <w:left w:val="none" w:sz="0" w:space="0" w:color="auto"/>
        <w:bottom w:val="none" w:sz="0" w:space="0" w:color="auto"/>
        <w:right w:val="none" w:sz="0" w:space="0" w:color="auto"/>
      </w:divBdr>
    </w:div>
    <w:div w:id="1265454528">
      <w:bodyDiv w:val="1"/>
      <w:marLeft w:val="0"/>
      <w:marRight w:val="0"/>
      <w:marTop w:val="0"/>
      <w:marBottom w:val="0"/>
      <w:divBdr>
        <w:top w:val="none" w:sz="0" w:space="0" w:color="auto"/>
        <w:left w:val="none" w:sz="0" w:space="0" w:color="auto"/>
        <w:bottom w:val="none" w:sz="0" w:space="0" w:color="auto"/>
        <w:right w:val="none" w:sz="0" w:space="0" w:color="auto"/>
      </w:divBdr>
    </w:div>
    <w:div w:id="1265530080">
      <w:bodyDiv w:val="1"/>
      <w:marLeft w:val="0"/>
      <w:marRight w:val="0"/>
      <w:marTop w:val="0"/>
      <w:marBottom w:val="0"/>
      <w:divBdr>
        <w:top w:val="none" w:sz="0" w:space="0" w:color="auto"/>
        <w:left w:val="none" w:sz="0" w:space="0" w:color="auto"/>
        <w:bottom w:val="none" w:sz="0" w:space="0" w:color="auto"/>
        <w:right w:val="none" w:sz="0" w:space="0" w:color="auto"/>
      </w:divBdr>
    </w:div>
    <w:div w:id="1266570259">
      <w:bodyDiv w:val="1"/>
      <w:marLeft w:val="0"/>
      <w:marRight w:val="0"/>
      <w:marTop w:val="0"/>
      <w:marBottom w:val="0"/>
      <w:divBdr>
        <w:top w:val="none" w:sz="0" w:space="0" w:color="auto"/>
        <w:left w:val="none" w:sz="0" w:space="0" w:color="auto"/>
        <w:bottom w:val="none" w:sz="0" w:space="0" w:color="auto"/>
        <w:right w:val="none" w:sz="0" w:space="0" w:color="auto"/>
      </w:divBdr>
    </w:div>
    <w:div w:id="1269653735">
      <w:bodyDiv w:val="1"/>
      <w:marLeft w:val="0"/>
      <w:marRight w:val="0"/>
      <w:marTop w:val="0"/>
      <w:marBottom w:val="0"/>
      <w:divBdr>
        <w:top w:val="none" w:sz="0" w:space="0" w:color="auto"/>
        <w:left w:val="none" w:sz="0" w:space="0" w:color="auto"/>
        <w:bottom w:val="none" w:sz="0" w:space="0" w:color="auto"/>
        <w:right w:val="none" w:sz="0" w:space="0" w:color="auto"/>
      </w:divBdr>
    </w:div>
    <w:div w:id="1270045155">
      <w:bodyDiv w:val="1"/>
      <w:marLeft w:val="0"/>
      <w:marRight w:val="0"/>
      <w:marTop w:val="0"/>
      <w:marBottom w:val="0"/>
      <w:divBdr>
        <w:top w:val="none" w:sz="0" w:space="0" w:color="auto"/>
        <w:left w:val="none" w:sz="0" w:space="0" w:color="auto"/>
        <w:bottom w:val="none" w:sz="0" w:space="0" w:color="auto"/>
        <w:right w:val="none" w:sz="0" w:space="0" w:color="auto"/>
      </w:divBdr>
    </w:div>
    <w:div w:id="1271008514">
      <w:bodyDiv w:val="1"/>
      <w:marLeft w:val="0"/>
      <w:marRight w:val="0"/>
      <w:marTop w:val="0"/>
      <w:marBottom w:val="0"/>
      <w:divBdr>
        <w:top w:val="none" w:sz="0" w:space="0" w:color="auto"/>
        <w:left w:val="none" w:sz="0" w:space="0" w:color="auto"/>
        <w:bottom w:val="none" w:sz="0" w:space="0" w:color="auto"/>
        <w:right w:val="none" w:sz="0" w:space="0" w:color="auto"/>
      </w:divBdr>
    </w:div>
    <w:div w:id="1271203607">
      <w:bodyDiv w:val="1"/>
      <w:marLeft w:val="0"/>
      <w:marRight w:val="0"/>
      <w:marTop w:val="0"/>
      <w:marBottom w:val="0"/>
      <w:divBdr>
        <w:top w:val="none" w:sz="0" w:space="0" w:color="auto"/>
        <w:left w:val="none" w:sz="0" w:space="0" w:color="auto"/>
        <w:bottom w:val="none" w:sz="0" w:space="0" w:color="auto"/>
        <w:right w:val="none" w:sz="0" w:space="0" w:color="auto"/>
      </w:divBdr>
    </w:div>
    <w:div w:id="1276521712">
      <w:bodyDiv w:val="1"/>
      <w:marLeft w:val="0"/>
      <w:marRight w:val="0"/>
      <w:marTop w:val="0"/>
      <w:marBottom w:val="0"/>
      <w:divBdr>
        <w:top w:val="none" w:sz="0" w:space="0" w:color="auto"/>
        <w:left w:val="none" w:sz="0" w:space="0" w:color="auto"/>
        <w:bottom w:val="none" w:sz="0" w:space="0" w:color="auto"/>
        <w:right w:val="none" w:sz="0" w:space="0" w:color="auto"/>
      </w:divBdr>
    </w:div>
    <w:div w:id="1277566116">
      <w:bodyDiv w:val="1"/>
      <w:marLeft w:val="0"/>
      <w:marRight w:val="0"/>
      <w:marTop w:val="0"/>
      <w:marBottom w:val="0"/>
      <w:divBdr>
        <w:top w:val="none" w:sz="0" w:space="0" w:color="auto"/>
        <w:left w:val="none" w:sz="0" w:space="0" w:color="auto"/>
        <w:bottom w:val="none" w:sz="0" w:space="0" w:color="auto"/>
        <w:right w:val="none" w:sz="0" w:space="0" w:color="auto"/>
      </w:divBdr>
    </w:div>
    <w:div w:id="1281498269">
      <w:bodyDiv w:val="1"/>
      <w:marLeft w:val="0"/>
      <w:marRight w:val="0"/>
      <w:marTop w:val="0"/>
      <w:marBottom w:val="0"/>
      <w:divBdr>
        <w:top w:val="none" w:sz="0" w:space="0" w:color="auto"/>
        <w:left w:val="none" w:sz="0" w:space="0" w:color="auto"/>
        <w:bottom w:val="none" w:sz="0" w:space="0" w:color="auto"/>
        <w:right w:val="none" w:sz="0" w:space="0" w:color="auto"/>
      </w:divBdr>
    </w:div>
    <w:div w:id="1283028849">
      <w:bodyDiv w:val="1"/>
      <w:marLeft w:val="0"/>
      <w:marRight w:val="0"/>
      <w:marTop w:val="0"/>
      <w:marBottom w:val="0"/>
      <w:divBdr>
        <w:top w:val="none" w:sz="0" w:space="0" w:color="auto"/>
        <w:left w:val="none" w:sz="0" w:space="0" w:color="auto"/>
        <w:bottom w:val="none" w:sz="0" w:space="0" w:color="auto"/>
        <w:right w:val="none" w:sz="0" w:space="0" w:color="auto"/>
      </w:divBdr>
    </w:div>
    <w:div w:id="1284191797">
      <w:bodyDiv w:val="1"/>
      <w:marLeft w:val="0"/>
      <w:marRight w:val="0"/>
      <w:marTop w:val="0"/>
      <w:marBottom w:val="0"/>
      <w:divBdr>
        <w:top w:val="none" w:sz="0" w:space="0" w:color="auto"/>
        <w:left w:val="none" w:sz="0" w:space="0" w:color="auto"/>
        <w:bottom w:val="none" w:sz="0" w:space="0" w:color="auto"/>
        <w:right w:val="none" w:sz="0" w:space="0" w:color="auto"/>
      </w:divBdr>
    </w:div>
    <w:div w:id="1284848653">
      <w:bodyDiv w:val="1"/>
      <w:marLeft w:val="0"/>
      <w:marRight w:val="0"/>
      <w:marTop w:val="0"/>
      <w:marBottom w:val="0"/>
      <w:divBdr>
        <w:top w:val="none" w:sz="0" w:space="0" w:color="auto"/>
        <w:left w:val="none" w:sz="0" w:space="0" w:color="auto"/>
        <w:bottom w:val="none" w:sz="0" w:space="0" w:color="auto"/>
        <w:right w:val="none" w:sz="0" w:space="0" w:color="auto"/>
      </w:divBdr>
    </w:div>
    <w:div w:id="1285887133">
      <w:bodyDiv w:val="1"/>
      <w:marLeft w:val="0"/>
      <w:marRight w:val="0"/>
      <w:marTop w:val="0"/>
      <w:marBottom w:val="0"/>
      <w:divBdr>
        <w:top w:val="none" w:sz="0" w:space="0" w:color="auto"/>
        <w:left w:val="none" w:sz="0" w:space="0" w:color="auto"/>
        <w:bottom w:val="none" w:sz="0" w:space="0" w:color="auto"/>
        <w:right w:val="none" w:sz="0" w:space="0" w:color="auto"/>
      </w:divBdr>
    </w:div>
    <w:div w:id="1288731177">
      <w:bodyDiv w:val="1"/>
      <w:marLeft w:val="0"/>
      <w:marRight w:val="0"/>
      <w:marTop w:val="0"/>
      <w:marBottom w:val="0"/>
      <w:divBdr>
        <w:top w:val="none" w:sz="0" w:space="0" w:color="auto"/>
        <w:left w:val="none" w:sz="0" w:space="0" w:color="auto"/>
        <w:bottom w:val="none" w:sz="0" w:space="0" w:color="auto"/>
        <w:right w:val="none" w:sz="0" w:space="0" w:color="auto"/>
      </w:divBdr>
    </w:div>
    <w:div w:id="1289776615">
      <w:bodyDiv w:val="1"/>
      <w:marLeft w:val="0"/>
      <w:marRight w:val="0"/>
      <w:marTop w:val="0"/>
      <w:marBottom w:val="0"/>
      <w:divBdr>
        <w:top w:val="none" w:sz="0" w:space="0" w:color="auto"/>
        <w:left w:val="none" w:sz="0" w:space="0" w:color="auto"/>
        <w:bottom w:val="none" w:sz="0" w:space="0" w:color="auto"/>
        <w:right w:val="none" w:sz="0" w:space="0" w:color="auto"/>
      </w:divBdr>
    </w:div>
    <w:div w:id="1289898693">
      <w:bodyDiv w:val="1"/>
      <w:marLeft w:val="0"/>
      <w:marRight w:val="0"/>
      <w:marTop w:val="0"/>
      <w:marBottom w:val="0"/>
      <w:divBdr>
        <w:top w:val="none" w:sz="0" w:space="0" w:color="auto"/>
        <w:left w:val="none" w:sz="0" w:space="0" w:color="auto"/>
        <w:bottom w:val="none" w:sz="0" w:space="0" w:color="auto"/>
        <w:right w:val="none" w:sz="0" w:space="0" w:color="auto"/>
      </w:divBdr>
    </w:div>
    <w:div w:id="1289967920">
      <w:bodyDiv w:val="1"/>
      <w:marLeft w:val="0"/>
      <w:marRight w:val="0"/>
      <w:marTop w:val="0"/>
      <w:marBottom w:val="0"/>
      <w:divBdr>
        <w:top w:val="none" w:sz="0" w:space="0" w:color="auto"/>
        <w:left w:val="none" w:sz="0" w:space="0" w:color="auto"/>
        <w:bottom w:val="none" w:sz="0" w:space="0" w:color="auto"/>
        <w:right w:val="none" w:sz="0" w:space="0" w:color="auto"/>
      </w:divBdr>
    </w:div>
    <w:div w:id="1291742588">
      <w:bodyDiv w:val="1"/>
      <w:marLeft w:val="0"/>
      <w:marRight w:val="0"/>
      <w:marTop w:val="0"/>
      <w:marBottom w:val="0"/>
      <w:divBdr>
        <w:top w:val="none" w:sz="0" w:space="0" w:color="auto"/>
        <w:left w:val="none" w:sz="0" w:space="0" w:color="auto"/>
        <w:bottom w:val="none" w:sz="0" w:space="0" w:color="auto"/>
        <w:right w:val="none" w:sz="0" w:space="0" w:color="auto"/>
      </w:divBdr>
    </w:div>
    <w:div w:id="1292053654">
      <w:bodyDiv w:val="1"/>
      <w:marLeft w:val="0"/>
      <w:marRight w:val="0"/>
      <w:marTop w:val="0"/>
      <w:marBottom w:val="0"/>
      <w:divBdr>
        <w:top w:val="none" w:sz="0" w:space="0" w:color="auto"/>
        <w:left w:val="none" w:sz="0" w:space="0" w:color="auto"/>
        <w:bottom w:val="none" w:sz="0" w:space="0" w:color="auto"/>
        <w:right w:val="none" w:sz="0" w:space="0" w:color="auto"/>
      </w:divBdr>
    </w:div>
    <w:div w:id="1296564430">
      <w:bodyDiv w:val="1"/>
      <w:marLeft w:val="0"/>
      <w:marRight w:val="0"/>
      <w:marTop w:val="0"/>
      <w:marBottom w:val="0"/>
      <w:divBdr>
        <w:top w:val="none" w:sz="0" w:space="0" w:color="auto"/>
        <w:left w:val="none" w:sz="0" w:space="0" w:color="auto"/>
        <w:bottom w:val="none" w:sz="0" w:space="0" w:color="auto"/>
        <w:right w:val="none" w:sz="0" w:space="0" w:color="auto"/>
      </w:divBdr>
    </w:div>
    <w:div w:id="1301886571">
      <w:bodyDiv w:val="1"/>
      <w:marLeft w:val="0"/>
      <w:marRight w:val="0"/>
      <w:marTop w:val="0"/>
      <w:marBottom w:val="0"/>
      <w:divBdr>
        <w:top w:val="none" w:sz="0" w:space="0" w:color="auto"/>
        <w:left w:val="none" w:sz="0" w:space="0" w:color="auto"/>
        <w:bottom w:val="none" w:sz="0" w:space="0" w:color="auto"/>
        <w:right w:val="none" w:sz="0" w:space="0" w:color="auto"/>
      </w:divBdr>
    </w:div>
    <w:div w:id="1302807131">
      <w:bodyDiv w:val="1"/>
      <w:marLeft w:val="0"/>
      <w:marRight w:val="0"/>
      <w:marTop w:val="0"/>
      <w:marBottom w:val="0"/>
      <w:divBdr>
        <w:top w:val="none" w:sz="0" w:space="0" w:color="auto"/>
        <w:left w:val="none" w:sz="0" w:space="0" w:color="auto"/>
        <w:bottom w:val="none" w:sz="0" w:space="0" w:color="auto"/>
        <w:right w:val="none" w:sz="0" w:space="0" w:color="auto"/>
      </w:divBdr>
    </w:div>
    <w:div w:id="1310331835">
      <w:bodyDiv w:val="1"/>
      <w:marLeft w:val="0"/>
      <w:marRight w:val="0"/>
      <w:marTop w:val="0"/>
      <w:marBottom w:val="0"/>
      <w:divBdr>
        <w:top w:val="none" w:sz="0" w:space="0" w:color="auto"/>
        <w:left w:val="none" w:sz="0" w:space="0" w:color="auto"/>
        <w:bottom w:val="none" w:sz="0" w:space="0" w:color="auto"/>
        <w:right w:val="none" w:sz="0" w:space="0" w:color="auto"/>
      </w:divBdr>
    </w:div>
    <w:div w:id="1312053636">
      <w:bodyDiv w:val="1"/>
      <w:marLeft w:val="0"/>
      <w:marRight w:val="0"/>
      <w:marTop w:val="0"/>
      <w:marBottom w:val="0"/>
      <w:divBdr>
        <w:top w:val="none" w:sz="0" w:space="0" w:color="auto"/>
        <w:left w:val="none" w:sz="0" w:space="0" w:color="auto"/>
        <w:bottom w:val="none" w:sz="0" w:space="0" w:color="auto"/>
        <w:right w:val="none" w:sz="0" w:space="0" w:color="auto"/>
      </w:divBdr>
    </w:div>
    <w:div w:id="1312324150">
      <w:bodyDiv w:val="1"/>
      <w:marLeft w:val="0"/>
      <w:marRight w:val="0"/>
      <w:marTop w:val="0"/>
      <w:marBottom w:val="0"/>
      <w:divBdr>
        <w:top w:val="none" w:sz="0" w:space="0" w:color="auto"/>
        <w:left w:val="none" w:sz="0" w:space="0" w:color="auto"/>
        <w:bottom w:val="none" w:sz="0" w:space="0" w:color="auto"/>
        <w:right w:val="none" w:sz="0" w:space="0" w:color="auto"/>
      </w:divBdr>
    </w:div>
    <w:div w:id="1313288252">
      <w:bodyDiv w:val="1"/>
      <w:marLeft w:val="0"/>
      <w:marRight w:val="0"/>
      <w:marTop w:val="0"/>
      <w:marBottom w:val="0"/>
      <w:divBdr>
        <w:top w:val="none" w:sz="0" w:space="0" w:color="auto"/>
        <w:left w:val="none" w:sz="0" w:space="0" w:color="auto"/>
        <w:bottom w:val="none" w:sz="0" w:space="0" w:color="auto"/>
        <w:right w:val="none" w:sz="0" w:space="0" w:color="auto"/>
      </w:divBdr>
    </w:div>
    <w:div w:id="1314406123">
      <w:bodyDiv w:val="1"/>
      <w:marLeft w:val="0"/>
      <w:marRight w:val="0"/>
      <w:marTop w:val="0"/>
      <w:marBottom w:val="0"/>
      <w:divBdr>
        <w:top w:val="none" w:sz="0" w:space="0" w:color="auto"/>
        <w:left w:val="none" w:sz="0" w:space="0" w:color="auto"/>
        <w:bottom w:val="none" w:sz="0" w:space="0" w:color="auto"/>
        <w:right w:val="none" w:sz="0" w:space="0" w:color="auto"/>
      </w:divBdr>
    </w:div>
    <w:div w:id="1315724135">
      <w:bodyDiv w:val="1"/>
      <w:marLeft w:val="0"/>
      <w:marRight w:val="0"/>
      <w:marTop w:val="0"/>
      <w:marBottom w:val="0"/>
      <w:divBdr>
        <w:top w:val="none" w:sz="0" w:space="0" w:color="auto"/>
        <w:left w:val="none" w:sz="0" w:space="0" w:color="auto"/>
        <w:bottom w:val="none" w:sz="0" w:space="0" w:color="auto"/>
        <w:right w:val="none" w:sz="0" w:space="0" w:color="auto"/>
      </w:divBdr>
    </w:div>
    <w:div w:id="1316571368">
      <w:bodyDiv w:val="1"/>
      <w:marLeft w:val="0"/>
      <w:marRight w:val="0"/>
      <w:marTop w:val="0"/>
      <w:marBottom w:val="0"/>
      <w:divBdr>
        <w:top w:val="none" w:sz="0" w:space="0" w:color="auto"/>
        <w:left w:val="none" w:sz="0" w:space="0" w:color="auto"/>
        <w:bottom w:val="none" w:sz="0" w:space="0" w:color="auto"/>
        <w:right w:val="none" w:sz="0" w:space="0" w:color="auto"/>
      </w:divBdr>
    </w:div>
    <w:div w:id="1318798706">
      <w:bodyDiv w:val="1"/>
      <w:marLeft w:val="0"/>
      <w:marRight w:val="0"/>
      <w:marTop w:val="0"/>
      <w:marBottom w:val="0"/>
      <w:divBdr>
        <w:top w:val="none" w:sz="0" w:space="0" w:color="auto"/>
        <w:left w:val="none" w:sz="0" w:space="0" w:color="auto"/>
        <w:bottom w:val="none" w:sz="0" w:space="0" w:color="auto"/>
        <w:right w:val="none" w:sz="0" w:space="0" w:color="auto"/>
      </w:divBdr>
    </w:div>
    <w:div w:id="1319262591">
      <w:bodyDiv w:val="1"/>
      <w:marLeft w:val="0"/>
      <w:marRight w:val="0"/>
      <w:marTop w:val="0"/>
      <w:marBottom w:val="0"/>
      <w:divBdr>
        <w:top w:val="none" w:sz="0" w:space="0" w:color="auto"/>
        <w:left w:val="none" w:sz="0" w:space="0" w:color="auto"/>
        <w:bottom w:val="none" w:sz="0" w:space="0" w:color="auto"/>
        <w:right w:val="none" w:sz="0" w:space="0" w:color="auto"/>
      </w:divBdr>
    </w:div>
    <w:div w:id="1320230728">
      <w:bodyDiv w:val="1"/>
      <w:marLeft w:val="0"/>
      <w:marRight w:val="0"/>
      <w:marTop w:val="0"/>
      <w:marBottom w:val="0"/>
      <w:divBdr>
        <w:top w:val="none" w:sz="0" w:space="0" w:color="auto"/>
        <w:left w:val="none" w:sz="0" w:space="0" w:color="auto"/>
        <w:bottom w:val="none" w:sz="0" w:space="0" w:color="auto"/>
        <w:right w:val="none" w:sz="0" w:space="0" w:color="auto"/>
      </w:divBdr>
    </w:div>
    <w:div w:id="1321927613">
      <w:bodyDiv w:val="1"/>
      <w:marLeft w:val="0"/>
      <w:marRight w:val="0"/>
      <w:marTop w:val="0"/>
      <w:marBottom w:val="0"/>
      <w:divBdr>
        <w:top w:val="none" w:sz="0" w:space="0" w:color="auto"/>
        <w:left w:val="none" w:sz="0" w:space="0" w:color="auto"/>
        <w:bottom w:val="none" w:sz="0" w:space="0" w:color="auto"/>
        <w:right w:val="none" w:sz="0" w:space="0" w:color="auto"/>
      </w:divBdr>
    </w:div>
    <w:div w:id="1321931665">
      <w:bodyDiv w:val="1"/>
      <w:marLeft w:val="0"/>
      <w:marRight w:val="0"/>
      <w:marTop w:val="0"/>
      <w:marBottom w:val="0"/>
      <w:divBdr>
        <w:top w:val="none" w:sz="0" w:space="0" w:color="auto"/>
        <w:left w:val="none" w:sz="0" w:space="0" w:color="auto"/>
        <w:bottom w:val="none" w:sz="0" w:space="0" w:color="auto"/>
        <w:right w:val="none" w:sz="0" w:space="0" w:color="auto"/>
      </w:divBdr>
    </w:div>
    <w:div w:id="1324158218">
      <w:bodyDiv w:val="1"/>
      <w:marLeft w:val="0"/>
      <w:marRight w:val="0"/>
      <w:marTop w:val="0"/>
      <w:marBottom w:val="0"/>
      <w:divBdr>
        <w:top w:val="none" w:sz="0" w:space="0" w:color="auto"/>
        <w:left w:val="none" w:sz="0" w:space="0" w:color="auto"/>
        <w:bottom w:val="none" w:sz="0" w:space="0" w:color="auto"/>
        <w:right w:val="none" w:sz="0" w:space="0" w:color="auto"/>
      </w:divBdr>
    </w:div>
    <w:div w:id="1324629266">
      <w:bodyDiv w:val="1"/>
      <w:marLeft w:val="0"/>
      <w:marRight w:val="0"/>
      <w:marTop w:val="0"/>
      <w:marBottom w:val="0"/>
      <w:divBdr>
        <w:top w:val="none" w:sz="0" w:space="0" w:color="auto"/>
        <w:left w:val="none" w:sz="0" w:space="0" w:color="auto"/>
        <w:bottom w:val="none" w:sz="0" w:space="0" w:color="auto"/>
        <w:right w:val="none" w:sz="0" w:space="0" w:color="auto"/>
      </w:divBdr>
    </w:div>
    <w:div w:id="1329675463">
      <w:bodyDiv w:val="1"/>
      <w:marLeft w:val="0"/>
      <w:marRight w:val="0"/>
      <w:marTop w:val="0"/>
      <w:marBottom w:val="0"/>
      <w:divBdr>
        <w:top w:val="none" w:sz="0" w:space="0" w:color="auto"/>
        <w:left w:val="none" w:sz="0" w:space="0" w:color="auto"/>
        <w:bottom w:val="none" w:sz="0" w:space="0" w:color="auto"/>
        <w:right w:val="none" w:sz="0" w:space="0" w:color="auto"/>
      </w:divBdr>
    </w:div>
    <w:div w:id="1330522258">
      <w:bodyDiv w:val="1"/>
      <w:marLeft w:val="0"/>
      <w:marRight w:val="0"/>
      <w:marTop w:val="0"/>
      <w:marBottom w:val="0"/>
      <w:divBdr>
        <w:top w:val="none" w:sz="0" w:space="0" w:color="auto"/>
        <w:left w:val="none" w:sz="0" w:space="0" w:color="auto"/>
        <w:bottom w:val="none" w:sz="0" w:space="0" w:color="auto"/>
        <w:right w:val="none" w:sz="0" w:space="0" w:color="auto"/>
      </w:divBdr>
    </w:div>
    <w:div w:id="1331785812">
      <w:bodyDiv w:val="1"/>
      <w:marLeft w:val="0"/>
      <w:marRight w:val="0"/>
      <w:marTop w:val="0"/>
      <w:marBottom w:val="0"/>
      <w:divBdr>
        <w:top w:val="none" w:sz="0" w:space="0" w:color="auto"/>
        <w:left w:val="none" w:sz="0" w:space="0" w:color="auto"/>
        <w:bottom w:val="none" w:sz="0" w:space="0" w:color="auto"/>
        <w:right w:val="none" w:sz="0" w:space="0" w:color="auto"/>
      </w:divBdr>
    </w:div>
    <w:div w:id="1343360925">
      <w:bodyDiv w:val="1"/>
      <w:marLeft w:val="0"/>
      <w:marRight w:val="0"/>
      <w:marTop w:val="0"/>
      <w:marBottom w:val="0"/>
      <w:divBdr>
        <w:top w:val="none" w:sz="0" w:space="0" w:color="auto"/>
        <w:left w:val="none" w:sz="0" w:space="0" w:color="auto"/>
        <w:bottom w:val="none" w:sz="0" w:space="0" w:color="auto"/>
        <w:right w:val="none" w:sz="0" w:space="0" w:color="auto"/>
      </w:divBdr>
    </w:div>
    <w:div w:id="1344471708">
      <w:bodyDiv w:val="1"/>
      <w:marLeft w:val="0"/>
      <w:marRight w:val="0"/>
      <w:marTop w:val="0"/>
      <w:marBottom w:val="0"/>
      <w:divBdr>
        <w:top w:val="none" w:sz="0" w:space="0" w:color="auto"/>
        <w:left w:val="none" w:sz="0" w:space="0" w:color="auto"/>
        <w:bottom w:val="none" w:sz="0" w:space="0" w:color="auto"/>
        <w:right w:val="none" w:sz="0" w:space="0" w:color="auto"/>
      </w:divBdr>
    </w:div>
    <w:div w:id="1348557163">
      <w:bodyDiv w:val="1"/>
      <w:marLeft w:val="0"/>
      <w:marRight w:val="0"/>
      <w:marTop w:val="0"/>
      <w:marBottom w:val="0"/>
      <w:divBdr>
        <w:top w:val="none" w:sz="0" w:space="0" w:color="auto"/>
        <w:left w:val="none" w:sz="0" w:space="0" w:color="auto"/>
        <w:bottom w:val="none" w:sz="0" w:space="0" w:color="auto"/>
        <w:right w:val="none" w:sz="0" w:space="0" w:color="auto"/>
      </w:divBdr>
    </w:div>
    <w:div w:id="1349596788">
      <w:bodyDiv w:val="1"/>
      <w:marLeft w:val="0"/>
      <w:marRight w:val="0"/>
      <w:marTop w:val="0"/>
      <w:marBottom w:val="0"/>
      <w:divBdr>
        <w:top w:val="none" w:sz="0" w:space="0" w:color="auto"/>
        <w:left w:val="none" w:sz="0" w:space="0" w:color="auto"/>
        <w:bottom w:val="none" w:sz="0" w:space="0" w:color="auto"/>
        <w:right w:val="none" w:sz="0" w:space="0" w:color="auto"/>
      </w:divBdr>
    </w:div>
    <w:div w:id="1354526894">
      <w:bodyDiv w:val="1"/>
      <w:marLeft w:val="0"/>
      <w:marRight w:val="0"/>
      <w:marTop w:val="0"/>
      <w:marBottom w:val="0"/>
      <w:divBdr>
        <w:top w:val="none" w:sz="0" w:space="0" w:color="auto"/>
        <w:left w:val="none" w:sz="0" w:space="0" w:color="auto"/>
        <w:bottom w:val="none" w:sz="0" w:space="0" w:color="auto"/>
        <w:right w:val="none" w:sz="0" w:space="0" w:color="auto"/>
      </w:divBdr>
    </w:div>
    <w:div w:id="1354837869">
      <w:bodyDiv w:val="1"/>
      <w:marLeft w:val="0"/>
      <w:marRight w:val="0"/>
      <w:marTop w:val="0"/>
      <w:marBottom w:val="0"/>
      <w:divBdr>
        <w:top w:val="none" w:sz="0" w:space="0" w:color="auto"/>
        <w:left w:val="none" w:sz="0" w:space="0" w:color="auto"/>
        <w:bottom w:val="none" w:sz="0" w:space="0" w:color="auto"/>
        <w:right w:val="none" w:sz="0" w:space="0" w:color="auto"/>
      </w:divBdr>
    </w:div>
    <w:div w:id="1364014743">
      <w:bodyDiv w:val="1"/>
      <w:marLeft w:val="0"/>
      <w:marRight w:val="0"/>
      <w:marTop w:val="0"/>
      <w:marBottom w:val="0"/>
      <w:divBdr>
        <w:top w:val="none" w:sz="0" w:space="0" w:color="auto"/>
        <w:left w:val="none" w:sz="0" w:space="0" w:color="auto"/>
        <w:bottom w:val="none" w:sz="0" w:space="0" w:color="auto"/>
        <w:right w:val="none" w:sz="0" w:space="0" w:color="auto"/>
      </w:divBdr>
    </w:div>
    <w:div w:id="1364552698">
      <w:bodyDiv w:val="1"/>
      <w:marLeft w:val="0"/>
      <w:marRight w:val="0"/>
      <w:marTop w:val="0"/>
      <w:marBottom w:val="0"/>
      <w:divBdr>
        <w:top w:val="none" w:sz="0" w:space="0" w:color="auto"/>
        <w:left w:val="none" w:sz="0" w:space="0" w:color="auto"/>
        <w:bottom w:val="none" w:sz="0" w:space="0" w:color="auto"/>
        <w:right w:val="none" w:sz="0" w:space="0" w:color="auto"/>
      </w:divBdr>
    </w:div>
    <w:div w:id="1364673027">
      <w:bodyDiv w:val="1"/>
      <w:marLeft w:val="0"/>
      <w:marRight w:val="0"/>
      <w:marTop w:val="0"/>
      <w:marBottom w:val="0"/>
      <w:divBdr>
        <w:top w:val="none" w:sz="0" w:space="0" w:color="auto"/>
        <w:left w:val="none" w:sz="0" w:space="0" w:color="auto"/>
        <w:bottom w:val="none" w:sz="0" w:space="0" w:color="auto"/>
        <w:right w:val="none" w:sz="0" w:space="0" w:color="auto"/>
      </w:divBdr>
    </w:div>
    <w:div w:id="1367756401">
      <w:bodyDiv w:val="1"/>
      <w:marLeft w:val="0"/>
      <w:marRight w:val="0"/>
      <w:marTop w:val="0"/>
      <w:marBottom w:val="0"/>
      <w:divBdr>
        <w:top w:val="none" w:sz="0" w:space="0" w:color="auto"/>
        <w:left w:val="none" w:sz="0" w:space="0" w:color="auto"/>
        <w:bottom w:val="none" w:sz="0" w:space="0" w:color="auto"/>
        <w:right w:val="none" w:sz="0" w:space="0" w:color="auto"/>
      </w:divBdr>
    </w:div>
    <w:div w:id="1369911403">
      <w:bodyDiv w:val="1"/>
      <w:marLeft w:val="0"/>
      <w:marRight w:val="0"/>
      <w:marTop w:val="0"/>
      <w:marBottom w:val="0"/>
      <w:divBdr>
        <w:top w:val="none" w:sz="0" w:space="0" w:color="auto"/>
        <w:left w:val="none" w:sz="0" w:space="0" w:color="auto"/>
        <w:bottom w:val="none" w:sz="0" w:space="0" w:color="auto"/>
        <w:right w:val="none" w:sz="0" w:space="0" w:color="auto"/>
      </w:divBdr>
    </w:div>
    <w:div w:id="1373768024">
      <w:bodyDiv w:val="1"/>
      <w:marLeft w:val="0"/>
      <w:marRight w:val="0"/>
      <w:marTop w:val="0"/>
      <w:marBottom w:val="0"/>
      <w:divBdr>
        <w:top w:val="none" w:sz="0" w:space="0" w:color="auto"/>
        <w:left w:val="none" w:sz="0" w:space="0" w:color="auto"/>
        <w:bottom w:val="none" w:sz="0" w:space="0" w:color="auto"/>
        <w:right w:val="none" w:sz="0" w:space="0" w:color="auto"/>
      </w:divBdr>
    </w:div>
    <w:div w:id="1374690324">
      <w:bodyDiv w:val="1"/>
      <w:marLeft w:val="0"/>
      <w:marRight w:val="0"/>
      <w:marTop w:val="0"/>
      <w:marBottom w:val="0"/>
      <w:divBdr>
        <w:top w:val="none" w:sz="0" w:space="0" w:color="auto"/>
        <w:left w:val="none" w:sz="0" w:space="0" w:color="auto"/>
        <w:bottom w:val="none" w:sz="0" w:space="0" w:color="auto"/>
        <w:right w:val="none" w:sz="0" w:space="0" w:color="auto"/>
      </w:divBdr>
    </w:div>
    <w:div w:id="1377239084">
      <w:bodyDiv w:val="1"/>
      <w:marLeft w:val="0"/>
      <w:marRight w:val="0"/>
      <w:marTop w:val="0"/>
      <w:marBottom w:val="0"/>
      <w:divBdr>
        <w:top w:val="none" w:sz="0" w:space="0" w:color="auto"/>
        <w:left w:val="none" w:sz="0" w:space="0" w:color="auto"/>
        <w:bottom w:val="none" w:sz="0" w:space="0" w:color="auto"/>
        <w:right w:val="none" w:sz="0" w:space="0" w:color="auto"/>
      </w:divBdr>
    </w:div>
    <w:div w:id="1378820657">
      <w:bodyDiv w:val="1"/>
      <w:marLeft w:val="0"/>
      <w:marRight w:val="0"/>
      <w:marTop w:val="0"/>
      <w:marBottom w:val="0"/>
      <w:divBdr>
        <w:top w:val="none" w:sz="0" w:space="0" w:color="auto"/>
        <w:left w:val="none" w:sz="0" w:space="0" w:color="auto"/>
        <w:bottom w:val="none" w:sz="0" w:space="0" w:color="auto"/>
        <w:right w:val="none" w:sz="0" w:space="0" w:color="auto"/>
      </w:divBdr>
    </w:div>
    <w:div w:id="1380013414">
      <w:bodyDiv w:val="1"/>
      <w:marLeft w:val="0"/>
      <w:marRight w:val="0"/>
      <w:marTop w:val="0"/>
      <w:marBottom w:val="0"/>
      <w:divBdr>
        <w:top w:val="none" w:sz="0" w:space="0" w:color="auto"/>
        <w:left w:val="none" w:sz="0" w:space="0" w:color="auto"/>
        <w:bottom w:val="none" w:sz="0" w:space="0" w:color="auto"/>
        <w:right w:val="none" w:sz="0" w:space="0" w:color="auto"/>
      </w:divBdr>
    </w:div>
    <w:div w:id="1381202254">
      <w:bodyDiv w:val="1"/>
      <w:marLeft w:val="0"/>
      <w:marRight w:val="0"/>
      <w:marTop w:val="0"/>
      <w:marBottom w:val="0"/>
      <w:divBdr>
        <w:top w:val="none" w:sz="0" w:space="0" w:color="auto"/>
        <w:left w:val="none" w:sz="0" w:space="0" w:color="auto"/>
        <w:bottom w:val="none" w:sz="0" w:space="0" w:color="auto"/>
        <w:right w:val="none" w:sz="0" w:space="0" w:color="auto"/>
      </w:divBdr>
    </w:div>
    <w:div w:id="1381631506">
      <w:bodyDiv w:val="1"/>
      <w:marLeft w:val="0"/>
      <w:marRight w:val="0"/>
      <w:marTop w:val="0"/>
      <w:marBottom w:val="0"/>
      <w:divBdr>
        <w:top w:val="none" w:sz="0" w:space="0" w:color="auto"/>
        <w:left w:val="none" w:sz="0" w:space="0" w:color="auto"/>
        <w:bottom w:val="none" w:sz="0" w:space="0" w:color="auto"/>
        <w:right w:val="none" w:sz="0" w:space="0" w:color="auto"/>
      </w:divBdr>
    </w:div>
    <w:div w:id="1385254837">
      <w:bodyDiv w:val="1"/>
      <w:marLeft w:val="0"/>
      <w:marRight w:val="0"/>
      <w:marTop w:val="0"/>
      <w:marBottom w:val="0"/>
      <w:divBdr>
        <w:top w:val="none" w:sz="0" w:space="0" w:color="auto"/>
        <w:left w:val="none" w:sz="0" w:space="0" w:color="auto"/>
        <w:bottom w:val="none" w:sz="0" w:space="0" w:color="auto"/>
        <w:right w:val="none" w:sz="0" w:space="0" w:color="auto"/>
      </w:divBdr>
    </w:div>
    <w:div w:id="1386831489">
      <w:bodyDiv w:val="1"/>
      <w:marLeft w:val="0"/>
      <w:marRight w:val="0"/>
      <w:marTop w:val="0"/>
      <w:marBottom w:val="0"/>
      <w:divBdr>
        <w:top w:val="none" w:sz="0" w:space="0" w:color="auto"/>
        <w:left w:val="none" w:sz="0" w:space="0" w:color="auto"/>
        <w:bottom w:val="none" w:sz="0" w:space="0" w:color="auto"/>
        <w:right w:val="none" w:sz="0" w:space="0" w:color="auto"/>
      </w:divBdr>
    </w:div>
    <w:div w:id="1387416395">
      <w:bodyDiv w:val="1"/>
      <w:marLeft w:val="0"/>
      <w:marRight w:val="0"/>
      <w:marTop w:val="0"/>
      <w:marBottom w:val="0"/>
      <w:divBdr>
        <w:top w:val="none" w:sz="0" w:space="0" w:color="auto"/>
        <w:left w:val="none" w:sz="0" w:space="0" w:color="auto"/>
        <w:bottom w:val="none" w:sz="0" w:space="0" w:color="auto"/>
        <w:right w:val="none" w:sz="0" w:space="0" w:color="auto"/>
      </w:divBdr>
    </w:div>
    <w:div w:id="1389038363">
      <w:bodyDiv w:val="1"/>
      <w:marLeft w:val="0"/>
      <w:marRight w:val="0"/>
      <w:marTop w:val="0"/>
      <w:marBottom w:val="0"/>
      <w:divBdr>
        <w:top w:val="none" w:sz="0" w:space="0" w:color="auto"/>
        <w:left w:val="none" w:sz="0" w:space="0" w:color="auto"/>
        <w:bottom w:val="none" w:sz="0" w:space="0" w:color="auto"/>
        <w:right w:val="none" w:sz="0" w:space="0" w:color="auto"/>
      </w:divBdr>
    </w:div>
    <w:div w:id="1389691065">
      <w:bodyDiv w:val="1"/>
      <w:marLeft w:val="0"/>
      <w:marRight w:val="0"/>
      <w:marTop w:val="0"/>
      <w:marBottom w:val="0"/>
      <w:divBdr>
        <w:top w:val="none" w:sz="0" w:space="0" w:color="auto"/>
        <w:left w:val="none" w:sz="0" w:space="0" w:color="auto"/>
        <w:bottom w:val="none" w:sz="0" w:space="0" w:color="auto"/>
        <w:right w:val="none" w:sz="0" w:space="0" w:color="auto"/>
      </w:divBdr>
    </w:div>
    <w:div w:id="1391927228">
      <w:bodyDiv w:val="1"/>
      <w:marLeft w:val="0"/>
      <w:marRight w:val="0"/>
      <w:marTop w:val="0"/>
      <w:marBottom w:val="0"/>
      <w:divBdr>
        <w:top w:val="none" w:sz="0" w:space="0" w:color="auto"/>
        <w:left w:val="none" w:sz="0" w:space="0" w:color="auto"/>
        <w:bottom w:val="none" w:sz="0" w:space="0" w:color="auto"/>
        <w:right w:val="none" w:sz="0" w:space="0" w:color="auto"/>
      </w:divBdr>
    </w:div>
    <w:div w:id="1393196630">
      <w:bodyDiv w:val="1"/>
      <w:marLeft w:val="0"/>
      <w:marRight w:val="0"/>
      <w:marTop w:val="0"/>
      <w:marBottom w:val="0"/>
      <w:divBdr>
        <w:top w:val="none" w:sz="0" w:space="0" w:color="auto"/>
        <w:left w:val="none" w:sz="0" w:space="0" w:color="auto"/>
        <w:bottom w:val="none" w:sz="0" w:space="0" w:color="auto"/>
        <w:right w:val="none" w:sz="0" w:space="0" w:color="auto"/>
      </w:divBdr>
    </w:div>
    <w:div w:id="1393507744">
      <w:bodyDiv w:val="1"/>
      <w:marLeft w:val="0"/>
      <w:marRight w:val="0"/>
      <w:marTop w:val="0"/>
      <w:marBottom w:val="0"/>
      <w:divBdr>
        <w:top w:val="none" w:sz="0" w:space="0" w:color="auto"/>
        <w:left w:val="none" w:sz="0" w:space="0" w:color="auto"/>
        <w:bottom w:val="none" w:sz="0" w:space="0" w:color="auto"/>
        <w:right w:val="none" w:sz="0" w:space="0" w:color="auto"/>
      </w:divBdr>
    </w:div>
    <w:div w:id="1395280562">
      <w:bodyDiv w:val="1"/>
      <w:marLeft w:val="0"/>
      <w:marRight w:val="0"/>
      <w:marTop w:val="0"/>
      <w:marBottom w:val="0"/>
      <w:divBdr>
        <w:top w:val="none" w:sz="0" w:space="0" w:color="auto"/>
        <w:left w:val="none" w:sz="0" w:space="0" w:color="auto"/>
        <w:bottom w:val="none" w:sz="0" w:space="0" w:color="auto"/>
        <w:right w:val="none" w:sz="0" w:space="0" w:color="auto"/>
      </w:divBdr>
    </w:div>
    <w:div w:id="1397241474">
      <w:bodyDiv w:val="1"/>
      <w:marLeft w:val="0"/>
      <w:marRight w:val="0"/>
      <w:marTop w:val="0"/>
      <w:marBottom w:val="0"/>
      <w:divBdr>
        <w:top w:val="none" w:sz="0" w:space="0" w:color="auto"/>
        <w:left w:val="none" w:sz="0" w:space="0" w:color="auto"/>
        <w:bottom w:val="none" w:sz="0" w:space="0" w:color="auto"/>
        <w:right w:val="none" w:sz="0" w:space="0" w:color="auto"/>
      </w:divBdr>
    </w:div>
    <w:div w:id="1398623384">
      <w:bodyDiv w:val="1"/>
      <w:marLeft w:val="0"/>
      <w:marRight w:val="0"/>
      <w:marTop w:val="0"/>
      <w:marBottom w:val="0"/>
      <w:divBdr>
        <w:top w:val="none" w:sz="0" w:space="0" w:color="auto"/>
        <w:left w:val="none" w:sz="0" w:space="0" w:color="auto"/>
        <w:bottom w:val="none" w:sz="0" w:space="0" w:color="auto"/>
        <w:right w:val="none" w:sz="0" w:space="0" w:color="auto"/>
      </w:divBdr>
    </w:div>
    <w:div w:id="1398626145">
      <w:bodyDiv w:val="1"/>
      <w:marLeft w:val="0"/>
      <w:marRight w:val="0"/>
      <w:marTop w:val="0"/>
      <w:marBottom w:val="0"/>
      <w:divBdr>
        <w:top w:val="none" w:sz="0" w:space="0" w:color="auto"/>
        <w:left w:val="none" w:sz="0" w:space="0" w:color="auto"/>
        <w:bottom w:val="none" w:sz="0" w:space="0" w:color="auto"/>
        <w:right w:val="none" w:sz="0" w:space="0" w:color="auto"/>
      </w:divBdr>
    </w:div>
    <w:div w:id="1399329570">
      <w:bodyDiv w:val="1"/>
      <w:marLeft w:val="0"/>
      <w:marRight w:val="0"/>
      <w:marTop w:val="0"/>
      <w:marBottom w:val="0"/>
      <w:divBdr>
        <w:top w:val="none" w:sz="0" w:space="0" w:color="auto"/>
        <w:left w:val="none" w:sz="0" w:space="0" w:color="auto"/>
        <w:bottom w:val="none" w:sz="0" w:space="0" w:color="auto"/>
        <w:right w:val="none" w:sz="0" w:space="0" w:color="auto"/>
      </w:divBdr>
    </w:div>
    <w:div w:id="1400328077">
      <w:bodyDiv w:val="1"/>
      <w:marLeft w:val="0"/>
      <w:marRight w:val="0"/>
      <w:marTop w:val="0"/>
      <w:marBottom w:val="0"/>
      <w:divBdr>
        <w:top w:val="none" w:sz="0" w:space="0" w:color="auto"/>
        <w:left w:val="none" w:sz="0" w:space="0" w:color="auto"/>
        <w:bottom w:val="none" w:sz="0" w:space="0" w:color="auto"/>
        <w:right w:val="none" w:sz="0" w:space="0" w:color="auto"/>
      </w:divBdr>
    </w:div>
    <w:div w:id="1403530850">
      <w:bodyDiv w:val="1"/>
      <w:marLeft w:val="0"/>
      <w:marRight w:val="0"/>
      <w:marTop w:val="0"/>
      <w:marBottom w:val="0"/>
      <w:divBdr>
        <w:top w:val="none" w:sz="0" w:space="0" w:color="auto"/>
        <w:left w:val="none" w:sz="0" w:space="0" w:color="auto"/>
        <w:bottom w:val="none" w:sz="0" w:space="0" w:color="auto"/>
        <w:right w:val="none" w:sz="0" w:space="0" w:color="auto"/>
      </w:divBdr>
    </w:div>
    <w:div w:id="1406222347">
      <w:bodyDiv w:val="1"/>
      <w:marLeft w:val="0"/>
      <w:marRight w:val="0"/>
      <w:marTop w:val="0"/>
      <w:marBottom w:val="0"/>
      <w:divBdr>
        <w:top w:val="none" w:sz="0" w:space="0" w:color="auto"/>
        <w:left w:val="none" w:sz="0" w:space="0" w:color="auto"/>
        <w:bottom w:val="none" w:sz="0" w:space="0" w:color="auto"/>
        <w:right w:val="none" w:sz="0" w:space="0" w:color="auto"/>
      </w:divBdr>
    </w:div>
    <w:div w:id="1406803629">
      <w:bodyDiv w:val="1"/>
      <w:marLeft w:val="0"/>
      <w:marRight w:val="0"/>
      <w:marTop w:val="0"/>
      <w:marBottom w:val="0"/>
      <w:divBdr>
        <w:top w:val="none" w:sz="0" w:space="0" w:color="auto"/>
        <w:left w:val="none" w:sz="0" w:space="0" w:color="auto"/>
        <w:bottom w:val="none" w:sz="0" w:space="0" w:color="auto"/>
        <w:right w:val="none" w:sz="0" w:space="0" w:color="auto"/>
      </w:divBdr>
    </w:div>
    <w:div w:id="1408459820">
      <w:bodyDiv w:val="1"/>
      <w:marLeft w:val="0"/>
      <w:marRight w:val="0"/>
      <w:marTop w:val="0"/>
      <w:marBottom w:val="0"/>
      <w:divBdr>
        <w:top w:val="none" w:sz="0" w:space="0" w:color="auto"/>
        <w:left w:val="none" w:sz="0" w:space="0" w:color="auto"/>
        <w:bottom w:val="none" w:sz="0" w:space="0" w:color="auto"/>
        <w:right w:val="none" w:sz="0" w:space="0" w:color="auto"/>
      </w:divBdr>
    </w:div>
    <w:div w:id="1410153727">
      <w:bodyDiv w:val="1"/>
      <w:marLeft w:val="0"/>
      <w:marRight w:val="0"/>
      <w:marTop w:val="0"/>
      <w:marBottom w:val="0"/>
      <w:divBdr>
        <w:top w:val="none" w:sz="0" w:space="0" w:color="auto"/>
        <w:left w:val="none" w:sz="0" w:space="0" w:color="auto"/>
        <w:bottom w:val="none" w:sz="0" w:space="0" w:color="auto"/>
        <w:right w:val="none" w:sz="0" w:space="0" w:color="auto"/>
      </w:divBdr>
    </w:div>
    <w:div w:id="1410663351">
      <w:bodyDiv w:val="1"/>
      <w:marLeft w:val="0"/>
      <w:marRight w:val="0"/>
      <w:marTop w:val="0"/>
      <w:marBottom w:val="0"/>
      <w:divBdr>
        <w:top w:val="none" w:sz="0" w:space="0" w:color="auto"/>
        <w:left w:val="none" w:sz="0" w:space="0" w:color="auto"/>
        <w:bottom w:val="none" w:sz="0" w:space="0" w:color="auto"/>
        <w:right w:val="none" w:sz="0" w:space="0" w:color="auto"/>
      </w:divBdr>
    </w:div>
    <w:div w:id="1412577671">
      <w:bodyDiv w:val="1"/>
      <w:marLeft w:val="0"/>
      <w:marRight w:val="0"/>
      <w:marTop w:val="0"/>
      <w:marBottom w:val="0"/>
      <w:divBdr>
        <w:top w:val="none" w:sz="0" w:space="0" w:color="auto"/>
        <w:left w:val="none" w:sz="0" w:space="0" w:color="auto"/>
        <w:bottom w:val="none" w:sz="0" w:space="0" w:color="auto"/>
        <w:right w:val="none" w:sz="0" w:space="0" w:color="auto"/>
      </w:divBdr>
    </w:div>
    <w:div w:id="1414930259">
      <w:bodyDiv w:val="1"/>
      <w:marLeft w:val="0"/>
      <w:marRight w:val="0"/>
      <w:marTop w:val="0"/>
      <w:marBottom w:val="0"/>
      <w:divBdr>
        <w:top w:val="none" w:sz="0" w:space="0" w:color="auto"/>
        <w:left w:val="none" w:sz="0" w:space="0" w:color="auto"/>
        <w:bottom w:val="none" w:sz="0" w:space="0" w:color="auto"/>
        <w:right w:val="none" w:sz="0" w:space="0" w:color="auto"/>
      </w:divBdr>
    </w:div>
    <w:div w:id="1415397483">
      <w:bodyDiv w:val="1"/>
      <w:marLeft w:val="0"/>
      <w:marRight w:val="0"/>
      <w:marTop w:val="0"/>
      <w:marBottom w:val="0"/>
      <w:divBdr>
        <w:top w:val="none" w:sz="0" w:space="0" w:color="auto"/>
        <w:left w:val="none" w:sz="0" w:space="0" w:color="auto"/>
        <w:bottom w:val="none" w:sz="0" w:space="0" w:color="auto"/>
        <w:right w:val="none" w:sz="0" w:space="0" w:color="auto"/>
      </w:divBdr>
    </w:div>
    <w:div w:id="1416317493">
      <w:bodyDiv w:val="1"/>
      <w:marLeft w:val="0"/>
      <w:marRight w:val="0"/>
      <w:marTop w:val="0"/>
      <w:marBottom w:val="0"/>
      <w:divBdr>
        <w:top w:val="none" w:sz="0" w:space="0" w:color="auto"/>
        <w:left w:val="none" w:sz="0" w:space="0" w:color="auto"/>
        <w:bottom w:val="none" w:sz="0" w:space="0" w:color="auto"/>
        <w:right w:val="none" w:sz="0" w:space="0" w:color="auto"/>
      </w:divBdr>
    </w:div>
    <w:div w:id="1423798357">
      <w:bodyDiv w:val="1"/>
      <w:marLeft w:val="0"/>
      <w:marRight w:val="0"/>
      <w:marTop w:val="0"/>
      <w:marBottom w:val="0"/>
      <w:divBdr>
        <w:top w:val="none" w:sz="0" w:space="0" w:color="auto"/>
        <w:left w:val="none" w:sz="0" w:space="0" w:color="auto"/>
        <w:bottom w:val="none" w:sz="0" w:space="0" w:color="auto"/>
        <w:right w:val="none" w:sz="0" w:space="0" w:color="auto"/>
      </w:divBdr>
    </w:div>
    <w:div w:id="1425102697">
      <w:bodyDiv w:val="1"/>
      <w:marLeft w:val="0"/>
      <w:marRight w:val="0"/>
      <w:marTop w:val="0"/>
      <w:marBottom w:val="0"/>
      <w:divBdr>
        <w:top w:val="none" w:sz="0" w:space="0" w:color="auto"/>
        <w:left w:val="none" w:sz="0" w:space="0" w:color="auto"/>
        <w:bottom w:val="none" w:sz="0" w:space="0" w:color="auto"/>
        <w:right w:val="none" w:sz="0" w:space="0" w:color="auto"/>
      </w:divBdr>
    </w:div>
    <w:div w:id="1425149694">
      <w:bodyDiv w:val="1"/>
      <w:marLeft w:val="0"/>
      <w:marRight w:val="0"/>
      <w:marTop w:val="0"/>
      <w:marBottom w:val="0"/>
      <w:divBdr>
        <w:top w:val="none" w:sz="0" w:space="0" w:color="auto"/>
        <w:left w:val="none" w:sz="0" w:space="0" w:color="auto"/>
        <w:bottom w:val="none" w:sz="0" w:space="0" w:color="auto"/>
        <w:right w:val="none" w:sz="0" w:space="0" w:color="auto"/>
      </w:divBdr>
    </w:div>
    <w:div w:id="1425343514">
      <w:bodyDiv w:val="1"/>
      <w:marLeft w:val="0"/>
      <w:marRight w:val="0"/>
      <w:marTop w:val="0"/>
      <w:marBottom w:val="0"/>
      <w:divBdr>
        <w:top w:val="none" w:sz="0" w:space="0" w:color="auto"/>
        <w:left w:val="none" w:sz="0" w:space="0" w:color="auto"/>
        <w:bottom w:val="none" w:sz="0" w:space="0" w:color="auto"/>
        <w:right w:val="none" w:sz="0" w:space="0" w:color="auto"/>
      </w:divBdr>
    </w:div>
    <w:div w:id="1426875735">
      <w:bodyDiv w:val="1"/>
      <w:marLeft w:val="0"/>
      <w:marRight w:val="0"/>
      <w:marTop w:val="0"/>
      <w:marBottom w:val="0"/>
      <w:divBdr>
        <w:top w:val="none" w:sz="0" w:space="0" w:color="auto"/>
        <w:left w:val="none" w:sz="0" w:space="0" w:color="auto"/>
        <w:bottom w:val="none" w:sz="0" w:space="0" w:color="auto"/>
        <w:right w:val="none" w:sz="0" w:space="0" w:color="auto"/>
      </w:divBdr>
    </w:div>
    <w:div w:id="1426880388">
      <w:bodyDiv w:val="1"/>
      <w:marLeft w:val="0"/>
      <w:marRight w:val="0"/>
      <w:marTop w:val="0"/>
      <w:marBottom w:val="0"/>
      <w:divBdr>
        <w:top w:val="none" w:sz="0" w:space="0" w:color="auto"/>
        <w:left w:val="none" w:sz="0" w:space="0" w:color="auto"/>
        <w:bottom w:val="none" w:sz="0" w:space="0" w:color="auto"/>
        <w:right w:val="none" w:sz="0" w:space="0" w:color="auto"/>
      </w:divBdr>
    </w:div>
    <w:div w:id="1427850548">
      <w:bodyDiv w:val="1"/>
      <w:marLeft w:val="0"/>
      <w:marRight w:val="0"/>
      <w:marTop w:val="0"/>
      <w:marBottom w:val="0"/>
      <w:divBdr>
        <w:top w:val="none" w:sz="0" w:space="0" w:color="auto"/>
        <w:left w:val="none" w:sz="0" w:space="0" w:color="auto"/>
        <w:bottom w:val="none" w:sz="0" w:space="0" w:color="auto"/>
        <w:right w:val="none" w:sz="0" w:space="0" w:color="auto"/>
      </w:divBdr>
    </w:div>
    <w:div w:id="1430079265">
      <w:bodyDiv w:val="1"/>
      <w:marLeft w:val="0"/>
      <w:marRight w:val="0"/>
      <w:marTop w:val="0"/>
      <w:marBottom w:val="0"/>
      <w:divBdr>
        <w:top w:val="none" w:sz="0" w:space="0" w:color="auto"/>
        <w:left w:val="none" w:sz="0" w:space="0" w:color="auto"/>
        <w:bottom w:val="none" w:sz="0" w:space="0" w:color="auto"/>
        <w:right w:val="none" w:sz="0" w:space="0" w:color="auto"/>
      </w:divBdr>
    </w:div>
    <w:div w:id="1430930080">
      <w:bodyDiv w:val="1"/>
      <w:marLeft w:val="0"/>
      <w:marRight w:val="0"/>
      <w:marTop w:val="0"/>
      <w:marBottom w:val="0"/>
      <w:divBdr>
        <w:top w:val="none" w:sz="0" w:space="0" w:color="auto"/>
        <w:left w:val="none" w:sz="0" w:space="0" w:color="auto"/>
        <w:bottom w:val="none" w:sz="0" w:space="0" w:color="auto"/>
        <w:right w:val="none" w:sz="0" w:space="0" w:color="auto"/>
      </w:divBdr>
    </w:div>
    <w:div w:id="1435325845">
      <w:bodyDiv w:val="1"/>
      <w:marLeft w:val="0"/>
      <w:marRight w:val="0"/>
      <w:marTop w:val="0"/>
      <w:marBottom w:val="0"/>
      <w:divBdr>
        <w:top w:val="none" w:sz="0" w:space="0" w:color="auto"/>
        <w:left w:val="none" w:sz="0" w:space="0" w:color="auto"/>
        <w:bottom w:val="none" w:sz="0" w:space="0" w:color="auto"/>
        <w:right w:val="none" w:sz="0" w:space="0" w:color="auto"/>
      </w:divBdr>
    </w:div>
    <w:div w:id="1435513717">
      <w:bodyDiv w:val="1"/>
      <w:marLeft w:val="0"/>
      <w:marRight w:val="0"/>
      <w:marTop w:val="0"/>
      <w:marBottom w:val="0"/>
      <w:divBdr>
        <w:top w:val="none" w:sz="0" w:space="0" w:color="auto"/>
        <w:left w:val="none" w:sz="0" w:space="0" w:color="auto"/>
        <w:bottom w:val="none" w:sz="0" w:space="0" w:color="auto"/>
        <w:right w:val="none" w:sz="0" w:space="0" w:color="auto"/>
      </w:divBdr>
    </w:div>
    <w:div w:id="1438796935">
      <w:bodyDiv w:val="1"/>
      <w:marLeft w:val="0"/>
      <w:marRight w:val="0"/>
      <w:marTop w:val="0"/>
      <w:marBottom w:val="0"/>
      <w:divBdr>
        <w:top w:val="none" w:sz="0" w:space="0" w:color="auto"/>
        <w:left w:val="none" w:sz="0" w:space="0" w:color="auto"/>
        <w:bottom w:val="none" w:sz="0" w:space="0" w:color="auto"/>
        <w:right w:val="none" w:sz="0" w:space="0" w:color="auto"/>
      </w:divBdr>
    </w:div>
    <w:div w:id="1444157013">
      <w:bodyDiv w:val="1"/>
      <w:marLeft w:val="0"/>
      <w:marRight w:val="0"/>
      <w:marTop w:val="0"/>
      <w:marBottom w:val="0"/>
      <w:divBdr>
        <w:top w:val="none" w:sz="0" w:space="0" w:color="auto"/>
        <w:left w:val="none" w:sz="0" w:space="0" w:color="auto"/>
        <w:bottom w:val="none" w:sz="0" w:space="0" w:color="auto"/>
        <w:right w:val="none" w:sz="0" w:space="0" w:color="auto"/>
      </w:divBdr>
    </w:div>
    <w:div w:id="1444685459">
      <w:bodyDiv w:val="1"/>
      <w:marLeft w:val="0"/>
      <w:marRight w:val="0"/>
      <w:marTop w:val="0"/>
      <w:marBottom w:val="0"/>
      <w:divBdr>
        <w:top w:val="none" w:sz="0" w:space="0" w:color="auto"/>
        <w:left w:val="none" w:sz="0" w:space="0" w:color="auto"/>
        <w:bottom w:val="none" w:sz="0" w:space="0" w:color="auto"/>
        <w:right w:val="none" w:sz="0" w:space="0" w:color="auto"/>
      </w:divBdr>
    </w:div>
    <w:div w:id="1459570368">
      <w:bodyDiv w:val="1"/>
      <w:marLeft w:val="0"/>
      <w:marRight w:val="0"/>
      <w:marTop w:val="0"/>
      <w:marBottom w:val="0"/>
      <w:divBdr>
        <w:top w:val="none" w:sz="0" w:space="0" w:color="auto"/>
        <w:left w:val="none" w:sz="0" w:space="0" w:color="auto"/>
        <w:bottom w:val="none" w:sz="0" w:space="0" w:color="auto"/>
        <w:right w:val="none" w:sz="0" w:space="0" w:color="auto"/>
      </w:divBdr>
    </w:div>
    <w:div w:id="1463426126">
      <w:bodyDiv w:val="1"/>
      <w:marLeft w:val="0"/>
      <w:marRight w:val="0"/>
      <w:marTop w:val="0"/>
      <w:marBottom w:val="0"/>
      <w:divBdr>
        <w:top w:val="none" w:sz="0" w:space="0" w:color="auto"/>
        <w:left w:val="none" w:sz="0" w:space="0" w:color="auto"/>
        <w:bottom w:val="none" w:sz="0" w:space="0" w:color="auto"/>
        <w:right w:val="none" w:sz="0" w:space="0" w:color="auto"/>
      </w:divBdr>
    </w:div>
    <w:div w:id="1464082779">
      <w:bodyDiv w:val="1"/>
      <w:marLeft w:val="0"/>
      <w:marRight w:val="0"/>
      <w:marTop w:val="0"/>
      <w:marBottom w:val="0"/>
      <w:divBdr>
        <w:top w:val="none" w:sz="0" w:space="0" w:color="auto"/>
        <w:left w:val="none" w:sz="0" w:space="0" w:color="auto"/>
        <w:bottom w:val="none" w:sz="0" w:space="0" w:color="auto"/>
        <w:right w:val="none" w:sz="0" w:space="0" w:color="auto"/>
      </w:divBdr>
    </w:div>
    <w:div w:id="1464998691">
      <w:bodyDiv w:val="1"/>
      <w:marLeft w:val="0"/>
      <w:marRight w:val="0"/>
      <w:marTop w:val="0"/>
      <w:marBottom w:val="0"/>
      <w:divBdr>
        <w:top w:val="none" w:sz="0" w:space="0" w:color="auto"/>
        <w:left w:val="none" w:sz="0" w:space="0" w:color="auto"/>
        <w:bottom w:val="none" w:sz="0" w:space="0" w:color="auto"/>
        <w:right w:val="none" w:sz="0" w:space="0" w:color="auto"/>
      </w:divBdr>
    </w:div>
    <w:div w:id="1467507365">
      <w:bodyDiv w:val="1"/>
      <w:marLeft w:val="0"/>
      <w:marRight w:val="0"/>
      <w:marTop w:val="0"/>
      <w:marBottom w:val="0"/>
      <w:divBdr>
        <w:top w:val="none" w:sz="0" w:space="0" w:color="auto"/>
        <w:left w:val="none" w:sz="0" w:space="0" w:color="auto"/>
        <w:bottom w:val="none" w:sz="0" w:space="0" w:color="auto"/>
        <w:right w:val="none" w:sz="0" w:space="0" w:color="auto"/>
      </w:divBdr>
    </w:div>
    <w:div w:id="1471359817">
      <w:bodyDiv w:val="1"/>
      <w:marLeft w:val="0"/>
      <w:marRight w:val="0"/>
      <w:marTop w:val="0"/>
      <w:marBottom w:val="0"/>
      <w:divBdr>
        <w:top w:val="none" w:sz="0" w:space="0" w:color="auto"/>
        <w:left w:val="none" w:sz="0" w:space="0" w:color="auto"/>
        <w:bottom w:val="none" w:sz="0" w:space="0" w:color="auto"/>
        <w:right w:val="none" w:sz="0" w:space="0" w:color="auto"/>
      </w:divBdr>
    </w:div>
    <w:div w:id="1475565456">
      <w:bodyDiv w:val="1"/>
      <w:marLeft w:val="0"/>
      <w:marRight w:val="0"/>
      <w:marTop w:val="0"/>
      <w:marBottom w:val="0"/>
      <w:divBdr>
        <w:top w:val="none" w:sz="0" w:space="0" w:color="auto"/>
        <w:left w:val="none" w:sz="0" w:space="0" w:color="auto"/>
        <w:bottom w:val="none" w:sz="0" w:space="0" w:color="auto"/>
        <w:right w:val="none" w:sz="0" w:space="0" w:color="auto"/>
      </w:divBdr>
    </w:div>
    <w:div w:id="1477645437">
      <w:bodyDiv w:val="1"/>
      <w:marLeft w:val="0"/>
      <w:marRight w:val="0"/>
      <w:marTop w:val="0"/>
      <w:marBottom w:val="0"/>
      <w:divBdr>
        <w:top w:val="none" w:sz="0" w:space="0" w:color="auto"/>
        <w:left w:val="none" w:sz="0" w:space="0" w:color="auto"/>
        <w:bottom w:val="none" w:sz="0" w:space="0" w:color="auto"/>
        <w:right w:val="none" w:sz="0" w:space="0" w:color="auto"/>
      </w:divBdr>
    </w:div>
    <w:div w:id="1478376612">
      <w:bodyDiv w:val="1"/>
      <w:marLeft w:val="0"/>
      <w:marRight w:val="0"/>
      <w:marTop w:val="0"/>
      <w:marBottom w:val="0"/>
      <w:divBdr>
        <w:top w:val="none" w:sz="0" w:space="0" w:color="auto"/>
        <w:left w:val="none" w:sz="0" w:space="0" w:color="auto"/>
        <w:bottom w:val="none" w:sz="0" w:space="0" w:color="auto"/>
        <w:right w:val="none" w:sz="0" w:space="0" w:color="auto"/>
      </w:divBdr>
    </w:div>
    <w:div w:id="1480876943">
      <w:bodyDiv w:val="1"/>
      <w:marLeft w:val="0"/>
      <w:marRight w:val="0"/>
      <w:marTop w:val="0"/>
      <w:marBottom w:val="0"/>
      <w:divBdr>
        <w:top w:val="none" w:sz="0" w:space="0" w:color="auto"/>
        <w:left w:val="none" w:sz="0" w:space="0" w:color="auto"/>
        <w:bottom w:val="none" w:sz="0" w:space="0" w:color="auto"/>
        <w:right w:val="none" w:sz="0" w:space="0" w:color="auto"/>
      </w:divBdr>
    </w:div>
    <w:div w:id="1482424984">
      <w:bodyDiv w:val="1"/>
      <w:marLeft w:val="0"/>
      <w:marRight w:val="0"/>
      <w:marTop w:val="0"/>
      <w:marBottom w:val="0"/>
      <w:divBdr>
        <w:top w:val="none" w:sz="0" w:space="0" w:color="auto"/>
        <w:left w:val="none" w:sz="0" w:space="0" w:color="auto"/>
        <w:bottom w:val="none" w:sz="0" w:space="0" w:color="auto"/>
        <w:right w:val="none" w:sz="0" w:space="0" w:color="auto"/>
      </w:divBdr>
    </w:div>
    <w:div w:id="1488087405">
      <w:bodyDiv w:val="1"/>
      <w:marLeft w:val="0"/>
      <w:marRight w:val="0"/>
      <w:marTop w:val="0"/>
      <w:marBottom w:val="0"/>
      <w:divBdr>
        <w:top w:val="none" w:sz="0" w:space="0" w:color="auto"/>
        <w:left w:val="none" w:sz="0" w:space="0" w:color="auto"/>
        <w:bottom w:val="none" w:sz="0" w:space="0" w:color="auto"/>
        <w:right w:val="none" w:sz="0" w:space="0" w:color="auto"/>
      </w:divBdr>
    </w:div>
    <w:div w:id="1488857596">
      <w:bodyDiv w:val="1"/>
      <w:marLeft w:val="0"/>
      <w:marRight w:val="0"/>
      <w:marTop w:val="0"/>
      <w:marBottom w:val="0"/>
      <w:divBdr>
        <w:top w:val="none" w:sz="0" w:space="0" w:color="auto"/>
        <w:left w:val="none" w:sz="0" w:space="0" w:color="auto"/>
        <w:bottom w:val="none" w:sz="0" w:space="0" w:color="auto"/>
        <w:right w:val="none" w:sz="0" w:space="0" w:color="auto"/>
      </w:divBdr>
    </w:div>
    <w:div w:id="1493838632">
      <w:bodyDiv w:val="1"/>
      <w:marLeft w:val="0"/>
      <w:marRight w:val="0"/>
      <w:marTop w:val="0"/>
      <w:marBottom w:val="0"/>
      <w:divBdr>
        <w:top w:val="none" w:sz="0" w:space="0" w:color="auto"/>
        <w:left w:val="none" w:sz="0" w:space="0" w:color="auto"/>
        <w:bottom w:val="none" w:sz="0" w:space="0" w:color="auto"/>
        <w:right w:val="none" w:sz="0" w:space="0" w:color="auto"/>
      </w:divBdr>
    </w:div>
    <w:div w:id="1495418673">
      <w:bodyDiv w:val="1"/>
      <w:marLeft w:val="0"/>
      <w:marRight w:val="0"/>
      <w:marTop w:val="0"/>
      <w:marBottom w:val="0"/>
      <w:divBdr>
        <w:top w:val="none" w:sz="0" w:space="0" w:color="auto"/>
        <w:left w:val="none" w:sz="0" w:space="0" w:color="auto"/>
        <w:bottom w:val="none" w:sz="0" w:space="0" w:color="auto"/>
        <w:right w:val="none" w:sz="0" w:space="0" w:color="auto"/>
      </w:divBdr>
    </w:div>
    <w:div w:id="1495682425">
      <w:bodyDiv w:val="1"/>
      <w:marLeft w:val="0"/>
      <w:marRight w:val="0"/>
      <w:marTop w:val="0"/>
      <w:marBottom w:val="0"/>
      <w:divBdr>
        <w:top w:val="none" w:sz="0" w:space="0" w:color="auto"/>
        <w:left w:val="none" w:sz="0" w:space="0" w:color="auto"/>
        <w:bottom w:val="none" w:sz="0" w:space="0" w:color="auto"/>
        <w:right w:val="none" w:sz="0" w:space="0" w:color="auto"/>
      </w:divBdr>
    </w:div>
    <w:div w:id="1500999619">
      <w:bodyDiv w:val="1"/>
      <w:marLeft w:val="0"/>
      <w:marRight w:val="0"/>
      <w:marTop w:val="0"/>
      <w:marBottom w:val="0"/>
      <w:divBdr>
        <w:top w:val="none" w:sz="0" w:space="0" w:color="auto"/>
        <w:left w:val="none" w:sz="0" w:space="0" w:color="auto"/>
        <w:bottom w:val="none" w:sz="0" w:space="0" w:color="auto"/>
        <w:right w:val="none" w:sz="0" w:space="0" w:color="auto"/>
      </w:divBdr>
    </w:div>
    <w:div w:id="1503352068">
      <w:bodyDiv w:val="1"/>
      <w:marLeft w:val="0"/>
      <w:marRight w:val="0"/>
      <w:marTop w:val="0"/>
      <w:marBottom w:val="0"/>
      <w:divBdr>
        <w:top w:val="none" w:sz="0" w:space="0" w:color="auto"/>
        <w:left w:val="none" w:sz="0" w:space="0" w:color="auto"/>
        <w:bottom w:val="none" w:sz="0" w:space="0" w:color="auto"/>
        <w:right w:val="none" w:sz="0" w:space="0" w:color="auto"/>
      </w:divBdr>
    </w:div>
    <w:div w:id="1505700968">
      <w:bodyDiv w:val="1"/>
      <w:marLeft w:val="0"/>
      <w:marRight w:val="0"/>
      <w:marTop w:val="0"/>
      <w:marBottom w:val="0"/>
      <w:divBdr>
        <w:top w:val="none" w:sz="0" w:space="0" w:color="auto"/>
        <w:left w:val="none" w:sz="0" w:space="0" w:color="auto"/>
        <w:bottom w:val="none" w:sz="0" w:space="0" w:color="auto"/>
        <w:right w:val="none" w:sz="0" w:space="0" w:color="auto"/>
      </w:divBdr>
    </w:div>
    <w:div w:id="1507206409">
      <w:bodyDiv w:val="1"/>
      <w:marLeft w:val="0"/>
      <w:marRight w:val="0"/>
      <w:marTop w:val="0"/>
      <w:marBottom w:val="0"/>
      <w:divBdr>
        <w:top w:val="none" w:sz="0" w:space="0" w:color="auto"/>
        <w:left w:val="none" w:sz="0" w:space="0" w:color="auto"/>
        <w:bottom w:val="none" w:sz="0" w:space="0" w:color="auto"/>
        <w:right w:val="none" w:sz="0" w:space="0" w:color="auto"/>
      </w:divBdr>
    </w:div>
    <w:div w:id="1513105982">
      <w:bodyDiv w:val="1"/>
      <w:marLeft w:val="0"/>
      <w:marRight w:val="0"/>
      <w:marTop w:val="0"/>
      <w:marBottom w:val="0"/>
      <w:divBdr>
        <w:top w:val="none" w:sz="0" w:space="0" w:color="auto"/>
        <w:left w:val="none" w:sz="0" w:space="0" w:color="auto"/>
        <w:bottom w:val="none" w:sz="0" w:space="0" w:color="auto"/>
        <w:right w:val="none" w:sz="0" w:space="0" w:color="auto"/>
      </w:divBdr>
    </w:div>
    <w:div w:id="1515192794">
      <w:bodyDiv w:val="1"/>
      <w:marLeft w:val="0"/>
      <w:marRight w:val="0"/>
      <w:marTop w:val="0"/>
      <w:marBottom w:val="0"/>
      <w:divBdr>
        <w:top w:val="none" w:sz="0" w:space="0" w:color="auto"/>
        <w:left w:val="none" w:sz="0" w:space="0" w:color="auto"/>
        <w:bottom w:val="none" w:sz="0" w:space="0" w:color="auto"/>
        <w:right w:val="none" w:sz="0" w:space="0" w:color="auto"/>
      </w:divBdr>
    </w:div>
    <w:div w:id="1519612563">
      <w:bodyDiv w:val="1"/>
      <w:marLeft w:val="0"/>
      <w:marRight w:val="0"/>
      <w:marTop w:val="0"/>
      <w:marBottom w:val="0"/>
      <w:divBdr>
        <w:top w:val="none" w:sz="0" w:space="0" w:color="auto"/>
        <w:left w:val="none" w:sz="0" w:space="0" w:color="auto"/>
        <w:bottom w:val="none" w:sz="0" w:space="0" w:color="auto"/>
        <w:right w:val="none" w:sz="0" w:space="0" w:color="auto"/>
      </w:divBdr>
    </w:div>
    <w:div w:id="1522473320">
      <w:bodyDiv w:val="1"/>
      <w:marLeft w:val="0"/>
      <w:marRight w:val="0"/>
      <w:marTop w:val="0"/>
      <w:marBottom w:val="0"/>
      <w:divBdr>
        <w:top w:val="none" w:sz="0" w:space="0" w:color="auto"/>
        <w:left w:val="none" w:sz="0" w:space="0" w:color="auto"/>
        <w:bottom w:val="none" w:sz="0" w:space="0" w:color="auto"/>
        <w:right w:val="none" w:sz="0" w:space="0" w:color="auto"/>
      </w:divBdr>
    </w:div>
    <w:div w:id="1523976920">
      <w:bodyDiv w:val="1"/>
      <w:marLeft w:val="0"/>
      <w:marRight w:val="0"/>
      <w:marTop w:val="0"/>
      <w:marBottom w:val="0"/>
      <w:divBdr>
        <w:top w:val="none" w:sz="0" w:space="0" w:color="auto"/>
        <w:left w:val="none" w:sz="0" w:space="0" w:color="auto"/>
        <w:bottom w:val="none" w:sz="0" w:space="0" w:color="auto"/>
        <w:right w:val="none" w:sz="0" w:space="0" w:color="auto"/>
      </w:divBdr>
    </w:div>
    <w:div w:id="1524245417">
      <w:bodyDiv w:val="1"/>
      <w:marLeft w:val="0"/>
      <w:marRight w:val="0"/>
      <w:marTop w:val="0"/>
      <w:marBottom w:val="0"/>
      <w:divBdr>
        <w:top w:val="none" w:sz="0" w:space="0" w:color="auto"/>
        <w:left w:val="none" w:sz="0" w:space="0" w:color="auto"/>
        <w:bottom w:val="none" w:sz="0" w:space="0" w:color="auto"/>
        <w:right w:val="none" w:sz="0" w:space="0" w:color="auto"/>
      </w:divBdr>
    </w:div>
    <w:div w:id="1525363927">
      <w:bodyDiv w:val="1"/>
      <w:marLeft w:val="0"/>
      <w:marRight w:val="0"/>
      <w:marTop w:val="0"/>
      <w:marBottom w:val="0"/>
      <w:divBdr>
        <w:top w:val="none" w:sz="0" w:space="0" w:color="auto"/>
        <w:left w:val="none" w:sz="0" w:space="0" w:color="auto"/>
        <w:bottom w:val="none" w:sz="0" w:space="0" w:color="auto"/>
        <w:right w:val="none" w:sz="0" w:space="0" w:color="auto"/>
      </w:divBdr>
    </w:div>
    <w:div w:id="1525435902">
      <w:bodyDiv w:val="1"/>
      <w:marLeft w:val="0"/>
      <w:marRight w:val="0"/>
      <w:marTop w:val="0"/>
      <w:marBottom w:val="0"/>
      <w:divBdr>
        <w:top w:val="none" w:sz="0" w:space="0" w:color="auto"/>
        <w:left w:val="none" w:sz="0" w:space="0" w:color="auto"/>
        <w:bottom w:val="none" w:sz="0" w:space="0" w:color="auto"/>
        <w:right w:val="none" w:sz="0" w:space="0" w:color="auto"/>
      </w:divBdr>
    </w:div>
    <w:div w:id="1525829208">
      <w:bodyDiv w:val="1"/>
      <w:marLeft w:val="0"/>
      <w:marRight w:val="0"/>
      <w:marTop w:val="0"/>
      <w:marBottom w:val="0"/>
      <w:divBdr>
        <w:top w:val="none" w:sz="0" w:space="0" w:color="auto"/>
        <w:left w:val="none" w:sz="0" w:space="0" w:color="auto"/>
        <w:bottom w:val="none" w:sz="0" w:space="0" w:color="auto"/>
        <w:right w:val="none" w:sz="0" w:space="0" w:color="auto"/>
      </w:divBdr>
    </w:div>
    <w:div w:id="1526358010">
      <w:bodyDiv w:val="1"/>
      <w:marLeft w:val="0"/>
      <w:marRight w:val="0"/>
      <w:marTop w:val="0"/>
      <w:marBottom w:val="0"/>
      <w:divBdr>
        <w:top w:val="none" w:sz="0" w:space="0" w:color="auto"/>
        <w:left w:val="none" w:sz="0" w:space="0" w:color="auto"/>
        <w:bottom w:val="none" w:sz="0" w:space="0" w:color="auto"/>
        <w:right w:val="none" w:sz="0" w:space="0" w:color="auto"/>
      </w:divBdr>
    </w:div>
    <w:div w:id="1536237141">
      <w:bodyDiv w:val="1"/>
      <w:marLeft w:val="0"/>
      <w:marRight w:val="0"/>
      <w:marTop w:val="0"/>
      <w:marBottom w:val="0"/>
      <w:divBdr>
        <w:top w:val="none" w:sz="0" w:space="0" w:color="auto"/>
        <w:left w:val="none" w:sz="0" w:space="0" w:color="auto"/>
        <w:bottom w:val="none" w:sz="0" w:space="0" w:color="auto"/>
        <w:right w:val="none" w:sz="0" w:space="0" w:color="auto"/>
      </w:divBdr>
    </w:div>
    <w:div w:id="1538197915">
      <w:bodyDiv w:val="1"/>
      <w:marLeft w:val="0"/>
      <w:marRight w:val="0"/>
      <w:marTop w:val="0"/>
      <w:marBottom w:val="0"/>
      <w:divBdr>
        <w:top w:val="none" w:sz="0" w:space="0" w:color="auto"/>
        <w:left w:val="none" w:sz="0" w:space="0" w:color="auto"/>
        <w:bottom w:val="none" w:sz="0" w:space="0" w:color="auto"/>
        <w:right w:val="none" w:sz="0" w:space="0" w:color="auto"/>
      </w:divBdr>
    </w:div>
    <w:div w:id="1538471712">
      <w:bodyDiv w:val="1"/>
      <w:marLeft w:val="0"/>
      <w:marRight w:val="0"/>
      <w:marTop w:val="0"/>
      <w:marBottom w:val="0"/>
      <w:divBdr>
        <w:top w:val="none" w:sz="0" w:space="0" w:color="auto"/>
        <w:left w:val="none" w:sz="0" w:space="0" w:color="auto"/>
        <w:bottom w:val="none" w:sz="0" w:space="0" w:color="auto"/>
        <w:right w:val="none" w:sz="0" w:space="0" w:color="auto"/>
      </w:divBdr>
    </w:div>
    <w:div w:id="1540555417">
      <w:bodyDiv w:val="1"/>
      <w:marLeft w:val="0"/>
      <w:marRight w:val="0"/>
      <w:marTop w:val="0"/>
      <w:marBottom w:val="0"/>
      <w:divBdr>
        <w:top w:val="none" w:sz="0" w:space="0" w:color="auto"/>
        <w:left w:val="none" w:sz="0" w:space="0" w:color="auto"/>
        <w:bottom w:val="none" w:sz="0" w:space="0" w:color="auto"/>
        <w:right w:val="none" w:sz="0" w:space="0" w:color="auto"/>
      </w:divBdr>
    </w:div>
    <w:div w:id="1543596360">
      <w:bodyDiv w:val="1"/>
      <w:marLeft w:val="0"/>
      <w:marRight w:val="0"/>
      <w:marTop w:val="0"/>
      <w:marBottom w:val="0"/>
      <w:divBdr>
        <w:top w:val="none" w:sz="0" w:space="0" w:color="auto"/>
        <w:left w:val="none" w:sz="0" w:space="0" w:color="auto"/>
        <w:bottom w:val="none" w:sz="0" w:space="0" w:color="auto"/>
        <w:right w:val="none" w:sz="0" w:space="0" w:color="auto"/>
      </w:divBdr>
    </w:div>
    <w:div w:id="1544444120">
      <w:bodyDiv w:val="1"/>
      <w:marLeft w:val="0"/>
      <w:marRight w:val="0"/>
      <w:marTop w:val="0"/>
      <w:marBottom w:val="0"/>
      <w:divBdr>
        <w:top w:val="none" w:sz="0" w:space="0" w:color="auto"/>
        <w:left w:val="none" w:sz="0" w:space="0" w:color="auto"/>
        <w:bottom w:val="none" w:sz="0" w:space="0" w:color="auto"/>
        <w:right w:val="none" w:sz="0" w:space="0" w:color="auto"/>
      </w:divBdr>
    </w:div>
    <w:div w:id="1547184407">
      <w:bodyDiv w:val="1"/>
      <w:marLeft w:val="0"/>
      <w:marRight w:val="0"/>
      <w:marTop w:val="0"/>
      <w:marBottom w:val="0"/>
      <w:divBdr>
        <w:top w:val="none" w:sz="0" w:space="0" w:color="auto"/>
        <w:left w:val="none" w:sz="0" w:space="0" w:color="auto"/>
        <w:bottom w:val="none" w:sz="0" w:space="0" w:color="auto"/>
        <w:right w:val="none" w:sz="0" w:space="0" w:color="auto"/>
      </w:divBdr>
    </w:div>
    <w:div w:id="1547714090">
      <w:bodyDiv w:val="1"/>
      <w:marLeft w:val="0"/>
      <w:marRight w:val="0"/>
      <w:marTop w:val="0"/>
      <w:marBottom w:val="0"/>
      <w:divBdr>
        <w:top w:val="none" w:sz="0" w:space="0" w:color="auto"/>
        <w:left w:val="none" w:sz="0" w:space="0" w:color="auto"/>
        <w:bottom w:val="none" w:sz="0" w:space="0" w:color="auto"/>
        <w:right w:val="none" w:sz="0" w:space="0" w:color="auto"/>
      </w:divBdr>
    </w:div>
    <w:div w:id="1549613080">
      <w:bodyDiv w:val="1"/>
      <w:marLeft w:val="0"/>
      <w:marRight w:val="0"/>
      <w:marTop w:val="0"/>
      <w:marBottom w:val="0"/>
      <w:divBdr>
        <w:top w:val="none" w:sz="0" w:space="0" w:color="auto"/>
        <w:left w:val="none" w:sz="0" w:space="0" w:color="auto"/>
        <w:bottom w:val="none" w:sz="0" w:space="0" w:color="auto"/>
        <w:right w:val="none" w:sz="0" w:space="0" w:color="auto"/>
      </w:divBdr>
    </w:div>
    <w:div w:id="1550654174">
      <w:bodyDiv w:val="1"/>
      <w:marLeft w:val="0"/>
      <w:marRight w:val="0"/>
      <w:marTop w:val="0"/>
      <w:marBottom w:val="0"/>
      <w:divBdr>
        <w:top w:val="none" w:sz="0" w:space="0" w:color="auto"/>
        <w:left w:val="none" w:sz="0" w:space="0" w:color="auto"/>
        <w:bottom w:val="none" w:sz="0" w:space="0" w:color="auto"/>
        <w:right w:val="none" w:sz="0" w:space="0" w:color="auto"/>
      </w:divBdr>
    </w:div>
    <w:div w:id="1550722577">
      <w:bodyDiv w:val="1"/>
      <w:marLeft w:val="0"/>
      <w:marRight w:val="0"/>
      <w:marTop w:val="0"/>
      <w:marBottom w:val="0"/>
      <w:divBdr>
        <w:top w:val="none" w:sz="0" w:space="0" w:color="auto"/>
        <w:left w:val="none" w:sz="0" w:space="0" w:color="auto"/>
        <w:bottom w:val="none" w:sz="0" w:space="0" w:color="auto"/>
        <w:right w:val="none" w:sz="0" w:space="0" w:color="auto"/>
      </w:divBdr>
    </w:div>
    <w:div w:id="1550803759">
      <w:bodyDiv w:val="1"/>
      <w:marLeft w:val="0"/>
      <w:marRight w:val="0"/>
      <w:marTop w:val="0"/>
      <w:marBottom w:val="0"/>
      <w:divBdr>
        <w:top w:val="none" w:sz="0" w:space="0" w:color="auto"/>
        <w:left w:val="none" w:sz="0" w:space="0" w:color="auto"/>
        <w:bottom w:val="none" w:sz="0" w:space="0" w:color="auto"/>
        <w:right w:val="none" w:sz="0" w:space="0" w:color="auto"/>
      </w:divBdr>
    </w:div>
    <w:div w:id="1551109576">
      <w:bodyDiv w:val="1"/>
      <w:marLeft w:val="0"/>
      <w:marRight w:val="0"/>
      <w:marTop w:val="0"/>
      <w:marBottom w:val="0"/>
      <w:divBdr>
        <w:top w:val="none" w:sz="0" w:space="0" w:color="auto"/>
        <w:left w:val="none" w:sz="0" w:space="0" w:color="auto"/>
        <w:bottom w:val="none" w:sz="0" w:space="0" w:color="auto"/>
        <w:right w:val="none" w:sz="0" w:space="0" w:color="auto"/>
      </w:divBdr>
    </w:div>
    <w:div w:id="1555846906">
      <w:bodyDiv w:val="1"/>
      <w:marLeft w:val="0"/>
      <w:marRight w:val="0"/>
      <w:marTop w:val="0"/>
      <w:marBottom w:val="0"/>
      <w:divBdr>
        <w:top w:val="none" w:sz="0" w:space="0" w:color="auto"/>
        <w:left w:val="none" w:sz="0" w:space="0" w:color="auto"/>
        <w:bottom w:val="none" w:sz="0" w:space="0" w:color="auto"/>
        <w:right w:val="none" w:sz="0" w:space="0" w:color="auto"/>
      </w:divBdr>
    </w:div>
    <w:div w:id="1558278521">
      <w:bodyDiv w:val="1"/>
      <w:marLeft w:val="0"/>
      <w:marRight w:val="0"/>
      <w:marTop w:val="0"/>
      <w:marBottom w:val="0"/>
      <w:divBdr>
        <w:top w:val="none" w:sz="0" w:space="0" w:color="auto"/>
        <w:left w:val="none" w:sz="0" w:space="0" w:color="auto"/>
        <w:bottom w:val="none" w:sz="0" w:space="0" w:color="auto"/>
        <w:right w:val="none" w:sz="0" w:space="0" w:color="auto"/>
      </w:divBdr>
    </w:div>
    <w:div w:id="1560625945">
      <w:bodyDiv w:val="1"/>
      <w:marLeft w:val="0"/>
      <w:marRight w:val="0"/>
      <w:marTop w:val="0"/>
      <w:marBottom w:val="0"/>
      <w:divBdr>
        <w:top w:val="none" w:sz="0" w:space="0" w:color="auto"/>
        <w:left w:val="none" w:sz="0" w:space="0" w:color="auto"/>
        <w:bottom w:val="none" w:sz="0" w:space="0" w:color="auto"/>
        <w:right w:val="none" w:sz="0" w:space="0" w:color="auto"/>
      </w:divBdr>
    </w:div>
    <w:div w:id="1564368596">
      <w:bodyDiv w:val="1"/>
      <w:marLeft w:val="0"/>
      <w:marRight w:val="0"/>
      <w:marTop w:val="0"/>
      <w:marBottom w:val="0"/>
      <w:divBdr>
        <w:top w:val="none" w:sz="0" w:space="0" w:color="auto"/>
        <w:left w:val="none" w:sz="0" w:space="0" w:color="auto"/>
        <w:bottom w:val="none" w:sz="0" w:space="0" w:color="auto"/>
        <w:right w:val="none" w:sz="0" w:space="0" w:color="auto"/>
      </w:divBdr>
    </w:div>
    <w:div w:id="1574512759">
      <w:bodyDiv w:val="1"/>
      <w:marLeft w:val="0"/>
      <w:marRight w:val="0"/>
      <w:marTop w:val="0"/>
      <w:marBottom w:val="0"/>
      <w:divBdr>
        <w:top w:val="none" w:sz="0" w:space="0" w:color="auto"/>
        <w:left w:val="none" w:sz="0" w:space="0" w:color="auto"/>
        <w:bottom w:val="none" w:sz="0" w:space="0" w:color="auto"/>
        <w:right w:val="none" w:sz="0" w:space="0" w:color="auto"/>
      </w:divBdr>
    </w:div>
    <w:div w:id="1575705080">
      <w:bodyDiv w:val="1"/>
      <w:marLeft w:val="0"/>
      <w:marRight w:val="0"/>
      <w:marTop w:val="0"/>
      <w:marBottom w:val="0"/>
      <w:divBdr>
        <w:top w:val="none" w:sz="0" w:space="0" w:color="auto"/>
        <w:left w:val="none" w:sz="0" w:space="0" w:color="auto"/>
        <w:bottom w:val="none" w:sz="0" w:space="0" w:color="auto"/>
        <w:right w:val="none" w:sz="0" w:space="0" w:color="auto"/>
      </w:divBdr>
    </w:div>
    <w:div w:id="1576546939">
      <w:bodyDiv w:val="1"/>
      <w:marLeft w:val="0"/>
      <w:marRight w:val="0"/>
      <w:marTop w:val="0"/>
      <w:marBottom w:val="0"/>
      <w:divBdr>
        <w:top w:val="none" w:sz="0" w:space="0" w:color="auto"/>
        <w:left w:val="none" w:sz="0" w:space="0" w:color="auto"/>
        <w:bottom w:val="none" w:sz="0" w:space="0" w:color="auto"/>
        <w:right w:val="none" w:sz="0" w:space="0" w:color="auto"/>
      </w:divBdr>
    </w:div>
    <w:div w:id="1578708667">
      <w:bodyDiv w:val="1"/>
      <w:marLeft w:val="0"/>
      <w:marRight w:val="0"/>
      <w:marTop w:val="0"/>
      <w:marBottom w:val="0"/>
      <w:divBdr>
        <w:top w:val="none" w:sz="0" w:space="0" w:color="auto"/>
        <w:left w:val="none" w:sz="0" w:space="0" w:color="auto"/>
        <w:bottom w:val="none" w:sz="0" w:space="0" w:color="auto"/>
        <w:right w:val="none" w:sz="0" w:space="0" w:color="auto"/>
      </w:divBdr>
    </w:div>
    <w:div w:id="1580023172">
      <w:bodyDiv w:val="1"/>
      <w:marLeft w:val="0"/>
      <w:marRight w:val="0"/>
      <w:marTop w:val="0"/>
      <w:marBottom w:val="0"/>
      <w:divBdr>
        <w:top w:val="none" w:sz="0" w:space="0" w:color="auto"/>
        <w:left w:val="none" w:sz="0" w:space="0" w:color="auto"/>
        <w:bottom w:val="none" w:sz="0" w:space="0" w:color="auto"/>
        <w:right w:val="none" w:sz="0" w:space="0" w:color="auto"/>
      </w:divBdr>
    </w:div>
    <w:div w:id="1581284669">
      <w:bodyDiv w:val="1"/>
      <w:marLeft w:val="0"/>
      <w:marRight w:val="0"/>
      <w:marTop w:val="0"/>
      <w:marBottom w:val="0"/>
      <w:divBdr>
        <w:top w:val="none" w:sz="0" w:space="0" w:color="auto"/>
        <w:left w:val="none" w:sz="0" w:space="0" w:color="auto"/>
        <w:bottom w:val="none" w:sz="0" w:space="0" w:color="auto"/>
        <w:right w:val="none" w:sz="0" w:space="0" w:color="auto"/>
      </w:divBdr>
    </w:div>
    <w:div w:id="1581795471">
      <w:bodyDiv w:val="1"/>
      <w:marLeft w:val="0"/>
      <w:marRight w:val="0"/>
      <w:marTop w:val="0"/>
      <w:marBottom w:val="0"/>
      <w:divBdr>
        <w:top w:val="none" w:sz="0" w:space="0" w:color="auto"/>
        <w:left w:val="none" w:sz="0" w:space="0" w:color="auto"/>
        <w:bottom w:val="none" w:sz="0" w:space="0" w:color="auto"/>
        <w:right w:val="none" w:sz="0" w:space="0" w:color="auto"/>
      </w:divBdr>
    </w:div>
    <w:div w:id="1582835973">
      <w:bodyDiv w:val="1"/>
      <w:marLeft w:val="0"/>
      <w:marRight w:val="0"/>
      <w:marTop w:val="0"/>
      <w:marBottom w:val="0"/>
      <w:divBdr>
        <w:top w:val="none" w:sz="0" w:space="0" w:color="auto"/>
        <w:left w:val="none" w:sz="0" w:space="0" w:color="auto"/>
        <w:bottom w:val="none" w:sz="0" w:space="0" w:color="auto"/>
        <w:right w:val="none" w:sz="0" w:space="0" w:color="auto"/>
      </w:divBdr>
    </w:div>
    <w:div w:id="1584029622">
      <w:bodyDiv w:val="1"/>
      <w:marLeft w:val="0"/>
      <w:marRight w:val="0"/>
      <w:marTop w:val="0"/>
      <w:marBottom w:val="0"/>
      <w:divBdr>
        <w:top w:val="none" w:sz="0" w:space="0" w:color="auto"/>
        <w:left w:val="none" w:sz="0" w:space="0" w:color="auto"/>
        <w:bottom w:val="none" w:sz="0" w:space="0" w:color="auto"/>
        <w:right w:val="none" w:sz="0" w:space="0" w:color="auto"/>
      </w:divBdr>
    </w:div>
    <w:div w:id="1585645459">
      <w:bodyDiv w:val="1"/>
      <w:marLeft w:val="0"/>
      <w:marRight w:val="0"/>
      <w:marTop w:val="0"/>
      <w:marBottom w:val="0"/>
      <w:divBdr>
        <w:top w:val="none" w:sz="0" w:space="0" w:color="auto"/>
        <w:left w:val="none" w:sz="0" w:space="0" w:color="auto"/>
        <w:bottom w:val="none" w:sz="0" w:space="0" w:color="auto"/>
        <w:right w:val="none" w:sz="0" w:space="0" w:color="auto"/>
      </w:divBdr>
    </w:div>
    <w:div w:id="1587223605">
      <w:bodyDiv w:val="1"/>
      <w:marLeft w:val="0"/>
      <w:marRight w:val="0"/>
      <w:marTop w:val="0"/>
      <w:marBottom w:val="0"/>
      <w:divBdr>
        <w:top w:val="none" w:sz="0" w:space="0" w:color="auto"/>
        <w:left w:val="none" w:sz="0" w:space="0" w:color="auto"/>
        <w:bottom w:val="none" w:sz="0" w:space="0" w:color="auto"/>
        <w:right w:val="none" w:sz="0" w:space="0" w:color="auto"/>
      </w:divBdr>
    </w:div>
    <w:div w:id="1587883826">
      <w:bodyDiv w:val="1"/>
      <w:marLeft w:val="0"/>
      <w:marRight w:val="0"/>
      <w:marTop w:val="0"/>
      <w:marBottom w:val="0"/>
      <w:divBdr>
        <w:top w:val="none" w:sz="0" w:space="0" w:color="auto"/>
        <w:left w:val="none" w:sz="0" w:space="0" w:color="auto"/>
        <w:bottom w:val="none" w:sz="0" w:space="0" w:color="auto"/>
        <w:right w:val="none" w:sz="0" w:space="0" w:color="auto"/>
      </w:divBdr>
    </w:div>
    <w:div w:id="1589928027">
      <w:bodyDiv w:val="1"/>
      <w:marLeft w:val="0"/>
      <w:marRight w:val="0"/>
      <w:marTop w:val="0"/>
      <w:marBottom w:val="0"/>
      <w:divBdr>
        <w:top w:val="none" w:sz="0" w:space="0" w:color="auto"/>
        <w:left w:val="none" w:sz="0" w:space="0" w:color="auto"/>
        <w:bottom w:val="none" w:sz="0" w:space="0" w:color="auto"/>
        <w:right w:val="none" w:sz="0" w:space="0" w:color="auto"/>
      </w:divBdr>
    </w:div>
    <w:div w:id="1595092129">
      <w:bodyDiv w:val="1"/>
      <w:marLeft w:val="0"/>
      <w:marRight w:val="0"/>
      <w:marTop w:val="0"/>
      <w:marBottom w:val="0"/>
      <w:divBdr>
        <w:top w:val="none" w:sz="0" w:space="0" w:color="auto"/>
        <w:left w:val="none" w:sz="0" w:space="0" w:color="auto"/>
        <w:bottom w:val="none" w:sz="0" w:space="0" w:color="auto"/>
        <w:right w:val="none" w:sz="0" w:space="0" w:color="auto"/>
      </w:divBdr>
    </w:div>
    <w:div w:id="1595822492">
      <w:bodyDiv w:val="1"/>
      <w:marLeft w:val="0"/>
      <w:marRight w:val="0"/>
      <w:marTop w:val="0"/>
      <w:marBottom w:val="0"/>
      <w:divBdr>
        <w:top w:val="none" w:sz="0" w:space="0" w:color="auto"/>
        <w:left w:val="none" w:sz="0" w:space="0" w:color="auto"/>
        <w:bottom w:val="none" w:sz="0" w:space="0" w:color="auto"/>
        <w:right w:val="none" w:sz="0" w:space="0" w:color="auto"/>
      </w:divBdr>
    </w:div>
    <w:div w:id="1597715167">
      <w:bodyDiv w:val="1"/>
      <w:marLeft w:val="0"/>
      <w:marRight w:val="0"/>
      <w:marTop w:val="0"/>
      <w:marBottom w:val="0"/>
      <w:divBdr>
        <w:top w:val="none" w:sz="0" w:space="0" w:color="auto"/>
        <w:left w:val="none" w:sz="0" w:space="0" w:color="auto"/>
        <w:bottom w:val="none" w:sz="0" w:space="0" w:color="auto"/>
        <w:right w:val="none" w:sz="0" w:space="0" w:color="auto"/>
      </w:divBdr>
    </w:div>
    <w:div w:id="1599828209">
      <w:bodyDiv w:val="1"/>
      <w:marLeft w:val="0"/>
      <w:marRight w:val="0"/>
      <w:marTop w:val="0"/>
      <w:marBottom w:val="0"/>
      <w:divBdr>
        <w:top w:val="none" w:sz="0" w:space="0" w:color="auto"/>
        <w:left w:val="none" w:sz="0" w:space="0" w:color="auto"/>
        <w:bottom w:val="none" w:sz="0" w:space="0" w:color="auto"/>
        <w:right w:val="none" w:sz="0" w:space="0" w:color="auto"/>
      </w:divBdr>
    </w:div>
    <w:div w:id="1600521229">
      <w:bodyDiv w:val="1"/>
      <w:marLeft w:val="0"/>
      <w:marRight w:val="0"/>
      <w:marTop w:val="0"/>
      <w:marBottom w:val="0"/>
      <w:divBdr>
        <w:top w:val="none" w:sz="0" w:space="0" w:color="auto"/>
        <w:left w:val="none" w:sz="0" w:space="0" w:color="auto"/>
        <w:bottom w:val="none" w:sz="0" w:space="0" w:color="auto"/>
        <w:right w:val="none" w:sz="0" w:space="0" w:color="auto"/>
      </w:divBdr>
    </w:div>
    <w:div w:id="1600676603">
      <w:bodyDiv w:val="1"/>
      <w:marLeft w:val="0"/>
      <w:marRight w:val="0"/>
      <w:marTop w:val="0"/>
      <w:marBottom w:val="0"/>
      <w:divBdr>
        <w:top w:val="none" w:sz="0" w:space="0" w:color="auto"/>
        <w:left w:val="none" w:sz="0" w:space="0" w:color="auto"/>
        <w:bottom w:val="none" w:sz="0" w:space="0" w:color="auto"/>
        <w:right w:val="none" w:sz="0" w:space="0" w:color="auto"/>
      </w:divBdr>
    </w:div>
    <w:div w:id="1603344382">
      <w:bodyDiv w:val="1"/>
      <w:marLeft w:val="0"/>
      <w:marRight w:val="0"/>
      <w:marTop w:val="0"/>
      <w:marBottom w:val="0"/>
      <w:divBdr>
        <w:top w:val="none" w:sz="0" w:space="0" w:color="auto"/>
        <w:left w:val="none" w:sz="0" w:space="0" w:color="auto"/>
        <w:bottom w:val="none" w:sz="0" w:space="0" w:color="auto"/>
        <w:right w:val="none" w:sz="0" w:space="0" w:color="auto"/>
      </w:divBdr>
    </w:div>
    <w:div w:id="1604071165">
      <w:bodyDiv w:val="1"/>
      <w:marLeft w:val="0"/>
      <w:marRight w:val="0"/>
      <w:marTop w:val="0"/>
      <w:marBottom w:val="0"/>
      <w:divBdr>
        <w:top w:val="none" w:sz="0" w:space="0" w:color="auto"/>
        <w:left w:val="none" w:sz="0" w:space="0" w:color="auto"/>
        <w:bottom w:val="none" w:sz="0" w:space="0" w:color="auto"/>
        <w:right w:val="none" w:sz="0" w:space="0" w:color="auto"/>
      </w:divBdr>
    </w:div>
    <w:div w:id="1607731649">
      <w:bodyDiv w:val="1"/>
      <w:marLeft w:val="0"/>
      <w:marRight w:val="0"/>
      <w:marTop w:val="0"/>
      <w:marBottom w:val="0"/>
      <w:divBdr>
        <w:top w:val="none" w:sz="0" w:space="0" w:color="auto"/>
        <w:left w:val="none" w:sz="0" w:space="0" w:color="auto"/>
        <w:bottom w:val="none" w:sz="0" w:space="0" w:color="auto"/>
        <w:right w:val="none" w:sz="0" w:space="0" w:color="auto"/>
      </w:divBdr>
    </w:div>
    <w:div w:id="1612935276">
      <w:bodyDiv w:val="1"/>
      <w:marLeft w:val="0"/>
      <w:marRight w:val="0"/>
      <w:marTop w:val="0"/>
      <w:marBottom w:val="0"/>
      <w:divBdr>
        <w:top w:val="none" w:sz="0" w:space="0" w:color="auto"/>
        <w:left w:val="none" w:sz="0" w:space="0" w:color="auto"/>
        <w:bottom w:val="none" w:sz="0" w:space="0" w:color="auto"/>
        <w:right w:val="none" w:sz="0" w:space="0" w:color="auto"/>
      </w:divBdr>
    </w:div>
    <w:div w:id="1613975529">
      <w:bodyDiv w:val="1"/>
      <w:marLeft w:val="0"/>
      <w:marRight w:val="0"/>
      <w:marTop w:val="0"/>
      <w:marBottom w:val="0"/>
      <w:divBdr>
        <w:top w:val="none" w:sz="0" w:space="0" w:color="auto"/>
        <w:left w:val="none" w:sz="0" w:space="0" w:color="auto"/>
        <w:bottom w:val="none" w:sz="0" w:space="0" w:color="auto"/>
        <w:right w:val="none" w:sz="0" w:space="0" w:color="auto"/>
      </w:divBdr>
    </w:div>
    <w:div w:id="1614701503">
      <w:bodyDiv w:val="1"/>
      <w:marLeft w:val="0"/>
      <w:marRight w:val="0"/>
      <w:marTop w:val="0"/>
      <w:marBottom w:val="0"/>
      <w:divBdr>
        <w:top w:val="none" w:sz="0" w:space="0" w:color="auto"/>
        <w:left w:val="none" w:sz="0" w:space="0" w:color="auto"/>
        <w:bottom w:val="none" w:sz="0" w:space="0" w:color="auto"/>
        <w:right w:val="none" w:sz="0" w:space="0" w:color="auto"/>
      </w:divBdr>
    </w:div>
    <w:div w:id="1617250940">
      <w:bodyDiv w:val="1"/>
      <w:marLeft w:val="0"/>
      <w:marRight w:val="0"/>
      <w:marTop w:val="0"/>
      <w:marBottom w:val="0"/>
      <w:divBdr>
        <w:top w:val="none" w:sz="0" w:space="0" w:color="auto"/>
        <w:left w:val="none" w:sz="0" w:space="0" w:color="auto"/>
        <w:bottom w:val="none" w:sz="0" w:space="0" w:color="auto"/>
        <w:right w:val="none" w:sz="0" w:space="0" w:color="auto"/>
      </w:divBdr>
    </w:div>
    <w:div w:id="1619099362">
      <w:bodyDiv w:val="1"/>
      <w:marLeft w:val="0"/>
      <w:marRight w:val="0"/>
      <w:marTop w:val="0"/>
      <w:marBottom w:val="0"/>
      <w:divBdr>
        <w:top w:val="none" w:sz="0" w:space="0" w:color="auto"/>
        <w:left w:val="none" w:sz="0" w:space="0" w:color="auto"/>
        <w:bottom w:val="none" w:sz="0" w:space="0" w:color="auto"/>
        <w:right w:val="none" w:sz="0" w:space="0" w:color="auto"/>
      </w:divBdr>
    </w:div>
    <w:div w:id="1621718644">
      <w:bodyDiv w:val="1"/>
      <w:marLeft w:val="0"/>
      <w:marRight w:val="0"/>
      <w:marTop w:val="0"/>
      <w:marBottom w:val="0"/>
      <w:divBdr>
        <w:top w:val="none" w:sz="0" w:space="0" w:color="auto"/>
        <w:left w:val="none" w:sz="0" w:space="0" w:color="auto"/>
        <w:bottom w:val="none" w:sz="0" w:space="0" w:color="auto"/>
        <w:right w:val="none" w:sz="0" w:space="0" w:color="auto"/>
      </w:divBdr>
    </w:div>
    <w:div w:id="1623148629">
      <w:bodyDiv w:val="1"/>
      <w:marLeft w:val="0"/>
      <w:marRight w:val="0"/>
      <w:marTop w:val="0"/>
      <w:marBottom w:val="0"/>
      <w:divBdr>
        <w:top w:val="none" w:sz="0" w:space="0" w:color="auto"/>
        <w:left w:val="none" w:sz="0" w:space="0" w:color="auto"/>
        <w:bottom w:val="none" w:sz="0" w:space="0" w:color="auto"/>
        <w:right w:val="none" w:sz="0" w:space="0" w:color="auto"/>
      </w:divBdr>
    </w:div>
    <w:div w:id="1627470714">
      <w:bodyDiv w:val="1"/>
      <w:marLeft w:val="0"/>
      <w:marRight w:val="0"/>
      <w:marTop w:val="0"/>
      <w:marBottom w:val="0"/>
      <w:divBdr>
        <w:top w:val="none" w:sz="0" w:space="0" w:color="auto"/>
        <w:left w:val="none" w:sz="0" w:space="0" w:color="auto"/>
        <w:bottom w:val="none" w:sz="0" w:space="0" w:color="auto"/>
        <w:right w:val="none" w:sz="0" w:space="0" w:color="auto"/>
      </w:divBdr>
    </w:div>
    <w:div w:id="1630436914">
      <w:bodyDiv w:val="1"/>
      <w:marLeft w:val="0"/>
      <w:marRight w:val="0"/>
      <w:marTop w:val="0"/>
      <w:marBottom w:val="0"/>
      <w:divBdr>
        <w:top w:val="none" w:sz="0" w:space="0" w:color="auto"/>
        <w:left w:val="none" w:sz="0" w:space="0" w:color="auto"/>
        <w:bottom w:val="none" w:sz="0" w:space="0" w:color="auto"/>
        <w:right w:val="none" w:sz="0" w:space="0" w:color="auto"/>
      </w:divBdr>
    </w:div>
    <w:div w:id="1632326540">
      <w:bodyDiv w:val="1"/>
      <w:marLeft w:val="0"/>
      <w:marRight w:val="0"/>
      <w:marTop w:val="0"/>
      <w:marBottom w:val="0"/>
      <w:divBdr>
        <w:top w:val="none" w:sz="0" w:space="0" w:color="auto"/>
        <w:left w:val="none" w:sz="0" w:space="0" w:color="auto"/>
        <w:bottom w:val="none" w:sz="0" w:space="0" w:color="auto"/>
        <w:right w:val="none" w:sz="0" w:space="0" w:color="auto"/>
      </w:divBdr>
    </w:div>
    <w:div w:id="1633747792">
      <w:bodyDiv w:val="1"/>
      <w:marLeft w:val="0"/>
      <w:marRight w:val="0"/>
      <w:marTop w:val="0"/>
      <w:marBottom w:val="0"/>
      <w:divBdr>
        <w:top w:val="none" w:sz="0" w:space="0" w:color="auto"/>
        <w:left w:val="none" w:sz="0" w:space="0" w:color="auto"/>
        <w:bottom w:val="none" w:sz="0" w:space="0" w:color="auto"/>
        <w:right w:val="none" w:sz="0" w:space="0" w:color="auto"/>
      </w:divBdr>
    </w:div>
    <w:div w:id="1634749734">
      <w:bodyDiv w:val="1"/>
      <w:marLeft w:val="0"/>
      <w:marRight w:val="0"/>
      <w:marTop w:val="0"/>
      <w:marBottom w:val="0"/>
      <w:divBdr>
        <w:top w:val="none" w:sz="0" w:space="0" w:color="auto"/>
        <w:left w:val="none" w:sz="0" w:space="0" w:color="auto"/>
        <w:bottom w:val="none" w:sz="0" w:space="0" w:color="auto"/>
        <w:right w:val="none" w:sz="0" w:space="0" w:color="auto"/>
      </w:divBdr>
    </w:div>
    <w:div w:id="1634796553">
      <w:bodyDiv w:val="1"/>
      <w:marLeft w:val="0"/>
      <w:marRight w:val="0"/>
      <w:marTop w:val="0"/>
      <w:marBottom w:val="0"/>
      <w:divBdr>
        <w:top w:val="none" w:sz="0" w:space="0" w:color="auto"/>
        <w:left w:val="none" w:sz="0" w:space="0" w:color="auto"/>
        <w:bottom w:val="none" w:sz="0" w:space="0" w:color="auto"/>
        <w:right w:val="none" w:sz="0" w:space="0" w:color="auto"/>
      </w:divBdr>
    </w:div>
    <w:div w:id="1639144028">
      <w:bodyDiv w:val="1"/>
      <w:marLeft w:val="0"/>
      <w:marRight w:val="0"/>
      <w:marTop w:val="0"/>
      <w:marBottom w:val="0"/>
      <w:divBdr>
        <w:top w:val="none" w:sz="0" w:space="0" w:color="auto"/>
        <w:left w:val="none" w:sz="0" w:space="0" w:color="auto"/>
        <w:bottom w:val="none" w:sz="0" w:space="0" w:color="auto"/>
        <w:right w:val="none" w:sz="0" w:space="0" w:color="auto"/>
      </w:divBdr>
    </w:div>
    <w:div w:id="1642613092">
      <w:bodyDiv w:val="1"/>
      <w:marLeft w:val="0"/>
      <w:marRight w:val="0"/>
      <w:marTop w:val="0"/>
      <w:marBottom w:val="0"/>
      <w:divBdr>
        <w:top w:val="none" w:sz="0" w:space="0" w:color="auto"/>
        <w:left w:val="none" w:sz="0" w:space="0" w:color="auto"/>
        <w:bottom w:val="none" w:sz="0" w:space="0" w:color="auto"/>
        <w:right w:val="none" w:sz="0" w:space="0" w:color="auto"/>
      </w:divBdr>
    </w:div>
    <w:div w:id="1645742620">
      <w:bodyDiv w:val="1"/>
      <w:marLeft w:val="0"/>
      <w:marRight w:val="0"/>
      <w:marTop w:val="0"/>
      <w:marBottom w:val="0"/>
      <w:divBdr>
        <w:top w:val="none" w:sz="0" w:space="0" w:color="auto"/>
        <w:left w:val="none" w:sz="0" w:space="0" w:color="auto"/>
        <w:bottom w:val="none" w:sz="0" w:space="0" w:color="auto"/>
        <w:right w:val="none" w:sz="0" w:space="0" w:color="auto"/>
      </w:divBdr>
    </w:div>
    <w:div w:id="1646623034">
      <w:bodyDiv w:val="1"/>
      <w:marLeft w:val="0"/>
      <w:marRight w:val="0"/>
      <w:marTop w:val="0"/>
      <w:marBottom w:val="0"/>
      <w:divBdr>
        <w:top w:val="none" w:sz="0" w:space="0" w:color="auto"/>
        <w:left w:val="none" w:sz="0" w:space="0" w:color="auto"/>
        <w:bottom w:val="none" w:sz="0" w:space="0" w:color="auto"/>
        <w:right w:val="none" w:sz="0" w:space="0" w:color="auto"/>
      </w:divBdr>
    </w:div>
    <w:div w:id="1647125882">
      <w:bodyDiv w:val="1"/>
      <w:marLeft w:val="0"/>
      <w:marRight w:val="0"/>
      <w:marTop w:val="0"/>
      <w:marBottom w:val="0"/>
      <w:divBdr>
        <w:top w:val="none" w:sz="0" w:space="0" w:color="auto"/>
        <w:left w:val="none" w:sz="0" w:space="0" w:color="auto"/>
        <w:bottom w:val="none" w:sz="0" w:space="0" w:color="auto"/>
        <w:right w:val="none" w:sz="0" w:space="0" w:color="auto"/>
      </w:divBdr>
    </w:div>
    <w:div w:id="1653173671">
      <w:bodyDiv w:val="1"/>
      <w:marLeft w:val="0"/>
      <w:marRight w:val="0"/>
      <w:marTop w:val="0"/>
      <w:marBottom w:val="0"/>
      <w:divBdr>
        <w:top w:val="none" w:sz="0" w:space="0" w:color="auto"/>
        <w:left w:val="none" w:sz="0" w:space="0" w:color="auto"/>
        <w:bottom w:val="none" w:sz="0" w:space="0" w:color="auto"/>
        <w:right w:val="none" w:sz="0" w:space="0" w:color="auto"/>
      </w:divBdr>
    </w:div>
    <w:div w:id="1655447630">
      <w:bodyDiv w:val="1"/>
      <w:marLeft w:val="0"/>
      <w:marRight w:val="0"/>
      <w:marTop w:val="0"/>
      <w:marBottom w:val="0"/>
      <w:divBdr>
        <w:top w:val="none" w:sz="0" w:space="0" w:color="auto"/>
        <w:left w:val="none" w:sz="0" w:space="0" w:color="auto"/>
        <w:bottom w:val="none" w:sz="0" w:space="0" w:color="auto"/>
        <w:right w:val="none" w:sz="0" w:space="0" w:color="auto"/>
      </w:divBdr>
    </w:div>
    <w:div w:id="1657301534">
      <w:bodyDiv w:val="1"/>
      <w:marLeft w:val="0"/>
      <w:marRight w:val="0"/>
      <w:marTop w:val="0"/>
      <w:marBottom w:val="0"/>
      <w:divBdr>
        <w:top w:val="none" w:sz="0" w:space="0" w:color="auto"/>
        <w:left w:val="none" w:sz="0" w:space="0" w:color="auto"/>
        <w:bottom w:val="none" w:sz="0" w:space="0" w:color="auto"/>
        <w:right w:val="none" w:sz="0" w:space="0" w:color="auto"/>
      </w:divBdr>
    </w:div>
    <w:div w:id="1660884670">
      <w:bodyDiv w:val="1"/>
      <w:marLeft w:val="0"/>
      <w:marRight w:val="0"/>
      <w:marTop w:val="0"/>
      <w:marBottom w:val="0"/>
      <w:divBdr>
        <w:top w:val="none" w:sz="0" w:space="0" w:color="auto"/>
        <w:left w:val="none" w:sz="0" w:space="0" w:color="auto"/>
        <w:bottom w:val="none" w:sz="0" w:space="0" w:color="auto"/>
        <w:right w:val="none" w:sz="0" w:space="0" w:color="auto"/>
      </w:divBdr>
    </w:div>
    <w:div w:id="1661688111">
      <w:bodyDiv w:val="1"/>
      <w:marLeft w:val="0"/>
      <w:marRight w:val="0"/>
      <w:marTop w:val="0"/>
      <w:marBottom w:val="0"/>
      <w:divBdr>
        <w:top w:val="none" w:sz="0" w:space="0" w:color="auto"/>
        <w:left w:val="none" w:sz="0" w:space="0" w:color="auto"/>
        <w:bottom w:val="none" w:sz="0" w:space="0" w:color="auto"/>
        <w:right w:val="none" w:sz="0" w:space="0" w:color="auto"/>
      </w:divBdr>
    </w:div>
    <w:div w:id="1663386680">
      <w:bodyDiv w:val="1"/>
      <w:marLeft w:val="0"/>
      <w:marRight w:val="0"/>
      <w:marTop w:val="0"/>
      <w:marBottom w:val="0"/>
      <w:divBdr>
        <w:top w:val="none" w:sz="0" w:space="0" w:color="auto"/>
        <w:left w:val="none" w:sz="0" w:space="0" w:color="auto"/>
        <w:bottom w:val="none" w:sz="0" w:space="0" w:color="auto"/>
        <w:right w:val="none" w:sz="0" w:space="0" w:color="auto"/>
      </w:divBdr>
    </w:div>
    <w:div w:id="1664621862">
      <w:bodyDiv w:val="1"/>
      <w:marLeft w:val="0"/>
      <w:marRight w:val="0"/>
      <w:marTop w:val="0"/>
      <w:marBottom w:val="0"/>
      <w:divBdr>
        <w:top w:val="none" w:sz="0" w:space="0" w:color="auto"/>
        <w:left w:val="none" w:sz="0" w:space="0" w:color="auto"/>
        <w:bottom w:val="none" w:sz="0" w:space="0" w:color="auto"/>
        <w:right w:val="none" w:sz="0" w:space="0" w:color="auto"/>
      </w:divBdr>
    </w:div>
    <w:div w:id="1667629198">
      <w:bodyDiv w:val="1"/>
      <w:marLeft w:val="0"/>
      <w:marRight w:val="0"/>
      <w:marTop w:val="0"/>
      <w:marBottom w:val="0"/>
      <w:divBdr>
        <w:top w:val="none" w:sz="0" w:space="0" w:color="auto"/>
        <w:left w:val="none" w:sz="0" w:space="0" w:color="auto"/>
        <w:bottom w:val="none" w:sz="0" w:space="0" w:color="auto"/>
        <w:right w:val="none" w:sz="0" w:space="0" w:color="auto"/>
      </w:divBdr>
    </w:div>
    <w:div w:id="1671105957">
      <w:bodyDiv w:val="1"/>
      <w:marLeft w:val="0"/>
      <w:marRight w:val="0"/>
      <w:marTop w:val="0"/>
      <w:marBottom w:val="0"/>
      <w:divBdr>
        <w:top w:val="none" w:sz="0" w:space="0" w:color="auto"/>
        <w:left w:val="none" w:sz="0" w:space="0" w:color="auto"/>
        <w:bottom w:val="none" w:sz="0" w:space="0" w:color="auto"/>
        <w:right w:val="none" w:sz="0" w:space="0" w:color="auto"/>
      </w:divBdr>
    </w:div>
    <w:div w:id="1673100993">
      <w:bodyDiv w:val="1"/>
      <w:marLeft w:val="0"/>
      <w:marRight w:val="0"/>
      <w:marTop w:val="0"/>
      <w:marBottom w:val="0"/>
      <w:divBdr>
        <w:top w:val="none" w:sz="0" w:space="0" w:color="auto"/>
        <w:left w:val="none" w:sz="0" w:space="0" w:color="auto"/>
        <w:bottom w:val="none" w:sz="0" w:space="0" w:color="auto"/>
        <w:right w:val="none" w:sz="0" w:space="0" w:color="auto"/>
      </w:divBdr>
    </w:div>
    <w:div w:id="1674143636">
      <w:bodyDiv w:val="1"/>
      <w:marLeft w:val="0"/>
      <w:marRight w:val="0"/>
      <w:marTop w:val="0"/>
      <w:marBottom w:val="0"/>
      <w:divBdr>
        <w:top w:val="none" w:sz="0" w:space="0" w:color="auto"/>
        <w:left w:val="none" w:sz="0" w:space="0" w:color="auto"/>
        <w:bottom w:val="none" w:sz="0" w:space="0" w:color="auto"/>
        <w:right w:val="none" w:sz="0" w:space="0" w:color="auto"/>
      </w:divBdr>
    </w:div>
    <w:div w:id="1675036256">
      <w:bodyDiv w:val="1"/>
      <w:marLeft w:val="0"/>
      <w:marRight w:val="0"/>
      <w:marTop w:val="0"/>
      <w:marBottom w:val="0"/>
      <w:divBdr>
        <w:top w:val="none" w:sz="0" w:space="0" w:color="auto"/>
        <w:left w:val="none" w:sz="0" w:space="0" w:color="auto"/>
        <w:bottom w:val="none" w:sz="0" w:space="0" w:color="auto"/>
        <w:right w:val="none" w:sz="0" w:space="0" w:color="auto"/>
      </w:divBdr>
    </w:div>
    <w:div w:id="1675451759">
      <w:bodyDiv w:val="1"/>
      <w:marLeft w:val="0"/>
      <w:marRight w:val="0"/>
      <w:marTop w:val="0"/>
      <w:marBottom w:val="0"/>
      <w:divBdr>
        <w:top w:val="none" w:sz="0" w:space="0" w:color="auto"/>
        <w:left w:val="none" w:sz="0" w:space="0" w:color="auto"/>
        <w:bottom w:val="none" w:sz="0" w:space="0" w:color="auto"/>
        <w:right w:val="none" w:sz="0" w:space="0" w:color="auto"/>
      </w:divBdr>
    </w:div>
    <w:div w:id="1682269386">
      <w:bodyDiv w:val="1"/>
      <w:marLeft w:val="0"/>
      <w:marRight w:val="0"/>
      <w:marTop w:val="0"/>
      <w:marBottom w:val="0"/>
      <w:divBdr>
        <w:top w:val="none" w:sz="0" w:space="0" w:color="auto"/>
        <w:left w:val="none" w:sz="0" w:space="0" w:color="auto"/>
        <w:bottom w:val="none" w:sz="0" w:space="0" w:color="auto"/>
        <w:right w:val="none" w:sz="0" w:space="0" w:color="auto"/>
      </w:divBdr>
    </w:div>
    <w:div w:id="1684553186">
      <w:bodyDiv w:val="1"/>
      <w:marLeft w:val="0"/>
      <w:marRight w:val="0"/>
      <w:marTop w:val="0"/>
      <w:marBottom w:val="0"/>
      <w:divBdr>
        <w:top w:val="none" w:sz="0" w:space="0" w:color="auto"/>
        <w:left w:val="none" w:sz="0" w:space="0" w:color="auto"/>
        <w:bottom w:val="none" w:sz="0" w:space="0" w:color="auto"/>
        <w:right w:val="none" w:sz="0" w:space="0" w:color="auto"/>
      </w:divBdr>
    </w:div>
    <w:div w:id="1688869780">
      <w:bodyDiv w:val="1"/>
      <w:marLeft w:val="0"/>
      <w:marRight w:val="0"/>
      <w:marTop w:val="0"/>
      <w:marBottom w:val="0"/>
      <w:divBdr>
        <w:top w:val="none" w:sz="0" w:space="0" w:color="auto"/>
        <w:left w:val="none" w:sz="0" w:space="0" w:color="auto"/>
        <w:bottom w:val="none" w:sz="0" w:space="0" w:color="auto"/>
        <w:right w:val="none" w:sz="0" w:space="0" w:color="auto"/>
      </w:divBdr>
    </w:div>
    <w:div w:id="1690788734">
      <w:bodyDiv w:val="1"/>
      <w:marLeft w:val="0"/>
      <w:marRight w:val="0"/>
      <w:marTop w:val="0"/>
      <w:marBottom w:val="0"/>
      <w:divBdr>
        <w:top w:val="none" w:sz="0" w:space="0" w:color="auto"/>
        <w:left w:val="none" w:sz="0" w:space="0" w:color="auto"/>
        <w:bottom w:val="none" w:sz="0" w:space="0" w:color="auto"/>
        <w:right w:val="none" w:sz="0" w:space="0" w:color="auto"/>
      </w:divBdr>
    </w:div>
    <w:div w:id="1695377041">
      <w:bodyDiv w:val="1"/>
      <w:marLeft w:val="0"/>
      <w:marRight w:val="0"/>
      <w:marTop w:val="0"/>
      <w:marBottom w:val="0"/>
      <w:divBdr>
        <w:top w:val="none" w:sz="0" w:space="0" w:color="auto"/>
        <w:left w:val="none" w:sz="0" w:space="0" w:color="auto"/>
        <w:bottom w:val="none" w:sz="0" w:space="0" w:color="auto"/>
        <w:right w:val="none" w:sz="0" w:space="0" w:color="auto"/>
      </w:divBdr>
    </w:div>
    <w:div w:id="1696231124">
      <w:bodyDiv w:val="1"/>
      <w:marLeft w:val="0"/>
      <w:marRight w:val="0"/>
      <w:marTop w:val="0"/>
      <w:marBottom w:val="0"/>
      <w:divBdr>
        <w:top w:val="none" w:sz="0" w:space="0" w:color="auto"/>
        <w:left w:val="none" w:sz="0" w:space="0" w:color="auto"/>
        <w:bottom w:val="none" w:sz="0" w:space="0" w:color="auto"/>
        <w:right w:val="none" w:sz="0" w:space="0" w:color="auto"/>
      </w:divBdr>
    </w:div>
    <w:div w:id="1697385431">
      <w:bodyDiv w:val="1"/>
      <w:marLeft w:val="0"/>
      <w:marRight w:val="0"/>
      <w:marTop w:val="0"/>
      <w:marBottom w:val="0"/>
      <w:divBdr>
        <w:top w:val="none" w:sz="0" w:space="0" w:color="auto"/>
        <w:left w:val="none" w:sz="0" w:space="0" w:color="auto"/>
        <w:bottom w:val="none" w:sz="0" w:space="0" w:color="auto"/>
        <w:right w:val="none" w:sz="0" w:space="0" w:color="auto"/>
      </w:divBdr>
    </w:div>
    <w:div w:id="1698235890">
      <w:bodyDiv w:val="1"/>
      <w:marLeft w:val="0"/>
      <w:marRight w:val="0"/>
      <w:marTop w:val="0"/>
      <w:marBottom w:val="0"/>
      <w:divBdr>
        <w:top w:val="none" w:sz="0" w:space="0" w:color="auto"/>
        <w:left w:val="none" w:sz="0" w:space="0" w:color="auto"/>
        <w:bottom w:val="none" w:sz="0" w:space="0" w:color="auto"/>
        <w:right w:val="none" w:sz="0" w:space="0" w:color="auto"/>
      </w:divBdr>
    </w:div>
    <w:div w:id="1698698829">
      <w:bodyDiv w:val="1"/>
      <w:marLeft w:val="0"/>
      <w:marRight w:val="0"/>
      <w:marTop w:val="0"/>
      <w:marBottom w:val="0"/>
      <w:divBdr>
        <w:top w:val="none" w:sz="0" w:space="0" w:color="auto"/>
        <w:left w:val="none" w:sz="0" w:space="0" w:color="auto"/>
        <w:bottom w:val="none" w:sz="0" w:space="0" w:color="auto"/>
        <w:right w:val="none" w:sz="0" w:space="0" w:color="auto"/>
      </w:divBdr>
    </w:div>
    <w:div w:id="1699236595">
      <w:bodyDiv w:val="1"/>
      <w:marLeft w:val="0"/>
      <w:marRight w:val="0"/>
      <w:marTop w:val="0"/>
      <w:marBottom w:val="0"/>
      <w:divBdr>
        <w:top w:val="none" w:sz="0" w:space="0" w:color="auto"/>
        <w:left w:val="none" w:sz="0" w:space="0" w:color="auto"/>
        <w:bottom w:val="none" w:sz="0" w:space="0" w:color="auto"/>
        <w:right w:val="none" w:sz="0" w:space="0" w:color="auto"/>
      </w:divBdr>
    </w:div>
    <w:div w:id="1705902234">
      <w:bodyDiv w:val="1"/>
      <w:marLeft w:val="0"/>
      <w:marRight w:val="0"/>
      <w:marTop w:val="0"/>
      <w:marBottom w:val="0"/>
      <w:divBdr>
        <w:top w:val="none" w:sz="0" w:space="0" w:color="auto"/>
        <w:left w:val="none" w:sz="0" w:space="0" w:color="auto"/>
        <w:bottom w:val="none" w:sz="0" w:space="0" w:color="auto"/>
        <w:right w:val="none" w:sz="0" w:space="0" w:color="auto"/>
      </w:divBdr>
    </w:div>
    <w:div w:id="1709406166">
      <w:bodyDiv w:val="1"/>
      <w:marLeft w:val="0"/>
      <w:marRight w:val="0"/>
      <w:marTop w:val="0"/>
      <w:marBottom w:val="0"/>
      <w:divBdr>
        <w:top w:val="none" w:sz="0" w:space="0" w:color="auto"/>
        <w:left w:val="none" w:sz="0" w:space="0" w:color="auto"/>
        <w:bottom w:val="none" w:sz="0" w:space="0" w:color="auto"/>
        <w:right w:val="none" w:sz="0" w:space="0" w:color="auto"/>
      </w:divBdr>
    </w:div>
    <w:div w:id="1709792570">
      <w:bodyDiv w:val="1"/>
      <w:marLeft w:val="0"/>
      <w:marRight w:val="0"/>
      <w:marTop w:val="0"/>
      <w:marBottom w:val="0"/>
      <w:divBdr>
        <w:top w:val="none" w:sz="0" w:space="0" w:color="auto"/>
        <w:left w:val="none" w:sz="0" w:space="0" w:color="auto"/>
        <w:bottom w:val="none" w:sz="0" w:space="0" w:color="auto"/>
        <w:right w:val="none" w:sz="0" w:space="0" w:color="auto"/>
      </w:divBdr>
    </w:div>
    <w:div w:id="1721050903">
      <w:bodyDiv w:val="1"/>
      <w:marLeft w:val="0"/>
      <w:marRight w:val="0"/>
      <w:marTop w:val="0"/>
      <w:marBottom w:val="0"/>
      <w:divBdr>
        <w:top w:val="none" w:sz="0" w:space="0" w:color="auto"/>
        <w:left w:val="none" w:sz="0" w:space="0" w:color="auto"/>
        <w:bottom w:val="none" w:sz="0" w:space="0" w:color="auto"/>
        <w:right w:val="none" w:sz="0" w:space="0" w:color="auto"/>
      </w:divBdr>
    </w:div>
    <w:div w:id="1723287028">
      <w:bodyDiv w:val="1"/>
      <w:marLeft w:val="0"/>
      <w:marRight w:val="0"/>
      <w:marTop w:val="0"/>
      <w:marBottom w:val="0"/>
      <w:divBdr>
        <w:top w:val="none" w:sz="0" w:space="0" w:color="auto"/>
        <w:left w:val="none" w:sz="0" w:space="0" w:color="auto"/>
        <w:bottom w:val="none" w:sz="0" w:space="0" w:color="auto"/>
        <w:right w:val="none" w:sz="0" w:space="0" w:color="auto"/>
      </w:divBdr>
    </w:div>
    <w:div w:id="1726101951">
      <w:bodyDiv w:val="1"/>
      <w:marLeft w:val="0"/>
      <w:marRight w:val="0"/>
      <w:marTop w:val="0"/>
      <w:marBottom w:val="0"/>
      <w:divBdr>
        <w:top w:val="none" w:sz="0" w:space="0" w:color="auto"/>
        <w:left w:val="none" w:sz="0" w:space="0" w:color="auto"/>
        <w:bottom w:val="none" w:sz="0" w:space="0" w:color="auto"/>
        <w:right w:val="none" w:sz="0" w:space="0" w:color="auto"/>
      </w:divBdr>
    </w:div>
    <w:div w:id="1729569521">
      <w:bodyDiv w:val="1"/>
      <w:marLeft w:val="0"/>
      <w:marRight w:val="0"/>
      <w:marTop w:val="0"/>
      <w:marBottom w:val="0"/>
      <w:divBdr>
        <w:top w:val="none" w:sz="0" w:space="0" w:color="auto"/>
        <w:left w:val="none" w:sz="0" w:space="0" w:color="auto"/>
        <w:bottom w:val="none" w:sz="0" w:space="0" w:color="auto"/>
        <w:right w:val="none" w:sz="0" w:space="0" w:color="auto"/>
      </w:divBdr>
    </w:div>
    <w:div w:id="1730152328">
      <w:bodyDiv w:val="1"/>
      <w:marLeft w:val="0"/>
      <w:marRight w:val="0"/>
      <w:marTop w:val="0"/>
      <w:marBottom w:val="0"/>
      <w:divBdr>
        <w:top w:val="none" w:sz="0" w:space="0" w:color="auto"/>
        <w:left w:val="none" w:sz="0" w:space="0" w:color="auto"/>
        <w:bottom w:val="none" w:sz="0" w:space="0" w:color="auto"/>
        <w:right w:val="none" w:sz="0" w:space="0" w:color="auto"/>
      </w:divBdr>
    </w:div>
    <w:div w:id="1733195047">
      <w:bodyDiv w:val="1"/>
      <w:marLeft w:val="0"/>
      <w:marRight w:val="0"/>
      <w:marTop w:val="0"/>
      <w:marBottom w:val="0"/>
      <w:divBdr>
        <w:top w:val="none" w:sz="0" w:space="0" w:color="auto"/>
        <w:left w:val="none" w:sz="0" w:space="0" w:color="auto"/>
        <w:bottom w:val="none" w:sz="0" w:space="0" w:color="auto"/>
        <w:right w:val="none" w:sz="0" w:space="0" w:color="auto"/>
      </w:divBdr>
    </w:div>
    <w:div w:id="1735354788">
      <w:bodyDiv w:val="1"/>
      <w:marLeft w:val="0"/>
      <w:marRight w:val="0"/>
      <w:marTop w:val="0"/>
      <w:marBottom w:val="0"/>
      <w:divBdr>
        <w:top w:val="none" w:sz="0" w:space="0" w:color="auto"/>
        <w:left w:val="none" w:sz="0" w:space="0" w:color="auto"/>
        <w:bottom w:val="none" w:sz="0" w:space="0" w:color="auto"/>
        <w:right w:val="none" w:sz="0" w:space="0" w:color="auto"/>
      </w:divBdr>
    </w:div>
    <w:div w:id="1735733027">
      <w:bodyDiv w:val="1"/>
      <w:marLeft w:val="0"/>
      <w:marRight w:val="0"/>
      <w:marTop w:val="0"/>
      <w:marBottom w:val="0"/>
      <w:divBdr>
        <w:top w:val="none" w:sz="0" w:space="0" w:color="auto"/>
        <w:left w:val="none" w:sz="0" w:space="0" w:color="auto"/>
        <w:bottom w:val="none" w:sz="0" w:space="0" w:color="auto"/>
        <w:right w:val="none" w:sz="0" w:space="0" w:color="auto"/>
      </w:divBdr>
    </w:div>
    <w:div w:id="1737706122">
      <w:bodyDiv w:val="1"/>
      <w:marLeft w:val="0"/>
      <w:marRight w:val="0"/>
      <w:marTop w:val="0"/>
      <w:marBottom w:val="0"/>
      <w:divBdr>
        <w:top w:val="none" w:sz="0" w:space="0" w:color="auto"/>
        <w:left w:val="none" w:sz="0" w:space="0" w:color="auto"/>
        <w:bottom w:val="none" w:sz="0" w:space="0" w:color="auto"/>
        <w:right w:val="none" w:sz="0" w:space="0" w:color="auto"/>
      </w:divBdr>
    </w:div>
    <w:div w:id="1738015000">
      <w:bodyDiv w:val="1"/>
      <w:marLeft w:val="0"/>
      <w:marRight w:val="0"/>
      <w:marTop w:val="0"/>
      <w:marBottom w:val="0"/>
      <w:divBdr>
        <w:top w:val="none" w:sz="0" w:space="0" w:color="auto"/>
        <w:left w:val="none" w:sz="0" w:space="0" w:color="auto"/>
        <w:bottom w:val="none" w:sz="0" w:space="0" w:color="auto"/>
        <w:right w:val="none" w:sz="0" w:space="0" w:color="auto"/>
      </w:divBdr>
    </w:div>
    <w:div w:id="1739668834">
      <w:bodyDiv w:val="1"/>
      <w:marLeft w:val="0"/>
      <w:marRight w:val="0"/>
      <w:marTop w:val="0"/>
      <w:marBottom w:val="0"/>
      <w:divBdr>
        <w:top w:val="none" w:sz="0" w:space="0" w:color="auto"/>
        <w:left w:val="none" w:sz="0" w:space="0" w:color="auto"/>
        <w:bottom w:val="none" w:sz="0" w:space="0" w:color="auto"/>
        <w:right w:val="none" w:sz="0" w:space="0" w:color="auto"/>
      </w:divBdr>
    </w:div>
    <w:div w:id="1740178002">
      <w:bodyDiv w:val="1"/>
      <w:marLeft w:val="0"/>
      <w:marRight w:val="0"/>
      <w:marTop w:val="0"/>
      <w:marBottom w:val="0"/>
      <w:divBdr>
        <w:top w:val="none" w:sz="0" w:space="0" w:color="auto"/>
        <w:left w:val="none" w:sz="0" w:space="0" w:color="auto"/>
        <w:bottom w:val="none" w:sz="0" w:space="0" w:color="auto"/>
        <w:right w:val="none" w:sz="0" w:space="0" w:color="auto"/>
      </w:divBdr>
    </w:div>
    <w:div w:id="1740706813">
      <w:bodyDiv w:val="1"/>
      <w:marLeft w:val="0"/>
      <w:marRight w:val="0"/>
      <w:marTop w:val="0"/>
      <w:marBottom w:val="0"/>
      <w:divBdr>
        <w:top w:val="none" w:sz="0" w:space="0" w:color="auto"/>
        <w:left w:val="none" w:sz="0" w:space="0" w:color="auto"/>
        <w:bottom w:val="none" w:sz="0" w:space="0" w:color="auto"/>
        <w:right w:val="none" w:sz="0" w:space="0" w:color="auto"/>
      </w:divBdr>
    </w:div>
    <w:div w:id="1741247884">
      <w:bodyDiv w:val="1"/>
      <w:marLeft w:val="0"/>
      <w:marRight w:val="0"/>
      <w:marTop w:val="0"/>
      <w:marBottom w:val="0"/>
      <w:divBdr>
        <w:top w:val="none" w:sz="0" w:space="0" w:color="auto"/>
        <w:left w:val="none" w:sz="0" w:space="0" w:color="auto"/>
        <w:bottom w:val="none" w:sz="0" w:space="0" w:color="auto"/>
        <w:right w:val="none" w:sz="0" w:space="0" w:color="auto"/>
      </w:divBdr>
    </w:div>
    <w:div w:id="1746756857">
      <w:bodyDiv w:val="1"/>
      <w:marLeft w:val="0"/>
      <w:marRight w:val="0"/>
      <w:marTop w:val="0"/>
      <w:marBottom w:val="0"/>
      <w:divBdr>
        <w:top w:val="none" w:sz="0" w:space="0" w:color="auto"/>
        <w:left w:val="none" w:sz="0" w:space="0" w:color="auto"/>
        <w:bottom w:val="none" w:sz="0" w:space="0" w:color="auto"/>
        <w:right w:val="none" w:sz="0" w:space="0" w:color="auto"/>
      </w:divBdr>
    </w:div>
    <w:div w:id="1749764646">
      <w:bodyDiv w:val="1"/>
      <w:marLeft w:val="0"/>
      <w:marRight w:val="0"/>
      <w:marTop w:val="0"/>
      <w:marBottom w:val="0"/>
      <w:divBdr>
        <w:top w:val="none" w:sz="0" w:space="0" w:color="auto"/>
        <w:left w:val="none" w:sz="0" w:space="0" w:color="auto"/>
        <w:bottom w:val="none" w:sz="0" w:space="0" w:color="auto"/>
        <w:right w:val="none" w:sz="0" w:space="0" w:color="auto"/>
      </w:divBdr>
    </w:div>
    <w:div w:id="1752115504">
      <w:bodyDiv w:val="1"/>
      <w:marLeft w:val="0"/>
      <w:marRight w:val="0"/>
      <w:marTop w:val="0"/>
      <w:marBottom w:val="0"/>
      <w:divBdr>
        <w:top w:val="none" w:sz="0" w:space="0" w:color="auto"/>
        <w:left w:val="none" w:sz="0" w:space="0" w:color="auto"/>
        <w:bottom w:val="none" w:sz="0" w:space="0" w:color="auto"/>
        <w:right w:val="none" w:sz="0" w:space="0" w:color="auto"/>
      </w:divBdr>
    </w:div>
    <w:div w:id="1754936791">
      <w:bodyDiv w:val="1"/>
      <w:marLeft w:val="0"/>
      <w:marRight w:val="0"/>
      <w:marTop w:val="0"/>
      <w:marBottom w:val="0"/>
      <w:divBdr>
        <w:top w:val="none" w:sz="0" w:space="0" w:color="auto"/>
        <w:left w:val="none" w:sz="0" w:space="0" w:color="auto"/>
        <w:bottom w:val="none" w:sz="0" w:space="0" w:color="auto"/>
        <w:right w:val="none" w:sz="0" w:space="0" w:color="auto"/>
      </w:divBdr>
    </w:div>
    <w:div w:id="1755348903">
      <w:bodyDiv w:val="1"/>
      <w:marLeft w:val="0"/>
      <w:marRight w:val="0"/>
      <w:marTop w:val="0"/>
      <w:marBottom w:val="0"/>
      <w:divBdr>
        <w:top w:val="none" w:sz="0" w:space="0" w:color="auto"/>
        <w:left w:val="none" w:sz="0" w:space="0" w:color="auto"/>
        <w:bottom w:val="none" w:sz="0" w:space="0" w:color="auto"/>
        <w:right w:val="none" w:sz="0" w:space="0" w:color="auto"/>
      </w:divBdr>
    </w:div>
    <w:div w:id="1762294394">
      <w:bodyDiv w:val="1"/>
      <w:marLeft w:val="0"/>
      <w:marRight w:val="0"/>
      <w:marTop w:val="0"/>
      <w:marBottom w:val="0"/>
      <w:divBdr>
        <w:top w:val="none" w:sz="0" w:space="0" w:color="auto"/>
        <w:left w:val="none" w:sz="0" w:space="0" w:color="auto"/>
        <w:bottom w:val="none" w:sz="0" w:space="0" w:color="auto"/>
        <w:right w:val="none" w:sz="0" w:space="0" w:color="auto"/>
      </w:divBdr>
    </w:div>
    <w:div w:id="1762792619">
      <w:bodyDiv w:val="1"/>
      <w:marLeft w:val="0"/>
      <w:marRight w:val="0"/>
      <w:marTop w:val="0"/>
      <w:marBottom w:val="0"/>
      <w:divBdr>
        <w:top w:val="none" w:sz="0" w:space="0" w:color="auto"/>
        <w:left w:val="none" w:sz="0" w:space="0" w:color="auto"/>
        <w:bottom w:val="none" w:sz="0" w:space="0" w:color="auto"/>
        <w:right w:val="none" w:sz="0" w:space="0" w:color="auto"/>
      </w:divBdr>
    </w:div>
    <w:div w:id="1768883844">
      <w:bodyDiv w:val="1"/>
      <w:marLeft w:val="0"/>
      <w:marRight w:val="0"/>
      <w:marTop w:val="0"/>
      <w:marBottom w:val="0"/>
      <w:divBdr>
        <w:top w:val="none" w:sz="0" w:space="0" w:color="auto"/>
        <w:left w:val="none" w:sz="0" w:space="0" w:color="auto"/>
        <w:bottom w:val="none" w:sz="0" w:space="0" w:color="auto"/>
        <w:right w:val="none" w:sz="0" w:space="0" w:color="auto"/>
      </w:divBdr>
    </w:div>
    <w:div w:id="1770344403">
      <w:bodyDiv w:val="1"/>
      <w:marLeft w:val="0"/>
      <w:marRight w:val="0"/>
      <w:marTop w:val="0"/>
      <w:marBottom w:val="0"/>
      <w:divBdr>
        <w:top w:val="none" w:sz="0" w:space="0" w:color="auto"/>
        <w:left w:val="none" w:sz="0" w:space="0" w:color="auto"/>
        <w:bottom w:val="none" w:sz="0" w:space="0" w:color="auto"/>
        <w:right w:val="none" w:sz="0" w:space="0" w:color="auto"/>
      </w:divBdr>
    </w:div>
    <w:div w:id="1771244682">
      <w:bodyDiv w:val="1"/>
      <w:marLeft w:val="0"/>
      <w:marRight w:val="0"/>
      <w:marTop w:val="0"/>
      <w:marBottom w:val="0"/>
      <w:divBdr>
        <w:top w:val="none" w:sz="0" w:space="0" w:color="auto"/>
        <w:left w:val="none" w:sz="0" w:space="0" w:color="auto"/>
        <w:bottom w:val="none" w:sz="0" w:space="0" w:color="auto"/>
        <w:right w:val="none" w:sz="0" w:space="0" w:color="auto"/>
      </w:divBdr>
    </w:div>
    <w:div w:id="1771773928">
      <w:bodyDiv w:val="1"/>
      <w:marLeft w:val="0"/>
      <w:marRight w:val="0"/>
      <w:marTop w:val="0"/>
      <w:marBottom w:val="0"/>
      <w:divBdr>
        <w:top w:val="none" w:sz="0" w:space="0" w:color="auto"/>
        <w:left w:val="none" w:sz="0" w:space="0" w:color="auto"/>
        <w:bottom w:val="none" w:sz="0" w:space="0" w:color="auto"/>
        <w:right w:val="none" w:sz="0" w:space="0" w:color="auto"/>
      </w:divBdr>
    </w:div>
    <w:div w:id="1772043898">
      <w:bodyDiv w:val="1"/>
      <w:marLeft w:val="0"/>
      <w:marRight w:val="0"/>
      <w:marTop w:val="0"/>
      <w:marBottom w:val="0"/>
      <w:divBdr>
        <w:top w:val="none" w:sz="0" w:space="0" w:color="auto"/>
        <w:left w:val="none" w:sz="0" w:space="0" w:color="auto"/>
        <w:bottom w:val="none" w:sz="0" w:space="0" w:color="auto"/>
        <w:right w:val="none" w:sz="0" w:space="0" w:color="auto"/>
      </w:divBdr>
    </w:div>
    <w:div w:id="1772777796">
      <w:bodyDiv w:val="1"/>
      <w:marLeft w:val="0"/>
      <w:marRight w:val="0"/>
      <w:marTop w:val="0"/>
      <w:marBottom w:val="0"/>
      <w:divBdr>
        <w:top w:val="none" w:sz="0" w:space="0" w:color="auto"/>
        <w:left w:val="none" w:sz="0" w:space="0" w:color="auto"/>
        <w:bottom w:val="none" w:sz="0" w:space="0" w:color="auto"/>
        <w:right w:val="none" w:sz="0" w:space="0" w:color="auto"/>
      </w:divBdr>
    </w:div>
    <w:div w:id="1775051635">
      <w:bodyDiv w:val="1"/>
      <w:marLeft w:val="0"/>
      <w:marRight w:val="0"/>
      <w:marTop w:val="0"/>
      <w:marBottom w:val="0"/>
      <w:divBdr>
        <w:top w:val="none" w:sz="0" w:space="0" w:color="auto"/>
        <w:left w:val="none" w:sz="0" w:space="0" w:color="auto"/>
        <w:bottom w:val="none" w:sz="0" w:space="0" w:color="auto"/>
        <w:right w:val="none" w:sz="0" w:space="0" w:color="auto"/>
      </w:divBdr>
    </w:div>
    <w:div w:id="1775519207">
      <w:bodyDiv w:val="1"/>
      <w:marLeft w:val="0"/>
      <w:marRight w:val="0"/>
      <w:marTop w:val="0"/>
      <w:marBottom w:val="0"/>
      <w:divBdr>
        <w:top w:val="none" w:sz="0" w:space="0" w:color="auto"/>
        <w:left w:val="none" w:sz="0" w:space="0" w:color="auto"/>
        <w:bottom w:val="none" w:sz="0" w:space="0" w:color="auto"/>
        <w:right w:val="none" w:sz="0" w:space="0" w:color="auto"/>
      </w:divBdr>
    </w:div>
    <w:div w:id="1781144385">
      <w:bodyDiv w:val="1"/>
      <w:marLeft w:val="0"/>
      <w:marRight w:val="0"/>
      <w:marTop w:val="0"/>
      <w:marBottom w:val="0"/>
      <w:divBdr>
        <w:top w:val="none" w:sz="0" w:space="0" w:color="auto"/>
        <w:left w:val="none" w:sz="0" w:space="0" w:color="auto"/>
        <w:bottom w:val="none" w:sz="0" w:space="0" w:color="auto"/>
        <w:right w:val="none" w:sz="0" w:space="0" w:color="auto"/>
      </w:divBdr>
    </w:div>
    <w:div w:id="1787193558">
      <w:bodyDiv w:val="1"/>
      <w:marLeft w:val="0"/>
      <w:marRight w:val="0"/>
      <w:marTop w:val="0"/>
      <w:marBottom w:val="0"/>
      <w:divBdr>
        <w:top w:val="none" w:sz="0" w:space="0" w:color="auto"/>
        <w:left w:val="none" w:sz="0" w:space="0" w:color="auto"/>
        <w:bottom w:val="none" w:sz="0" w:space="0" w:color="auto"/>
        <w:right w:val="none" w:sz="0" w:space="0" w:color="auto"/>
      </w:divBdr>
    </w:div>
    <w:div w:id="1788237781">
      <w:bodyDiv w:val="1"/>
      <w:marLeft w:val="0"/>
      <w:marRight w:val="0"/>
      <w:marTop w:val="0"/>
      <w:marBottom w:val="0"/>
      <w:divBdr>
        <w:top w:val="none" w:sz="0" w:space="0" w:color="auto"/>
        <w:left w:val="none" w:sz="0" w:space="0" w:color="auto"/>
        <w:bottom w:val="none" w:sz="0" w:space="0" w:color="auto"/>
        <w:right w:val="none" w:sz="0" w:space="0" w:color="auto"/>
      </w:divBdr>
    </w:div>
    <w:div w:id="1794790805">
      <w:bodyDiv w:val="1"/>
      <w:marLeft w:val="0"/>
      <w:marRight w:val="0"/>
      <w:marTop w:val="0"/>
      <w:marBottom w:val="0"/>
      <w:divBdr>
        <w:top w:val="none" w:sz="0" w:space="0" w:color="auto"/>
        <w:left w:val="none" w:sz="0" w:space="0" w:color="auto"/>
        <w:bottom w:val="none" w:sz="0" w:space="0" w:color="auto"/>
        <w:right w:val="none" w:sz="0" w:space="0" w:color="auto"/>
      </w:divBdr>
    </w:div>
    <w:div w:id="1796677900">
      <w:bodyDiv w:val="1"/>
      <w:marLeft w:val="0"/>
      <w:marRight w:val="0"/>
      <w:marTop w:val="0"/>
      <w:marBottom w:val="0"/>
      <w:divBdr>
        <w:top w:val="none" w:sz="0" w:space="0" w:color="auto"/>
        <w:left w:val="none" w:sz="0" w:space="0" w:color="auto"/>
        <w:bottom w:val="none" w:sz="0" w:space="0" w:color="auto"/>
        <w:right w:val="none" w:sz="0" w:space="0" w:color="auto"/>
      </w:divBdr>
    </w:div>
    <w:div w:id="1797867530">
      <w:bodyDiv w:val="1"/>
      <w:marLeft w:val="0"/>
      <w:marRight w:val="0"/>
      <w:marTop w:val="0"/>
      <w:marBottom w:val="0"/>
      <w:divBdr>
        <w:top w:val="none" w:sz="0" w:space="0" w:color="auto"/>
        <w:left w:val="none" w:sz="0" w:space="0" w:color="auto"/>
        <w:bottom w:val="none" w:sz="0" w:space="0" w:color="auto"/>
        <w:right w:val="none" w:sz="0" w:space="0" w:color="auto"/>
      </w:divBdr>
    </w:div>
    <w:div w:id="1804425467">
      <w:bodyDiv w:val="1"/>
      <w:marLeft w:val="0"/>
      <w:marRight w:val="0"/>
      <w:marTop w:val="0"/>
      <w:marBottom w:val="0"/>
      <w:divBdr>
        <w:top w:val="none" w:sz="0" w:space="0" w:color="auto"/>
        <w:left w:val="none" w:sz="0" w:space="0" w:color="auto"/>
        <w:bottom w:val="none" w:sz="0" w:space="0" w:color="auto"/>
        <w:right w:val="none" w:sz="0" w:space="0" w:color="auto"/>
      </w:divBdr>
    </w:div>
    <w:div w:id="1805855958">
      <w:bodyDiv w:val="1"/>
      <w:marLeft w:val="0"/>
      <w:marRight w:val="0"/>
      <w:marTop w:val="0"/>
      <w:marBottom w:val="0"/>
      <w:divBdr>
        <w:top w:val="none" w:sz="0" w:space="0" w:color="auto"/>
        <w:left w:val="none" w:sz="0" w:space="0" w:color="auto"/>
        <w:bottom w:val="none" w:sz="0" w:space="0" w:color="auto"/>
        <w:right w:val="none" w:sz="0" w:space="0" w:color="auto"/>
      </w:divBdr>
    </w:div>
    <w:div w:id="1806197491">
      <w:bodyDiv w:val="1"/>
      <w:marLeft w:val="0"/>
      <w:marRight w:val="0"/>
      <w:marTop w:val="0"/>
      <w:marBottom w:val="0"/>
      <w:divBdr>
        <w:top w:val="none" w:sz="0" w:space="0" w:color="auto"/>
        <w:left w:val="none" w:sz="0" w:space="0" w:color="auto"/>
        <w:bottom w:val="none" w:sz="0" w:space="0" w:color="auto"/>
        <w:right w:val="none" w:sz="0" w:space="0" w:color="auto"/>
      </w:divBdr>
    </w:div>
    <w:div w:id="1813400008">
      <w:bodyDiv w:val="1"/>
      <w:marLeft w:val="0"/>
      <w:marRight w:val="0"/>
      <w:marTop w:val="0"/>
      <w:marBottom w:val="0"/>
      <w:divBdr>
        <w:top w:val="none" w:sz="0" w:space="0" w:color="auto"/>
        <w:left w:val="none" w:sz="0" w:space="0" w:color="auto"/>
        <w:bottom w:val="none" w:sz="0" w:space="0" w:color="auto"/>
        <w:right w:val="none" w:sz="0" w:space="0" w:color="auto"/>
      </w:divBdr>
    </w:div>
    <w:div w:id="1819765290">
      <w:bodyDiv w:val="1"/>
      <w:marLeft w:val="0"/>
      <w:marRight w:val="0"/>
      <w:marTop w:val="0"/>
      <w:marBottom w:val="0"/>
      <w:divBdr>
        <w:top w:val="none" w:sz="0" w:space="0" w:color="auto"/>
        <w:left w:val="none" w:sz="0" w:space="0" w:color="auto"/>
        <w:bottom w:val="none" w:sz="0" w:space="0" w:color="auto"/>
        <w:right w:val="none" w:sz="0" w:space="0" w:color="auto"/>
      </w:divBdr>
    </w:div>
    <w:div w:id="1820610427">
      <w:bodyDiv w:val="1"/>
      <w:marLeft w:val="0"/>
      <w:marRight w:val="0"/>
      <w:marTop w:val="0"/>
      <w:marBottom w:val="0"/>
      <w:divBdr>
        <w:top w:val="none" w:sz="0" w:space="0" w:color="auto"/>
        <w:left w:val="none" w:sz="0" w:space="0" w:color="auto"/>
        <w:bottom w:val="none" w:sz="0" w:space="0" w:color="auto"/>
        <w:right w:val="none" w:sz="0" w:space="0" w:color="auto"/>
      </w:divBdr>
    </w:div>
    <w:div w:id="1820809090">
      <w:bodyDiv w:val="1"/>
      <w:marLeft w:val="0"/>
      <w:marRight w:val="0"/>
      <w:marTop w:val="0"/>
      <w:marBottom w:val="0"/>
      <w:divBdr>
        <w:top w:val="none" w:sz="0" w:space="0" w:color="auto"/>
        <w:left w:val="none" w:sz="0" w:space="0" w:color="auto"/>
        <w:bottom w:val="none" w:sz="0" w:space="0" w:color="auto"/>
        <w:right w:val="none" w:sz="0" w:space="0" w:color="auto"/>
      </w:divBdr>
    </w:div>
    <w:div w:id="1824269418">
      <w:bodyDiv w:val="1"/>
      <w:marLeft w:val="0"/>
      <w:marRight w:val="0"/>
      <w:marTop w:val="0"/>
      <w:marBottom w:val="0"/>
      <w:divBdr>
        <w:top w:val="none" w:sz="0" w:space="0" w:color="auto"/>
        <w:left w:val="none" w:sz="0" w:space="0" w:color="auto"/>
        <w:bottom w:val="none" w:sz="0" w:space="0" w:color="auto"/>
        <w:right w:val="none" w:sz="0" w:space="0" w:color="auto"/>
      </w:divBdr>
    </w:div>
    <w:div w:id="1826122431">
      <w:bodyDiv w:val="1"/>
      <w:marLeft w:val="0"/>
      <w:marRight w:val="0"/>
      <w:marTop w:val="0"/>
      <w:marBottom w:val="0"/>
      <w:divBdr>
        <w:top w:val="none" w:sz="0" w:space="0" w:color="auto"/>
        <w:left w:val="none" w:sz="0" w:space="0" w:color="auto"/>
        <w:bottom w:val="none" w:sz="0" w:space="0" w:color="auto"/>
        <w:right w:val="none" w:sz="0" w:space="0" w:color="auto"/>
      </w:divBdr>
    </w:div>
    <w:div w:id="1826895446">
      <w:bodyDiv w:val="1"/>
      <w:marLeft w:val="0"/>
      <w:marRight w:val="0"/>
      <w:marTop w:val="0"/>
      <w:marBottom w:val="0"/>
      <w:divBdr>
        <w:top w:val="none" w:sz="0" w:space="0" w:color="auto"/>
        <w:left w:val="none" w:sz="0" w:space="0" w:color="auto"/>
        <w:bottom w:val="none" w:sz="0" w:space="0" w:color="auto"/>
        <w:right w:val="none" w:sz="0" w:space="0" w:color="auto"/>
      </w:divBdr>
    </w:div>
    <w:div w:id="1827744335">
      <w:bodyDiv w:val="1"/>
      <w:marLeft w:val="0"/>
      <w:marRight w:val="0"/>
      <w:marTop w:val="0"/>
      <w:marBottom w:val="0"/>
      <w:divBdr>
        <w:top w:val="none" w:sz="0" w:space="0" w:color="auto"/>
        <w:left w:val="none" w:sz="0" w:space="0" w:color="auto"/>
        <w:bottom w:val="none" w:sz="0" w:space="0" w:color="auto"/>
        <w:right w:val="none" w:sz="0" w:space="0" w:color="auto"/>
      </w:divBdr>
    </w:div>
    <w:div w:id="1828859977">
      <w:bodyDiv w:val="1"/>
      <w:marLeft w:val="0"/>
      <w:marRight w:val="0"/>
      <w:marTop w:val="0"/>
      <w:marBottom w:val="0"/>
      <w:divBdr>
        <w:top w:val="none" w:sz="0" w:space="0" w:color="auto"/>
        <w:left w:val="none" w:sz="0" w:space="0" w:color="auto"/>
        <w:bottom w:val="none" w:sz="0" w:space="0" w:color="auto"/>
        <w:right w:val="none" w:sz="0" w:space="0" w:color="auto"/>
      </w:divBdr>
    </w:div>
    <w:div w:id="1829245038">
      <w:bodyDiv w:val="1"/>
      <w:marLeft w:val="0"/>
      <w:marRight w:val="0"/>
      <w:marTop w:val="0"/>
      <w:marBottom w:val="0"/>
      <w:divBdr>
        <w:top w:val="none" w:sz="0" w:space="0" w:color="auto"/>
        <w:left w:val="none" w:sz="0" w:space="0" w:color="auto"/>
        <w:bottom w:val="none" w:sz="0" w:space="0" w:color="auto"/>
        <w:right w:val="none" w:sz="0" w:space="0" w:color="auto"/>
      </w:divBdr>
    </w:div>
    <w:div w:id="1830945921">
      <w:bodyDiv w:val="1"/>
      <w:marLeft w:val="0"/>
      <w:marRight w:val="0"/>
      <w:marTop w:val="0"/>
      <w:marBottom w:val="0"/>
      <w:divBdr>
        <w:top w:val="none" w:sz="0" w:space="0" w:color="auto"/>
        <w:left w:val="none" w:sz="0" w:space="0" w:color="auto"/>
        <w:bottom w:val="none" w:sz="0" w:space="0" w:color="auto"/>
        <w:right w:val="none" w:sz="0" w:space="0" w:color="auto"/>
      </w:divBdr>
    </w:div>
    <w:div w:id="1835337360">
      <w:bodyDiv w:val="1"/>
      <w:marLeft w:val="0"/>
      <w:marRight w:val="0"/>
      <w:marTop w:val="0"/>
      <w:marBottom w:val="0"/>
      <w:divBdr>
        <w:top w:val="none" w:sz="0" w:space="0" w:color="auto"/>
        <w:left w:val="none" w:sz="0" w:space="0" w:color="auto"/>
        <w:bottom w:val="none" w:sz="0" w:space="0" w:color="auto"/>
        <w:right w:val="none" w:sz="0" w:space="0" w:color="auto"/>
      </w:divBdr>
    </w:div>
    <w:div w:id="1839882317">
      <w:bodyDiv w:val="1"/>
      <w:marLeft w:val="0"/>
      <w:marRight w:val="0"/>
      <w:marTop w:val="0"/>
      <w:marBottom w:val="0"/>
      <w:divBdr>
        <w:top w:val="none" w:sz="0" w:space="0" w:color="auto"/>
        <w:left w:val="none" w:sz="0" w:space="0" w:color="auto"/>
        <w:bottom w:val="none" w:sz="0" w:space="0" w:color="auto"/>
        <w:right w:val="none" w:sz="0" w:space="0" w:color="auto"/>
      </w:divBdr>
    </w:div>
    <w:div w:id="1841576544">
      <w:bodyDiv w:val="1"/>
      <w:marLeft w:val="0"/>
      <w:marRight w:val="0"/>
      <w:marTop w:val="0"/>
      <w:marBottom w:val="0"/>
      <w:divBdr>
        <w:top w:val="none" w:sz="0" w:space="0" w:color="auto"/>
        <w:left w:val="none" w:sz="0" w:space="0" w:color="auto"/>
        <w:bottom w:val="none" w:sz="0" w:space="0" w:color="auto"/>
        <w:right w:val="none" w:sz="0" w:space="0" w:color="auto"/>
      </w:divBdr>
    </w:div>
    <w:div w:id="1842239525">
      <w:bodyDiv w:val="1"/>
      <w:marLeft w:val="0"/>
      <w:marRight w:val="0"/>
      <w:marTop w:val="0"/>
      <w:marBottom w:val="0"/>
      <w:divBdr>
        <w:top w:val="none" w:sz="0" w:space="0" w:color="auto"/>
        <w:left w:val="none" w:sz="0" w:space="0" w:color="auto"/>
        <w:bottom w:val="none" w:sz="0" w:space="0" w:color="auto"/>
        <w:right w:val="none" w:sz="0" w:space="0" w:color="auto"/>
      </w:divBdr>
    </w:div>
    <w:div w:id="1843550276">
      <w:bodyDiv w:val="1"/>
      <w:marLeft w:val="0"/>
      <w:marRight w:val="0"/>
      <w:marTop w:val="0"/>
      <w:marBottom w:val="0"/>
      <w:divBdr>
        <w:top w:val="none" w:sz="0" w:space="0" w:color="auto"/>
        <w:left w:val="none" w:sz="0" w:space="0" w:color="auto"/>
        <w:bottom w:val="none" w:sz="0" w:space="0" w:color="auto"/>
        <w:right w:val="none" w:sz="0" w:space="0" w:color="auto"/>
      </w:divBdr>
    </w:div>
    <w:div w:id="1844468808">
      <w:bodyDiv w:val="1"/>
      <w:marLeft w:val="0"/>
      <w:marRight w:val="0"/>
      <w:marTop w:val="0"/>
      <w:marBottom w:val="0"/>
      <w:divBdr>
        <w:top w:val="none" w:sz="0" w:space="0" w:color="auto"/>
        <w:left w:val="none" w:sz="0" w:space="0" w:color="auto"/>
        <w:bottom w:val="none" w:sz="0" w:space="0" w:color="auto"/>
        <w:right w:val="none" w:sz="0" w:space="0" w:color="auto"/>
      </w:divBdr>
    </w:div>
    <w:div w:id="1845630985">
      <w:bodyDiv w:val="1"/>
      <w:marLeft w:val="0"/>
      <w:marRight w:val="0"/>
      <w:marTop w:val="0"/>
      <w:marBottom w:val="0"/>
      <w:divBdr>
        <w:top w:val="none" w:sz="0" w:space="0" w:color="auto"/>
        <w:left w:val="none" w:sz="0" w:space="0" w:color="auto"/>
        <w:bottom w:val="none" w:sz="0" w:space="0" w:color="auto"/>
        <w:right w:val="none" w:sz="0" w:space="0" w:color="auto"/>
      </w:divBdr>
    </w:div>
    <w:div w:id="1847014859">
      <w:bodyDiv w:val="1"/>
      <w:marLeft w:val="0"/>
      <w:marRight w:val="0"/>
      <w:marTop w:val="0"/>
      <w:marBottom w:val="0"/>
      <w:divBdr>
        <w:top w:val="none" w:sz="0" w:space="0" w:color="auto"/>
        <w:left w:val="none" w:sz="0" w:space="0" w:color="auto"/>
        <w:bottom w:val="none" w:sz="0" w:space="0" w:color="auto"/>
        <w:right w:val="none" w:sz="0" w:space="0" w:color="auto"/>
      </w:divBdr>
    </w:div>
    <w:div w:id="1847674826">
      <w:bodyDiv w:val="1"/>
      <w:marLeft w:val="0"/>
      <w:marRight w:val="0"/>
      <w:marTop w:val="0"/>
      <w:marBottom w:val="0"/>
      <w:divBdr>
        <w:top w:val="none" w:sz="0" w:space="0" w:color="auto"/>
        <w:left w:val="none" w:sz="0" w:space="0" w:color="auto"/>
        <w:bottom w:val="none" w:sz="0" w:space="0" w:color="auto"/>
        <w:right w:val="none" w:sz="0" w:space="0" w:color="auto"/>
      </w:divBdr>
    </w:div>
    <w:div w:id="1849247273">
      <w:bodyDiv w:val="1"/>
      <w:marLeft w:val="0"/>
      <w:marRight w:val="0"/>
      <w:marTop w:val="0"/>
      <w:marBottom w:val="0"/>
      <w:divBdr>
        <w:top w:val="none" w:sz="0" w:space="0" w:color="auto"/>
        <w:left w:val="none" w:sz="0" w:space="0" w:color="auto"/>
        <w:bottom w:val="none" w:sz="0" w:space="0" w:color="auto"/>
        <w:right w:val="none" w:sz="0" w:space="0" w:color="auto"/>
      </w:divBdr>
    </w:div>
    <w:div w:id="1849321992">
      <w:bodyDiv w:val="1"/>
      <w:marLeft w:val="0"/>
      <w:marRight w:val="0"/>
      <w:marTop w:val="0"/>
      <w:marBottom w:val="0"/>
      <w:divBdr>
        <w:top w:val="none" w:sz="0" w:space="0" w:color="auto"/>
        <w:left w:val="none" w:sz="0" w:space="0" w:color="auto"/>
        <w:bottom w:val="none" w:sz="0" w:space="0" w:color="auto"/>
        <w:right w:val="none" w:sz="0" w:space="0" w:color="auto"/>
      </w:divBdr>
    </w:div>
    <w:div w:id="1851069609">
      <w:bodyDiv w:val="1"/>
      <w:marLeft w:val="0"/>
      <w:marRight w:val="0"/>
      <w:marTop w:val="0"/>
      <w:marBottom w:val="0"/>
      <w:divBdr>
        <w:top w:val="none" w:sz="0" w:space="0" w:color="auto"/>
        <w:left w:val="none" w:sz="0" w:space="0" w:color="auto"/>
        <w:bottom w:val="none" w:sz="0" w:space="0" w:color="auto"/>
        <w:right w:val="none" w:sz="0" w:space="0" w:color="auto"/>
      </w:divBdr>
    </w:div>
    <w:div w:id="1852600670">
      <w:bodyDiv w:val="1"/>
      <w:marLeft w:val="0"/>
      <w:marRight w:val="0"/>
      <w:marTop w:val="0"/>
      <w:marBottom w:val="0"/>
      <w:divBdr>
        <w:top w:val="none" w:sz="0" w:space="0" w:color="auto"/>
        <w:left w:val="none" w:sz="0" w:space="0" w:color="auto"/>
        <w:bottom w:val="none" w:sz="0" w:space="0" w:color="auto"/>
        <w:right w:val="none" w:sz="0" w:space="0" w:color="auto"/>
      </w:divBdr>
    </w:div>
    <w:div w:id="1853955282">
      <w:bodyDiv w:val="1"/>
      <w:marLeft w:val="0"/>
      <w:marRight w:val="0"/>
      <w:marTop w:val="0"/>
      <w:marBottom w:val="0"/>
      <w:divBdr>
        <w:top w:val="none" w:sz="0" w:space="0" w:color="auto"/>
        <w:left w:val="none" w:sz="0" w:space="0" w:color="auto"/>
        <w:bottom w:val="none" w:sz="0" w:space="0" w:color="auto"/>
        <w:right w:val="none" w:sz="0" w:space="0" w:color="auto"/>
      </w:divBdr>
    </w:div>
    <w:div w:id="1854607192">
      <w:bodyDiv w:val="1"/>
      <w:marLeft w:val="0"/>
      <w:marRight w:val="0"/>
      <w:marTop w:val="0"/>
      <w:marBottom w:val="0"/>
      <w:divBdr>
        <w:top w:val="none" w:sz="0" w:space="0" w:color="auto"/>
        <w:left w:val="none" w:sz="0" w:space="0" w:color="auto"/>
        <w:bottom w:val="none" w:sz="0" w:space="0" w:color="auto"/>
        <w:right w:val="none" w:sz="0" w:space="0" w:color="auto"/>
      </w:divBdr>
    </w:div>
    <w:div w:id="1854608352">
      <w:bodyDiv w:val="1"/>
      <w:marLeft w:val="0"/>
      <w:marRight w:val="0"/>
      <w:marTop w:val="0"/>
      <w:marBottom w:val="0"/>
      <w:divBdr>
        <w:top w:val="none" w:sz="0" w:space="0" w:color="auto"/>
        <w:left w:val="none" w:sz="0" w:space="0" w:color="auto"/>
        <w:bottom w:val="none" w:sz="0" w:space="0" w:color="auto"/>
        <w:right w:val="none" w:sz="0" w:space="0" w:color="auto"/>
      </w:divBdr>
    </w:div>
    <w:div w:id="1854760954">
      <w:bodyDiv w:val="1"/>
      <w:marLeft w:val="0"/>
      <w:marRight w:val="0"/>
      <w:marTop w:val="0"/>
      <w:marBottom w:val="0"/>
      <w:divBdr>
        <w:top w:val="none" w:sz="0" w:space="0" w:color="auto"/>
        <w:left w:val="none" w:sz="0" w:space="0" w:color="auto"/>
        <w:bottom w:val="none" w:sz="0" w:space="0" w:color="auto"/>
        <w:right w:val="none" w:sz="0" w:space="0" w:color="auto"/>
      </w:divBdr>
    </w:div>
    <w:div w:id="1854762826">
      <w:bodyDiv w:val="1"/>
      <w:marLeft w:val="0"/>
      <w:marRight w:val="0"/>
      <w:marTop w:val="0"/>
      <w:marBottom w:val="0"/>
      <w:divBdr>
        <w:top w:val="none" w:sz="0" w:space="0" w:color="auto"/>
        <w:left w:val="none" w:sz="0" w:space="0" w:color="auto"/>
        <w:bottom w:val="none" w:sz="0" w:space="0" w:color="auto"/>
        <w:right w:val="none" w:sz="0" w:space="0" w:color="auto"/>
      </w:divBdr>
    </w:div>
    <w:div w:id="1856073177">
      <w:bodyDiv w:val="1"/>
      <w:marLeft w:val="0"/>
      <w:marRight w:val="0"/>
      <w:marTop w:val="0"/>
      <w:marBottom w:val="0"/>
      <w:divBdr>
        <w:top w:val="none" w:sz="0" w:space="0" w:color="auto"/>
        <w:left w:val="none" w:sz="0" w:space="0" w:color="auto"/>
        <w:bottom w:val="none" w:sz="0" w:space="0" w:color="auto"/>
        <w:right w:val="none" w:sz="0" w:space="0" w:color="auto"/>
      </w:divBdr>
    </w:div>
    <w:div w:id="1858274794">
      <w:bodyDiv w:val="1"/>
      <w:marLeft w:val="0"/>
      <w:marRight w:val="0"/>
      <w:marTop w:val="0"/>
      <w:marBottom w:val="0"/>
      <w:divBdr>
        <w:top w:val="none" w:sz="0" w:space="0" w:color="auto"/>
        <w:left w:val="none" w:sz="0" w:space="0" w:color="auto"/>
        <w:bottom w:val="none" w:sz="0" w:space="0" w:color="auto"/>
        <w:right w:val="none" w:sz="0" w:space="0" w:color="auto"/>
      </w:divBdr>
    </w:div>
    <w:div w:id="1858808515">
      <w:bodyDiv w:val="1"/>
      <w:marLeft w:val="0"/>
      <w:marRight w:val="0"/>
      <w:marTop w:val="0"/>
      <w:marBottom w:val="0"/>
      <w:divBdr>
        <w:top w:val="none" w:sz="0" w:space="0" w:color="auto"/>
        <w:left w:val="none" w:sz="0" w:space="0" w:color="auto"/>
        <w:bottom w:val="none" w:sz="0" w:space="0" w:color="auto"/>
        <w:right w:val="none" w:sz="0" w:space="0" w:color="auto"/>
      </w:divBdr>
    </w:div>
    <w:div w:id="1863005810">
      <w:bodyDiv w:val="1"/>
      <w:marLeft w:val="0"/>
      <w:marRight w:val="0"/>
      <w:marTop w:val="0"/>
      <w:marBottom w:val="0"/>
      <w:divBdr>
        <w:top w:val="none" w:sz="0" w:space="0" w:color="auto"/>
        <w:left w:val="none" w:sz="0" w:space="0" w:color="auto"/>
        <w:bottom w:val="none" w:sz="0" w:space="0" w:color="auto"/>
        <w:right w:val="none" w:sz="0" w:space="0" w:color="auto"/>
      </w:divBdr>
    </w:div>
    <w:div w:id="1863740316">
      <w:bodyDiv w:val="1"/>
      <w:marLeft w:val="0"/>
      <w:marRight w:val="0"/>
      <w:marTop w:val="0"/>
      <w:marBottom w:val="0"/>
      <w:divBdr>
        <w:top w:val="none" w:sz="0" w:space="0" w:color="auto"/>
        <w:left w:val="none" w:sz="0" w:space="0" w:color="auto"/>
        <w:bottom w:val="none" w:sz="0" w:space="0" w:color="auto"/>
        <w:right w:val="none" w:sz="0" w:space="0" w:color="auto"/>
      </w:divBdr>
    </w:div>
    <w:div w:id="1868134813">
      <w:bodyDiv w:val="1"/>
      <w:marLeft w:val="0"/>
      <w:marRight w:val="0"/>
      <w:marTop w:val="0"/>
      <w:marBottom w:val="0"/>
      <w:divBdr>
        <w:top w:val="none" w:sz="0" w:space="0" w:color="auto"/>
        <w:left w:val="none" w:sz="0" w:space="0" w:color="auto"/>
        <w:bottom w:val="none" w:sz="0" w:space="0" w:color="auto"/>
        <w:right w:val="none" w:sz="0" w:space="0" w:color="auto"/>
      </w:divBdr>
    </w:div>
    <w:div w:id="1869417019">
      <w:bodyDiv w:val="1"/>
      <w:marLeft w:val="0"/>
      <w:marRight w:val="0"/>
      <w:marTop w:val="0"/>
      <w:marBottom w:val="0"/>
      <w:divBdr>
        <w:top w:val="none" w:sz="0" w:space="0" w:color="auto"/>
        <w:left w:val="none" w:sz="0" w:space="0" w:color="auto"/>
        <w:bottom w:val="none" w:sz="0" w:space="0" w:color="auto"/>
        <w:right w:val="none" w:sz="0" w:space="0" w:color="auto"/>
      </w:divBdr>
    </w:div>
    <w:div w:id="1869565102">
      <w:bodyDiv w:val="1"/>
      <w:marLeft w:val="0"/>
      <w:marRight w:val="0"/>
      <w:marTop w:val="0"/>
      <w:marBottom w:val="0"/>
      <w:divBdr>
        <w:top w:val="none" w:sz="0" w:space="0" w:color="auto"/>
        <w:left w:val="none" w:sz="0" w:space="0" w:color="auto"/>
        <w:bottom w:val="none" w:sz="0" w:space="0" w:color="auto"/>
        <w:right w:val="none" w:sz="0" w:space="0" w:color="auto"/>
      </w:divBdr>
    </w:div>
    <w:div w:id="1871870459">
      <w:bodyDiv w:val="1"/>
      <w:marLeft w:val="0"/>
      <w:marRight w:val="0"/>
      <w:marTop w:val="0"/>
      <w:marBottom w:val="0"/>
      <w:divBdr>
        <w:top w:val="none" w:sz="0" w:space="0" w:color="auto"/>
        <w:left w:val="none" w:sz="0" w:space="0" w:color="auto"/>
        <w:bottom w:val="none" w:sz="0" w:space="0" w:color="auto"/>
        <w:right w:val="none" w:sz="0" w:space="0" w:color="auto"/>
      </w:divBdr>
    </w:div>
    <w:div w:id="1876693341">
      <w:bodyDiv w:val="1"/>
      <w:marLeft w:val="0"/>
      <w:marRight w:val="0"/>
      <w:marTop w:val="0"/>
      <w:marBottom w:val="0"/>
      <w:divBdr>
        <w:top w:val="none" w:sz="0" w:space="0" w:color="auto"/>
        <w:left w:val="none" w:sz="0" w:space="0" w:color="auto"/>
        <w:bottom w:val="none" w:sz="0" w:space="0" w:color="auto"/>
        <w:right w:val="none" w:sz="0" w:space="0" w:color="auto"/>
      </w:divBdr>
    </w:div>
    <w:div w:id="1877159558">
      <w:bodyDiv w:val="1"/>
      <w:marLeft w:val="0"/>
      <w:marRight w:val="0"/>
      <w:marTop w:val="0"/>
      <w:marBottom w:val="0"/>
      <w:divBdr>
        <w:top w:val="none" w:sz="0" w:space="0" w:color="auto"/>
        <w:left w:val="none" w:sz="0" w:space="0" w:color="auto"/>
        <w:bottom w:val="none" w:sz="0" w:space="0" w:color="auto"/>
        <w:right w:val="none" w:sz="0" w:space="0" w:color="auto"/>
      </w:divBdr>
    </w:div>
    <w:div w:id="1877228542">
      <w:bodyDiv w:val="1"/>
      <w:marLeft w:val="0"/>
      <w:marRight w:val="0"/>
      <w:marTop w:val="0"/>
      <w:marBottom w:val="0"/>
      <w:divBdr>
        <w:top w:val="none" w:sz="0" w:space="0" w:color="auto"/>
        <w:left w:val="none" w:sz="0" w:space="0" w:color="auto"/>
        <w:bottom w:val="none" w:sz="0" w:space="0" w:color="auto"/>
        <w:right w:val="none" w:sz="0" w:space="0" w:color="auto"/>
      </w:divBdr>
    </w:div>
    <w:div w:id="1877309723">
      <w:bodyDiv w:val="1"/>
      <w:marLeft w:val="0"/>
      <w:marRight w:val="0"/>
      <w:marTop w:val="0"/>
      <w:marBottom w:val="0"/>
      <w:divBdr>
        <w:top w:val="none" w:sz="0" w:space="0" w:color="auto"/>
        <w:left w:val="none" w:sz="0" w:space="0" w:color="auto"/>
        <w:bottom w:val="none" w:sz="0" w:space="0" w:color="auto"/>
        <w:right w:val="none" w:sz="0" w:space="0" w:color="auto"/>
      </w:divBdr>
    </w:div>
    <w:div w:id="1879277390">
      <w:bodyDiv w:val="1"/>
      <w:marLeft w:val="0"/>
      <w:marRight w:val="0"/>
      <w:marTop w:val="0"/>
      <w:marBottom w:val="0"/>
      <w:divBdr>
        <w:top w:val="none" w:sz="0" w:space="0" w:color="auto"/>
        <w:left w:val="none" w:sz="0" w:space="0" w:color="auto"/>
        <w:bottom w:val="none" w:sz="0" w:space="0" w:color="auto"/>
        <w:right w:val="none" w:sz="0" w:space="0" w:color="auto"/>
      </w:divBdr>
    </w:div>
    <w:div w:id="1882597412">
      <w:bodyDiv w:val="1"/>
      <w:marLeft w:val="0"/>
      <w:marRight w:val="0"/>
      <w:marTop w:val="0"/>
      <w:marBottom w:val="0"/>
      <w:divBdr>
        <w:top w:val="none" w:sz="0" w:space="0" w:color="auto"/>
        <w:left w:val="none" w:sz="0" w:space="0" w:color="auto"/>
        <w:bottom w:val="none" w:sz="0" w:space="0" w:color="auto"/>
        <w:right w:val="none" w:sz="0" w:space="0" w:color="auto"/>
      </w:divBdr>
    </w:div>
    <w:div w:id="1883441161">
      <w:bodyDiv w:val="1"/>
      <w:marLeft w:val="0"/>
      <w:marRight w:val="0"/>
      <w:marTop w:val="0"/>
      <w:marBottom w:val="0"/>
      <w:divBdr>
        <w:top w:val="none" w:sz="0" w:space="0" w:color="auto"/>
        <w:left w:val="none" w:sz="0" w:space="0" w:color="auto"/>
        <w:bottom w:val="none" w:sz="0" w:space="0" w:color="auto"/>
        <w:right w:val="none" w:sz="0" w:space="0" w:color="auto"/>
      </w:divBdr>
    </w:div>
    <w:div w:id="1895236819">
      <w:bodyDiv w:val="1"/>
      <w:marLeft w:val="0"/>
      <w:marRight w:val="0"/>
      <w:marTop w:val="0"/>
      <w:marBottom w:val="0"/>
      <w:divBdr>
        <w:top w:val="none" w:sz="0" w:space="0" w:color="auto"/>
        <w:left w:val="none" w:sz="0" w:space="0" w:color="auto"/>
        <w:bottom w:val="none" w:sz="0" w:space="0" w:color="auto"/>
        <w:right w:val="none" w:sz="0" w:space="0" w:color="auto"/>
      </w:divBdr>
    </w:div>
    <w:div w:id="1896965497">
      <w:bodyDiv w:val="1"/>
      <w:marLeft w:val="0"/>
      <w:marRight w:val="0"/>
      <w:marTop w:val="0"/>
      <w:marBottom w:val="0"/>
      <w:divBdr>
        <w:top w:val="none" w:sz="0" w:space="0" w:color="auto"/>
        <w:left w:val="none" w:sz="0" w:space="0" w:color="auto"/>
        <w:bottom w:val="none" w:sz="0" w:space="0" w:color="auto"/>
        <w:right w:val="none" w:sz="0" w:space="0" w:color="auto"/>
      </w:divBdr>
    </w:div>
    <w:div w:id="1897935157">
      <w:bodyDiv w:val="1"/>
      <w:marLeft w:val="0"/>
      <w:marRight w:val="0"/>
      <w:marTop w:val="0"/>
      <w:marBottom w:val="0"/>
      <w:divBdr>
        <w:top w:val="none" w:sz="0" w:space="0" w:color="auto"/>
        <w:left w:val="none" w:sz="0" w:space="0" w:color="auto"/>
        <w:bottom w:val="none" w:sz="0" w:space="0" w:color="auto"/>
        <w:right w:val="none" w:sz="0" w:space="0" w:color="auto"/>
      </w:divBdr>
    </w:div>
    <w:div w:id="1899046431">
      <w:bodyDiv w:val="1"/>
      <w:marLeft w:val="0"/>
      <w:marRight w:val="0"/>
      <w:marTop w:val="0"/>
      <w:marBottom w:val="0"/>
      <w:divBdr>
        <w:top w:val="none" w:sz="0" w:space="0" w:color="auto"/>
        <w:left w:val="none" w:sz="0" w:space="0" w:color="auto"/>
        <w:bottom w:val="none" w:sz="0" w:space="0" w:color="auto"/>
        <w:right w:val="none" w:sz="0" w:space="0" w:color="auto"/>
      </w:divBdr>
    </w:div>
    <w:div w:id="1902523408">
      <w:bodyDiv w:val="1"/>
      <w:marLeft w:val="0"/>
      <w:marRight w:val="0"/>
      <w:marTop w:val="0"/>
      <w:marBottom w:val="0"/>
      <w:divBdr>
        <w:top w:val="none" w:sz="0" w:space="0" w:color="auto"/>
        <w:left w:val="none" w:sz="0" w:space="0" w:color="auto"/>
        <w:bottom w:val="none" w:sz="0" w:space="0" w:color="auto"/>
        <w:right w:val="none" w:sz="0" w:space="0" w:color="auto"/>
      </w:divBdr>
    </w:div>
    <w:div w:id="1905750088">
      <w:bodyDiv w:val="1"/>
      <w:marLeft w:val="0"/>
      <w:marRight w:val="0"/>
      <w:marTop w:val="0"/>
      <w:marBottom w:val="0"/>
      <w:divBdr>
        <w:top w:val="none" w:sz="0" w:space="0" w:color="auto"/>
        <w:left w:val="none" w:sz="0" w:space="0" w:color="auto"/>
        <w:bottom w:val="none" w:sz="0" w:space="0" w:color="auto"/>
        <w:right w:val="none" w:sz="0" w:space="0" w:color="auto"/>
      </w:divBdr>
    </w:div>
    <w:div w:id="1908223715">
      <w:bodyDiv w:val="1"/>
      <w:marLeft w:val="0"/>
      <w:marRight w:val="0"/>
      <w:marTop w:val="0"/>
      <w:marBottom w:val="0"/>
      <w:divBdr>
        <w:top w:val="none" w:sz="0" w:space="0" w:color="auto"/>
        <w:left w:val="none" w:sz="0" w:space="0" w:color="auto"/>
        <w:bottom w:val="none" w:sz="0" w:space="0" w:color="auto"/>
        <w:right w:val="none" w:sz="0" w:space="0" w:color="auto"/>
      </w:divBdr>
    </w:div>
    <w:div w:id="1908495571">
      <w:bodyDiv w:val="1"/>
      <w:marLeft w:val="0"/>
      <w:marRight w:val="0"/>
      <w:marTop w:val="0"/>
      <w:marBottom w:val="0"/>
      <w:divBdr>
        <w:top w:val="none" w:sz="0" w:space="0" w:color="auto"/>
        <w:left w:val="none" w:sz="0" w:space="0" w:color="auto"/>
        <w:bottom w:val="none" w:sz="0" w:space="0" w:color="auto"/>
        <w:right w:val="none" w:sz="0" w:space="0" w:color="auto"/>
      </w:divBdr>
    </w:div>
    <w:div w:id="1909263872">
      <w:bodyDiv w:val="1"/>
      <w:marLeft w:val="0"/>
      <w:marRight w:val="0"/>
      <w:marTop w:val="0"/>
      <w:marBottom w:val="0"/>
      <w:divBdr>
        <w:top w:val="none" w:sz="0" w:space="0" w:color="auto"/>
        <w:left w:val="none" w:sz="0" w:space="0" w:color="auto"/>
        <w:bottom w:val="none" w:sz="0" w:space="0" w:color="auto"/>
        <w:right w:val="none" w:sz="0" w:space="0" w:color="auto"/>
      </w:divBdr>
    </w:div>
    <w:div w:id="1909993396">
      <w:bodyDiv w:val="1"/>
      <w:marLeft w:val="0"/>
      <w:marRight w:val="0"/>
      <w:marTop w:val="0"/>
      <w:marBottom w:val="0"/>
      <w:divBdr>
        <w:top w:val="none" w:sz="0" w:space="0" w:color="auto"/>
        <w:left w:val="none" w:sz="0" w:space="0" w:color="auto"/>
        <w:bottom w:val="none" w:sz="0" w:space="0" w:color="auto"/>
        <w:right w:val="none" w:sz="0" w:space="0" w:color="auto"/>
      </w:divBdr>
    </w:div>
    <w:div w:id="1910920727">
      <w:bodyDiv w:val="1"/>
      <w:marLeft w:val="0"/>
      <w:marRight w:val="0"/>
      <w:marTop w:val="0"/>
      <w:marBottom w:val="0"/>
      <w:divBdr>
        <w:top w:val="none" w:sz="0" w:space="0" w:color="auto"/>
        <w:left w:val="none" w:sz="0" w:space="0" w:color="auto"/>
        <w:bottom w:val="none" w:sz="0" w:space="0" w:color="auto"/>
        <w:right w:val="none" w:sz="0" w:space="0" w:color="auto"/>
      </w:divBdr>
    </w:div>
    <w:div w:id="1914468637">
      <w:bodyDiv w:val="1"/>
      <w:marLeft w:val="0"/>
      <w:marRight w:val="0"/>
      <w:marTop w:val="0"/>
      <w:marBottom w:val="0"/>
      <w:divBdr>
        <w:top w:val="none" w:sz="0" w:space="0" w:color="auto"/>
        <w:left w:val="none" w:sz="0" w:space="0" w:color="auto"/>
        <w:bottom w:val="none" w:sz="0" w:space="0" w:color="auto"/>
        <w:right w:val="none" w:sz="0" w:space="0" w:color="auto"/>
      </w:divBdr>
    </w:div>
    <w:div w:id="1914848808">
      <w:bodyDiv w:val="1"/>
      <w:marLeft w:val="0"/>
      <w:marRight w:val="0"/>
      <w:marTop w:val="0"/>
      <w:marBottom w:val="0"/>
      <w:divBdr>
        <w:top w:val="none" w:sz="0" w:space="0" w:color="auto"/>
        <w:left w:val="none" w:sz="0" w:space="0" w:color="auto"/>
        <w:bottom w:val="none" w:sz="0" w:space="0" w:color="auto"/>
        <w:right w:val="none" w:sz="0" w:space="0" w:color="auto"/>
      </w:divBdr>
    </w:div>
    <w:div w:id="1915620475">
      <w:bodyDiv w:val="1"/>
      <w:marLeft w:val="0"/>
      <w:marRight w:val="0"/>
      <w:marTop w:val="0"/>
      <w:marBottom w:val="0"/>
      <w:divBdr>
        <w:top w:val="none" w:sz="0" w:space="0" w:color="auto"/>
        <w:left w:val="none" w:sz="0" w:space="0" w:color="auto"/>
        <w:bottom w:val="none" w:sz="0" w:space="0" w:color="auto"/>
        <w:right w:val="none" w:sz="0" w:space="0" w:color="auto"/>
      </w:divBdr>
    </w:div>
    <w:div w:id="1918435703">
      <w:bodyDiv w:val="1"/>
      <w:marLeft w:val="0"/>
      <w:marRight w:val="0"/>
      <w:marTop w:val="0"/>
      <w:marBottom w:val="0"/>
      <w:divBdr>
        <w:top w:val="none" w:sz="0" w:space="0" w:color="auto"/>
        <w:left w:val="none" w:sz="0" w:space="0" w:color="auto"/>
        <w:bottom w:val="none" w:sz="0" w:space="0" w:color="auto"/>
        <w:right w:val="none" w:sz="0" w:space="0" w:color="auto"/>
      </w:divBdr>
    </w:div>
    <w:div w:id="1927302123">
      <w:bodyDiv w:val="1"/>
      <w:marLeft w:val="0"/>
      <w:marRight w:val="0"/>
      <w:marTop w:val="0"/>
      <w:marBottom w:val="0"/>
      <w:divBdr>
        <w:top w:val="none" w:sz="0" w:space="0" w:color="auto"/>
        <w:left w:val="none" w:sz="0" w:space="0" w:color="auto"/>
        <w:bottom w:val="none" w:sz="0" w:space="0" w:color="auto"/>
        <w:right w:val="none" w:sz="0" w:space="0" w:color="auto"/>
      </w:divBdr>
    </w:div>
    <w:div w:id="1928071020">
      <w:bodyDiv w:val="1"/>
      <w:marLeft w:val="0"/>
      <w:marRight w:val="0"/>
      <w:marTop w:val="0"/>
      <w:marBottom w:val="0"/>
      <w:divBdr>
        <w:top w:val="none" w:sz="0" w:space="0" w:color="auto"/>
        <w:left w:val="none" w:sz="0" w:space="0" w:color="auto"/>
        <w:bottom w:val="none" w:sz="0" w:space="0" w:color="auto"/>
        <w:right w:val="none" w:sz="0" w:space="0" w:color="auto"/>
      </w:divBdr>
    </w:div>
    <w:div w:id="1929388722">
      <w:bodyDiv w:val="1"/>
      <w:marLeft w:val="0"/>
      <w:marRight w:val="0"/>
      <w:marTop w:val="0"/>
      <w:marBottom w:val="0"/>
      <w:divBdr>
        <w:top w:val="none" w:sz="0" w:space="0" w:color="auto"/>
        <w:left w:val="none" w:sz="0" w:space="0" w:color="auto"/>
        <w:bottom w:val="none" w:sz="0" w:space="0" w:color="auto"/>
        <w:right w:val="none" w:sz="0" w:space="0" w:color="auto"/>
      </w:divBdr>
    </w:div>
    <w:div w:id="1931309784">
      <w:bodyDiv w:val="1"/>
      <w:marLeft w:val="0"/>
      <w:marRight w:val="0"/>
      <w:marTop w:val="0"/>
      <w:marBottom w:val="0"/>
      <w:divBdr>
        <w:top w:val="none" w:sz="0" w:space="0" w:color="auto"/>
        <w:left w:val="none" w:sz="0" w:space="0" w:color="auto"/>
        <w:bottom w:val="none" w:sz="0" w:space="0" w:color="auto"/>
        <w:right w:val="none" w:sz="0" w:space="0" w:color="auto"/>
      </w:divBdr>
    </w:div>
    <w:div w:id="1932858871">
      <w:bodyDiv w:val="1"/>
      <w:marLeft w:val="0"/>
      <w:marRight w:val="0"/>
      <w:marTop w:val="0"/>
      <w:marBottom w:val="0"/>
      <w:divBdr>
        <w:top w:val="none" w:sz="0" w:space="0" w:color="auto"/>
        <w:left w:val="none" w:sz="0" w:space="0" w:color="auto"/>
        <w:bottom w:val="none" w:sz="0" w:space="0" w:color="auto"/>
        <w:right w:val="none" w:sz="0" w:space="0" w:color="auto"/>
      </w:divBdr>
    </w:div>
    <w:div w:id="1937979363">
      <w:bodyDiv w:val="1"/>
      <w:marLeft w:val="0"/>
      <w:marRight w:val="0"/>
      <w:marTop w:val="0"/>
      <w:marBottom w:val="0"/>
      <w:divBdr>
        <w:top w:val="none" w:sz="0" w:space="0" w:color="auto"/>
        <w:left w:val="none" w:sz="0" w:space="0" w:color="auto"/>
        <w:bottom w:val="none" w:sz="0" w:space="0" w:color="auto"/>
        <w:right w:val="none" w:sz="0" w:space="0" w:color="auto"/>
      </w:divBdr>
    </w:div>
    <w:div w:id="1938171692">
      <w:bodyDiv w:val="1"/>
      <w:marLeft w:val="0"/>
      <w:marRight w:val="0"/>
      <w:marTop w:val="0"/>
      <w:marBottom w:val="0"/>
      <w:divBdr>
        <w:top w:val="none" w:sz="0" w:space="0" w:color="auto"/>
        <w:left w:val="none" w:sz="0" w:space="0" w:color="auto"/>
        <w:bottom w:val="none" w:sz="0" w:space="0" w:color="auto"/>
        <w:right w:val="none" w:sz="0" w:space="0" w:color="auto"/>
      </w:divBdr>
    </w:div>
    <w:div w:id="1944263860">
      <w:bodyDiv w:val="1"/>
      <w:marLeft w:val="0"/>
      <w:marRight w:val="0"/>
      <w:marTop w:val="0"/>
      <w:marBottom w:val="0"/>
      <w:divBdr>
        <w:top w:val="none" w:sz="0" w:space="0" w:color="auto"/>
        <w:left w:val="none" w:sz="0" w:space="0" w:color="auto"/>
        <w:bottom w:val="none" w:sz="0" w:space="0" w:color="auto"/>
        <w:right w:val="none" w:sz="0" w:space="0" w:color="auto"/>
      </w:divBdr>
    </w:div>
    <w:div w:id="1949391024">
      <w:bodyDiv w:val="1"/>
      <w:marLeft w:val="0"/>
      <w:marRight w:val="0"/>
      <w:marTop w:val="0"/>
      <w:marBottom w:val="0"/>
      <w:divBdr>
        <w:top w:val="none" w:sz="0" w:space="0" w:color="auto"/>
        <w:left w:val="none" w:sz="0" w:space="0" w:color="auto"/>
        <w:bottom w:val="none" w:sz="0" w:space="0" w:color="auto"/>
        <w:right w:val="none" w:sz="0" w:space="0" w:color="auto"/>
      </w:divBdr>
    </w:div>
    <w:div w:id="1950819899">
      <w:bodyDiv w:val="1"/>
      <w:marLeft w:val="0"/>
      <w:marRight w:val="0"/>
      <w:marTop w:val="0"/>
      <w:marBottom w:val="0"/>
      <w:divBdr>
        <w:top w:val="none" w:sz="0" w:space="0" w:color="auto"/>
        <w:left w:val="none" w:sz="0" w:space="0" w:color="auto"/>
        <w:bottom w:val="none" w:sz="0" w:space="0" w:color="auto"/>
        <w:right w:val="none" w:sz="0" w:space="0" w:color="auto"/>
      </w:divBdr>
    </w:div>
    <w:div w:id="1953513180">
      <w:bodyDiv w:val="1"/>
      <w:marLeft w:val="0"/>
      <w:marRight w:val="0"/>
      <w:marTop w:val="0"/>
      <w:marBottom w:val="0"/>
      <w:divBdr>
        <w:top w:val="none" w:sz="0" w:space="0" w:color="auto"/>
        <w:left w:val="none" w:sz="0" w:space="0" w:color="auto"/>
        <w:bottom w:val="none" w:sz="0" w:space="0" w:color="auto"/>
        <w:right w:val="none" w:sz="0" w:space="0" w:color="auto"/>
      </w:divBdr>
    </w:div>
    <w:div w:id="1955166562">
      <w:bodyDiv w:val="1"/>
      <w:marLeft w:val="0"/>
      <w:marRight w:val="0"/>
      <w:marTop w:val="0"/>
      <w:marBottom w:val="0"/>
      <w:divBdr>
        <w:top w:val="none" w:sz="0" w:space="0" w:color="auto"/>
        <w:left w:val="none" w:sz="0" w:space="0" w:color="auto"/>
        <w:bottom w:val="none" w:sz="0" w:space="0" w:color="auto"/>
        <w:right w:val="none" w:sz="0" w:space="0" w:color="auto"/>
      </w:divBdr>
    </w:div>
    <w:div w:id="1956906532">
      <w:bodyDiv w:val="1"/>
      <w:marLeft w:val="0"/>
      <w:marRight w:val="0"/>
      <w:marTop w:val="0"/>
      <w:marBottom w:val="0"/>
      <w:divBdr>
        <w:top w:val="none" w:sz="0" w:space="0" w:color="auto"/>
        <w:left w:val="none" w:sz="0" w:space="0" w:color="auto"/>
        <w:bottom w:val="none" w:sz="0" w:space="0" w:color="auto"/>
        <w:right w:val="none" w:sz="0" w:space="0" w:color="auto"/>
      </w:divBdr>
    </w:div>
    <w:div w:id="1958557104">
      <w:bodyDiv w:val="1"/>
      <w:marLeft w:val="0"/>
      <w:marRight w:val="0"/>
      <w:marTop w:val="0"/>
      <w:marBottom w:val="0"/>
      <w:divBdr>
        <w:top w:val="none" w:sz="0" w:space="0" w:color="auto"/>
        <w:left w:val="none" w:sz="0" w:space="0" w:color="auto"/>
        <w:bottom w:val="none" w:sz="0" w:space="0" w:color="auto"/>
        <w:right w:val="none" w:sz="0" w:space="0" w:color="auto"/>
      </w:divBdr>
    </w:div>
    <w:div w:id="1964001946">
      <w:bodyDiv w:val="1"/>
      <w:marLeft w:val="0"/>
      <w:marRight w:val="0"/>
      <w:marTop w:val="0"/>
      <w:marBottom w:val="0"/>
      <w:divBdr>
        <w:top w:val="none" w:sz="0" w:space="0" w:color="auto"/>
        <w:left w:val="none" w:sz="0" w:space="0" w:color="auto"/>
        <w:bottom w:val="none" w:sz="0" w:space="0" w:color="auto"/>
        <w:right w:val="none" w:sz="0" w:space="0" w:color="auto"/>
      </w:divBdr>
    </w:div>
    <w:div w:id="1967470711">
      <w:bodyDiv w:val="1"/>
      <w:marLeft w:val="0"/>
      <w:marRight w:val="0"/>
      <w:marTop w:val="0"/>
      <w:marBottom w:val="0"/>
      <w:divBdr>
        <w:top w:val="none" w:sz="0" w:space="0" w:color="auto"/>
        <w:left w:val="none" w:sz="0" w:space="0" w:color="auto"/>
        <w:bottom w:val="none" w:sz="0" w:space="0" w:color="auto"/>
        <w:right w:val="none" w:sz="0" w:space="0" w:color="auto"/>
      </w:divBdr>
    </w:div>
    <w:div w:id="1968199995">
      <w:bodyDiv w:val="1"/>
      <w:marLeft w:val="0"/>
      <w:marRight w:val="0"/>
      <w:marTop w:val="0"/>
      <w:marBottom w:val="0"/>
      <w:divBdr>
        <w:top w:val="none" w:sz="0" w:space="0" w:color="auto"/>
        <w:left w:val="none" w:sz="0" w:space="0" w:color="auto"/>
        <w:bottom w:val="none" w:sz="0" w:space="0" w:color="auto"/>
        <w:right w:val="none" w:sz="0" w:space="0" w:color="auto"/>
      </w:divBdr>
    </w:div>
    <w:div w:id="1968702010">
      <w:bodyDiv w:val="1"/>
      <w:marLeft w:val="0"/>
      <w:marRight w:val="0"/>
      <w:marTop w:val="0"/>
      <w:marBottom w:val="0"/>
      <w:divBdr>
        <w:top w:val="none" w:sz="0" w:space="0" w:color="auto"/>
        <w:left w:val="none" w:sz="0" w:space="0" w:color="auto"/>
        <w:bottom w:val="none" w:sz="0" w:space="0" w:color="auto"/>
        <w:right w:val="none" w:sz="0" w:space="0" w:color="auto"/>
      </w:divBdr>
    </w:div>
    <w:div w:id="1971545943">
      <w:bodyDiv w:val="1"/>
      <w:marLeft w:val="0"/>
      <w:marRight w:val="0"/>
      <w:marTop w:val="0"/>
      <w:marBottom w:val="0"/>
      <w:divBdr>
        <w:top w:val="none" w:sz="0" w:space="0" w:color="auto"/>
        <w:left w:val="none" w:sz="0" w:space="0" w:color="auto"/>
        <w:bottom w:val="none" w:sz="0" w:space="0" w:color="auto"/>
        <w:right w:val="none" w:sz="0" w:space="0" w:color="auto"/>
      </w:divBdr>
    </w:div>
    <w:div w:id="1973976758">
      <w:bodyDiv w:val="1"/>
      <w:marLeft w:val="0"/>
      <w:marRight w:val="0"/>
      <w:marTop w:val="0"/>
      <w:marBottom w:val="0"/>
      <w:divBdr>
        <w:top w:val="none" w:sz="0" w:space="0" w:color="auto"/>
        <w:left w:val="none" w:sz="0" w:space="0" w:color="auto"/>
        <w:bottom w:val="none" w:sz="0" w:space="0" w:color="auto"/>
        <w:right w:val="none" w:sz="0" w:space="0" w:color="auto"/>
      </w:divBdr>
    </w:div>
    <w:div w:id="1977252315">
      <w:bodyDiv w:val="1"/>
      <w:marLeft w:val="0"/>
      <w:marRight w:val="0"/>
      <w:marTop w:val="0"/>
      <w:marBottom w:val="0"/>
      <w:divBdr>
        <w:top w:val="none" w:sz="0" w:space="0" w:color="auto"/>
        <w:left w:val="none" w:sz="0" w:space="0" w:color="auto"/>
        <w:bottom w:val="none" w:sz="0" w:space="0" w:color="auto"/>
        <w:right w:val="none" w:sz="0" w:space="0" w:color="auto"/>
      </w:divBdr>
    </w:div>
    <w:div w:id="1977878883">
      <w:bodyDiv w:val="1"/>
      <w:marLeft w:val="0"/>
      <w:marRight w:val="0"/>
      <w:marTop w:val="0"/>
      <w:marBottom w:val="0"/>
      <w:divBdr>
        <w:top w:val="none" w:sz="0" w:space="0" w:color="auto"/>
        <w:left w:val="none" w:sz="0" w:space="0" w:color="auto"/>
        <w:bottom w:val="none" w:sz="0" w:space="0" w:color="auto"/>
        <w:right w:val="none" w:sz="0" w:space="0" w:color="auto"/>
      </w:divBdr>
    </w:div>
    <w:div w:id="1978143618">
      <w:bodyDiv w:val="1"/>
      <w:marLeft w:val="0"/>
      <w:marRight w:val="0"/>
      <w:marTop w:val="0"/>
      <w:marBottom w:val="0"/>
      <w:divBdr>
        <w:top w:val="none" w:sz="0" w:space="0" w:color="auto"/>
        <w:left w:val="none" w:sz="0" w:space="0" w:color="auto"/>
        <w:bottom w:val="none" w:sz="0" w:space="0" w:color="auto"/>
        <w:right w:val="none" w:sz="0" w:space="0" w:color="auto"/>
      </w:divBdr>
    </w:div>
    <w:div w:id="1978413588">
      <w:bodyDiv w:val="1"/>
      <w:marLeft w:val="0"/>
      <w:marRight w:val="0"/>
      <w:marTop w:val="0"/>
      <w:marBottom w:val="0"/>
      <w:divBdr>
        <w:top w:val="none" w:sz="0" w:space="0" w:color="auto"/>
        <w:left w:val="none" w:sz="0" w:space="0" w:color="auto"/>
        <w:bottom w:val="none" w:sz="0" w:space="0" w:color="auto"/>
        <w:right w:val="none" w:sz="0" w:space="0" w:color="auto"/>
      </w:divBdr>
    </w:div>
    <w:div w:id="1979723639">
      <w:bodyDiv w:val="1"/>
      <w:marLeft w:val="0"/>
      <w:marRight w:val="0"/>
      <w:marTop w:val="0"/>
      <w:marBottom w:val="0"/>
      <w:divBdr>
        <w:top w:val="none" w:sz="0" w:space="0" w:color="auto"/>
        <w:left w:val="none" w:sz="0" w:space="0" w:color="auto"/>
        <w:bottom w:val="none" w:sz="0" w:space="0" w:color="auto"/>
        <w:right w:val="none" w:sz="0" w:space="0" w:color="auto"/>
      </w:divBdr>
    </w:div>
    <w:div w:id="1979995403">
      <w:bodyDiv w:val="1"/>
      <w:marLeft w:val="0"/>
      <w:marRight w:val="0"/>
      <w:marTop w:val="0"/>
      <w:marBottom w:val="0"/>
      <w:divBdr>
        <w:top w:val="none" w:sz="0" w:space="0" w:color="auto"/>
        <w:left w:val="none" w:sz="0" w:space="0" w:color="auto"/>
        <w:bottom w:val="none" w:sz="0" w:space="0" w:color="auto"/>
        <w:right w:val="none" w:sz="0" w:space="0" w:color="auto"/>
      </w:divBdr>
    </w:div>
    <w:div w:id="1981841195">
      <w:bodyDiv w:val="1"/>
      <w:marLeft w:val="0"/>
      <w:marRight w:val="0"/>
      <w:marTop w:val="0"/>
      <w:marBottom w:val="0"/>
      <w:divBdr>
        <w:top w:val="none" w:sz="0" w:space="0" w:color="auto"/>
        <w:left w:val="none" w:sz="0" w:space="0" w:color="auto"/>
        <w:bottom w:val="none" w:sz="0" w:space="0" w:color="auto"/>
        <w:right w:val="none" w:sz="0" w:space="0" w:color="auto"/>
      </w:divBdr>
    </w:div>
    <w:div w:id="1982996244">
      <w:bodyDiv w:val="1"/>
      <w:marLeft w:val="0"/>
      <w:marRight w:val="0"/>
      <w:marTop w:val="0"/>
      <w:marBottom w:val="0"/>
      <w:divBdr>
        <w:top w:val="none" w:sz="0" w:space="0" w:color="auto"/>
        <w:left w:val="none" w:sz="0" w:space="0" w:color="auto"/>
        <w:bottom w:val="none" w:sz="0" w:space="0" w:color="auto"/>
        <w:right w:val="none" w:sz="0" w:space="0" w:color="auto"/>
      </w:divBdr>
    </w:div>
    <w:div w:id="1987779513">
      <w:bodyDiv w:val="1"/>
      <w:marLeft w:val="0"/>
      <w:marRight w:val="0"/>
      <w:marTop w:val="0"/>
      <w:marBottom w:val="0"/>
      <w:divBdr>
        <w:top w:val="none" w:sz="0" w:space="0" w:color="auto"/>
        <w:left w:val="none" w:sz="0" w:space="0" w:color="auto"/>
        <w:bottom w:val="none" w:sz="0" w:space="0" w:color="auto"/>
        <w:right w:val="none" w:sz="0" w:space="0" w:color="auto"/>
      </w:divBdr>
    </w:div>
    <w:div w:id="1993871804">
      <w:bodyDiv w:val="1"/>
      <w:marLeft w:val="0"/>
      <w:marRight w:val="0"/>
      <w:marTop w:val="0"/>
      <w:marBottom w:val="0"/>
      <w:divBdr>
        <w:top w:val="none" w:sz="0" w:space="0" w:color="auto"/>
        <w:left w:val="none" w:sz="0" w:space="0" w:color="auto"/>
        <w:bottom w:val="none" w:sz="0" w:space="0" w:color="auto"/>
        <w:right w:val="none" w:sz="0" w:space="0" w:color="auto"/>
      </w:divBdr>
    </w:div>
    <w:div w:id="1994065427">
      <w:bodyDiv w:val="1"/>
      <w:marLeft w:val="0"/>
      <w:marRight w:val="0"/>
      <w:marTop w:val="0"/>
      <w:marBottom w:val="0"/>
      <w:divBdr>
        <w:top w:val="none" w:sz="0" w:space="0" w:color="auto"/>
        <w:left w:val="none" w:sz="0" w:space="0" w:color="auto"/>
        <w:bottom w:val="none" w:sz="0" w:space="0" w:color="auto"/>
        <w:right w:val="none" w:sz="0" w:space="0" w:color="auto"/>
      </w:divBdr>
    </w:div>
    <w:div w:id="1994522812">
      <w:bodyDiv w:val="1"/>
      <w:marLeft w:val="0"/>
      <w:marRight w:val="0"/>
      <w:marTop w:val="0"/>
      <w:marBottom w:val="0"/>
      <w:divBdr>
        <w:top w:val="none" w:sz="0" w:space="0" w:color="auto"/>
        <w:left w:val="none" w:sz="0" w:space="0" w:color="auto"/>
        <w:bottom w:val="none" w:sz="0" w:space="0" w:color="auto"/>
        <w:right w:val="none" w:sz="0" w:space="0" w:color="auto"/>
      </w:divBdr>
    </w:div>
    <w:div w:id="1996909108">
      <w:bodyDiv w:val="1"/>
      <w:marLeft w:val="0"/>
      <w:marRight w:val="0"/>
      <w:marTop w:val="0"/>
      <w:marBottom w:val="0"/>
      <w:divBdr>
        <w:top w:val="none" w:sz="0" w:space="0" w:color="auto"/>
        <w:left w:val="none" w:sz="0" w:space="0" w:color="auto"/>
        <w:bottom w:val="none" w:sz="0" w:space="0" w:color="auto"/>
        <w:right w:val="none" w:sz="0" w:space="0" w:color="auto"/>
      </w:divBdr>
    </w:div>
    <w:div w:id="1997369957">
      <w:bodyDiv w:val="1"/>
      <w:marLeft w:val="0"/>
      <w:marRight w:val="0"/>
      <w:marTop w:val="0"/>
      <w:marBottom w:val="0"/>
      <w:divBdr>
        <w:top w:val="none" w:sz="0" w:space="0" w:color="auto"/>
        <w:left w:val="none" w:sz="0" w:space="0" w:color="auto"/>
        <w:bottom w:val="none" w:sz="0" w:space="0" w:color="auto"/>
        <w:right w:val="none" w:sz="0" w:space="0" w:color="auto"/>
      </w:divBdr>
    </w:div>
    <w:div w:id="1998263638">
      <w:bodyDiv w:val="1"/>
      <w:marLeft w:val="0"/>
      <w:marRight w:val="0"/>
      <w:marTop w:val="0"/>
      <w:marBottom w:val="0"/>
      <w:divBdr>
        <w:top w:val="none" w:sz="0" w:space="0" w:color="auto"/>
        <w:left w:val="none" w:sz="0" w:space="0" w:color="auto"/>
        <w:bottom w:val="none" w:sz="0" w:space="0" w:color="auto"/>
        <w:right w:val="none" w:sz="0" w:space="0" w:color="auto"/>
      </w:divBdr>
    </w:div>
    <w:div w:id="2002804831">
      <w:bodyDiv w:val="1"/>
      <w:marLeft w:val="0"/>
      <w:marRight w:val="0"/>
      <w:marTop w:val="0"/>
      <w:marBottom w:val="0"/>
      <w:divBdr>
        <w:top w:val="none" w:sz="0" w:space="0" w:color="auto"/>
        <w:left w:val="none" w:sz="0" w:space="0" w:color="auto"/>
        <w:bottom w:val="none" w:sz="0" w:space="0" w:color="auto"/>
        <w:right w:val="none" w:sz="0" w:space="0" w:color="auto"/>
      </w:divBdr>
    </w:div>
    <w:div w:id="2010063550">
      <w:bodyDiv w:val="1"/>
      <w:marLeft w:val="0"/>
      <w:marRight w:val="0"/>
      <w:marTop w:val="0"/>
      <w:marBottom w:val="0"/>
      <w:divBdr>
        <w:top w:val="none" w:sz="0" w:space="0" w:color="auto"/>
        <w:left w:val="none" w:sz="0" w:space="0" w:color="auto"/>
        <w:bottom w:val="none" w:sz="0" w:space="0" w:color="auto"/>
        <w:right w:val="none" w:sz="0" w:space="0" w:color="auto"/>
      </w:divBdr>
    </w:div>
    <w:div w:id="2011133080">
      <w:bodyDiv w:val="1"/>
      <w:marLeft w:val="0"/>
      <w:marRight w:val="0"/>
      <w:marTop w:val="0"/>
      <w:marBottom w:val="0"/>
      <w:divBdr>
        <w:top w:val="none" w:sz="0" w:space="0" w:color="auto"/>
        <w:left w:val="none" w:sz="0" w:space="0" w:color="auto"/>
        <w:bottom w:val="none" w:sz="0" w:space="0" w:color="auto"/>
        <w:right w:val="none" w:sz="0" w:space="0" w:color="auto"/>
      </w:divBdr>
    </w:div>
    <w:div w:id="2011174200">
      <w:bodyDiv w:val="1"/>
      <w:marLeft w:val="0"/>
      <w:marRight w:val="0"/>
      <w:marTop w:val="0"/>
      <w:marBottom w:val="0"/>
      <w:divBdr>
        <w:top w:val="none" w:sz="0" w:space="0" w:color="auto"/>
        <w:left w:val="none" w:sz="0" w:space="0" w:color="auto"/>
        <w:bottom w:val="none" w:sz="0" w:space="0" w:color="auto"/>
        <w:right w:val="none" w:sz="0" w:space="0" w:color="auto"/>
      </w:divBdr>
    </w:div>
    <w:div w:id="2011330219">
      <w:bodyDiv w:val="1"/>
      <w:marLeft w:val="0"/>
      <w:marRight w:val="0"/>
      <w:marTop w:val="0"/>
      <w:marBottom w:val="0"/>
      <w:divBdr>
        <w:top w:val="none" w:sz="0" w:space="0" w:color="auto"/>
        <w:left w:val="none" w:sz="0" w:space="0" w:color="auto"/>
        <w:bottom w:val="none" w:sz="0" w:space="0" w:color="auto"/>
        <w:right w:val="none" w:sz="0" w:space="0" w:color="auto"/>
      </w:divBdr>
    </w:div>
    <w:div w:id="2023775634">
      <w:bodyDiv w:val="1"/>
      <w:marLeft w:val="0"/>
      <w:marRight w:val="0"/>
      <w:marTop w:val="0"/>
      <w:marBottom w:val="0"/>
      <w:divBdr>
        <w:top w:val="none" w:sz="0" w:space="0" w:color="auto"/>
        <w:left w:val="none" w:sz="0" w:space="0" w:color="auto"/>
        <w:bottom w:val="none" w:sz="0" w:space="0" w:color="auto"/>
        <w:right w:val="none" w:sz="0" w:space="0" w:color="auto"/>
      </w:divBdr>
    </w:div>
    <w:div w:id="2026713578">
      <w:bodyDiv w:val="1"/>
      <w:marLeft w:val="0"/>
      <w:marRight w:val="0"/>
      <w:marTop w:val="0"/>
      <w:marBottom w:val="0"/>
      <w:divBdr>
        <w:top w:val="none" w:sz="0" w:space="0" w:color="auto"/>
        <w:left w:val="none" w:sz="0" w:space="0" w:color="auto"/>
        <w:bottom w:val="none" w:sz="0" w:space="0" w:color="auto"/>
        <w:right w:val="none" w:sz="0" w:space="0" w:color="auto"/>
      </w:divBdr>
    </w:div>
    <w:div w:id="2027247712">
      <w:bodyDiv w:val="1"/>
      <w:marLeft w:val="0"/>
      <w:marRight w:val="0"/>
      <w:marTop w:val="0"/>
      <w:marBottom w:val="0"/>
      <w:divBdr>
        <w:top w:val="none" w:sz="0" w:space="0" w:color="auto"/>
        <w:left w:val="none" w:sz="0" w:space="0" w:color="auto"/>
        <w:bottom w:val="none" w:sz="0" w:space="0" w:color="auto"/>
        <w:right w:val="none" w:sz="0" w:space="0" w:color="auto"/>
      </w:divBdr>
    </w:div>
    <w:div w:id="2029943571">
      <w:bodyDiv w:val="1"/>
      <w:marLeft w:val="0"/>
      <w:marRight w:val="0"/>
      <w:marTop w:val="0"/>
      <w:marBottom w:val="0"/>
      <w:divBdr>
        <w:top w:val="none" w:sz="0" w:space="0" w:color="auto"/>
        <w:left w:val="none" w:sz="0" w:space="0" w:color="auto"/>
        <w:bottom w:val="none" w:sz="0" w:space="0" w:color="auto"/>
        <w:right w:val="none" w:sz="0" w:space="0" w:color="auto"/>
      </w:divBdr>
    </w:div>
    <w:div w:id="2031175306">
      <w:bodyDiv w:val="1"/>
      <w:marLeft w:val="0"/>
      <w:marRight w:val="0"/>
      <w:marTop w:val="0"/>
      <w:marBottom w:val="0"/>
      <w:divBdr>
        <w:top w:val="none" w:sz="0" w:space="0" w:color="auto"/>
        <w:left w:val="none" w:sz="0" w:space="0" w:color="auto"/>
        <w:bottom w:val="none" w:sz="0" w:space="0" w:color="auto"/>
        <w:right w:val="none" w:sz="0" w:space="0" w:color="auto"/>
      </w:divBdr>
    </w:div>
    <w:div w:id="2040934210">
      <w:bodyDiv w:val="1"/>
      <w:marLeft w:val="0"/>
      <w:marRight w:val="0"/>
      <w:marTop w:val="0"/>
      <w:marBottom w:val="0"/>
      <w:divBdr>
        <w:top w:val="none" w:sz="0" w:space="0" w:color="auto"/>
        <w:left w:val="none" w:sz="0" w:space="0" w:color="auto"/>
        <w:bottom w:val="none" w:sz="0" w:space="0" w:color="auto"/>
        <w:right w:val="none" w:sz="0" w:space="0" w:color="auto"/>
      </w:divBdr>
    </w:div>
    <w:div w:id="2042583867">
      <w:bodyDiv w:val="1"/>
      <w:marLeft w:val="0"/>
      <w:marRight w:val="0"/>
      <w:marTop w:val="0"/>
      <w:marBottom w:val="0"/>
      <w:divBdr>
        <w:top w:val="none" w:sz="0" w:space="0" w:color="auto"/>
        <w:left w:val="none" w:sz="0" w:space="0" w:color="auto"/>
        <w:bottom w:val="none" w:sz="0" w:space="0" w:color="auto"/>
        <w:right w:val="none" w:sz="0" w:space="0" w:color="auto"/>
      </w:divBdr>
    </w:div>
    <w:div w:id="2044597120">
      <w:bodyDiv w:val="1"/>
      <w:marLeft w:val="0"/>
      <w:marRight w:val="0"/>
      <w:marTop w:val="0"/>
      <w:marBottom w:val="0"/>
      <w:divBdr>
        <w:top w:val="none" w:sz="0" w:space="0" w:color="auto"/>
        <w:left w:val="none" w:sz="0" w:space="0" w:color="auto"/>
        <w:bottom w:val="none" w:sz="0" w:space="0" w:color="auto"/>
        <w:right w:val="none" w:sz="0" w:space="0" w:color="auto"/>
      </w:divBdr>
    </w:div>
    <w:div w:id="2048026645">
      <w:bodyDiv w:val="1"/>
      <w:marLeft w:val="0"/>
      <w:marRight w:val="0"/>
      <w:marTop w:val="0"/>
      <w:marBottom w:val="0"/>
      <w:divBdr>
        <w:top w:val="none" w:sz="0" w:space="0" w:color="auto"/>
        <w:left w:val="none" w:sz="0" w:space="0" w:color="auto"/>
        <w:bottom w:val="none" w:sz="0" w:space="0" w:color="auto"/>
        <w:right w:val="none" w:sz="0" w:space="0" w:color="auto"/>
      </w:divBdr>
    </w:div>
    <w:div w:id="2048137570">
      <w:bodyDiv w:val="1"/>
      <w:marLeft w:val="0"/>
      <w:marRight w:val="0"/>
      <w:marTop w:val="0"/>
      <w:marBottom w:val="0"/>
      <w:divBdr>
        <w:top w:val="none" w:sz="0" w:space="0" w:color="auto"/>
        <w:left w:val="none" w:sz="0" w:space="0" w:color="auto"/>
        <w:bottom w:val="none" w:sz="0" w:space="0" w:color="auto"/>
        <w:right w:val="none" w:sz="0" w:space="0" w:color="auto"/>
      </w:divBdr>
    </w:div>
    <w:div w:id="2049990087">
      <w:bodyDiv w:val="1"/>
      <w:marLeft w:val="0"/>
      <w:marRight w:val="0"/>
      <w:marTop w:val="0"/>
      <w:marBottom w:val="0"/>
      <w:divBdr>
        <w:top w:val="none" w:sz="0" w:space="0" w:color="auto"/>
        <w:left w:val="none" w:sz="0" w:space="0" w:color="auto"/>
        <w:bottom w:val="none" w:sz="0" w:space="0" w:color="auto"/>
        <w:right w:val="none" w:sz="0" w:space="0" w:color="auto"/>
      </w:divBdr>
    </w:div>
    <w:div w:id="2055736742">
      <w:bodyDiv w:val="1"/>
      <w:marLeft w:val="0"/>
      <w:marRight w:val="0"/>
      <w:marTop w:val="0"/>
      <w:marBottom w:val="0"/>
      <w:divBdr>
        <w:top w:val="none" w:sz="0" w:space="0" w:color="auto"/>
        <w:left w:val="none" w:sz="0" w:space="0" w:color="auto"/>
        <w:bottom w:val="none" w:sz="0" w:space="0" w:color="auto"/>
        <w:right w:val="none" w:sz="0" w:space="0" w:color="auto"/>
      </w:divBdr>
    </w:div>
    <w:div w:id="2057896607">
      <w:bodyDiv w:val="1"/>
      <w:marLeft w:val="0"/>
      <w:marRight w:val="0"/>
      <w:marTop w:val="0"/>
      <w:marBottom w:val="0"/>
      <w:divBdr>
        <w:top w:val="none" w:sz="0" w:space="0" w:color="auto"/>
        <w:left w:val="none" w:sz="0" w:space="0" w:color="auto"/>
        <w:bottom w:val="none" w:sz="0" w:space="0" w:color="auto"/>
        <w:right w:val="none" w:sz="0" w:space="0" w:color="auto"/>
      </w:divBdr>
    </w:div>
    <w:div w:id="2060007874">
      <w:bodyDiv w:val="1"/>
      <w:marLeft w:val="0"/>
      <w:marRight w:val="0"/>
      <w:marTop w:val="0"/>
      <w:marBottom w:val="0"/>
      <w:divBdr>
        <w:top w:val="none" w:sz="0" w:space="0" w:color="auto"/>
        <w:left w:val="none" w:sz="0" w:space="0" w:color="auto"/>
        <w:bottom w:val="none" w:sz="0" w:space="0" w:color="auto"/>
        <w:right w:val="none" w:sz="0" w:space="0" w:color="auto"/>
      </w:divBdr>
    </w:div>
    <w:div w:id="2061858509">
      <w:bodyDiv w:val="1"/>
      <w:marLeft w:val="0"/>
      <w:marRight w:val="0"/>
      <w:marTop w:val="0"/>
      <w:marBottom w:val="0"/>
      <w:divBdr>
        <w:top w:val="none" w:sz="0" w:space="0" w:color="auto"/>
        <w:left w:val="none" w:sz="0" w:space="0" w:color="auto"/>
        <w:bottom w:val="none" w:sz="0" w:space="0" w:color="auto"/>
        <w:right w:val="none" w:sz="0" w:space="0" w:color="auto"/>
      </w:divBdr>
    </w:div>
    <w:div w:id="2061904850">
      <w:bodyDiv w:val="1"/>
      <w:marLeft w:val="0"/>
      <w:marRight w:val="0"/>
      <w:marTop w:val="0"/>
      <w:marBottom w:val="0"/>
      <w:divBdr>
        <w:top w:val="none" w:sz="0" w:space="0" w:color="auto"/>
        <w:left w:val="none" w:sz="0" w:space="0" w:color="auto"/>
        <w:bottom w:val="none" w:sz="0" w:space="0" w:color="auto"/>
        <w:right w:val="none" w:sz="0" w:space="0" w:color="auto"/>
      </w:divBdr>
    </w:div>
    <w:div w:id="2066293322">
      <w:bodyDiv w:val="1"/>
      <w:marLeft w:val="0"/>
      <w:marRight w:val="0"/>
      <w:marTop w:val="0"/>
      <w:marBottom w:val="0"/>
      <w:divBdr>
        <w:top w:val="none" w:sz="0" w:space="0" w:color="auto"/>
        <w:left w:val="none" w:sz="0" w:space="0" w:color="auto"/>
        <w:bottom w:val="none" w:sz="0" w:space="0" w:color="auto"/>
        <w:right w:val="none" w:sz="0" w:space="0" w:color="auto"/>
      </w:divBdr>
    </w:div>
    <w:div w:id="2067945158">
      <w:bodyDiv w:val="1"/>
      <w:marLeft w:val="0"/>
      <w:marRight w:val="0"/>
      <w:marTop w:val="0"/>
      <w:marBottom w:val="0"/>
      <w:divBdr>
        <w:top w:val="none" w:sz="0" w:space="0" w:color="auto"/>
        <w:left w:val="none" w:sz="0" w:space="0" w:color="auto"/>
        <w:bottom w:val="none" w:sz="0" w:space="0" w:color="auto"/>
        <w:right w:val="none" w:sz="0" w:space="0" w:color="auto"/>
      </w:divBdr>
    </w:div>
    <w:div w:id="2068533819">
      <w:bodyDiv w:val="1"/>
      <w:marLeft w:val="0"/>
      <w:marRight w:val="0"/>
      <w:marTop w:val="0"/>
      <w:marBottom w:val="0"/>
      <w:divBdr>
        <w:top w:val="none" w:sz="0" w:space="0" w:color="auto"/>
        <w:left w:val="none" w:sz="0" w:space="0" w:color="auto"/>
        <w:bottom w:val="none" w:sz="0" w:space="0" w:color="auto"/>
        <w:right w:val="none" w:sz="0" w:space="0" w:color="auto"/>
      </w:divBdr>
    </w:div>
    <w:div w:id="2069719194">
      <w:bodyDiv w:val="1"/>
      <w:marLeft w:val="0"/>
      <w:marRight w:val="0"/>
      <w:marTop w:val="0"/>
      <w:marBottom w:val="0"/>
      <w:divBdr>
        <w:top w:val="none" w:sz="0" w:space="0" w:color="auto"/>
        <w:left w:val="none" w:sz="0" w:space="0" w:color="auto"/>
        <w:bottom w:val="none" w:sz="0" w:space="0" w:color="auto"/>
        <w:right w:val="none" w:sz="0" w:space="0" w:color="auto"/>
      </w:divBdr>
    </w:div>
    <w:div w:id="2073307723">
      <w:bodyDiv w:val="1"/>
      <w:marLeft w:val="0"/>
      <w:marRight w:val="0"/>
      <w:marTop w:val="0"/>
      <w:marBottom w:val="0"/>
      <w:divBdr>
        <w:top w:val="none" w:sz="0" w:space="0" w:color="auto"/>
        <w:left w:val="none" w:sz="0" w:space="0" w:color="auto"/>
        <w:bottom w:val="none" w:sz="0" w:space="0" w:color="auto"/>
        <w:right w:val="none" w:sz="0" w:space="0" w:color="auto"/>
      </w:divBdr>
    </w:div>
    <w:div w:id="2073849160">
      <w:bodyDiv w:val="1"/>
      <w:marLeft w:val="0"/>
      <w:marRight w:val="0"/>
      <w:marTop w:val="0"/>
      <w:marBottom w:val="0"/>
      <w:divBdr>
        <w:top w:val="none" w:sz="0" w:space="0" w:color="auto"/>
        <w:left w:val="none" w:sz="0" w:space="0" w:color="auto"/>
        <w:bottom w:val="none" w:sz="0" w:space="0" w:color="auto"/>
        <w:right w:val="none" w:sz="0" w:space="0" w:color="auto"/>
      </w:divBdr>
    </w:div>
    <w:div w:id="2073888983">
      <w:bodyDiv w:val="1"/>
      <w:marLeft w:val="0"/>
      <w:marRight w:val="0"/>
      <w:marTop w:val="0"/>
      <w:marBottom w:val="0"/>
      <w:divBdr>
        <w:top w:val="none" w:sz="0" w:space="0" w:color="auto"/>
        <w:left w:val="none" w:sz="0" w:space="0" w:color="auto"/>
        <w:bottom w:val="none" w:sz="0" w:space="0" w:color="auto"/>
        <w:right w:val="none" w:sz="0" w:space="0" w:color="auto"/>
      </w:divBdr>
    </w:div>
    <w:div w:id="2075663739">
      <w:bodyDiv w:val="1"/>
      <w:marLeft w:val="0"/>
      <w:marRight w:val="0"/>
      <w:marTop w:val="0"/>
      <w:marBottom w:val="0"/>
      <w:divBdr>
        <w:top w:val="none" w:sz="0" w:space="0" w:color="auto"/>
        <w:left w:val="none" w:sz="0" w:space="0" w:color="auto"/>
        <w:bottom w:val="none" w:sz="0" w:space="0" w:color="auto"/>
        <w:right w:val="none" w:sz="0" w:space="0" w:color="auto"/>
      </w:divBdr>
    </w:div>
    <w:div w:id="2076126652">
      <w:bodyDiv w:val="1"/>
      <w:marLeft w:val="0"/>
      <w:marRight w:val="0"/>
      <w:marTop w:val="0"/>
      <w:marBottom w:val="0"/>
      <w:divBdr>
        <w:top w:val="none" w:sz="0" w:space="0" w:color="auto"/>
        <w:left w:val="none" w:sz="0" w:space="0" w:color="auto"/>
        <w:bottom w:val="none" w:sz="0" w:space="0" w:color="auto"/>
        <w:right w:val="none" w:sz="0" w:space="0" w:color="auto"/>
      </w:divBdr>
    </w:div>
    <w:div w:id="2077581512">
      <w:bodyDiv w:val="1"/>
      <w:marLeft w:val="0"/>
      <w:marRight w:val="0"/>
      <w:marTop w:val="0"/>
      <w:marBottom w:val="0"/>
      <w:divBdr>
        <w:top w:val="none" w:sz="0" w:space="0" w:color="auto"/>
        <w:left w:val="none" w:sz="0" w:space="0" w:color="auto"/>
        <w:bottom w:val="none" w:sz="0" w:space="0" w:color="auto"/>
        <w:right w:val="none" w:sz="0" w:space="0" w:color="auto"/>
      </w:divBdr>
    </w:div>
    <w:div w:id="2078086945">
      <w:bodyDiv w:val="1"/>
      <w:marLeft w:val="0"/>
      <w:marRight w:val="0"/>
      <w:marTop w:val="0"/>
      <w:marBottom w:val="0"/>
      <w:divBdr>
        <w:top w:val="none" w:sz="0" w:space="0" w:color="auto"/>
        <w:left w:val="none" w:sz="0" w:space="0" w:color="auto"/>
        <w:bottom w:val="none" w:sz="0" w:space="0" w:color="auto"/>
        <w:right w:val="none" w:sz="0" w:space="0" w:color="auto"/>
      </w:divBdr>
    </w:div>
    <w:div w:id="2080783416">
      <w:bodyDiv w:val="1"/>
      <w:marLeft w:val="0"/>
      <w:marRight w:val="0"/>
      <w:marTop w:val="0"/>
      <w:marBottom w:val="0"/>
      <w:divBdr>
        <w:top w:val="none" w:sz="0" w:space="0" w:color="auto"/>
        <w:left w:val="none" w:sz="0" w:space="0" w:color="auto"/>
        <w:bottom w:val="none" w:sz="0" w:space="0" w:color="auto"/>
        <w:right w:val="none" w:sz="0" w:space="0" w:color="auto"/>
      </w:divBdr>
    </w:div>
    <w:div w:id="2084570912">
      <w:bodyDiv w:val="1"/>
      <w:marLeft w:val="0"/>
      <w:marRight w:val="0"/>
      <w:marTop w:val="0"/>
      <w:marBottom w:val="0"/>
      <w:divBdr>
        <w:top w:val="none" w:sz="0" w:space="0" w:color="auto"/>
        <w:left w:val="none" w:sz="0" w:space="0" w:color="auto"/>
        <w:bottom w:val="none" w:sz="0" w:space="0" w:color="auto"/>
        <w:right w:val="none" w:sz="0" w:space="0" w:color="auto"/>
      </w:divBdr>
    </w:div>
    <w:div w:id="2086604071">
      <w:bodyDiv w:val="1"/>
      <w:marLeft w:val="0"/>
      <w:marRight w:val="0"/>
      <w:marTop w:val="0"/>
      <w:marBottom w:val="0"/>
      <w:divBdr>
        <w:top w:val="none" w:sz="0" w:space="0" w:color="auto"/>
        <w:left w:val="none" w:sz="0" w:space="0" w:color="auto"/>
        <w:bottom w:val="none" w:sz="0" w:space="0" w:color="auto"/>
        <w:right w:val="none" w:sz="0" w:space="0" w:color="auto"/>
      </w:divBdr>
    </w:div>
    <w:div w:id="2088112665">
      <w:bodyDiv w:val="1"/>
      <w:marLeft w:val="0"/>
      <w:marRight w:val="0"/>
      <w:marTop w:val="0"/>
      <w:marBottom w:val="0"/>
      <w:divBdr>
        <w:top w:val="none" w:sz="0" w:space="0" w:color="auto"/>
        <w:left w:val="none" w:sz="0" w:space="0" w:color="auto"/>
        <w:bottom w:val="none" w:sz="0" w:space="0" w:color="auto"/>
        <w:right w:val="none" w:sz="0" w:space="0" w:color="auto"/>
      </w:divBdr>
    </w:div>
    <w:div w:id="2088379376">
      <w:bodyDiv w:val="1"/>
      <w:marLeft w:val="0"/>
      <w:marRight w:val="0"/>
      <w:marTop w:val="0"/>
      <w:marBottom w:val="0"/>
      <w:divBdr>
        <w:top w:val="none" w:sz="0" w:space="0" w:color="auto"/>
        <w:left w:val="none" w:sz="0" w:space="0" w:color="auto"/>
        <w:bottom w:val="none" w:sz="0" w:space="0" w:color="auto"/>
        <w:right w:val="none" w:sz="0" w:space="0" w:color="auto"/>
      </w:divBdr>
    </w:div>
    <w:div w:id="2096239396">
      <w:bodyDiv w:val="1"/>
      <w:marLeft w:val="0"/>
      <w:marRight w:val="0"/>
      <w:marTop w:val="0"/>
      <w:marBottom w:val="0"/>
      <w:divBdr>
        <w:top w:val="none" w:sz="0" w:space="0" w:color="auto"/>
        <w:left w:val="none" w:sz="0" w:space="0" w:color="auto"/>
        <w:bottom w:val="none" w:sz="0" w:space="0" w:color="auto"/>
        <w:right w:val="none" w:sz="0" w:space="0" w:color="auto"/>
      </w:divBdr>
    </w:div>
    <w:div w:id="2096634223">
      <w:bodyDiv w:val="1"/>
      <w:marLeft w:val="0"/>
      <w:marRight w:val="0"/>
      <w:marTop w:val="0"/>
      <w:marBottom w:val="0"/>
      <w:divBdr>
        <w:top w:val="none" w:sz="0" w:space="0" w:color="auto"/>
        <w:left w:val="none" w:sz="0" w:space="0" w:color="auto"/>
        <w:bottom w:val="none" w:sz="0" w:space="0" w:color="auto"/>
        <w:right w:val="none" w:sz="0" w:space="0" w:color="auto"/>
      </w:divBdr>
    </w:div>
    <w:div w:id="2099793001">
      <w:bodyDiv w:val="1"/>
      <w:marLeft w:val="0"/>
      <w:marRight w:val="0"/>
      <w:marTop w:val="0"/>
      <w:marBottom w:val="0"/>
      <w:divBdr>
        <w:top w:val="none" w:sz="0" w:space="0" w:color="auto"/>
        <w:left w:val="none" w:sz="0" w:space="0" w:color="auto"/>
        <w:bottom w:val="none" w:sz="0" w:space="0" w:color="auto"/>
        <w:right w:val="none" w:sz="0" w:space="0" w:color="auto"/>
      </w:divBdr>
    </w:div>
    <w:div w:id="2100640999">
      <w:bodyDiv w:val="1"/>
      <w:marLeft w:val="0"/>
      <w:marRight w:val="0"/>
      <w:marTop w:val="0"/>
      <w:marBottom w:val="0"/>
      <w:divBdr>
        <w:top w:val="none" w:sz="0" w:space="0" w:color="auto"/>
        <w:left w:val="none" w:sz="0" w:space="0" w:color="auto"/>
        <w:bottom w:val="none" w:sz="0" w:space="0" w:color="auto"/>
        <w:right w:val="none" w:sz="0" w:space="0" w:color="auto"/>
      </w:divBdr>
    </w:div>
    <w:div w:id="2100834137">
      <w:bodyDiv w:val="1"/>
      <w:marLeft w:val="0"/>
      <w:marRight w:val="0"/>
      <w:marTop w:val="0"/>
      <w:marBottom w:val="0"/>
      <w:divBdr>
        <w:top w:val="none" w:sz="0" w:space="0" w:color="auto"/>
        <w:left w:val="none" w:sz="0" w:space="0" w:color="auto"/>
        <w:bottom w:val="none" w:sz="0" w:space="0" w:color="auto"/>
        <w:right w:val="none" w:sz="0" w:space="0" w:color="auto"/>
      </w:divBdr>
    </w:div>
    <w:div w:id="2101638726">
      <w:bodyDiv w:val="1"/>
      <w:marLeft w:val="0"/>
      <w:marRight w:val="0"/>
      <w:marTop w:val="0"/>
      <w:marBottom w:val="0"/>
      <w:divBdr>
        <w:top w:val="none" w:sz="0" w:space="0" w:color="auto"/>
        <w:left w:val="none" w:sz="0" w:space="0" w:color="auto"/>
        <w:bottom w:val="none" w:sz="0" w:space="0" w:color="auto"/>
        <w:right w:val="none" w:sz="0" w:space="0" w:color="auto"/>
      </w:divBdr>
    </w:div>
    <w:div w:id="2102875786">
      <w:bodyDiv w:val="1"/>
      <w:marLeft w:val="0"/>
      <w:marRight w:val="0"/>
      <w:marTop w:val="0"/>
      <w:marBottom w:val="0"/>
      <w:divBdr>
        <w:top w:val="none" w:sz="0" w:space="0" w:color="auto"/>
        <w:left w:val="none" w:sz="0" w:space="0" w:color="auto"/>
        <w:bottom w:val="none" w:sz="0" w:space="0" w:color="auto"/>
        <w:right w:val="none" w:sz="0" w:space="0" w:color="auto"/>
      </w:divBdr>
    </w:div>
    <w:div w:id="2102943327">
      <w:bodyDiv w:val="1"/>
      <w:marLeft w:val="0"/>
      <w:marRight w:val="0"/>
      <w:marTop w:val="0"/>
      <w:marBottom w:val="0"/>
      <w:divBdr>
        <w:top w:val="none" w:sz="0" w:space="0" w:color="auto"/>
        <w:left w:val="none" w:sz="0" w:space="0" w:color="auto"/>
        <w:bottom w:val="none" w:sz="0" w:space="0" w:color="auto"/>
        <w:right w:val="none" w:sz="0" w:space="0" w:color="auto"/>
      </w:divBdr>
    </w:div>
    <w:div w:id="2103724034">
      <w:bodyDiv w:val="1"/>
      <w:marLeft w:val="0"/>
      <w:marRight w:val="0"/>
      <w:marTop w:val="0"/>
      <w:marBottom w:val="0"/>
      <w:divBdr>
        <w:top w:val="none" w:sz="0" w:space="0" w:color="auto"/>
        <w:left w:val="none" w:sz="0" w:space="0" w:color="auto"/>
        <w:bottom w:val="none" w:sz="0" w:space="0" w:color="auto"/>
        <w:right w:val="none" w:sz="0" w:space="0" w:color="auto"/>
      </w:divBdr>
    </w:div>
    <w:div w:id="2104304251">
      <w:bodyDiv w:val="1"/>
      <w:marLeft w:val="0"/>
      <w:marRight w:val="0"/>
      <w:marTop w:val="0"/>
      <w:marBottom w:val="0"/>
      <w:divBdr>
        <w:top w:val="none" w:sz="0" w:space="0" w:color="auto"/>
        <w:left w:val="none" w:sz="0" w:space="0" w:color="auto"/>
        <w:bottom w:val="none" w:sz="0" w:space="0" w:color="auto"/>
        <w:right w:val="none" w:sz="0" w:space="0" w:color="auto"/>
      </w:divBdr>
    </w:div>
    <w:div w:id="2107652362">
      <w:bodyDiv w:val="1"/>
      <w:marLeft w:val="0"/>
      <w:marRight w:val="0"/>
      <w:marTop w:val="0"/>
      <w:marBottom w:val="0"/>
      <w:divBdr>
        <w:top w:val="none" w:sz="0" w:space="0" w:color="auto"/>
        <w:left w:val="none" w:sz="0" w:space="0" w:color="auto"/>
        <w:bottom w:val="none" w:sz="0" w:space="0" w:color="auto"/>
        <w:right w:val="none" w:sz="0" w:space="0" w:color="auto"/>
      </w:divBdr>
    </w:div>
    <w:div w:id="2108033706">
      <w:bodyDiv w:val="1"/>
      <w:marLeft w:val="0"/>
      <w:marRight w:val="0"/>
      <w:marTop w:val="0"/>
      <w:marBottom w:val="0"/>
      <w:divBdr>
        <w:top w:val="none" w:sz="0" w:space="0" w:color="auto"/>
        <w:left w:val="none" w:sz="0" w:space="0" w:color="auto"/>
        <w:bottom w:val="none" w:sz="0" w:space="0" w:color="auto"/>
        <w:right w:val="none" w:sz="0" w:space="0" w:color="auto"/>
      </w:divBdr>
    </w:div>
    <w:div w:id="2108229679">
      <w:bodyDiv w:val="1"/>
      <w:marLeft w:val="0"/>
      <w:marRight w:val="0"/>
      <w:marTop w:val="0"/>
      <w:marBottom w:val="0"/>
      <w:divBdr>
        <w:top w:val="none" w:sz="0" w:space="0" w:color="auto"/>
        <w:left w:val="none" w:sz="0" w:space="0" w:color="auto"/>
        <w:bottom w:val="none" w:sz="0" w:space="0" w:color="auto"/>
        <w:right w:val="none" w:sz="0" w:space="0" w:color="auto"/>
      </w:divBdr>
    </w:div>
    <w:div w:id="2109111661">
      <w:bodyDiv w:val="1"/>
      <w:marLeft w:val="0"/>
      <w:marRight w:val="0"/>
      <w:marTop w:val="0"/>
      <w:marBottom w:val="0"/>
      <w:divBdr>
        <w:top w:val="none" w:sz="0" w:space="0" w:color="auto"/>
        <w:left w:val="none" w:sz="0" w:space="0" w:color="auto"/>
        <w:bottom w:val="none" w:sz="0" w:space="0" w:color="auto"/>
        <w:right w:val="none" w:sz="0" w:space="0" w:color="auto"/>
      </w:divBdr>
    </w:div>
    <w:div w:id="2110195848">
      <w:bodyDiv w:val="1"/>
      <w:marLeft w:val="0"/>
      <w:marRight w:val="0"/>
      <w:marTop w:val="0"/>
      <w:marBottom w:val="0"/>
      <w:divBdr>
        <w:top w:val="none" w:sz="0" w:space="0" w:color="auto"/>
        <w:left w:val="none" w:sz="0" w:space="0" w:color="auto"/>
        <w:bottom w:val="none" w:sz="0" w:space="0" w:color="auto"/>
        <w:right w:val="none" w:sz="0" w:space="0" w:color="auto"/>
      </w:divBdr>
    </w:div>
    <w:div w:id="2112847283">
      <w:bodyDiv w:val="1"/>
      <w:marLeft w:val="0"/>
      <w:marRight w:val="0"/>
      <w:marTop w:val="0"/>
      <w:marBottom w:val="0"/>
      <w:divBdr>
        <w:top w:val="none" w:sz="0" w:space="0" w:color="auto"/>
        <w:left w:val="none" w:sz="0" w:space="0" w:color="auto"/>
        <w:bottom w:val="none" w:sz="0" w:space="0" w:color="auto"/>
        <w:right w:val="none" w:sz="0" w:space="0" w:color="auto"/>
      </w:divBdr>
    </w:div>
    <w:div w:id="2112972261">
      <w:bodyDiv w:val="1"/>
      <w:marLeft w:val="0"/>
      <w:marRight w:val="0"/>
      <w:marTop w:val="0"/>
      <w:marBottom w:val="0"/>
      <w:divBdr>
        <w:top w:val="none" w:sz="0" w:space="0" w:color="auto"/>
        <w:left w:val="none" w:sz="0" w:space="0" w:color="auto"/>
        <w:bottom w:val="none" w:sz="0" w:space="0" w:color="auto"/>
        <w:right w:val="none" w:sz="0" w:space="0" w:color="auto"/>
      </w:divBdr>
    </w:div>
    <w:div w:id="2113013084">
      <w:bodyDiv w:val="1"/>
      <w:marLeft w:val="0"/>
      <w:marRight w:val="0"/>
      <w:marTop w:val="0"/>
      <w:marBottom w:val="0"/>
      <w:divBdr>
        <w:top w:val="none" w:sz="0" w:space="0" w:color="auto"/>
        <w:left w:val="none" w:sz="0" w:space="0" w:color="auto"/>
        <w:bottom w:val="none" w:sz="0" w:space="0" w:color="auto"/>
        <w:right w:val="none" w:sz="0" w:space="0" w:color="auto"/>
      </w:divBdr>
    </w:div>
    <w:div w:id="2115904891">
      <w:bodyDiv w:val="1"/>
      <w:marLeft w:val="0"/>
      <w:marRight w:val="0"/>
      <w:marTop w:val="0"/>
      <w:marBottom w:val="0"/>
      <w:divBdr>
        <w:top w:val="none" w:sz="0" w:space="0" w:color="auto"/>
        <w:left w:val="none" w:sz="0" w:space="0" w:color="auto"/>
        <w:bottom w:val="none" w:sz="0" w:space="0" w:color="auto"/>
        <w:right w:val="none" w:sz="0" w:space="0" w:color="auto"/>
      </w:divBdr>
    </w:div>
    <w:div w:id="2117555043">
      <w:bodyDiv w:val="1"/>
      <w:marLeft w:val="0"/>
      <w:marRight w:val="0"/>
      <w:marTop w:val="0"/>
      <w:marBottom w:val="0"/>
      <w:divBdr>
        <w:top w:val="none" w:sz="0" w:space="0" w:color="auto"/>
        <w:left w:val="none" w:sz="0" w:space="0" w:color="auto"/>
        <w:bottom w:val="none" w:sz="0" w:space="0" w:color="auto"/>
        <w:right w:val="none" w:sz="0" w:space="0" w:color="auto"/>
      </w:divBdr>
    </w:div>
    <w:div w:id="2117825108">
      <w:bodyDiv w:val="1"/>
      <w:marLeft w:val="0"/>
      <w:marRight w:val="0"/>
      <w:marTop w:val="0"/>
      <w:marBottom w:val="0"/>
      <w:divBdr>
        <w:top w:val="none" w:sz="0" w:space="0" w:color="auto"/>
        <w:left w:val="none" w:sz="0" w:space="0" w:color="auto"/>
        <w:bottom w:val="none" w:sz="0" w:space="0" w:color="auto"/>
        <w:right w:val="none" w:sz="0" w:space="0" w:color="auto"/>
      </w:divBdr>
    </w:div>
    <w:div w:id="2119638381">
      <w:bodyDiv w:val="1"/>
      <w:marLeft w:val="0"/>
      <w:marRight w:val="0"/>
      <w:marTop w:val="0"/>
      <w:marBottom w:val="0"/>
      <w:divBdr>
        <w:top w:val="none" w:sz="0" w:space="0" w:color="auto"/>
        <w:left w:val="none" w:sz="0" w:space="0" w:color="auto"/>
        <w:bottom w:val="none" w:sz="0" w:space="0" w:color="auto"/>
        <w:right w:val="none" w:sz="0" w:space="0" w:color="auto"/>
      </w:divBdr>
    </w:div>
    <w:div w:id="2119832437">
      <w:bodyDiv w:val="1"/>
      <w:marLeft w:val="0"/>
      <w:marRight w:val="0"/>
      <w:marTop w:val="0"/>
      <w:marBottom w:val="0"/>
      <w:divBdr>
        <w:top w:val="none" w:sz="0" w:space="0" w:color="auto"/>
        <w:left w:val="none" w:sz="0" w:space="0" w:color="auto"/>
        <w:bottom w:val="none" w:sz="0" w:space="0" w:color="auto"/>
        <w:right w:val="none" w:sz="0" w:space="0" w:color="auto"/>
      </w:divBdr>
    </w:div>
    <w:div w:id="2122407390">
      <w:bodyDiv w:val="1"/>
      <w:marLeft w:val="0"/>
      <w:marRight w:val="0"/>
      <w:marTop w:val="0"/>
      <w:marBottom w:val="0"/>
      <w:divBdr>
        <w:top w:val="none" w:sz="0" w:space="0" w:color="auto"/>
        <w:left w:val="none" w:sz="0" w:space="0" w:color="auto"/>
        <w:bottom w:val="none" w:sz="0" w:space="0" w:color="auto"/>
        <w:right w:val="none" w:sz="0" w:space="0" w:color="auto"/>
      </w:divBdr>
    </w:div>
    <w:div w:id="2127432305">
      <w:bodyDiv w:val="1"/>
      <w:marLeft w:val="0"/>
      <w:marRight w:val="0"/>
      <w:marTop w:val="0"/>
      <w:marBottom w:val="0"/>
      <w:divBdr>
        <w:top w:val="none" w:sz="0" w:space="0" w:color="auto"/>
        <w:left w:val="none" w:sz="0" w:space="0" w:color="auto"/>
        <w:bottom w:val="none" w:sz="0" w:space="0" w:color="auto"/>
        <w:right w:val="none" w:sz="0" w:space="0" w:color="auto"/>
      </w:divBdr>
    </w:div>
    <w:div w:id="2130391331">
      <w:bodyDiv w:val="1"/>
      <w:marLeft w:val="0"/>
      <w:marRight w:val="0"/>
      <w:marTop w:val="0"/>
      <w:marBottom w:val="0"/>
      <w:divBdr>
        <w:top w:val="none" w:sz="0" w:space="0" w:color="auto"/>
        <w:left w:val="none" w:sz="0" w:space="0" w:color="auto"/>
        <w:bottom w:val="none" w:sz="0" w:space="0" w:color="auto"/>
        <w:right w:val="none" w:sz="0" w:space="0" w:color="auto"/>
      </w:divBdr>
    </w:div>
    <w:div w:id="2134588965">
      <w:bodyDiv w:val="1"/>
      <w:marLeft w:val="0"/>
      <w:marRight w:val="0"/>
      <w:marTop w:val="0"/>
      <w:marBottom w:val="0"/>
      <w:divBdr>
        <w:top w:val="none" w:sz="0" w:space="0" w:color="auto"/>
        <w:left w:val="none" w:sz="0" w:space="0" w:color="auto"/>
        <w:bottom w:val="none" w:sz="0" w:space="0" w:color="auto"/>
        <w:right w:val="none" w:sz="0" w:space="0" w:color="auto"/>
      </w:divBdr>
    </w:div>
    <w:div w:id="2139451697">
      <w:bodyDiv w:val="1"/>
      <w:marLeft w:val="0"/>
      <w:marRight w:val="0"/>
      <w:marTop w:val="0"/>
      <w:marBottom w:val="0"/>
      <w:divBdr>
        <w:top w:val="none" w:sz="0" w:space="0" w:color="auto"/>
        <w:left w:val="none" w:sz="0" w:space="0" w:color="auto"/>
        <w:bottom w:val="none" w:sz="0" w:space="0" w:color="auto"/>
        <w:right w:val="none" w:sz="0" w:space="0" w:color="auto"/>
      </w:divBdr>
    </w:div>
    <w:div w:id="2141069910">
      <w:bodyDiv w:val="1"/>
      <w:marLeft w:val="0"/>
      <w:marRight w:val="0"/>
      <w:marTop w:val="0"/>
      <w:marBottom w:val="0"/>
      <w:divBdr>
        <w:top w:val="none" w:sz="0" w:space="0" w:color="auto"/>
        <w:left w:val="none" w:sz="0" w:space="0" w:color="auto"/>
        <w:bottom w:val="none" w:sz="0" w:space="0" w:color="auto"/>
        <w:right w:val="none" w:sz="0" w:space="0" w:color="auto"/>
      </w:divBdr>
    </w:div>
    <w:div w:id="2146971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www.aasb.gov.au/Pronouncements/Current-standards.aspx" TargetMode="External"/><Relationship Id="rId21" Type="http://schemas.openxmlformats.org/officeDocument/2006/relationships/hyperlink" Target="https://www.dss.gov.au/our-responsibilities/ageing-and-aged-care/aged-care-reform/aged-care-financing-authority"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png"/><Relationship Id="rId16" Type="http://schemas.openxmlformats.org/officeDocument/2006/relationships/image" Target="media/image4.jpeg"/><Relationship Id="rId107" Type="http://schemas.openxmlformats.org/officeDocument/2006/relationships/image" Target="media/image87.jpeg"/><Relationship Id="rId11" Type="http://schemas.openxmlformats.org/officeDocument/2006/relationships/header" Target="header2.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cid:image003.jpg@01D407B9.C24BAAB0" TargetMode="External"/><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cid:image002.png@01D41F4D.2F3D8210" TargetMode="External"/><Relationship Id="rId30" Type="http://schemas.openxmlformats.org/officeDocument/2006/relationships/hyperlink" Target="https://agedcare.health.gov.au/quality/independent-reviewers-for-the-review-of-national-aged-care-quality-regulatory-processes" TargetMode="Externa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image" Target="media/image85.jpeg"/><Relationship Id="rId113" Type="http://schemas.openxmlformats.org/officeDocument/2006/relationships/image" Target="media/image93.png"/><Relationship Id="rId118" Type="http://schemas.openxmlformats.org/officeDocument/2006/relationships/hyperlink" Target="http://www.abs.gov.au/" TargetMode="External"/><Relationship Id="rId8" Type="http://schemas.openxmlformats.org/officeDocument/2006/relationships/image" Target="media/image1.jpeg"/><Relationship Id="rId51" Type="http://schemas.openxmlformats.org/officeDocument/2006/relationships/image" Target="cid:image001.png@01D407C6.6555D530" TargetMode="External"/><Relationship Id="rId72" Type="http://schemas.openxmlformats.org/officeDocument/2006/relationships/image" Target="media/image53.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hyperlink" Target="https://agedcare.health.gov.au/legislated-review-of-aged-care-2017-report"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hyperlink" Target="https://agedcare.health.gov.au/reform/report-to-inform-the-2016-17-review-of-amendments-to-the-aged-care-act-1997" TargetMode="External"/><Relationship Id="rId124"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cid:image001.png@01D41830.66CD89B0"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38.jpeg"/><Relationship Id="rId106" Type="http://schemas.openxmlformats.org/officeDocument/2006/relationships/image" Target="media/image86.jpeg"/><Relationship Id="rId114" Type="http://schemas.openxmlformats.org/officeDocument/2006/relationships/hyperlink" Target="https://agedcare.health.gov.au/aged-care-reform/aged-care-financing-authority" TargetMode="External"/><Relationship Id="rId119" Type="http://schemas.openxmlformats.org/officeDocument/2006/relationships/hyperlink" Target="http://www.abs.gov.au/" TargetMode="External"/><Relationship Id="rId10" Type="http://schemas.openxmlformats.org/officeDocument/2006/relationships/header" Target="header1.xml"/><Relationship Id="rId31" Type="http://schemas.openxmlformats.org/officeDocument/2006/relationships/hyperlink" Target="https://agedcare.health.gov.au/quality/independent-reviewers-for-the-review-of-national-aged-care-quality-regulatory-processes" TargetMode="External"/><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hyperlink" Target="http://archive.treasury.gov.au/igr/igr2010/default.asp"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2.jpeg"/><Relationship Id="rId109" Type="http://schemas.openxmlformats.org/officeDocument/2006/relationships/image" Target="media/image89.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6.jpeg"/><Relationship Id="rId76" Type="http://schemas.openxmlformats.org/officeDocument/2006/relationships/hyperlink" Target="https://agedcare.health.gov.au/tools-and-resources/aged-care-funding-instrument-acfi-reports" TargetMode="External"/><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hyperlink" Target="http://www.abs.gov.au/" TargetMode="Externa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hyperlink" Target="https://agedcare.health.gov.au/reform/residential-aged-care-reform" TargetMode="External"/><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7.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hyperlink" Target="https://agedcare.health.gov.au/aged-care-reform/aged-care-financing-authority"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3" Type="http://schemas.openxmlformats.org/officeDocument/2006/relationships/hyperlink" Target="https://agedcare.health.gov.au/reform/aged-care-workforce-strategy-taskforce" TargetMode="External"/><Relationship Id="rId2" Type="http://schemas.openxmlformats.org/officeDocument/2006/relationships/hyperlink" Target="https://agedcare.health.gov.au/news-and-resources/publications/2016-national-aged-care-workforce-census-and-survey-the-aged-care-workforce-2016" TargetMode="External"/><Relationship Id="rId1" Type="http://schemas.openxmlformats.org/officeDocument/2006/relationships/hyperlink" Target="https://agedcare.health.gov.au/aged-care-reform/aged-care-financing-authority" TargetMode="External"/><Relationship Id="rId6" Type="http://schemas.openxmlformats.org/officeDocument/2006/relationships/hyperlink" Target="https://agedcare.health.gov.au/aged-care-reform/aged-care-financing-authority" TargetMode="External"/><Relationship Id="rId5" Type="http://schemas.openxmlformats.org/officeDocument/2006/relationships/hyperlink" Target="https://agedcare.health.gov.au/aged-care-reform/aged-care-roadmap" TargetMode="External"/><Relationship Id="rId4" Type="http://schemas.openxmlformats.org/officeDocument/2006/relationships/hyperlink" Target="https://agedcare.health.gov.au/aged-care-reform/aged-care-financing-authorit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Blank.dotm" TargetMode="External"/></Relationships>
</file>

<file path=word/theme/theme1.xml><?xml version="1.0" encoding="utf-8"?>
<a:theme xmlns:a="http://schemas.openxmlformats.org/drawingml/2006/main" name="Office Theme">
  <a:themeElements>
    <a:clrScheme name="ACFA AccWord">
      <a:dk1>
        <a:sysClr val="windowText" lastClr="000000"/>
      </a:dk1>
      <a:lt1>
        <a:sysClr val="window" lastClr="FFFFFF"/>
      </a:lt1>
      <a:dk2>
        <a:srgbClr val="002776"/>
      </a:dk2>
      <a:lt2>
        <a:srgbClr val="E8E8E8"/>
      </a:lt2>
      <a:accent1>
        <a:srgbClr val="002776"/>
      </a:accent1>
      <a:accent2>
        <a:srgbClr val="128A00"/>
      </a:accent2>
      <a:accent3>
        <a:srgbClr val="007EB1"/>
      </a:accent3>
      <a:accent4>
        <a:srgbClr val="136400"/>
      </a:accent4>
      <a:accent5>
        <a:srgbClr val="72C7E7"/>
      </a:accent5>
      <a:accent6>
        <a:srgbClr val="C9DD03"/>
      </a:accent6>
      <a:hlink>
        <a:srgbClr val="002776"/>
      </a:hlink>
      <a:folHlink>
        <a:srgbClr val="007EB1"/>
      </a:folHlink>
    </a:clrScheme>
    <a:fontScheme name="ACFA AccWord Fonts">
      <a:majorFont>
        <a:latin typeface="Calibri"/>
        <a:ea typeface=""/>
        <a:cs typeface=""/>
      </a:majorFont>
      <a:minorFont>
        <a:latin typeface="Segoe U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7CED725E-D358-4094-BBE9-E1D63E16B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Template>
  <TotalTime>528</TotalTime>
  <Pages>202</Pages>
  <Words>62781</Words>
  <Characters>329516</Characters>
  <Application>Microsoft Office Word</Application>
  <DocSecurity>0</DocSecurity>
  <Lines>10665</Lines>
  <Paragraphs>7243</Paragraphs>
  <ScaleCrop>false</ScaleCrop>
  <HeadingPairs>
    <vt:vector size="2" baseType="variant">
      <vt:variant>
        <vt:lpstr>Title</vt:lpstr>
      </vt:variant>
      <vt:variant>
        <vt:i4>1</vt:i4>
      </vt:variant>
    </vt:vector>
  </HeadingPairs>
  <TitlesOfParts>
    <vt:vector size="1" baseType="lpstr">
      <vt:lpstr>2018 ACFA annual report on the funding and financing of the aged care sector </vt:lpstr>
    </vt:vector>
  </TitlesOfParts>
  <Company>MacroView</Company>
  <LinksUpToDate>false</LinksUpToDate>
  <CharactersWithSpaces>385084</CharactersWithSpaces>
  <SharedDoc>false</SharedDoc>
  <HLinks>
    <vt:vector size="24" baseType="variant">
      <vt:variant>
        <vt:i4>1769524</vt:i4>
      </vt:variant>
      <vt:variant>
        <vt:i4>26</vt:i4>
      </vt:variant>
      <vt:variant>
        <vt:i4>0</vt:i4>
      </vt:variant>
      <vt:variant>
        <vt:i4>5</vt:i4>
      </vt:variant>
      <vt:variant>
        <vt:lpwstr/>
      </vt:variant>
      <vt:variant>
        <vt:lpwstr>_Toc215906321</vt:lpwstr>
      </vt:variant>
      <vt:variant>
        <vt:i4>1769524</vt:i4>
      </vt:variant>
      <vt:variant>
        <vt:i4>20</vt:i4>
      </vt:variant>
      <vt:variant>
        <vt:i4>0</vt:i4>
      </vt:variant>
      <vt:variant>
        <vt:i4>5</vt:i4>
      </vt:variant>
      <vt:variant>
        <vt:lpwstr/>
      </vt:variant>
      <vt:variant>
        <vt:lpwstr>_Toc215906320</vt:lpwstr>
      </vt:variant>
      <vt:variant>
        <vt:i4>1572916</vt:i4>
      </vt:variant>
      <vt:variant>
        <vt:i4>14</vt:i4>
      </vt:variant>
      <vt:variant>
        <vt:i4>0</vt:i4>
      </vt:variant>
      <vt:variant>
        <vt:i4>5</vt:i4>
      </vt:variant>
      <vt:variant>
        <vt:lpwstr/>
      </vt:variant>
      <vt:variant>
        <vt:lpwstr>_Toc215906319</vt:lpwstr>
      </vt:variant>
      <vt:variant>
        <vt:i4>1572916</vt:i4>
      </vt:variant>
      <vt:variant>
        <vt:i4>8</vt:i4>
      </vt:variant>
      <vt:variant>
        <vt:i4>0</vt:i4>
      </vt:variant>
      <vt:variant>
        <vt:i4>5</vt:i4>
      </vt:variant>
      <vt:variant>
        <vt:lpwstr/>
      </vt:variant>
      <vt:variant>
        <vt:lpwstr>_Toc215906318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ACFA annual report on the funding and financing of the aged care sector </dc:title>
  <dc:subject>Aged Care</dc:subject>
  <dc:creator>Department of Health</dc:creator>
  <cp:keywords>Aged Care; Annual report;  funding and financing of the aged care;</cp:keywords>
  <cp:lastModifiedBy>Maschke, Elvia</cp:lastModifiedBy>
  <cp:revision>8</cp:revision>
  <cp:lastPrinted>2018-07-25T23:34:00Z</cp:lastPrinted>
  <dcterms:created xsi:type="dcterms:W3CDTF">2019-11-24T23:49:00Z</dcterms:created>
  <dcterms:modified xsi:type="dcterms:W3CDTF">2019-11-26T03:46:00Z</dcterms:modified>
</cp:coreProperties>
</file>